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079BE" w14:textId="18C7DA1F" w:rsidR="00137C30" w:rsidRPr="00A55BDB" w:rsidRDefault="00137C30" w:rsidP="00A13031">
      <w:pPr>
        <w:pStyle w:val="Title"/>
        <w:spacing w:after="240"/>
        <w:jc w:val="left"/>
        <w:rPr>
          <w:sz w:val="24"/>
          <w:szCs w:val="24"/>
        </w:rPr>
      </w:pPr>
      <w:r w:rsidRPr="00A55BDB">
        <w:rPr>
          <w:sz w:val="24"/>
          <w:szCs w:val="24"/>
        </w:rPr>
        <w:t>Product Information</w:t>
      </w:r>
    </w:p>
    <w:p w14:paraId="50DB5606" w14:textId="77777777" w:rsidR="00137C30" w:rsidRPr="00492FC8" w:rsidRDefault="00492FC8" w:rsidP="00B1677F">
      <w:pPr>
        <w:pStyle w:val="Heading1"/>
        <w:numPr>
          <w:ilvl w:val="0"/>
          <w:numId w:val="0"/>
        </w:numPr>
        <w:ind w:left="1649" w:hanging="1649"/>
      </w:pPr>
      <w:r>
        <w:t>AFSTYLA</w:t>
      </w:r>
      <w:r>
        <w:rPr>
          <w:vertAlign w:val="superscript"/>
        </w:rPr>
        <w:t>®</w:t>
      </w:r>
      <w:bookmarkStart w:id="0" w:name="_GoBack"/>
      <w:bookmarkEnd w:id="0"/>
    </w:p>
    <w:p w14:paraId="09800285" w14:textId="21CC104D" w:rsidR="00137C30" w:rsidRPr="00B1677F" w:rsidRDefault="00137C30" w:rsidP="00B1677F">
      <w:pPr>
        <w:pStyle w:val="DocumentText"/>
        <w:rPr>
          <w:b/>
        </w:rPr>
      </w:pPr>
      <w:r w:rsidRPr="00B1677F">
        <w:rPr>
          <w:b/>
        </w:rPr>
        <w:t>Australia</w:t>
      </w:r>
      <w:r w:rsidR="004F1504">
        <w:rPr>
          <w:b/>
        </w:rPr>
        <w:t xml:space="preserve"> </w:t>
      </w:r>
    </w:p>
    <w:p w14:paraId="0EED4FBB" w14:textId="77777777" w:rsidR="00137C30" w:rsidRPr="00B1677F" w:rsidRDefault="00137C30" w:rsidP="00B1677F">
      <w:pPr>
        <w:pStyle w:val="Heading2"/>
        <w:numPr>
          <w:ilvl w:val="0"/>
          <w:numId w:val="0"/>
        </w:numPr>
        <w:ind w:left="1901" w:hanging="1901"/>
      </w:pPr>
      <w:r w:rsidRPr="00B1677F">
        <w:t>NAME OF THE MEDICINE</w:t>
      </w:r>
    </w:p>
    <w:p w14:paraId="4118813D" w14:textId="21592DC0" w:rsidR="00137C30" w:rsidRDefault="00F75571" w:rsidP="00B1677F">
      <w:pPr>
        <w:pStyle w:val="DocumentText"/>
      </w:pPr>
      <w:proofErr w:type="gramStart"/>
      <w:r>
        <w:t>AFSTYLA</w:t>
      </w:r>
      <w:r>
        <w:rPr>
          <w:vertAlign w:val="superscript"/>
        </w:rPr>
        <w:t>®</w:t>
      </w:r>
      <w:r>
        <w:t xml:space="preserve"> (r</w:t>
      </w:r>
      <w:r w:rsidRPr="00624191">
        <w:t>ecombinant</w:t>
      </w:r>
      <w:r>
        <w:t>,</w:t>
      </w:r>
      <w:r w:rsidRPr="00624191">
        <w:t xml:space="preserve"> </w:t>
      </w:r>
      <w:r>
        <w:t>single chain coagulation</w:t>
      </w:r>
      <w:r w:rsidRPr="00624191">
        <w:t xml:space="preserve"> f</w:t>
      </w:r>
      <w:r>
        <w:t>actor VIII</w:t>
      </w:r>
      <w:r w:rsidRPr="00624191">
        <w:t xml:space="preserve"> (r</w:t>
      </w:r>
      <w:r>
        <w:t>VIII</w:t>
      </w:r>
      <w:r w:rsidRPr="00624191">
        <w:t>-</w:t>
      </w:r>
      <w:r>
        <w:t>SingleChain</w:t>
      </w:r>
      <w:r w:rsidRPr="00624191">
        <w:t>)</w:t>
      </w:r>
      <w:r>
        <w:t xml:space="preserve">; </w:t>
      </w:r>
      <w:r>
        <w:rPr>
          <w:kern w:val="0"/>
        </w:rPr>
        <w:t>lonoctocog alfa (rch))</w:t>
      </w:r>
      <w:r w:rsidRPr="0035649B">
        <w:t>, powder and solvent for solution for injection.</w:t>
      </w:r>
      <w:proofErr w:type="gramEnd"/>
    </w:p>
    <w:p w14:paraId="56763700" w14:textId="208C2FD0" w:rsidR="009F6550" w:rsidRPr="00B1677F" w:rsidRDefault="00B1756A" w:rsidP="00B1677F">
      <w:pPr>
        <w:pStyle w:val="DocumentText"/>
      </w:pPr>
      <w:r>
        <w:t>CAS</w:t>
      </w:r>
      <w:r w:rsidR="00FA2660">
        <w:t xml:space="preserve"> registry number:</w:t>
      </w:r>
      <w:r w:rsidR="00F660C2">
        <w:t xml:space="preserve"> 1388129-63-2</w:t>
      </w:r>
    </w:p>
    <w:p w14:paraId="6422E5DD" w14:textId="77777777" w:rsidR="00137C30" w:rsidRPr="00B1677F" w:rsidRDefault="00137C30" w:rsidP="00B1677F">
      <w:pPr>
        <w:pStyle w:val="Heading2"/>
        <w:numPr>
          <w:ilvl w:val="0"/>
          <w:numId w:val="0"/>
        </w:numPr>
        <w:ind w:left="1901" w:hanging="1901"/>
      </w:pPr>
      <w:r w:rsidRPr="00B1677F">
        <w:t>DESCRIPTION</w:t>
      </w:r>
    </w:p>
    <w:p w14:paraId="29D92DEC" w14:textId="6E2BA6E4" w:rsidR="00DE0DA5" w:rsidRDefault="00492FC8" w:rsidP="00DE0DA5">
      <w:pPr>
        <w:pStyle w:val="DocumentText"/>
      </w:pPr>
      <w:r>
        <w:t>AFSTYLA</w:t>
      </w:r>
      <w:r>
        <w:rPr>
          <w:vertAlign w:val="superscript"/>
        </w:rPr>
        <w:t>®</w:t>
      </w:r>
      <w:r w:rsidR="00DE0DA5" w:rsidRPr="00A64555">
        <w:t xml:space="preserve"> is a single chain recombinant factor VIII</w:t>
      </w:r>
      <w:r w:rsidR="00DA433A">
        <w:t xml:space="preserve"> (FVIII)</w:t>
      </w:r>
      <w:r w:rsidR="00DE0DA5" w:rsidRPr="00A64555">
        <w:t xml:space="preserve"> produced in Chinese hamster</w:t>
      </w:r>
      <w:r w:rsidR="00DE0DA5">
        <w:t xml:space="preserve"> </w:t>
      </w:r>
      <w:r w:rsidR="00DE0DA5" w:rsidRPr="00A64555">
        <w:t>ovary (CHO) cells. It is a construct where most of the B-domain occurring in wild-type,</w:t>
      </w:r>
      <w:r w:rsidR="00DE0DA5">
        <w:t xml:space="preserve"> </w:t>
      </w:r>
      <w:r w:rsidR="00DA433A">
        <w:t>full-length F</w:t>
      </w:r>
      <w:r w:rsidR="00DE0DA5" w:rsidRPr="00A64555">
        <w:t xml:space="preserve">VIII and 4 amino acids of the adjacent acidic </w:t>
      </w:r>
      <w:r w:rsidR="00D36576">
        <w:t>A</w:t>
      </w:r>
      <w:r w:rsidR="00DE0DA5" w:rsidRPr="00A64555">
        <w:t>3 domain were removed</w:t>
      </w:r>
      <w:r w:rsidR="00DE0DA5">
        <w:t xml:space="preserve"> </w:t>
      </w:r>
      <w:r w:rsidR="00DE0DA5" w:rsidRPr="00A64555">
        <w:t xml:space="preserve">(amino acids 765 to 1652 of full-length </w:t>
      </w:r>
      <w:r w:rsidR="00DA433A">
        <w:t>F</w:t>
      </w:r>
      <w:r w:rsidR="00DE0DA5" w:rsidRPr="00A64555">
        <w:t>VIII).</w:t>
      </w:r>
    </w:p>
    <w:p w14:paraId="0BC37A06" w14:textId="1BAE7C54" w:rsidR="00740573" w:rsidRPr="00486178" w:rsidRDefault="00DE0DA5" w:rsidP="000F769C">
      <w:pPr>
        <w:pStyle w:val="DocumentText"/>
      </w:pPr>
      <w:r w:rsidRPr="00A64555">
        <w:t xml:space="preserve">The newly formed linkage of the heavy and light chain of </w:t>
      </w:r>
      <w:r w:rsidR="00DA433A">
        <w:t>F</w:t>
      </w:r>
      <w:r w:rsidRPr="00A64555">
        <w:t>VIII introduces a new N</w:t>
      </w:r>
      <w:r w:rsidR="003E06DC">
        <w:noBreakHyphen/>
      </w:r>
      <w:r w:rsidRPr="00A64555">
        <w:t>glycosylation</w:t>
      </w:r>
      <w:r>
        <w:t xml:space="preserve"> </w:t>
      </w:r>
      <w:r w:rsidRPr="00A64555">
        <w:t xml:space="preserve">site. As the </w:t>
      </w:r>
      <w:proofErr w:type="spellStart"/>
      <w:r w:rsidRPr="00A64555">
        <w:t>furin</w:t>
      </w:r>
      <w:proofErr w:type="spellEnd"/>
      <w:r w:rsidRPr="00A64555">
        <w:t xml:space="preserve"> cleavage site present in wild type </w:t>
      </w:r>
      <w:r w:rsidR="00DA433A">
        <w:t>F</w:t>
      </w:r>
      <w:r w:rsidRPr="00A64555">
        <w:t>VIII between the B</w:t>
      </w:r>
      <w:r w:rsidR="003E06DC">
        <w:t>-</w:t>
      </w:r>
      <w:r w:rsidRPr="00A64555">
        <w:t>domain</w:t>
      </w:r>
      <w:r>
        <w:t xml:space="preserve"> </w:t>
      </w:r>
      <w:r w:rsidRPr="00A64555">
        <w:t xml:space="preserve">and the </w:t>
      </w:r>
      <w:r w:rsidR="00D36576">
        <w:t>A</w:t>
      </w:r>
      <w:r w:rsidRPr="00A64555">
        <w:t xml:space="preserve">3 domain was removed, </w:t>
      </w:r>
      <w:r w:rsidR="005E4AD7">
        <w:t>AFSTYLA</w:t>
      </w:r>
      <w:r w:rsidR="005E4AD7" w:rsidRPr="00151E18">
        <w:rPr>
          <w:vertAlign w:val="superscript"/>
        </w:rPr>
        <w:t>®</w:t>
      </w:r>
      <w:r w:rsidR="005E4AD7">
        <w:t xml:space="preserve"> </w:t>
      </w:r>
      <w:r w:rsidR="00740573" w:rsidRPr="00486178">
        <w:t>is expressed as a single chain FVIII molecule with covalent linkage between heavy and light chains; thereby keeping the molecule in the single chain form resulting in increased stability and increased von Willebrand Factor (VWF) affinity. The post-translational modifications are comparable to endogenous FVIII.</w:t>
      </w:r>
    </w:p>
    <w:p w14:paraId="652CF000" w14:textId="77777777" w:rsidR="00740573" w:rsidRPr="00486178" w:rsidRDefault="004418FD" w:rsidP="008467D4">
      <w:pPr>
        <w:pStyle w:val="DocumentText"/>
      </w:pPr>
      <w:r w:rsidRPr="004418FD">
        <w:t>AFSTYLA</w:t>
      </w:r>
      <w:r w:rsidRPr="008467D4">
        <w:rPr>
          <w:vertAlign w:val="superscript"/>
        </w:rPr>
        <w:t>®</w:t>
      </w:r>
      <w:r w:rsidR="00740573" w:rsidRPr="00486178">
        <w:t xml:space="preserve"> is purified by a controlled multi-step process including two virus reduction steps complementing each other in their mode of action.</w:t>
      </w:r>
    </w:p>
    <w:p w14:paraId="08001635" w14:textId="46E4FA9F" w:rsidR="001766AA" w:rsidRDefault="00740573" w:rsidP="00DE0DA5">
      <w:pPr>
        <w:pStyle w:val="DocumentText"/>
      </w:pPr>
      <w:r>
        <w:t>No human or animal</w:t>
      </w:r>
      <w:r w:rsidR="0013221D">
        <w:t xml:space="preserve"> derived</w:t>
      </w:r>
      <w:r>
        <w:t xml:space="preserve"> proteins are </w:t>
      </w:r>
      <w:r w:rsidR="00956E16">
        <w:t xml:space="preserve">used in the purification or </w:t>
      </w:r>
      <w:r>
        <w:t xml:space="preserve">formulation </w:t>
      </w:r>
      <w:r w:rsidR="00956E16">
        <w:t xml:space="preserve">processes </w:t>
      </w:r>
      <w:r>
        <w:t>of</w:t>
      </w:r>
      <w:r w:rsidRPr="00151E18">
        <w:t xml:space="preserve"> </w:t>
      </w:r>
      <w:r w:rsidR="004418FD">
        <w:t>AFSTYLA</w:t>
      </w:r>
      <w:r w:rsidRPr="00151E18">
        <w:rPr>
          <w:vertAlign w:val="superscript"/>
        </w:rPr>
        <w:t>®</w:t>
      </w:r>
      <w:r>
        <w:t>.</w:t>
      </w:r>
    </w:p>
    <w:p w14:paraId="06609971" w14:textId="067EBDFD" w:rsidR="00DE0DA5" w:rsidRDefault="00DE0DA5" w:rsidP="00DE0DA5">
      <w:pPr>
        <w:pStyle w:val="DocumentText"/>
      </w:pPr>
      <w:r w:rsidRPr="00DE0DA5">
        <w:t>The potency</w:t>
      </w:r>
      <w:r w:rsidR="002F7DC2">
        <w:t xml:space="preserve"> in International Units</w:t>
      </w:r>
      <w:r w:rsidRPr="00DE0DA5">
        <w:t xml:space="preserve"> (IU) is determined using the European Pharmacopoeia chromogenic assay</w:t>
      </w:r>
      <w:r w:rsidR="00740573">
        <w:t xml:space="preserve"> </w:t>
      </w:r>
      <w:r w:rsidR="00740573" w:rsidRPr="0076421B">
        <w:t xml:space="preserve">calibrated against the </w:t>
      </w:r>
      <w:r w:rsidR="00956E16">
        <w:t xml:space="preserve">current </w:t>
      </w:r>
      <w:r w:rsidR="00740573" w:rsidRPr="0076421B">
        <w:t>World Health Organi</w:t>
      </w:r>
      <w:r w:rsidR="00740573">
        <w:t>s</w:t>
      </w:r>
      <w:r w:rsidR="00740573" w:rsidRPr="0076421B">
        <w:t xml:space="preserve">ation (WHO) International Standard for </w:t>
      </w:r>
      <w:r w:rsidR="00740573">
        <w:t>F</w:t>
      </w:r>
      <w:r w:rsidR="004418FD">
        <w:t>VII</w:t>
      </w:r>
      <w:r w:rsidR="00740573" w:rsidRPr="0076421B">
        <w:t>I</w:t>
      </w:r>
      <w:r w:rsidR="00740573">
        <w:t xml:space="preserve"> concentrate</w:t>
      </w:r>
      <w:r w:rsidRPr="00DE0DA5">
        <w:t xml:space="preserve">. The specific activity of </w:t>
      </w:r>
      <w:r w:rsidR="00492FC8">
        <w:t>AFSTYLA</w:t>
      </w:r>
      <w:r w:rsidR="00492FC8">
        <w:rPr>
          <w:vertAlign w:val="superscript"/>
        </w:rPr>
        <w:t>®</w:t>
      </w:r>
      <w:r w:rsidRPr="00DE0DA5">
        <w:t xml:space="preserve"> is </w:t>
      </w:r>
      <w:r w:rsidR="00227A27">
        <w:t>7400</w:t>
      </w:r>
      <w:r w:rsidR="00362686">
        <w:t>–</w:t>
      </w:r>
      <w:r w:rsidR="00227A27">
        <w:t>16000</w:t>
      </w:r>
      <w:r w:rsidR="00227A27" w:rsidRPr="00DE0DA5">
        <w:t xml:space="preserve"> </w:t>
      </w:r>
      <w:r w:rsidRPr="00DE0DA5">
        <w:t>IU/mg protein.</w:t>
      </w:r>
    </w:p>
    <w:p w14:paraId="42EB41A4" w14:textId="41E1D654" w:rsidR="00740573" w:rsidRPr="005F2088" w:rsidRDefault="004418FD" w:rsidP="00740573">
      <w:pPr>
        <w:pStyle w:val="DocumentText"/>
      </w:pPr>
      <w:r>
        <w:t>AFSTYLA</w:t>
      </w:r>
      <w:r w:rsidR="00740573" w:rsidRPr="005F2088">
        <w:rPr>
          <w:vertAlign w:val="superscript"/>
        </w:rPr>
        <w:t>®</w:t>
      </w:r>
      <w:r w:rsidR="00740573" w:rsidRPr="005F2088">
        <w:t xml:space="preserve"> is a preservative free, sterile, non-pyrogenic, </w:t>
      </w:r>
      <w:proofErr w:type="spellStart"/>
      <w:r w:rsidR="00740573" w:rsidRPr="005F2088">
        <w:t>lyophili</w:t>
      </w:r>
      <w:r w:rsidR="00740573">
        <w:t>s</w:t>
      </w:r>
      <w:r w:rsidR="00740573" w:rsidRPr="005F2088">
        <w:t>ed</w:t>
      </w:r>
      <w:proofErr w:type="spellEnd"/>
      <w:r w:rsidR="00740573" w:rsidRPr="005F2088">
        <w:t xml:space="preserve"> powder to be reconstituted with </w:t>
      </w:r>
      <w:r w:rsidR="00B713F0">
        <w:t>W</w:t>
      </w:r>
      <w:r w:rsidR="00740573" w:rsidRPr="005F2088">
        <w:t xml:space="preserve">ater for </w:t>
      </w:r>
      <w:r w:rsidR="00B713F0">
        <w:t>I</w:t>
      </w:r>
      <w:r w:rsidR="00740573" w:rsidRPr="005F2088">
        <w:t>njections (WFI) for intravenous injection.</w:t>
      </w:r>
    </w:p>
    <w:p w14:paraId="56421641" w14:textId="3D758F46" w:rsidR="00D36576" w:rsidRDefault="00492FC8" w:rsidP="00D36576">
      <w:pPr>
        <w:pStyle w:val="DocumentText"/>
      </w:pPr>
      <w:r>
        <w:lastRenderedPageBreak/>
        <w:t>AFSTYLA</w:t>
      </w:r>
      <w:r>
        <w:rPr>
          <w:vertAlign w:val="superscript"/>
        </w:rPr>
        <w:t>®</w:t>
      </w:r>
      <w:r w:rsidR="00D36576">
        <w:t xml:space="preserve"> is a white or slightly yellow powder or friable mass. The solvent (WFI) is a clear </w:t>
      </w:r>
      <w:proofErr w:type="spellStart"/>
      <w:r w:rsidR="00D36576">
        <w:t>colourless</w:t>
      </w:r>
      <w:proofErr w:type="spellEnd"/>
      <w:r w:rsidR="00D36576">
        <w:t xml:space="preserve"> solution for reconstitution. One vial </w:t>
      </w:r>
      <w:r w:rsidR="0093225A">
        <w:t xml:space="preserve">of </w:t>
      </w:r>
      <w:r>
        <w:t>AFSTYLA</w:t>
      </w:r>
      <w:r>
        <w:rPr>
          <w:vertAlign w:val="superscript"/>
        </w:rPr>
        <w:t>®</w:t>
      </w:r>
      <w:r w:rsidR="00D36576">
        <w:t xml:space="preserve"> contains nominally 250</w:t>
      </w:r>
      <w:r w:rsidR="009650A0">
        <w:t>/</w:t>
      </w:r>
      <w:r w:rsidR="00D36576">
        <w:t>500/1000/</w:t>
      </w:r>
      <w:r w:rsidR="009650A0">
        <w:t>1500/</w:t>
      </w:r>
      <w:r w:rsidR="00D36576">
        <w:t>2000/</w:t>
      </w:r>
      <w:r w:rsidR="009650A0">
        <w:t>2500/</w:t>
      </w:r>
      <w:r w:rsidR="00D36576">
        <w:t xml:space="preserve">3000 IU recombinant, single chain coagulation </w:t>
      </w:r>
      <w:r w:rsidR="00DA433A">
        <w:t>F</w:t>
      </w:r>
      <w:r w:rsidR="00D36576">
        <w:t>VIII (rVIII-SingleChain, lonoctocog alfa).</w:t>
      </w:r>
    </w:p>
    <w:p w14:paraId="405CA81C" w14:textId="6A42166E" w:rsidR="00740573" w:rsidRDefault="00740573" w:rsidP="00740573">
      <w:pPr>
        <w:pStyle w:val="DocumentText"/>
      </w:pPr>
      <w:r w:rsidRPr="0076421B">
        <w:t>After reconstitution with 2.5 </w:t>
      </w:r>
      <w:r>
        <w:t>mL</w:t>
      </w:r>
      <w:r w:rsidRPr="0076421B">
        <w:t xml:space="preserve"> </w:t>
      </w:r>
      <w:r w:rsidR="00B713F0">
        <w:t>W</w:t>
      </w:r>
      <w:r w:rsidRPr="0076421B">
        <w:t xml:space="preserve">ater for </w:t>
      </w:r>
      <w:r w:rsidR="00B713F0">
        <w:t>I</w:t>
      </w:r>
      <w:r w:rsidRPr="0076421B">
        <w:t>njections (250</w:t>
      </w:r>
      <w:r w:rsidR="00A763E7">
        <w:t>/</w:t>
      </w:r>
      <w:r w:rsidRPr="0076421B">
        <w:t>500/1000 IU) the solution contains 100</w:t>
      </w:r>
      <w:r w:rsidR="00A763E7">
        <w:t>/</w:t>
      </w:r>
      <w:r w:rsidRPr="0076421B">
        <w:t>200/400 IU/</w:t>
      </w:r>
      <w:r>
        <w:t>mL</w:t>
      </w:r>
      <w:r w:rsidRPr="0076421B">
        <w:t xml:space="preserve"> of </w:t>
      </w:r>
      <w:r w:rsidR="005E4AD7">
        <w:t>lonocto</w:t>
      </w:r>
      <w:r w:rsidRPr="0076421B">
        <w:t>cog alfa. When reconstituted with 5 </w:t>
      </w:r>
      <w:r>
        <w:t>mL</w:t>
      </w:r>
      <w:r w:rsidRPr="0076421B">
        <w:t xml:space="preserve"> </w:t>
      </w:r>
      <w:r w:rsidR="00B713F0">
        <w:t>W</w:t>
      </w:r>
      <w:r w:rsidRPr="0076421B">
        <w:t xml:space="preserve">ater for </w:t>
      </w:r>
      <w:r w:rsidR="00B713F0">
        <w:t>I</w:t>
      </w:r>
      <w:r w:rsidRPr="0076421B">
        <w:t>njections (</w:t>
      </w:r>
      <w:r w:rsidR="00A763E7">
        <w:t>1500/</w:t>
      </w:r>
      <w:r w:rsidRPr="0076421B">
        <w:t>2000</w:t>
      </w:r>
      <w:r w:rsidR="005E4AD7">
        <w:t>/</w:t>
      </w:r>
      <w:r w:rsidR="00A763E7">
        <w:t>2500/</w:t>
      </w:r>
      <w:r w:rsidR="005E4AD7">
        <w:t>3000</w:t>
      </w:r>
      <w:r w:rsidRPr="0076421B">
        <w:t xml:space="preserve"> IU) the solution contains </w:t>
      </w:r>
      <w:r w:rsidR="00A763E7">
        <w:t>300/</w:t>
      </w:r>
      <w:r w:rsidRPr="0076421B">
        <w:t>400</w:t>
      </w:r>
      <w:r w:rsidR="005E4AD7">
        <w:t>/</w:t>
      </w:r>
      <w:r w:rsidR="00A763E7">
        <w:t>500/</w:t>
      </w:r>
      <w:r w:rsidR="005E4AD7">
        <w:t>600</w:t>
      </w:r>
      <w:r w:rsidRPr="0076421B">
        <w:t> IU/</w:t>
      </w:r>
      <w:r>
        <w:t>mL</w:t>
      </w:r>
      <w:r w:rsidRPr="0076421B">
        <w:t xml:space="preserve"> of </w:t>
      </w:r>
      <w:r w:rsidR="005E4AD7" w:rsidRPr="005E4AD7">
        <w:t>lonoctocog</w:t>
      </w:r>
      <w:r w:rsidRPr="0076421B">
        <w:t xml:space="preserve"> alfa</w:t>
      </w:r>
      <w:r>
        <w:t>.</w:t>
      </w:r>
    </w:p>
    <w:p w14:paraId="42B9A0D4" w14:textId="77777777" w:rsidR="000F769C" w:rsidRPr="00FD286B" w:rsidRDefault="000F769C" w:rsidP="000F769C">
      <w:pPr>
        <w:pStyle w:val="Caption"/>
        <w:ind w:left="0" w:firstLine="0"/>
      </w:pPr>
      <w:r w:rsidRPr="00FD286B">
        <w:t xml:space="preserve">Table 1: </w:t>
      </w:r>
      <w:r>
        <w:t>AFSTYLA</w:t>
      </w:r>
      <w:r w:rsidRPr="00151E18">
        <w:rPr>
          <w:vertAlign w:val="superscript"/>
        </w:rPr>
        <w:t>®</w:t>
      </w:r>
      <w:r w:rsidRPr="00151E18">
        <w:t xml:space="preserve"> </w:t>
      </w:r>
      <w:r>
        <w:t>c</w:t>
      </w:r>
      <w:r w:rsidRPr="00FD286B">
        <w:t>omposition</w:t>
      </w:r>
      <w:r>
        <w:t xml:space="preserve"> after reconstitution*</w:t>
      </w:r>
    </w:p>
    <w:tbl>
      <w:tblPr>
        <w:tblW w:w="8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79"/>
        <w:gridCol w:w="779"/>
        <w:gridCol w:w="780"/>
        <w:gridCol w:w="780"/>
        <w:gridCol w:w="779"/>
        <w:gridCol w:w="780"/>
        <w:gridCol w:w="780"/>
      </w:tblGrid>
      <w:tr w:rsidR="007C4B9F" w:rsidRPr="00866DA1" w14:paraId="17D1DF75" w14:textId="77777777" w:rsidTr="007C4B9F">
        <w:trPr>
          <w:cantSplit/>
        </w:trPr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65BAB39" w14:textId="77777777" w:rsidR="007C4B9F" w:rsidRPr="00866DA1" w:rsidRDefault="007C4B9F" w:rsidP="000F769C">
            <w:pPr>
              <w:pStyle w:val="TableCellHeading10pt"/>
              <w:jc w:val="left"/>
              <w:rPr>
                <w:szCs w:val="20"/>
                <w:lang w:val="en-AU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pct15" w:color="auto" w:fill="auto"/>
          </w:tcPr>
          <w:p w14:paraId="65C48B1D" w14:textId="77777777" w:rsidR="007C4B9F" w:rsidRDefault="007C4B9F" w:rsidP="000F769C">
            <w:pPr>
              <w:pStyle w:val="TableCellHeading10pt"/>
              <w:rPr>
                <w:szCs w:val="20"/>
                <w:lang w:val="en-AU"/>
              </w:rPr>
            </w:pPr>
            <w:r w:rsidRPr="00866DA1">
              <w:rPr>
                <w:szCs w:val="20"/>
                <w:lang w:val="en-AU"/>
              </w:rPr>
              <w:t>250</w:t>
            </w:r>
          </w:p>
          <w:p w14:paraId="4019B678" w14:textId="77777777" w:rsidR="007C4B9F" w:rsidRPr="00866DA1" w:rsidRDefault="007C4B9F" w:rsidP="000F769C">
            <w:pPr>
              <w:pStyle w:val="TableCellHeading10pt"/>
              <w:rPr>
                <w:szCs w:val="20"/>
                <w:lang w:val="en-AU"/>
              </w:rPr>
            </w:pPr>
            <w:r w:rsidRPr="00866DA1">
              <w:rPr>
                <w:szCs w:val="20"/>
                <w:lang w:val="en-AU"/>
              </w:rPr>
              <w:t>IU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pct15" w:color="auto" w:fill="auto"/>
          </w:tcPr>
          <w:p w14:paraId="3BA60044" w14:textId="77777777" w:rsidR="007C4B9F" w:rsidRDefault="007C4B9F" w:rsidP="000F769C">
            <w:pPr>
              <w:pStyle w:val="TableCellHeading10pt"/>
              <w:rPr>
                <w:szCs w:val="20"/>
                <w:lang w:val="en-AU"/>
              </w:rPr>
            </w:pPr>
            <w:r w:rsidRPr="00866DA1">
              <w:rPr>
                <w:szCs w:val="20"/>
                <w:lang w:val="en-AU"/>
              </w:rPr>
              <w:t>500</w:t>
            </w:r>
          </w:p>
          <w:p w14:paraId="6A64F32A" w14:textId="77777777" w:rsidR="007C4B9F" w:rsidRPr="00866DA1" w:rsidRDefault="007C4B9F" w:rsidP="000F769C">
            <w:pPr>
              <w:pStyle w:val="TableCellHeading10pt"/>
              <w:rPr>
                <w:szCs w:val="20"/>
                <w:lang w:val="en-AU"/>
              </w:rPr>
            </w:pPr>
            <w:r w:rsidRPr="00866DA1">
              <w:rPr>
                <w:szCs w:val="20"/>
                <w:lang w:val="en-AU"/>
              </w:rPr>
              <w:t>IU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pct15" w:color="auto" w:fill="auto"/>
          </w:tcPr>
          <w:p w14:paraId="3DD17085" w14:textId="77777777" w:rsidR="007C4B9F" w:rsidRDefault="007C4B9F" w:rsidP="000F769C">
            <w:pPr>
              <w:pStyle w:val="TableCellHeading10pt"/>
              <w:rPr>
                <w:szCs w:val="20"/>
                <w:lang w:val="en-AU"/>
              </w:rPr>
            </w:pPr>
            <w:r w:rsidRPr="00866DA1">
              <w:rPr>
                <w:szCs w:val="20"/>
                <w:lang w:val="en-AU"/>
              </w:rPr>
              <w:t>1000</w:t>
            </w:r>
          </w:p>
          <w:p w14:paraId="26D66520" w14:textId="77777777" w:rsidR="007C4B9F" w:rsidRPr="00866DA1" w:rsidRDefault="007C4B9F" w:rsidP="000F769C">
            <w:pPr>
              <w:pStyle w:val="TableCellHeading10pt"/>
              <w:rPr>
                <w:szCs w:val="20"/>
                <w:lang w:val="en-AU"/>
              </w:rPr>
            </w:pPr>
            <w:r w:rsidRPr="00866DA1">
              <w:rPr>
                <w:szCs w:val="20"/>
                <w:lang w:val="en-AU"/>
              </w:rPr>
              <w:t>IU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pct15" w:color="auto" w:fill="auto"/>
          </w:tcPr>
          <w:p w14:paraId="09F2490E" w14:textId="77777777" w:rsidR="007C4B9F" w:rsidRDefault="007C4B9F" w:rsidP="000F769C">
            <w:pPr>
              <w:pStyle w:val="TableCellHeading10pt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1500</w:t>
            </w:r>
          </w:p>
          <w:p w14:paraId="2EE95C0E" w14:textId="77777777" w:rsidR="007C4B9F" w:rsidRPr="00866DA1" w:rsidRDefault="007C4B9F" w:rsidP="000F769C">
            <w:pPr>
              <w:pStyle w:val="TableCellHeading10pt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IU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pct15" w:color="auto" w:fill="auto"/>
          </w:tcPr>
          <w:p w14:paraId="497D40E1" w14:textId="77777777" w:rsidR="007C4B9F" w:rsidRDefault="007C4B9F" w:rsidP="000F769C">
            <w:pPr>
              <w:pStyle w:val="TableCellHeading10pt"/>
              <w:rPr>
                <w:szCs w:val="20"/>
                <w:lang w:val="en-AU"/>
              </w:rPr>
            </w:pPr>
            <w:r w:rsidRPr="00866DA1">
              <w:rPr>
                <w:szCs w:val="20"/>
                <w:lang w:val="en-AU"/>
              </w:rPr>
              <w:t>2000</w:t>
            </w:r>
          </w:p>
          <w:p w14:paraId="652ECFA1" w14:textId="77777777" w:rsidR="007C4B9F" w:rsidRPr="00866DA1" w:rsidRDefault="007C4B9F" w:rsidP="000F769C">
            <w:pPr>
              <w:pStyle w:val="TableCellHeading10pt"/>
              <w:rPr>
                <w:szCs w:val="20"/>
                <w:lang w:val="en-AU"/>
              </w:rPr>
            </w:pPr>
            <w:r w:rsidRPr="00866DA1">
              <w:rPr>
                <w:szCs w:val="20"/>
                <w:lang w:val="en-AU"/>
              </w:rPr>
              <w:t>IU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pct15" w:color="auto" w:fill="auto"/>
          </w:tcPr>
          <w:p w14:paraId="4FE02FCD" w14:textId="77777777" w:rsidR="007C4B9F" w:rsidRDefault="007C4B9F" w:rsidP="000F769C">
            <w:pPr>
              <w:pStyle w:val="TableCellHeading10pt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2500</w:t>
            </w:r>
          </w:p>
          <w:p w14:paraId="66969CEB" w14:textId="77777777" w:rsidR="007C4B9F" w:rsidRPr="00866DA1" w:rsidRDefault="007C4B9F" w:rsidP="000F769C">
            <w:pPr>
              <w:pStyle w:val="TableCellHeading10pt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IU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pct15" w:color="auto" w:fill="auto"/>
          </w:tcPr>
          <w:p w14:paraId="3B0ECE38" w14:textId="77777777" w:rsidR="007C4B9F" w:rsidRDefault="007C4B9F" w:rsidP="000F769C">
            <w:pPr>
              <w:pStyle w:val="TableCellHeading10pt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3</w:t>
            </w:r>
            <w:r w:rsidRPr="00866DA1">
              <w:rPr>
                <w:szCs w:val="20"/>
                <w:lang w:val="en-AU"/>
              </w:rPr>
              <w:t>000</w:t>
            </w:r>
          </w:p>
          <w:p w14:paraId="420A14EF" w14:textId="77777777" w:rsidR="007C4B9F" w:rsidRPr="00866DA1" w:rsidRDefault="007C4B9F" w:rsidP="000F769C">
            <w:pPr>
              <w:pStyle w:val="TableCellHeading10pt"/>
              <w:rPr>
                <w:szCs w:val="20"/>
                <w:lang w:val="en-AU"/>
              </w:rPr>
            </w:pPr>
            <w:r w:rsidRPr="00866DA1">
              <w:rPr>
                <w:szCs w:val="20"/>
                <w:lang w:val="en-AU"/>
              </w:rPr>
              <w:t>IU</w:t>
            </w:r>
          </w:p>
        </w:tc>
      </w:tr>
      <w:tr w:rsidR="00A23A08" w:rsidRPr="00866DA1" w14:paraId="556198DA" w14:textId="77777777" w:rsidTr="00DC3564">
        <w:trPr>
          <w:cantSplit/>
        </w:trPr>
        <w:tc>
          <w:tcPr>
            <w:tcW w:w="8151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D59FD6" w14:textId="32A446F7" w:rsidR="00A23A08" w:rsidRDefault="00A23A08" w:rsidP="00A23A08">
            <w:pPr>
              <w:pStyle w:val="TableCellHeading10pt"/>
              <w:jc w:val="left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Active ingredient (IU/mL)</w:t>
            </w:r>
          </w:p>
        </w:tc>
      </w:tr>
      <w:tr w:rsidR="007C4B9F" w:rsidRPr="00866DA1" w14:paraId="0F1CCA78" w14:textId="77777777" w:rsidTr="007C4B9F">
        <w:trPr>
          <w:cantSplit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61BC2" w14:textId="77777777" w:rsidR="007C4B9F" w:rsidRPr="00866DA1" w:rsidRDefault="007C4B9F" w:rsidP="000F769C">
            <w:pPr>
              <w:pStyle w:val="TableCellText10pt"/>
              <w:rPr>
                <w:szCs w:val="20"/>
                <w:lang w:val="en-AU"/>
              </w:rPr>
            </w:pPr>
            <w:r w:rsidRPr="00866DA1">
              <w:rPr>
                <w:szCs w:val="20"/>
                <w:lang w:val="en-AU"/>
              </w:rPr>
              <w:t xml:space="preserve">Factor </w:t>
            </w:r>
            <w:r>
              <w:rPr>
                <w:szCs w:val="20"/>
                <w:lang w:val="en-AU"/>
              </w:rPr>
              <w:t>VII</w:t>
            </w:r>
            <w:r w:rsidRPr="00866DA1">
              <w:rPr>
                <w:szCs w:val="20"/>
                <w:lang w:val="en-AU"/>
              </w:rPr>
              <w:t>I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14:paraId="6273C5A7" w14:textId="77777777" w:rsidR="007C4B9F" w:rsidRPr="00866DA1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100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14:paraId="5C618162" w14:textId="77777777" w:rsidR="007C4B9F" w:rsidRPr="00866DA1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200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14:paraId="23AD682A" w14:textId="77777777" w:rsidR="007C4B9F" w:rsidRPr="00866DA1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400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14:paraId="4E81EBBF" w14:textId="77777777" w:rsidR="007C4B9F" w:rsidRPr="00866DA1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300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14:paraId="693DEC14" w14:textId="77777777" w:rsidR="007C4B9F" w:rsidRPr="00866DA1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400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14:paraId="0796B879" w14:textId="77777777" w:rsidR="007C4B9F" w:rsidRPr="00866DA1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500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14:paraId="3C2FC170" w14:textId="77777777" w:rsidR="007C4B9F" w:rsidRPr="00866DA1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600</w:t>
            </w:r>
          </w:p>
        </w:tc>
      </w:tr>
      <w:tr w:rsidR="00A23A08" w:rsidRPr="00866DA1" w14:paraId="39A29600" w14:textId="77777777" w:rsidTr="00DC3564">
        <w:trPr>
          <w:cantSplit/>
        </w:trPr>
        <w:tc>
          <w:tcPr>
            <w:tcW w:w="8151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A4B2B" w14:textId="7BB5487E" w:rsidR="00A23A08" w:rsidRPr="00A23A08" w:rsidRDefault="00A23A08" w:rsidP="00A23A08">
            <w:pPr>
              <w:pStyle w:val="TableCellText10pt"/>
              <w:rPr>
                <w:b/>
                <w:szCs w:val="20"/>
                <w:lang w:val="en-AU"/>
              </w:rPr>
            </w:pPr>
            <w:r w:rsidRPr="00A23A08">
              <w:rPr>
                <w:b/>
                <w:szCs w:val="20"/>
                <w:lang w:val="en-AU"/>
              </w:rPr>
              <w:t>Excipients (mg/mL)</w:t>
            </w:r>
          </w:p>
        </w:tc>
      </w:tr>
      <w:tr w:rsidR="007C4B9F" w:rsidRPr="00E61F7A" w14:paraId="58E6B6B1" w14:textId="77777777" w:rsidTr="007C4B9F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14:paraId="29292ED8" w14:textId="77777777" w:rsidR="007C4B9F" w:rsidRPr="00E61F7A" w:rsidRDefault="007C4B9F" w:rsidP="000F769C">
            <w:pPr>
              <w:pStyle w:val="TableCellText10pt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L-Histidine</w:t>
            </w:r>
          </w:p>
        </w:tc>
        <w:tc>
          <w:tcPr>
            <w:tcW w:w="779" w:type="dxa"/>
            <w:shd w:val="clear" w:color="auto" w:fill="auto"/>
          </w:tcPr>
          <w:p w14:paraId="2BF6D0CA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3.1</w:t>
            </w:r>
          </w:p>
        </w:tc>
        <w:tc>
          <w:tcPr>
            <w:tcW w:w="779" w:type="dxa"/>
            <w:shd w:val="clear" w:color="auto" w:fill="auto"/>
          </w:tcPr>
          <w:p w14:paraId="483802FB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3.1</w:t>
            </w:r>
          </w:p>
        </w:tc>
        <w:tc>
          <w:tcPr>
            <w:tcW w:w="780" w:type="dxa"/>
            <w:shd w:val="clear" w:color="auto" w:fill="auto"/>
          </w:tcPr>
          <w:p w14:paraId="27D72B41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3.1</w:t>
            </w:r>
          </w:p>
        </w:tc>
        <w:tc>
          <w:tcPr>
            <w:tcW w:w="780" w:type="dxa"/>
            <w:shd w:val="clear" w:color="auto" w:fill="auto"/>
          </w:tcPr>
          <w:p w14:paraId="04A32ED0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3.1</w:t>
            </w:r>
          </w:p>
        </w:tc>
        <w:tc>
          <w:tcPr>
            <w:tcW w:w="779" w:type="dxa"/>
            <w:shd w:val="clear" w:color="auto" w:fill="auto"/>
          </w:tcPr>
          <w:p w14:paraId="03479F02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3.1</w:t>
            </w:r>
          </w:p>
        </w:tc>
        <w:tc>
          <w:tcPr>
            <w:tcW w:w="780" w:type="dxa"/>
            <w:shd w:val="clear" w:color="auto" w:fill="auto"/>
          </w:tcPr>
          <w:p w14:paraId="6DABC11A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3.1</w:t>
            </w:r>
          </w:p>
        </w:tc>
        <w:tc>
          <w:tcPr>
            <w:tcW w:w="780" w:type="dxa"/>
            <w:shd w:val="clear" w:color="auto" w:fill="auto"/>
          </w:tcPr>
          <w:p w14:paraId="711BF72F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3.1</w:t>
            </w:r>
          </w:p>
        </w:tc>
      </w:tr>
      <w:tr w:rsidR="007C4B9F" w:rsidRPr="00E61F7A" w14:paraId="26CB7E28" w14:textId="77777777" w:rsidTr="007C4B9F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14:paraId="25FB7E71" w14:textId="77777777" w:rsidR="007C4B9F" w:rsidRPr="00E61F7A" w:rsidRDefault="007C4B9F" w:rsidP="000F769C">
            <w:pPr>
              <w:pStyle w:val="TableCellText10pt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Polysorbate 80</w:t>
            </w:r>
          </w:p>
        </w:tc>
        <w:tc>
          <w:tcPr>
            <w:tcW w:w="779" w:type="dxa"/>
            <w:shd w:val="clear" w:color="auto" w:fill="auto"/>
          </w:tcPr>
          <w:p w14:paraId="3C2E7C3C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0.2</w:t>
            </w:r>
          </w:p>
        </w:tc>
        <w:tc>
          <w:tcPr>
            <w:tcW w:w="779" w:type="dxa"/>
            <w:shd w:val="clear" w:color="auto" w:fill="auto"/>
          </w:tcPr>
          <w:p w14:paraId="4380131D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0.2</w:t>
            </w:r>
          </w:p>
        </w:tc>
        <w:tc>
          <w:tcPr>
            <w:tcW w:w="780" w:type="dxa"/>
            <w:shd w:val="clear" w:color="auto" w:fill="auto"/>
          </w:tcPr>
          <w:p w14:paraId="236A2391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0.2</w:t>
            </w:r>
          </w:p>
        </w:tc>
        <w:tc>
          <w:tcPr>
            <w:tcW w:w="780" w:type="dxa"/>
            <w:shd w:val="clear" w:color="auto" w:fill="auto"/>
          </w:tcPr>
          <w:p w14:paraId="39E337F6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0.2</w:t>
            </w:r>
          </w:p>
        </w:tc>
        <w:tc>
          <w:tcPr>
            <w:tcW w:w="779" w:type="dxa"/>
            <w:shd w:val="clear" w:color="auto" w:fill="auto"/>
          </w:tcPr>
          <w:p w14:paraId="5CE69A61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0.2</w:t>
            </w:r>
          </w:p>
        </w:tc>
        <w:tc>
          <w:tcPr>
            <w:tcW w:w="780" w:type="dxa"/>
            <w:shd w:val="clear" w:color="auto" w:fill="auto"/>
          </w:tcPr>
          <w:p w14:paraId="15BD560E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0.2</w:t>
            </w:r>
          </w:p>
        </w:tc>
        <w:tc>
          <w:tcPr>
            <w:tcW w:w="780" w:type="dxa"/>
            <w:shd w:val="clear" w:color="auto" w:fill="auto"/>
          </w:tcPr>
          <w:p w14:paraId="1B9B1042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0.2</w:t>
            </w:r>
          </w:p>
        </w:tc>
      </w:tr>
      <w:tr w:rsidR="007C4B9F" w:rsidRPr="00E61F7A" w14:paraId="1301CE4E" w14:textId="77777777" w:rsidTr="007C4B9F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14:paraId="67B397A0" w14:textId="2223412E" w:rsidR="007C4B9F" w:rsidRPr="00E61F7A" w:rsidRDefault="007C4B9F" w:rsidP="004B0756">
            <w:pPr>
              <w:pStyle w:val="TableCellText10pt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 xml:space="preserve">Calcium chloride </w:t>
            </w:r>
          </w:p>
        </w:tc>
        <w:tc>
          <w:tcPr>
            <w:tcW w:w="779" w:type="dxa"/>
            <w:shd w:val="clear" w:color="auto" w:fill="auto"/>
          </w:tcPr>
          <w:p w14:paraId="6FCCBFD2" w14:textId="52831EB5" w:rsidR="007C4B9F" w:rsidRPr="00E61F7A" w:rsidRDefault="007C4B9F" w:rsidP="00E74187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0.4</w:t>
            </w:r>
          </w:p>
        </w:tc>
        <w:tc>
          <w:tcPr>
            <w:tcW w:w="779" w:type="dxa"/>
            <w:shd w:val="clear" w:color="auto" w:fill="auto"/>
          </w:tcPr>
          <w:p w14:paraId="03E25949" w14:textId="0B2BFC78" w:rsidR="007C4B9F" w:rsidRPr="00E61F7A" w:rsidRDefault="007C4B9F" w:rsidP="00E74187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0.4</w:t>
            </w:r>
          </w:p>
        </w:tc>
        <w:tc>
          <w:tcPr>
            <w:tcW w:w="780" w:type="dxa"/>
            <w:shd w:val="clear" w:color="auto" w:fill="auto"/>
          </w:tcPr>
          <w:p w14:paraId="1D87FBEB" w14:textId="436B2E3D" w:rsidR="007C4B9F" w:rsidRPr="00E61F7A" w:rsidRDefault="007C4B9F" w:rsidP="00E74187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0.4</w:t>
            </w:r>
          </w:p>
        </w:tc>
        <w:tc>
          <w:tcPr>
            <w:tcW w:w="780" w:type="dxa"/>
            <w:shd w:val="clear" w:color="auto" w:fill="auto"/>
          </w:tcPr>
          <w:p w14:paraId="04D83B45" w14:textId="1A61F893" w:rsidR="007C4B9F" w:rsidRPr="00E61F7A" w:rsidRDefault="007C4B9F" w:rsidP="00E74187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0.4</w:t>
            </w:r>
          </w:p>
        </w:tc>
        <w:tc>
          <w:tcPr>
            <w:tcW w:w="779" w:type="dxa"/>
            <w:shd w:val="clear" w:color="auto" w:fill="auto"/>
          </w:tcPr>
          <w:p w14:paraId="766671D2" w14:textId="3620543A" w:rsidR="007C4B9F" w:rsidRPr="00E61F7A" w:rsidRDefault="007C4B9F" w:rsidP="00E74187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0.4</w:t>
            </w:r>
          </w:p>
        </w:tc>
        <w:tc>
          <w:tcPr>
            <w:tcW w:w="780" w:type="dxa"/>
            <w:shd w:val="clear" w:color="auto" w:fill="auto"/>
          </w:tcPr>
          <w:p w14:paraId="5329887D" w14:textId="2C696364" w:rsidR="007C4B9F" w:rsidRPr="00E61F7A" w:rsidRDefault="007C4B9F" w:rsidP="00E74187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0.4</w:t>
            </w:r>
          </w:p>
        </w:tc>
        <w:tc>
          <w:tcPr>
            <w:tcW w:w="780" w:type="dxa"/>
            <w:shd w:val="clear" w:color="auto" w:fill="auto"/>
          </w:tcPr>
          <w:p w14:paraId="7B65FF58" w14:textId="1B013363" w:rsidR="007C4B9F" w:rsidRPr="00E61F7A" w:rsidRDefault="007C4B9F" w:rsidP="00E74187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0.4</w:t>
            </w:r>
          </w:p>
        </w:tc>
      </w:tr>
      <w:tr w:rsidR="007C4B9F" w:rsidRPr="00866DA1" w14:paraId="45EC128F" w14:textId="77777777" w:rsidTr="007C4B9F">
        <w:trPr>
          <w:cantSplit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43910" w14:textId="77777777" w:rsidR="007C4B9F" w:rsidRPr="00E61F7A" w:rsidRDefault="007C4B9F" w:rsidP="000F769C">
            <w:pPr>
              <w:pStyle w:val="TableCellText10pt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Sodium chloride</w:t>
            </w:r>
          </w:p>
        </w:tc>
        <w:tc>
          <w:tcPr>
            <w:tcW w:w="779" w:type="dxa"/>
            <w:shd w:val="clear" w:color="auto" w:fill="auto"/>
          </w:tcPr>
          <w:p w14:paraId="051DF388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16.4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14:paraId="4D71BAA2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16.4</w:t>
            </w:r>
          </w:p>
        </w:tc>
        <w:tc>
          <w:tcPr>
            <w:tcW w:w="780" w:type="dxa"/>
            <w:shd w:val="clear" w:color="auto" w:fill="auto"/>
          </w:tcPr>
          <w:p w14:paraId="1F11C7D3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16.4</w:t>
            </w:r>
          </w:p>
        </w:tc>
        <w:tc>
          <w:tcPr>
            <w:tcW w:w="780" w:type="dxa"/>
            <w:shd w:val="clear" w:color="auto" w:fill="auto"/>
          </w:tcPr>
          <w:p w14:paraId="082B9D82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16.4</w:t>
            </w:r>
          </w:p>
        </w:tc>
        <w:tc>
          <w:tcPr>
            <w:tcW w:w="779" w:type="dxa"/>
            <w:shd w:val="clear" w:color="auto" w:fill="auto"/>
          </w:tcPr>
          <w:p w14:paraId="0C462C04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16.4</w:t>
            </w:r>
          </w:p>
        </w:tc>
        <w:tc>
          <w:tcPr>
            <w:tcW w:w="780" w:type="dxa"/>
            <w:shd w:val="clear" w:color="auto" w:fill="auto"/>
          </w:tcPr>
          <w:p w14:paraId="7B135A3C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16.4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14:paraId="3079A643" w14:textId="77777777" w:rsidR="007C4B9F" w:rsidRPr="00E61F7A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16.4</w:t>
            </w:r>
          </w:p>
        </w:tc>
      </w:tr>
      <w:tr w:rsidR="007C4B9F" w:rsidRPr="00866DA1" w14:paraId="501D2150" w14:textId="77777777" w:rsidTr="007C4B9F">
        <w:trPr>
          <w:cantSplit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0D6F6" w14:textId="77777777" w:rsidR="007C4B9F" w:rsidRDefault="007C4B9F" w:rsidP="000F769C">
            <w:pPr>
              <w:pStyle w:val="TableCellText10pt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Sucrose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14:paraId="2B935B22" w14:textId="77777777" w:rsidR="007C4B9F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6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14:paraId="7DF6C288" w14:textId="77777777" w:rsidR="007C4B9F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6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14:paraId="7E91E712" w14:textId="77777777" w:rsidR="007C4B9F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6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14:paraId="3E5A8D8F" w14:textId="77777777" w:rsidR="007C4B9F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6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14:paraId="32F56FB5" w14:textId="77777777" w:rsidR="007C4B9F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6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14:paraId="0CCB348B" w14:textId="77777777" w:rsidR="007C4B9F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6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14:paraId="6AAB7E67" w14:textId="77777777" w:rsidR="007C4B9F" w:rsidRDefault="007C4B9F" w:rsidP="000F769C">
            <w:pPr>
              <w:pStyle w:val="TableCellText10pt"/>
              <w:jc w:val="center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6</w:t>
            </w:r>
          </w:p>
        </w:tc>
      </w:tr>
      <w:tr w:rsidR="007C4B9F" w:rsidRPr="00866DA1" w14:paraId="60D76747" w14:textId="77777777" w:rsidTr="007C4B9F">
        <w:trPr>
          <w:cantSplit/>
        </w:trPr>
        <w:tc>
          <w:tcPr>
            <w:tcW w:w="2694" w:type="dxa"/>
            <w:shd w:val="pct15" w:color="auto" w:fill="auto"/>
            <w:vAlign w:val="center"/>
          </w:tcPr>
          <w:p w14:paraId="0893E97C" w14:textId="77777777" w:rsidR="007C4B9F" w:rsidRPr="00866DA1" w:rsidRDefault="007C4B9F" w:rsidP="000F769C">
            <w:pPr>
              <w:pStyle w:val="TableCellText10pt"/>
              <w:rPr>
                <w:b/>
                <w:szCs w:val="20"/>
                <w:lang w:val="en-AU"/>
              </w:rPr>
            </w:pPr>
            <w:r w:rsidRPr="00866DA1">
              <w:rPr>
                <w:b/>
                <w:szCs w:val="20"/>
                <w:lang w:val="en-AU"/>
              </w:rPr>
              <w:t>Reconstitution volume (mL)</w:t>
            </w:r>
          </w:p>
        </w:tc>
        <w:tc>
          <w:tcPr>
            <w:tcW w:w="779" w:type="dxa"/>
            <w:shd w:val="pct15" w:color="auto" w:fill="auto"/>
          </w:tcPr>
          <w:p w14:paraId="2D70F158" w14:textId="77777777" w:rsidR="007C4B9F" w:rsidRPr="00866DA1" w:rsidRDefault="007C4B9F" w:rsidP="000F769C">
            <w:pPr>
              <w:pStyle w:val="TableCellText10pt"/>
              <w:jc w:val="center"/>
              <w:rPr>
                <w:b/>
                <w:szCs w:val="20"/>
                <w:lang w:val="en-AU"/>
              </w:rPr>
            </w:pPr>
            <w:r>
              <w:rPr>
                <w:b/>
                <w:szCs w:val="20"/>
                <w:lang w:val="en-AU"/>
              </w:rPr>
              <w:t>2.5</w:t>
            </w:r>
          </w:p>
        </w:tc>
        <w:tc>
          <w:tcPr>
            <w:tcW w:w="779" w:type="dxa"/>
            <w:shd w:val="pct15" w:color="auto" w:fill="auto"/>
          </w:tcPr>
          <w:p w14:paraId="2FDC1183" w14:textId="77777777" w:rsidR="007C4B9F" w:rsidRPr="00866DA1" w:rsidRDefault="007C4B9F" w:rsidP="000F769C">
            <w:pPr>
              <w:pStyle w:val="TableCellText10pt"/>
              <w:jc w:val="center"/>
              <w:rPr>
                <w:b/>
                <w:szCs w:val="20"/>
                <w:lang w:val="en-AU"/>
              </w:rPr>
            </w:pPr>
            <w:r>
              <w:rPr>
                <w:b/>
                <w:szCs w:val="20"/>
                <w:lang w:val="en-AU"/>
              </w:rPr>
              <w:t>2.5</w:t>
            </w:r>
          </w:p>
        </w:tc>
        <w:tc>
          <w:tcPr>
            <w:tcW w:w="780" w:type="dxa"/>
            <w:shd w:val="pct15" w:color="auto" w:fill="auto"/>
          </w:tcPr>
          <w:p w14:paraId="2898898F" w14:textId="77777777" w:rsidR="007C4B9F" w:rsidRPr="00866DA1" w:rsidRDefault="007C4B9F" w:rsidP="000F769C">
            <w:pPr>
              <w:pStyle w:val="TableCellText10pt"/>
              <w:jc w:val="center"/>
              <w:rPr>
                <w:b/>
                <w:szCs w:val="20"/>
                <w:lang w:val="en-AU"/>
              </w:rPr>
            </w:pPr>
            <w:r>
              <w:rPr>
                <w:b/>
                <w:szCs w:val="20"/>
                <w:lang w:val="en-AU"/>
              </w:rPr>
              <w:t>2.5</w:t>
            </w:r>
          </w:p>
        </w:tc>
        <w:tc>
          <w:tcPr>
            <w:tcW w:w="780" w:type="dxa"/>
            <w:shd w:val="pct15" w:color="auto" w:fill="auto"/>
          </w:tcPr>
          <w:p w14:paraId="7EE20AE9" w14:textId="77777777" w:rsidR="007C4B9F" w:rsidRPr="00866DA1" w:rsidRDefault="007C4B9F" w:rsidP="000F769C">
            <w:pPr>
              <w:pStyle w:val="TableCellText10pt"/>
              <w:jc w:val="center"/>
              <w:rPr>
                <w:b/>
                <w:szCs w:val="20"/>
                <w:lang w:val="en-AU"/>
              </w:rPr>
            </w:pPr>
            <w:r>
              <w:rPr>
                <w:b/>
                <w:szCs w:val="20"/>
                <w:lang w:val="en-AU"/>
              </w:rPr>
              <w:t>5</w:t>
            </w:r>
          </w:p>
        </w:tc>
        <w:tc>
          <w:tcPr>
            <w:tcW w:w="779" w:type="dxa"/>
            <w:shd w:val="pct15" w:color="auto" w:fill="auto"/>
          </w:tcPr>
          <w:p w14:paraId="40C9964A" w14:textId="77777777" w:rsidR="007C4B9F" w:rsidRPr="00866DA1" w:rsidRDefault="007C4B9F" w:rsidP="000F769C">
            <w:pPr>
              <w:pStyle w:val="TableCellText10pt"/>
              <w:jc w:val="center"/>
              <w:rPr>
                <w:b/>
                <w:szCs w:val="20"/>
                <w:lang w:val="en-AU"/>
              </w:rPr>
            </w:pPr>
            <w:r>
              <w:rPr>
                <w:b/>
                <w:szCs w:val="20"/>
                <w:lang w:val="en-AU"/>
              </w:rPr>
              <w:t>5</w:t>
            </w:r>
          </w:p>
        </w:tc>
        <w:tc>
          <w:tcPr>
            <w:tcW w:w="780" w:type="dxa"/>
            <w:shd w:val="pct15" w:color="auto" w:fill="auto"/>
          </w:tcPr>
          <w:p w14:paraId="10976249" w14:textId="77777777" w:rsidR="007C4B9F" w:rsidRPr="00866DA1" w:rsidRDefault="007C4B9F" w:rsidP="000F769C">
            <w:pPr>
              <w:pStyle w:val="TableCellText10pt"/>
              <w:jc w:val="center"/>
              <w:rPr>
                <w:b/>
                <w:szCs w:val="20"/>
                <w:lang w:val="en-AU"/>
              </w:rPr>
            </w:pPr>
            <w:r>
              <w:rPr>
                <w:b/>
                <w:szCs w:val="20"/>
                <w:lang w:val="en-AU"/>
              </w:rPr>
              <w:t>5</w:t>
            </w:r>
          </w:p>
        </w:tc>
        <w:tc>
          <w:tcPr>
            <w:tcW w:w="780" w:type="dxa"/>
            <w:shd w:val="pct15" w:color="auto" w:fill="auto"/>
          </w:tcPr>
          <w:p w14:paraId="1AA25659" w14:textId="77777777" w:rsidR="007C4B9F" w:rsidRPr="00866DA1" w:rsidRDefault="007C4B9F" w:rsidP="000F769C">
            <w:pPr>
              <w:pStyle w:val="TableCellText10pt"/>
              <w:jc w:val="center"/>
              <w:rPr>
                <w:b/>
                <w:szCs w:val="20"/>
                <w:lang w:val="en-AU"/>
              </w:rPr>
            </w:pPr>
            <w:r>
              <w:rPr>
                <w:b/>
                <w:szCs w:val="20"/>
                <w:lang w:val="en-AU"/>
              </w:rPr>
              <w:t>5</w:t>
            </w:r>
          </w:p>
        </w:tc>
      </w:tr>
    </w:tbl>
    <w:p w14:paraId="42A1EB8E" w14:textId="77777777" w:rsidR="000F769C" w:rsidRPr="005046EF" w:rsidRDefault="000F769C" w:rsidP="000F769C">
      <w:pPr>
        <w:pStyle w:val="TableFootnote"/>
        <w:spacing w:after="240"/>
        <w:ind w:left="0" w:right="380" w:firstLine="0"/>
      </w:pPr>
      <w:r w:rsidRPr="005046EF">
        <w:t>* Nominal values</w:t>
      </w:r>
    </w:p>
    <w:p w14:paraId="7FA4AAEB" w14:textId="4564F327" w:rsidR="000F769C" w:rsidRDefault="000F769C" w:rsidP="00740573">
      <w:pPr>
        <w:pStyle w:val="DocumentText"/>
      </w:pPr>
      <w:r>
        <w:t xml:space="preserve">The sodium content is approximately </w:t>
      </w:r>
      <w:r w:rsidR="00227A27">
        <w:t>0.23</w:t>
      </w:r>
      <w:r>
        <w:t>–</w:t>
      </w:r>
      <w:r w:rsidR="00227A27">
        <w:t>0.30</w:t>
      </w:r>
      <w:r>
        <w:t xml:space="preserve"> mmol/mL (</w:t>
      </w:r>
      <w:r w:rsidR="00227A27">
        <w:t>5.4–7.0</w:t>
      </w:r>
      <w:r>
        <w:t xml:space="preserve"> mg/mL).</w:t>
      </w:r>
    </w:p>
    <w:p w14:paraId="69FFBBBB" w14:textId="598430EF" w:rsidR="00137C30" w:rsidRPr="00B1677F" w:rsidRDefault="00137C30" w:rsidP="006168BD">
      <w:pPr>
        <w:pStyle w:val="Heading2"/>
        <w:numPr>
          <w:ilvl w:val="0"/>
          <w:numId w:val="0"/>
        </w:numPr>
        <w:spacing w:before="240"/>
        <w:ind w:left="1899" w:hanging="1899"/>
      </w:pPr>
      <w:r w:rsidRPr="00B1677F">
        <w:t>PHARMACOLOGY</w:t>
      </w:r>
    </w:p>
    <w:p w14:paraId="12D1DE70" w14:textId="77777777" w:rsidR="003C74A1" w:rsidRDefault="003C74A1" w:rsidP="00B1677F">
      <w:pPr>
        <w:pStyle w:val="Heading3"/>
        <w:numPr>
          <w:ilvl w:val="0"/>
          <w:numId w:val="0"/>
        </w:numPr>
        <w:ind w:left="2138" w:hanging="2138"/>
      </w:pPr>
      <w:r>
        <w:t>Pharmacodynamics</w:t>
      </w:r>
    </w:p>
    <w:p w14:paraId="184F1893" w14:textId="029C7012" w:rsidR="00740573" w:rsidRDefault="00740573" w:rsidP="00740573">
      <w:pPr>
        <w:pStyle w:val="DocumentText"/>
        <w:keepNext/>
        <w:spacing w:after="120"/>
      </w:pPr>
      <w:r w:rsidRPr="005C1611">
        <w:t>H</w:t>
      </w:r>
      <w:r>
        <w:t>a</w:t>
      </w:r>
      <w:r w:rsidRPr="005C1611">
        <w:t xml:space="preserve">emophilia A is an </w:t>
      </w:r>
      <w:r>
        <w:t>X</w:t>
      </w:r>
      <w:r w:rsidRPr="005C1611">
        <w:t>-linked hereditary disorder of blood coagulation due to decreased</w:t>
      </w:r>
      <w:r>
        <w:t xml:space="preserve"> </w:t>
      </w:r>
      <w:r w:rsidRPr="005C1611">
        <w:t xml:space="preserve">levels of </w:t>
      </w:r>
      <w:r w:rsidR="007665A3">
        <w:t>FV</w:t>
      </w:r>
      <w:r w:rsidRPr="005C1611">
        <w:t>III and results in profuse bleeding into joints, muscles or internal organs,</w:t>
      </w:r>
      <w:r>
        <w:t xml:space="preserve"> </w:t>
      </w:r>
      <w:r w:rsidRPr="005C1611">
        <w:t xml:space="preserve">either spontaneously or as </w:t>
      </w:r>
      <w:r w:rsidR="008D2C16">
        <w:t xml:space="preserve">a </w:t>
      </w:r>
      <w:r w:rsidRPr="005C1611">
        <w:t>result of accidental or surgical trauma. By replacement therapy</w:t>
      </w:r>
      <w:r>
        <w:t xml:space="preserve"> </w:t>
      </w:r>
      <w:r w:rsidRPr="005C1611">
        <w:t xml:space="preserve">the plasma levels of </w:t>
      </w:r>
      <w:r w:rsidR="007665A3">
        <w:t>F</w:t>
      </w:r>
      <w:r w:rsidRPr="005C1611">
        <w:t>VIII are increased, thereby enabling a temporary correction of</w:t>
      </w:r>
      <w:r>
        <w:t xml:space="preserve"> </w:t>
      </w:r>
      <w:r w:rsidRPr="005C1611">
        <w:t>the factor deficiency and correction of the bleeding tendencies.</w:t>
      </w:r>
    </w:p>
    <w:p w14:paraId="2D6E877C" w14:textId="0E0C3EC5" w:rsidR="005C1611" w:rsidRPr="005C1611" w:rsidRDefault="005C1611" w:rsidP="004B773A">
      <w:pPr>
        <w:pStyle w:val="CommentText"/>
        <w:spacing w:line="300" w:lineRule="auto"/>
      </w:pPr>
      <w:r w:rsidRPr="004B773A">
        <w:rPr>
          <w:sz w:val="24"/>
          <w:szCs w:val="24"/>
        </w:rPr>
        <w:t>AFSTYLA</w:t>
      </w:r>
      <w:r w:rsidRPr="004B773A">
        <w:rPr>
          <w:sz w:val="24"/>
          <w:szCs w:val="24"/>
          <w:vertAlign w:val="superscript"/>
        </w:rPr>
        <w:t>®</w:t>
      </w:r>
      <w:r w:rsidRPr="004B773A">
        <w:rPr>
          <w:sz w:val="24"/>
          <w:szCs w:val="24"/>
        </w:rPr>
        <w:t xml:space="preserve"> (lonoctocog alfa) is a recombinant protein that replaces the missing coagulation </w:t>
      </w:r>
      <w:r w:rsidR="00436EAB" w:rsidRPr="004B773A">
        <w:rPr>
          <w:sz w:val="24"/>
          <w:szCs w:val="24"/>
        </w:rPr>
        <w:t>F</w:t>
      </w:r>
      <w:r w:rsidRPr="004B773A">
        <w:rPr>
          <w:sz w:val="24"/>
          <w:szCs w:val="24"/>
        </w:rPr>
        <w:t>VIII needed for effective haemostasis.</w:t>
      </w:r>
      <w:r w:rsidR="004B773A" w:rsidRPr="004B773A">
        <w:rPr>
          <w:sz w:val="24"/>
          <w:szCs w:val="24"/>
        </w:rPr>
        <w:t xml:space="preserve"> AFSTYLA</w:t>
      </w:r>
      <w:r w:rsidR="004B773A" w:rsidRPr="004B773A">
        <w:rPr>
          <w:sz w:val="24"/>
          <w:szCs w:val="24"/>
          <w:vertAlign w:val="superscript"/>
        </w:rPr>
        <w:t>®</w:t>
      </w:r>
      <w:r w:rsidR="004B773A" w:rsidRPr="004B773A">
        <w:rPr>
          <w:sz w:val="24"/>
          <w:szCs w:val="24"/>
        </w:rPr>
        <w:t xml:space="preserve"> is a single polypeptide chain with a truncated B-domain that allows for a covalent bridge to link the FVIII heavy and light chains. </w:t>
      </w:r>
      <w:proofErr w:type="gramStart"/>
      <w:r w:rsidR="004B773A" w:rsidRPr="004B773A">
        <w:rPr>
          <w:sz w:val="24"/>
          <w:szCs w:val="24"/>
        </w:rPr>
        <w:t xml:space="preserve">Compared to full-length FVIII, the </w:t>
      </w:r>
      <w:proofErr w:type="spellStart"/>
      <w:r w:rsidR="004B773A" w:rsidRPr="004B773A">
        <w:rPr>
          <w:sz w:val="24"/>
          <w:szCs w:val="24"/>
        </w:rPr>
        <w:t>stabilised</w:t>
      </w:r>
      <w:proofErr w:type="spellEnd"/>
      <w:r w:rsidR="004B773A" w:rsidRPr="004B773A">
        <w:rPr>
          <w:sz w:val="24"/>
          <w:szCs w:val="24"/>
        </w:rPr>
        <w:t xml:space="preserve"> single-chain design results in increased binding affinity to VWF.</w:t>
      </w:r>
      <w:proofErr w:type="gramEnd"/>
      <w:r w:rsidR="004B773A" w:rsidRPr="004B773A">
        <w:rPr>
          <w:sz w:val="24"/>
          <w:szCs w:val="24"/>
        </w:rPr>
        <w:t xml:space="preserve"> VWF </w:t>
      </w:r>
      <w:proofErr w:type="spellStart"/>
      <w:r w:rsidR="004B773A" w:rsidRPr="004B773A">
        <w:rPr>
          <w:sz w:val="24"/>
          <w:szCs w:val="24"/>
        </w:rPr>
        <w:t>stabilises</w:t>
      </w:r>
      <w:proofErr w:type="spellEnd"/>
      <w:r w:rsidR="004B773A" w:rsidRPr="004B773A">
        <w:rPr>
          <w:sz w:val="24"/>
          <w:szCs w:val="24"/>
        </w:rPr>
        <w:t xml:space="preserve"> FVIII and protects it from degradation. Activated AFSTYLA</w:t>
      </w:r>
      <w:r w:rsidR="004B773A" w:rsidRPr="004B773A">
        <w:rPr>
          <w:sz w:val="24"/>
          <w:szCs w:val="24"/>
          <w:vertAlign w:val="superscript"/>
        </w:rPr>
        <w:t>®</w:t>
      </w:r>
      <w:r w:rsidR="004B773A" w:rsidRPr="004B773A">
        <w:rPr>
          <w:sz w:val="24"/>
          <w:szCs w:val="24"/>
        </w:rPr>
        <w:t xml:space="preserve"> has an amino acid sequence identical to endogenous </w:t>
      </w:r>
      <w:proofErr w:type="spellStart"/>
      <w:r w:rsidR="004B773A" w:rsidRPr="004B773A">
        <w:rPr>
          <w:sz w:val="24"/>
          <w:szCs w:val="24"/>
        </w:rPr>
        <w:t>FVIIIa</w:t>
      </w:r>
      <w:proofErr w:type="spellEnd"/>
      <w:r w:rsidR="004B773A" w:rsidRPr="004B773A">
        <w:rPr>
          <w:sz w:val="24"/>
          <w:szCs w:val="24"/>
        </w:rPr>
        <w:t>.</w:t>
      </w:r>
    </w:p>
    <w:p w14:paraId="04506FD9" w14:textId="41F847F8" w:rsidR="001B7CD7" w:rsidRPr="005C1611" w:rsidRDefault="001B7CD7" w:rsidP="005C1611">
      <w:pPr>
        <w:pStyle w:val="Heading3"/>
        <w:numPr>
          <w:ilvl w:val="0"/>
          <w:numId w:val="0"/>
        </w:numPr>
        <w:ind w:left="2138" w:hanging="2138"/>
      </w:pPr>
      <w:r w:rsidRPr="005C1611">
        <w:lastRenderedPageBreak/>
        <w:t>Pharmacokinetics</w:t>
      </w:r>
    </w:p>
    <w:p w14:paraId="1CDF9C78" w14:textId="77777777" w:rsidR="00585FCE" w:rsidRPr="00585FCE" w:rsidRDefault="00585FCE" w:rsidP="00585FCE">
      <w:pPr>
        <w:pStyle w:val="Heading4"/>
        <w:numPr>
          <w:ilvl w:val="0"/>
          <w:numId w:val="0"/>
        </w:numPr>
        <w:ind w:left="2362" w:hanging="2362"/>
        <w:rPr>
          <w:i/>
          <w:lang w:eastAsia="en-AU"/>
        </w:rPr>
      </w:pPr>
      <w:r w:rsidRPr="00585FCE">
        <w:rPr>
          <w:i/>
          <w:lang w:eastAsia="en-AU"/>
        </w:rPr>
        <w:t>Adult population</w:t>
      </w:r>
    </w:p>
    <w:p w14:paraId="498269C1" w14:textId="0F73DD20" w:rsidR="00FD286B" w:rsidRDefault="00585FCE" w:rsidP="00D9026A">
      <w:pPr>
        <w:pStyle w:val="DocumentText"/>
        <w:spacing w:after="120"/>
      </w:pPr>
      <w:r w:rsidRPr="00585FCE">
        <w:t xml:space="preserve">The pharmacokinetics (PK) of </w:t>
      </w:r>
      <w:r>
        <w:t>AFSTYLA</w:t>
      </w:r>
      <w:r w:rsidRPr="00585FCE">
        <w:rPr>
          <w:vertAlign w:val="superscript"/>
        </w:rPr>
        <w:t>®</w:t>
      </w:r>
      <w:r w:rsidRPr="00585FCE">
        <w:t xml:space="preserve"> </w:t>
      </w:r>
      <w:proofErr w:type="gramStart"/>
      <w:r w:rsidRPr="00585FCE">
        <w:t>were</w:t>
      </w:r>
      <w:proofErr w:type="gramEnd"/>
      <w:r w:rsidRPr="00585FCE">
        <w:t xml:space="preserve"> evaluated in 81 adult</w:t>
      </w:r>
      <w:r w:rsidR="005E6F79">
        <w:t>s</w:t>
      </w:r>
      <w:r>
        <w:t xml:space="preserve"> </w:t>
      </w:r>
      <w:r w:rsidRPr="00585FCE">
        <w:t>following an intravenous injection of a single dose of 50</w:t>
      </w:r>
      <w:r>
        <w:t> </w:t>
      </w:r>
      <w:r w:rsidRPr="00585FCE">
        <w:t>IU/kg.</w:t>
      </w:r>
      <w:r>
        <w:t xml:space="preserve"> </w:t>
      </w:r>
      <w:r w:rsidRPr="00585FCE">
        <w:t xml:space="preserve">The PK parameters </w:t>
      </w:r>
      <w:r w:rsidR="005E6F79">
        <w:t xml:space="preserve">(see </w:t>
      </w:r>
      <w:r w:rsidR="005E6F79" w:rsidRPr="005E6F79">
        <w:rPr>
          <w:b/>
        </w:rPr>
        <w:t>Table</w:t>
      </w:r>
      <w:r w:rsidR="00B932A3">
        <w:rPr>
          <w:b/>
        </w:rPr>
        <w:t> </w:t>
      </w:r>
      <w:r w:rsidR="005E6F79" w:rsidRPr="005E6F79">
        <w:rPr>
          <w:b/>
        </w:rPr>
        <w:t>2</w:t>
      </w:r>
      <w:r w:rsidR="005E6F79">
        <w:t xml:space="preserve">) </w:t>
      </w:r>
      <w:r w:rsidRPr="00585FCE">
        <w:t xml:space="preserve">were based on plasma </w:t>
      </w:r>
      <w:r w:rsidR="00436EAB">
        <w:t>F</w:t>
      </w:r>
      <w:r w:rsidRPr="00585FCE">
        <w:t>VIII activity measured by the chromogenic</w:t>
      </w:r>
      <w:r>
        <w:t xml:space="preserve"> </w:t>
      </w:r>
      <w:r w:rsidRPr="00585FCE">
        <w:t>assay. The PK profile obtained 3 to 6</w:t>
      </w:r>
      <w:r w:rsidR="00B932A3">
        <w:t> </w:t>
      </w:r>
      <w:r w:rsidRPr="00585FCE">
        <w:t>months after the initial PK assessment was</w:t>
      </w:r>
      <w:r>
        <w:t xml:space="preserve"> </w:t>
      </w:r>
      <w:r w:rsidRPr="00585FCE">
        <w:t>comparable with the PK profile obtained after the first dose.</w:t>
      </w:r>
    </w:p>
    <w:p w14:paraId="2B1FF9DD" w14:textId="129D6EED" w:rsidR="00585FCE" w:rsidRDefault="00585FCE" w:rsidP="00D9026A">
      <w:pPr>
        <w:pStyle w:val="Caption"/>
        <w:ind w:left="0" w:firstLine="0"/>
      </w:pPr>
      <w:r>
        <w:t xml:space="preserve">Table 2: Pharmacokinetic parameters (arithmetic mean, </w:t>
      </w:r>
      <w:proofErr w:type="gramStart"/>
      <w:r>
        <w:t>CV%</w:t>
      </w:r>
      <w:proofErr w:type="gramEnd"/>
      <w:r>
        <w:t>) following a single injection of 50 IU/kg of AFSTYLA</w:t>
      </w:r>
      <w:r w:rsidR="00D9026A">
        <w:rPr>
          <w:vertAlign w:val="superscript"/>
        </w:rPr>
        <w:t>®</w:t>
      </w:r>
      <w:r w:rsidR="00D9026A">
        <w:t xml:space="preserve"> </w:t>
      </w:r>
      <w:r w:rsidR="00666D50">
        <w:t>in 18 to 65</w:t>
      </w:r>
      <w:r w:rsidR="00B932A3">
        <w:t> </w:t>
      </w:r>
      <w:r w:rsidR="00666D50">
        <w:t>year old adults (</w:t>
      </w:r>
      <w:r w:rsidR="00D9026A">
        <w:t>chromogenic assay</w:t>
      </w:r>
      <w:r w:rsidR="00666D50"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23"/>
        <w:gridCol w:w="4324"/>
      </w:tblGrid>
      <w:tr w:rsidR="00585FCE" w:rsidRPr="001D6AE4" w14:paraId="27C9AB47" w14:textId="77777777" w:rsidTr="00A20E3C">
        <w:tc>
          <w:tcPr>
            <w:tcW w:w="4323" w:type="dxa"/>
            <w:shd w:val="clear" w:color="auto" w:fill="D9D9D9" w:themeFill="background1" w:themeFillShade="D9"/>
            <w:vAlign w:val="center"/>
          </w:tcPr>
          <w:p w14:paraId="04C16A95" w14:textId="77777777" w:rsidR="00585FCE" w:rsidRPr="001D6AE4" w:rsidRDefault="00D9026A" w:rsidP="00291451">
            <w:pPr>
              <w:pStyle w:val="DocumentText"/>
              <w:keepNext/>
              <w:spacing w:before="40" w:after="40" w:line="240" w:lineRule="auto"/>
              <w:rPr>
                <w:b/>
                <w:sz w:val="22"/>
                <w:szCs w:val="22"/>
              </w:rPr>
            </w:pPr>
            <w:r w:rsidRPr="001D6AE4">
              <w:rPr>
                <w:b/>
                <w:sz w:val="22"/>
                <w:szCs w:val="22"/>
              </w:rPr>
              <w:t>PK Parameters</w:t>
            </w:r>
          </w:p>
        </w:tc>
        <w:tc>
          <w:tcPr>
            <w:tcW w:w="4324" w:type="dxa"/>
            <w:shd w:val="clear" w:color="auto" w:fill="D9D9D9" w:themeFill="background1" w:themeFillShade="D9"/>
            <w:vAlign w:val="center"/>
          </w:tcPr>
          <w:p w14:paraId="0B227AB3" w14:textId="77777777" w:rsidR="00585FCE" w:rsidRPr="001D6AE4" w:rsidRDefault="00D9026A" w:rsidP="00291451">
            <w:pPr>
              <w:pStyle w:val="DocumentText"/>
              <w:keepNext/>
              <w:spacing w:before="40" w:after="0" w:line="240" w:lineRule="auto"/>
              <w:jc w:val="center"/>
              <w:rPr>
                <w:b/>
                <w:sz w:val="22"/>
                <w:szCs w:val="22"/>
              </w:rPr>
            </w:pPr>
            <w:r w:rsidRPr="001D6AE4">
              <w:rPr>
                <w:b/>
                <w:sz w:val="22"/>
                <w:szCs w:val="22"/>
              </w:rPr>
              <w:t>rVIII-SingleChain</w:t>
            </w:r>
          </w:p>
          <w:p w14:paraId="44C9CAB7" w14:textId="77777777" w:rsidR="00D9026A" w:rsidRPr="001D6AE4" w:rsidRDefault="00D9026A" w:rsidP="00291451">
            <w:pPr>
              <w:pStyle w:val="DocumentText"/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1D6AE4">
              <w:rPr>
                <w:b/>
                <w:sz w:val="22"/>
                <w:szCs w:val="22"/>
              </w:rPr>
              <w:t>50 IU/kg</w:t>
            </w:r>
          </w:p>
          <w:p w14:paraId="0C72B656" w14:textId="77777777" w:rsidR="00D9026A" w:rsidRPr="001D6AE4" w:rsidRDefault="00D9026A" w:rsidP="00291451">
            <w:pPr>
              <w:pStyle w:val="DocumentText"/>
              <w:keepNext/>
              <w:spacing w:after="40" w:line="240" w:lineRule="auto"/>
              <w:jc w:val="center"/>
              <w:rPr>
                <w:b/>
                <w:sz w:val="22"/>
                <w:szCs w:val="22"/>
              </w:rPr>
            </w:pPr>
            <w:r w:rsidRPr="001D6AE4">
              <w:rPr>
                <w:b/>
                <w:sz w:val="22"/>
                <w:szCs w:val="22"/>
              </w:rPr>
              <w:t>(N = 81)</w:t>
            </w:r>
          </w:p>
        </w:tc>
      </w:tr>
      <w:tr w:rsidR="00585FCE" w:rsidRPr="001D6AE4" w14:paraId="266609B9" w14:textId="77777777" w:rsidTr="00014FD1">
        <w:tc>
          <w:tcPr>
            <w:tcW w:w="4323" w:type="dxa"/>
            <w:vAlign w:val="center"/>
          </w:tcPr>
          <w:p w14:paraId="7EBC98CF" w14:textId="77777777" w:rsidR="00585FCE" w:rsidRPr="001D6AE4" w:rsidRDefault="00D9026A" w:rsidP="00291451">
            <w:pPr>
              <w:pStyle w:val="DocumentText"/>
              <w:keepNext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IR (IU/dL)/(IU/kg)</w:t>
            </w:r>
          </w:p>
        </w:tc>
        <w:tc>
          <w:tcPr>
            <w:tcW w:w="4324" w:type="dxa"/>
            <w:vAlign w:val="center"/>
          </w:tcPr>
          <w:p w14:paraId="243F2B1F" w14:textId="77777777" w:rsidR="00585FCE" w:rsidRPr="001D6AE4" w:rsidRDefault="00D9026A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2.00 (20.8)</w:t>
            </w:r>
          </w:p>
        </w:tc>
      </w:tr>
      <w:tr w:rsidR="00585FCE" w:rsidRPr="001D6AE4" w14:paraId="6408EAF4" w14:textId="77777777" w:rsidTr="00014FD1">
        <w:tc>
          <w:tcPr>
            <w:tcW w:w="4323" w:type="dxa"/>
            <w:vAlign w:val="center"/>
          </w:tcPr>
          <w:p w14:paraId="338FC04B" w14:textId="77777777" w:rsidR="00585FCE" w:rsidRPr="001D6AE4" w:rsidRDefault="00014FD1" w:rsidP="00291451">
            <w:pPr>
              <w:pStyle w:val="DocumentText"/>
              <w:keepNext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Cmax</w:t>
            </w:r>
            <w:r w:rsidR="00D9026A" w:rsidRPr="001D6AE4">
              <w:rPr>
                <w:kern w:val="0"/>
                <w:sz w:val="22"/>
                <w:szCs w:val="22"/>
                <w:lang w:eastAsia="en-AU"/>
              </w:rPr>
              <w:t xml:space="preserve"> (IU/dL)</w:t>
            </w:r>
          </w:p>
        </w:tc>
        <w:tc>
          <w:tcPr>
            <w:tcW w:w="4324" w:type="dxa"/>
            <w:vAlign w:val="center"/>
          </w:tcPr>
          <w:p w14:paraId="2CD0DF07" w14:textId="77777777" w:rsidR="00585FCE" w:rsidRPr="001D6AE4" w:rsidRDefault="00D9026A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106 (18.1)</w:t>
            </w:r>
          </w:p>
        </w:tc>
      </w:tr>
      <w:tr w:rsidR="00585FCE" w:rsidRPr="001D6AE4" w14:paraId="79B6EEC5" w14:textId="77777777" w:rsidTr="00014FD1">
        <w:tc>
          <w:tcPr>
            <w:tcW w:w="4323" w:type="dxa"/>
            <w:vAlign w:val="center"/>
          </w:tcPr>
          <w:p w14:paraId="452A838F" w14:textId="77777777" w:rsidR="00585FCE" w:rsidRPr="001D6AE4" w:rsidRDefault="00B55AF6" w:rsidP="00291451">
            <w:pPr>
              <w:pStyle w:val="DocumentText"/>
              <w:keepNext/>
              <w:spacing w:before="40" w:after="40" w:line="240" w:lineRule="auto"/>
              <w:rPr>
                <w:sz w:val="22"/>
                <w:szCs w:val="22"/>
                <w:lang w:val="de-DE"/>
              </w:rPr>
            </w:pPr>
            <w:r w:rsidRPr="001D6AE4">
              <w:rPr>
                <w:kern w:val="0"/>
                <w:sz w:val="22"/>
                <w:szCs w:val="22"/>
                <w:lang w:val="de-DE"/>
              </w:rPr>
              <w:t>AUC</w:t>
            </w:r>
            <w:r w:rsidRPr="001D6AE4">
              <w:rPr>
                <w:kern w:val="0"/>
                <w:sz w:val="22"/>
                <w:szCs w:val="22"/>
                <w:vertAlign w:val="subscript"/>
                <w:lang w:val="de-DE"/>
              </w:rPr>
              <w:t>0-inf</w:t>
            </w:r>
            <w:r w:rsidR="00014FD1" w:rsidRPr="001D6AE4">
              <w:rPr>
                <w:kern w:val="0"/>
                <w:sz w:val="22"/>
                <w:szCs w:val="22"/>
                <w:lang w:val="de-DE"/>
              </w:rPr>
              <w:t xml:space="preserve"> </w:t>
            </w:r>
            <w:r w:rsidR="00D9026A" w:rsidRPr="001D6AE4">
              <w:rPr>
                <w:kern w:val="0"/>
                <w:sz w:val="22"/>
                <w:szCs w:val="22"/>
                <w:lang w:val="de-DE"/>
              </w:rPr>
              <w:t>(IU*h/dL)</w:t>
            </w:r>
          </w:p>
        </w:tc>
        <w:tc>
          <w:tcPr>
            <w:tcW w:w="4324" w:type="dxa"/>
            <w:vAlign w:val="center"/>
          </w:tcPr>
          <w:p w14:paraId="0B05D487" w14:textId="77777777" w:rsidR="00585FCE" w:rsidRPr="001D6AE4" w:rsidRDefault="00D9026A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1960 (33.1)</w:t>
            </w:r>
          </w:p>
        </w:tc>
      </w:tr>
      <w:tr w:rsidR="00585FCE" w:rsidRPr="001D6AE4" w14:paraId="1EEF3623" w14:textId="77777777" w:rsidTr="00014FD1">
        <w:tc>
          <w:tcPr>
            <w:tcW w:w="4323" w:type="dxa"/>
            <w:vAlign w:val="center"/>
          </w:tcPr>
          <w:p w14:paraId="79F2F074" w14:textId="77777777" w:rsidR="00585FCE" w:rsidRPr="001D6AE4" w:rsidRDefault="00D9026A" w:rsidP="00291451">
            <w:pPr>
              <w:pStyle w:val="DocumentText"/>
              <w:keepNext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t</w:t>
            </w:r>
            <w:r w:rsidRPr="001D6AE4">
              <w:rPr>
                <w:kern w:val="0"/>
                <w:sz w:val="22"/>
                <w:szCs w:val="22"/>
                <w:vertAlign w:val="subscript"/>
                <w:lang w:eastAsia="en-AU"/>
              </w:rPr>
              <w:t>1/2</w:t>
            </w:r>
            <w:r w:rsidR="00014FD1" w:rsidRPr="001D6AE4">
              <w:rPr>
                <w:kern w:val="0"/>
                <w:sz w:val="22"/>
                <w:szCs w:val="22"/>
                <w:lang w:eastAsia="en-AU"/>
              </w:rPr>
              <w:t xml:space="preserve"> </w:t>
            </w:r>
            <w:r w:rsidRPr="001D6AE4">
              <w:rPr>
                <w:kern w:val="0"/>
                <w:sz w:val="22"/>
                <w:szCs w:val="22"/>
                <w:lang w:eastAsia="en-AU"/>
              </w:rPr>
              <w:t>(h)</w:t>
            </w:r>
          </w:p>
        </w:tc>
        <w:tc>
          <w:tcPr>
            <w:tcW w:w="4324" w:type="dxa"/>
            <w:vAlign w:val="center"/>
          </w:tcPr>
          <w:p w14:paraId="77FF79C3" w14:textId="77777777" w:rsidR="00585FCE" w:rsidRPr="001D6AE4" w:rsidRDefault="00D9026A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14.2 (26.0)</w:t>
            </w:r>
          </w:p>
        </w:tc>
      </w:tr>
      <w:tr w:rsidR="00585FCE" w:rsidRPr="001D6AE4" w14:paraId="165AF99B" w14:textId="77777777" w:rsidTr="00014FD1">
        <w:tc>
          <w:tcPr>
            <w:tcW w:w="4323" w:type="dxa"/>
            <w:vAlign w:val="center"/>
          </w:tcPr>
          <w:p w14:paraId="59FC9FC6" w14:textId="77777777" w:rsidR="00585FCE" w:rsidRPr="001D6AE4" w:rsidRDefault="00D9026A" w:rsidP="00291451">
            <w:pPr>
              <w:pStyle w:val="DocumentText"/>
              <w:keepNext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MRT (h)</w:t>
            </w:r>
          </w:p>
        </w:tc>
        <w:tc>
          <w:tcPr>
            <w:tcW w:w="4324" w:type="dxa"/>
            <w:vAlign w:val="center"/>
          </w:tcPr>
          <w:p w14:paraId="4B8A5E93" w14:textId="77777777" w:rsidR="00585FCE" w:rsidRPr="001D6AE4" w:rsidRDefault="00D9026A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20.4 (25.8)</w:t>
            </w:r>
          </w:p>
        </w:tc>
      </w:tr>
      <w:tr w:rsidR="00585FCE" w:rsidRPr="001D6AE4" w14:paraId="6B75CAE8" w14:textId="77777777" w:rsidTr="00014FD1">
        <w:tc>
          <w:tcPr>
            <w:tcW w:w="4323" w:type="dxa"/>
            <w:vAlign w:val="center"/>
          </w:tcPr>
          <w:p w14:paraId="3B267EBC" w14:textId="77777777" w:rsidR="00585FCE" w:rsidRPr="001D6AE4" w:rsidRDefault="00D9026A" w:rsidP="00291451">
            <w:pPr>
              <w:pStyle w:val="DocumentText"/>
              <w:keepNext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CL (mL/h/kg)</w:t>
            </w:r>
          </w:p>
        </w:tc>
        <w:tc>
          <w:tcPr>
            <w:tcW w:w="4324" w:type="dxa"/>
            <w:vAlign w:val="center"/>
          </w:tcPr>
          <w:p w14:paraId="4ED8BA74" w14:textId="77777777" w:rsidR="00585FCE" w:rsidRPr="001D6AE4" w:rsidRDefault="00D9026A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2.90 (34.4)</w:t>
            </w:r>
          </w:p>
        </w:tc>
      </w:tr>
      <w:tr w:rsidR="00585FCE" w:rsidRPr="001D6AE4" w14:paraId="7B11610E" w14:textId="77777777" w:rsidTr="00014FD1">
        <w:tc>
          <w:tcPr>
            <w:tcW w:w="4323" w:type="dxa"/>
            <w:vAlign w:val="center"/>
          </w:tcPr>
          <w:p w14:paraId="20F60D29" w14:textId="77777777" w:rsidR="00585FCE" w:rsidRPr="001D6AE4" w:rsidRDefault="00D9026A" w:rsidP="00291451">
            <w:pPr>
              <w:pStyle w:val="DocumentText"/>
              <w:keepNext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V</w:t>
            </w:r>
            <w:r w:rsidRPr="001D6AE4">
              <w:rPr>
                <w:kern w:val="0"/>
                <w:sz w:val="22"/>
                <w:szCs w:val="22"/>
                <w:vertAlign w:val="subscript"/>
                <w:lang w:eastAsia="en-AU"/>
              </w:rPr>
              <w:t>ss</w:t>
            </w:r>
            <w:r w:rsidRPr="001D6AE4">
              <w:rPr>
                <w:kern w:val="0"/>
                <w:sz w:val="22"/>
                <w:szCs w:val="22"/>
                <w:lang w:eastAsia="en-AU"/>
              </w:rPr>
              <w:t xml:space="preserve"> (mL/kg)</w:t>
            </w:r>
          </w:p>
        </w:tc>
        <w:tc>
          <w:tcPr>
            <w:tcW w:w="4324" w:type="dxa"/>
            <w:vAlign w:val="center"/>
          </w:tcPr>
          <w:p w14:paraId="1A63A082" w14:textId="77777777" w:rsidR="00585FCE" w:rsidRPr="001D6AE4" w:rsidRDefault="00D9026A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55.2 (20.8)</w:t>
            </w:r>
          </w:p>
        </w:tc>
      </w:tr>
    </w:tbl>
    <w:p w14:paraId="576A1580" w14:textId="77777777" w:rsidR="00585FCE" w:rsidRDefault="00585FCE" w:rsidP="00014FD1">
      <w:pPr>
        <w:pStyle w:val="TableFootnote"/>
        <w:spacing w:after="240"/>
        <w:ind w:left="0" w:right="380" w:firstLine="0"/>
      </w:pPr>
      <w:r>
        <w:t xml:space="preserve">IR = incremental recovery recorded at 30 minutes after injection; </w:t>
      </w:r>
      <w:r w:rsidR="00666D50">
        <w:t xml:space="preserve">Cmax = maximum concentration; </w:t>
      </w:r>
      <w:r>
        <w:t>AUC</w:t>
      </w:r>
      <w:r w:rsidRPr="00B55AF6">
        <w:rPr>
          <w:vertAlign w:val="subscript"/>
        </w:rPr>
        <w:t>0-inf</w:t>
      </w:r>
      <w:r w:rsidR="00B55AF6">
        <w:t xml:space="preserve"> </w:t>
      </w:r>
      <w:r>
        <w:t xml:space="preserve">= area under the </w:t>
      </w:r>
      <w:r w:rsidR="00436EAB">
        <w:t>F</w:t>
      </w:r>
      <w:r>
        <w:t>VIII</w:t>
      </w:r>
      <w:r w:rsidR="00014FD1">
        <w:t xml:space="preserve"> </w:t>
      </w:r>
      <w:r>
        <w:t>activity time curve extrapolated to infinity; t</w:t>
      </w:r>
      <w:r w:rsidRPr="00B55AF6">
        <w:rPr>
          <w:vertAlign w:val="subscript"/>
        </w:rPr>
        <w:t>1/2</w:t>
      </w:r>
      <w:r w:rsidRPr="00014FD1">
        <w:t xml:space="preserve"> </w:t>
      </w:r>
      <w:r>
        <w:t>= half-life; MRT = mean residence time; CL = body weight</w:t>
      </w:r>
      <w:r w:rsidR="00014FD1">
        <w:t xml:space="preserve"> </w:t>
      </w:r>
      <w:r>
        <w:t>adjusted clearance; V</w:t>
      </w:r>
      <w:r w:rsidRPr="00B55AF6">
        <w:rPr>
          <w:vertAlign w:val="subscript"/>
        </w:rPr>
        <w:t>ss</w:t>
      </w:r>
      <w:r w:rsidRPr="00014FD1">
        <w:t xml:space="preserve"> </w:t>
      </w:r>
      <w:r>
        <w:t>= body weight adjusted volume of distribution at steady-state</w:t>
      </w:r>
      <w:r w:rsidR="00014FD1">
        <w:t>.</w:t>
      </w:r>
    </w:p>
    <w:p w14:paraId="1BC7BE8C" w14:textId="648EE5D5" w:rsidR="00B55AF6" w:rsidRPr="00585FCE" w:rsidRDefault="00B55AF6" w:rsidP="00B55AF6">
      <w:pPr>
        <w:pStyle w:val="Heading4"/>
        <w:numPr>
          <w:ilvl w:val="0"/>
          <w:numId w:val="0"/>
        </w:numPr>
        <w:ind w:left="2362" w:hanging="2362"/>
        <w:rPr>
          <w:i/>
          <w:lang w:eastAsia="en-AU"/>
        </w:rPr>
      </w:pPr>
      <w:r>
        <w:rPr>
          <w:i/>
          <w:lang w:eastAsia="en-AU"/>
        </w:rPr>
        <w:t>Paediatric</w:t>
      </w:r>
      <w:r w:rsidRPr="00585FCE">
        <w:rPr>
          <w:i/>
          <w:lang w:eastAsia="en-AU"/>
        </w:rPr>
        <w:t xml:space="preserve"> population</w:t>
      </w:r>
    </w:p>
    <w:p w14:paraId="58E5BBAD" w14:textId="0AD1DAEC" w:rsidR="00B55AF6" w:rsidRDefault="005E6F79" w:rsidP="008467D4">
      <w:pPr>
        <w:pStyle w:val="DocumentText"/>
        <w:spacing w:after="120"/>
      </w:pPr>
      <w:r w:rsidRPr="008467D4">
        <w:t xml:space="preserve">Pharmacokinetics parameters of </w:t>
      </w:r>
      <w:r w:rsidR="005E4AD7" w:rsidRPr="008467D4">
        <w:t>AFSTYLA</w:t>
      </w:r>
      <w:r w:rsidR="005E4AD7" w:rsidRPr="00CF070B">
        <w:rPr>
          <w:vertAlign w:val="superscript"/>
        </w:rPr>
        <w:t>®</w:t>
      </w:r>
      <w:r w:rsidR="005E4AD7" w:rsidRPr="008467D4">
        <w:t xml:space="preserve"> </w:t>
      </w:r>
      <w:r w:rsidRPr="008467D4">
        <w:t>were evaluated in 49 previously treated subjects, 10 adolescents (≥12 to &lt;18</w:t>
      </w:r>
      <w:r w:rsidR="00B932A3">
        <w:t> </w:t>
      </w:r>
      <w:r w:rsidRPr="008467D4">
        <w:t>years) and 39 children (0 to &lt;12</w:t>
      </w:r>
      <w:r w:rsidR="00B932A3">
        <w:t> </w:t>
      </w:r>
      <w:r w:rsidRPr="008467D4">
        <w:t>years) in open-label, multicentr</w:t>
      </w:r>
      <w:r w:rsidR="00E7365E" w:rsidRPr="008467D4">
        <w:t>e</w:t>
      </w:r>
      <w:r w:rsidRPr="008467D4">
        <w:t xml:space="preserve"> studies following a 50 IU/kg intravenous injection of </w:t>
      </w:r>
      <w:r w:rsidR="00E7365E" w:rsidRPr="008467D4">
        <w:t>AFSTYLA</w:t>
      </w:r>
      <w:r w:rsidR="00E7365E" w:rsidRPr="008467D4">
        <w:rPr>
          <w:vertAlign w:val="superscript"/>
        </w:rPr>
        <w:t>®</w:t>
      </w:r>
      <w:r w:rsidRPr="008467D4">
        <w:t>.</w:t>
      </w:r>
      <w:r w:rsidR="00E7365E" w:rsidRPr="008467D4">
        <w:t xml:space="preserve"> </w:t>
      </w:r>
      <w:r w:rsidR="00B55AF6" w:rsidRPr="00B55AF6">
        <w:t xml:space="preserve">The PK parameters </w:t>
      </w:r>
      <w:r>
        <w:t xml:space="preserve">(see </w:t>
      </w:r>
      <w:r w:rsidRPr="005A3867">
        <w:rPr>
          <w:b/>
        </w:rPr>
        <w:t>Table</w:t>
      </w:r>
      <w:r w:rsidR="005A3867" w:rsidRPr="005A3867">
        <w:rPr>
          <w:b/>
        </w:rPr>
        <w:t> </w:t>
      </w:r>
      <w:r w:rsidRPr="005A3867">
        <w:rPr>
          <w:b/>
        </w:rPr>
        <w:t>3</w:t>
      </w:r>
      <w:r>
        <w:t xml:space="preserve">) </w:t>
      </w:r>
      <w:r w:rsidR="00B55AF6" w:rsidRPr="00B55AF6">
        <w:t xml:space="preserve">were based on plasma </w:t>
      </w:r>
      <w:r w:rsidR="00436EAB">
        <w:t>F</w:t>
      </w:r>
      <w:r w:rsidR="00B55AF6" w:rsidRPr="00B55AF6">
        <w:t>VIII activity measured by the chromogenic</w:t>
      </w:r>
      <w:r w:rsidR="00B55AF6">
        <w:t xml:space="preserve"> </w:t>
      </w:r>
      <w:r w:rsidR="00B55AF6" w:rsidRPr="00B55AF6">
        <w:t>assay.</w:t>
      </w:r>
    </w:p>
    <w:p w14:paraId="005DCC3F" w14:textId="4A230F06" w:rsidR="00B55AF6" w:rsidRDefault="00B55AF6" w:rsidP="00B55AF6">
      <w:pPr>
        <w:pStyle w:val="Caption"/>
        <w:ind w:left="0" w:firstLine="0"/>
      </w:pPr>
      <w:r>
        <w:lastRenderedPageBreak/>
        <w:t>Table 3: Comparison of pharmacokinetic parameters</w:t>
      </w:r>
      <w:r w:rsidR="00634501">
        <w:t xml:space="preserve"> by age category</w:t>
      </w:r>
      <w:r>
        <w:t xml:space="preserve"> (arithmetic mean, </w:t>
      </w:r>
      <w:proofErr w:type="gramStart"/>
      <w:r>
        <w:t>CV%</w:t>
      </w:r>
      <w:proofErr w:type="gramEnd"/>
      <w:r>
        <w:t>) following a single injection of 50 IU/kg of AFSTYLA</w:t>
      </w:r>
      <w:r>
        <w:rPr>
          <w:vertAlign w:val="superscript"/>
        </w:rPr>
        <w:t>®</w:t>
      </w:r>
      <w:r>
        <w:t xml:space="preserve"> </w:t>
      </w:r>
      <w:r w:rsidR="005E6F79">
        <w:t>(</w:t>
      </w:r>
      <w:r>
        <w:t>chromogenic assay</w:t>
      </w:r>
      <w:r w:rsidR="005E6F79"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173"/>
        <w:gridCol w:w="2174"/>
        <w:gridCol w:w="2174"/>
      </w:tblGrid>
      <w:tr w:rsidR="00634501" w:rsidRPr="001D6AE4" w14:paraId="1E9678C2" w14:textId="77777777" w:rsidTr="00A20E3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9712BAF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rPr>
                <w:b/>
                <w:sz w:val="22"/>
                <w:szCs w:val="22"/>
              </w:rPr>
            </w:pPr>
            <w:r w:rsidRPr="001D6AE4">
              <w:rPr>
                <w:b/>
                <w:sz w:val="22"/>
                <w:szCs w:val="22"/>
              </w:rPr>
              <w:t>PK Parameters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14:paraId="75A5A526" w14:textId="77777777" w:rsidR="00634501" w:rsidRPr="001D6AE4" w:rsidRDefault="00634501" w:rsidP="00291451">
            <w:pPr>
              <w:pStyle w:val="DocumentText"/>
              <w:keepNext/>
              <w:spacing w:before="40" w:after="0" w:line="240" w:lineRule="auto"/>
              <w:jc w:val="center"/>
              <w:rPr>
                <w:b/>
                <w:sz w:val="22"/>
                <w:szCs w:val="22"/>
              </w:rPr>
            </w:pPr>
            <w:r w:rsidRPr="001D6AE4">
              <w:rPr>
                <w:b/>
                <w:sz w:val="22"/>
                <w:szCs w:val="22"/>
              </w:rPr>
              <w:t>0 to &lt;6 years</w:t>
            </w:r>
          </w:p>
          <w:p w14:paraId="6EBDA374" w14:textId="77777777" w:rsidR="00634501" w:rsidRPr="001D6AE4" w:rsidRDefault="00634501" w:rsidP="00291451">
            <w:pPr>
              <w:pStyle w:val="DocumentText"/>
              <w:keepNext/>
              <w:spacing w:after="40" w:line="240" w:lineRule="auto"/>
              <w:jc w:val="center"/>
              <w:rPr>
                <w:b/>
                <w:sz w:val="22"/>
                <w:szCs w:val="22"/>
              </w:rPr>
            </w:pPr>
            <w:r w:rsidRPr="001D6AE4">
              <w:rPr>
                <w:b/>
                <w:sz w:val="22"/>
                <w:szCs w:val="22"/>
              </w:rPr>
              <w:t>(N = 20)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14:paraId="7C3494B2" w14:textId="77777777" w:rsidR="00634501" w:rsidRPr="001D6AE4" w:rsidRDefault="00634501" w:rsidP="00291451">
            <w:pPr>
              <w:pStyle w:val="DocumentText"/>
              <w:keepNext/>
              <w:spacing w:before="40" w:after="0" w:line="240" w:lineRule="auto"/>
              <w:jc w:val="center"/>
              <w:rPr>
                <w:b/>
                <w:sz w:val="22"/>
                <w:szCs w:val="22"/>
              </w:rPr>
            </w:pPr>
            <w:r w:rsidRPr="001D6AE4">
              <w:rPr>
                <w:b/>
                <w:sz w:val="22"/>
                <w:szCs w:val="22"/>
              </w:rPr>
              <w:t>6 to &lt;12 years</w:t>
            </w:r>
          </w:p>
          <w:p w14:paraId="08395EBD" w14:textId="77777777" w:rsidR="00634501" w:rsidRPr="001D6AE4" w:rsidRDefault="00634501" w:rsidP="00291451">
            <w:pPr>
              <w:pStyle w:val="DocumentText"/>
              <w:keepNext/>
              <w:spacing w:after="40" w:line="240" w:lineRule="auto"/>
              <w:jc w:val="center"/>
              <w:rPr>
                <w:b/>
                <w:sz w:val="22"/>
                <w:szCs w:val="22"/>
              </w:rPr>
            </w:pPr>
            <w:r w:rsidRPr="001D6AE4">
              <w:rPr>
                <w:b/>
                <w:sz w:val="22"/>
                <w:szCs w:val="22"/>
              </w:rPr>
              <w:t>(N = 19)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14:paraId="1BF425B2" w14:textId="77777777" w:rsidR="00634501" w:rsidRPr="001D6AE4" w:rsidRDefault="00634501" w:rsidP="00291451">
            <w:pPr>
              <w:pStyle w:val="DocumentText"/>
              <w:keepNext/>
              <w:spacing w:before="40" w:after="0" w:line="240" w:lineRule="auto"/>
              <w:jc w:val="center"/>
              <w:rPr>
                <w:b/>
                <w:sz w:val="22"/>
                <w:szCs w:val="22"/>
              </w:rPr>
            </w:pPr>
            <w:r w:rsidRPr="001D6AE4">
              <w:rPr>
                <w:b/>
                <w:sz w:val="22"/>
                <w:szCs w:val="22"/>
              </w:rPr>
              <w:t>12 to &lt;18 years</w:t>
            </w:r>
          </w:p>
          <w:p w14:paraId="0056D783" w14:textId="77777777" w:rsidR="00634501" w:rsidRPr="001D6AE4" w:rsidRDefault="00634501" w:rsidP="00291451">
            <w:pPr>
              <w:pStyle w:val="DocumentText"/>
              <w:keepNext/>
              <w:spacing w:after="40" w:line="240" w:lineRule="auto"/>
              <w:jc w:val="center"/>
              <w:rPr>
                <w:b/>
                <w:sz w:val="22"/>
                <w:szCs w:val="22"/>
              </w:rPr>
            </w:pPr>
            <w:r w:rsidRPr="001D6AE4">
              <w:rPr>
                <w:b/>
                <w:sz w:val="22"/>
                <w:szCs w:val="22"/>
              </w:rPr>
              <w:t>(N = 10)</w:t>
            </w:r>
          </w:p>
        </w:tc>
      </w:tr>
      <w:tr w:rsidR="00634501" w:rsidRPr="001D6AE4" w14:paraId="6D0EA8D2" w14:textId="77777777" w:rsidTr="00634501">
        <w:tc>
          <w:tcPr>
            <w:tcW w:w="2410" w:type="dxa"/>
            <w:vAlign w:val="center"/>
          </w:tcPr>
          <w:p w14:paraId="0DA37EDA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IR (IU/dL)/(IU/kg)</w:t>
            </w:r>
          </w:p>
        </w:tc>
        <w:tc>
          <w:tcPr>
            <w:tcW w:w="2173" w:type="dxa"/>
            <w:vAlign w:val="center"/>
          </w:tcPr>
          <w:p w14:paraId="544620EC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1.60 (21.1)</w:t>
            </w:r>
          </w:p>
        </w:tc>
        <w:tc>
          <w:tcPr>
            <w:tcW w:w="2174" w:type="dxa"/>
          </w:tcPr>
          <w:p w14:paraId="2169F2A0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kern w:val="0"/>
                <w:sz w:val="22"/>
                <w:szCs w:val="22"/>
                <w:lang w:eastAsia="en-AU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1.66 (19.7)</w:t>
            </w:r>
          </w:p>
        </w:tc>
        <w:tc>
          <w:tcPr>
            <w:tcW w:w="2174" w:type="dxa"/>
          </w:tcPr>
          <w:p w14:paraId="788DA562" w14:textId="77777777" w:rsidR="00634501" w:rsidRPr="001D6AE4" w:rsidRDefault="001E2D84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kern w:val="0"/>
                <w:sz w:val="22"/>
                <w:szCs w:val="22"/>
                <w:lang w:eastAsia="en-AU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1.69 (24.8)</w:t>
            </w:r>
          </w:p>
        </w:tc>
      </w:tr>
      <w:tr w:rsidR="00634501" w:rsidRPr="001D6AE4" w14:paraId="720C62FB" w14:textId="77777777" w:rsidTr="00634501">
        <w:tc>
          <w:tcPr>
            <w:tcW w:w="2410" w:type="dxa"/>
            <w:vAlign w:val="center"/>
          </w:tcPr>
          <w:p w14:paraId="666F62AB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Cmax (IU/dL)</w:t>
            </w:r>
          </w:p>
        </w:tc>
        <w:tc>
          <w:tcPr>
            <w:tcW w:w="2173" w:type="dxa"/>
            <w:vAlign w:val="center"/>
          </w:tcPr>
          <w:p w14:paraId="5A2926FE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80.2 (20.6)</w:t>
            </w:r>
          </w:p>
        </w:tc>
        <w:tc>
          <w:tcPr>
            <w:tcW w:w="2174" w:type="dxa"/>
          </w:tcPr>
          <w:p w14:paraId="77C9B530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kern w:val="0"/>
                <w:sz w:val="22"/>
                <w:szCs w:val="22"/>
                <w:lang w:eastAsia="en-AU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83.5 (19.5)</w:t>
            </w:r>
          </w:p>
        </w:tc>
        <w:tc>
          <w:tcPr>
            <w:tcW w:w="2174" w:type="dxa"/>
          </w:tcPr>
          <w:p w14:paraId="1038E741" w14:textId="77777777" w:rsidR="00634501" w:rsidRPr="001D6AE4" w:rsidRDefault="001E2D84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kern w:val="0"/>
                <w:sz w:val="22"/>
                <w:szCs w:val="22"/>
                <w:lang w:eastAsia="en-AU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89.7 (24.8)</w:t>
            </w:r>
          </w:p>
        </w:tc>
      </w:tr>
      <w:tr w:rsidR="00634501" w:rsidRPr="001D6AE4" w14:paraId="79D025B0" w14:textId="77777777" w:rsidTr="00634501">
        <w:tc>
          <w:tcPr>
            <w:tcW w:w="2410" w:type="dxa"/>
            <w:vAlign w:val="center"/>
          </w:tcPr>
          <w:p w14:paraId="603E2421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rPr>
                <w:sz w:val="22"/>
                <w:szCs w:val="22"/>
                <w:lang w:val="de-DE"/>
              </w:rPr>
            </w:pPr>
            <w:r w:rsidRPr="001D6AE4">
              <w:rPr>
                <w:kern w:val="0"/>
                <w:sz w:val="22"/>
                <w:szCs w:val="22"/>
                <w:lang w:val="de-DE"/>
              </w:rPr>
              <w:t>AUC</w:t>
            </w:r>
            <w:r w:rsidRPr="001D6AE4">
              <w:rPr>
                <w:kern w:val="0"/>
                <w:sz w:val="22"/>
                <w:szCs w:val="22"/>
                <w:vertAlign w:val="subscript"/>
                <w:lang w:val="de-DE"/>
              </w:rPr>
              <w:t>0-inf</w:t>
            </w:r>
            <w:r w:rsidRPr="001D6AE4">
              <w:rPr>
                <w:kern w:val="0"/>
                <w:sz w:val="22"/>
                <w:szCs w:val="22"/>
                <w:lang w:val="de-DE"/>
              </w:rPr>
              <w:t xml:space="preserve"> (IU*h/dL)</w:t>
            </w:r>
          </w:p>
        </w:tc>
        <w:tc>
          <w:tcPr>
            <w:tcW w:w="2173" w:type="dxa"/>
            <w:vAlign w:val="center"/>
          </w:tcPr>
          <w:p w14:paraId="4AFCE3E0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1080 (31.0)</w:t>
            </w:r>
          </w:p>
        </w:tc>
        <w:tc>
          <w:tcPr>
            <w:tcW w:w="2174" w:type="dxa"/>
          </w:tcPr>
          <w:p w14:paraId="62BED2B4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kern w:val="0"/>
                <w:sz w:val="22"/>
                <w:szCs w:val="22"/>
                <w:lang w:eastAsia="en-AU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1170 (26.3)</w:t>
            </w:r>
          </w:p>
        </w:tc>
        <w:tc>
          <w:tcPr>
            <w:tcW w:w="2174" w:type="dxa"/>
          </w:tcPr>
          <w:p w14:paraId="4DA6246C" w14:textId="77777777" w:rsidR="00634501" w:rsidRPr="001D6AE4" w:rsidRDefault="001E2D84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kern w:val="0"/>
                <w:sz w:val="22"/>
                <w:szCs w:val="22"/>
                <w:lang w:eastAsia="en-AU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1540 (36.5)</w:t>
            </w:r>
          </w:p>
        </w:tc>
      </w:tr>
      <w:tr w:rsidR="00634501" w:rsidRPr="001D6AE4" w14:paraId="1787320A" w14:textId="77777777" w:rsidTr="00634501">
        <w:tc>
          <w:tcPr>
            <w:tcW w:w="2410" w:type="dxa"/>
            <w:vAlign w:val="center"/>
          </w:tcPr>
          <w:p w14:paraId="4142C4B4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t</w:t>
            </w:r>
            <w:r w:rsidRPr="001D6AE4">
              <w:rPr>
                <w:kern w:val="0"/>
                <w:sz w:val="22"/>
                <w:szCs w:val="22"/>
                <w:vertAlign w:val="subscript"/>
                <w:lang w:eastAsia="en-AU"/>
              </w:rPr>
              <w:t>1/2</w:t>
            </w:r>
            <w:r w:rsidRPr="001D6AE4">
              <w:rPr>
                <w:kern w:val="0"/>
                <w:sz w:val="22"/>
                <w:szCs w:val="22"/>
                <w:lang w:eastAsia="en-AU"/>
              </w:rPr>
              <w:t xml:space="preserve"> (h)</w:t>
            </w:r>
          </w:p>
        </w:tc>
        <w:tc>
          <w:tcPr>
            <w:tcW w:w="2173" w:type="dxa"/>
            <w:vAlign w:val="center"/>
          </w:tcPr>
          <w:p w14:paraId="3980F94B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10.4 (28.7)</w:t>
            </w:r>
          </w:p>
        </w:tc>
        <w:tc>
          <w:tcPr>
            <w:tcW w:w="2174" w:type="dxa"/>
          </w:tcPr>
          <w:p w14:paraId="23E88C29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kern w:val="0"/>
                <w:sz w:val="22"/>
                <w:szCs w:val="22"/>
                <w:lang w:eastAsia="en-AU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10.2 (19.4)</w:t>
            </w:r>
          </w:p>
        </w:tc>
        <w:tc>
          <w:tcPr>
            <w:tcW w:w="2174" w:type="dxa"/>
          </w:tcPr>
          <w:p w14:paraId="2B55D989" w14:textId="77777777" w:rsidR="00634501" w:rsidRPr="001D6AE4" w:rsidRDefault="001E2D84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kern w:val="0"/>
                <w:sz w:val="22"/>
                <w:szCs w:val="22"/>
                <w:lang w:eastAsia="en-AU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14.3 (33.3)</w:t>
            </w:r>
          </w:p>
        </w:tc>
      </w:tr>
      <w:tr w:rsidR="00634501" w:rsidRPr="001D6AE4" w14:paraId="6B4E2222" w14:textId="77777777" w:rsidTr="00634501">
        <w:tc>
          <w:tcPr>
            <w:tcW w:w="2410" w:type="dxa"/>
            <w:vAlign w:val="center"/>
          </w:tcPr>
          <w:p w14:paraId="3897783C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MRT (h)</w:t>
            </w:r>
          </w:p>
        </w:tc>
        <w:tc>
          <w:tcPr>
            <w:tcW w:w="2173" w:type="dxa"/>
            <w:vAlign w:val="center"/>
          </w:tcPr>
          <w:p w14:paraId="25EC5E08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12.4 (25.0)</w:t>
            </w:r>
          </w:p>
        </w:tc>
        <w:tc>
          <w:tcPr>
            <w:tcW w:w="2174" w:type="dxa"/>
          </w:tcPr>
          <w:p w14:paraId="77E01046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kern w:val="0"/>
                <w:sz w:val="22"/>
                <w:szCs w:val="22"/>
                <w:lang w:eastAsia="en-AU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12.3 (16.8)</w:t>
            </w:r>
          </w:p>
        </w:tc>
        <w:tc>
          <w:tcPr>
            <w:tcW w:w="2174" w:type="dxa"/>
          </w:tcPr>
          <w:p w14:paraId="69DD568C" w14:textId="77777777" w:rsidR="00634501" w:rsidRPr="001D6AE4" w:rsidRDefault="001E2D84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kern w:val="0"/>
                <w:sz w:val="22"/>
                <w:szCs w:val="22"/>
                <w:lang w:eastAsia="en-AU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20.0 (32.2)</w:t>
            </w:r>
          </w:p>
        </w:tc>
      </w:tr>
      <w:tr w:rsidR="00634501" w:rsidRPr="001D6AE4" w14:paraId="75528F71" w14:textId="77777777" w:rsidTr="00634501">
        <w:tc>
          <w:tcPr>
            <w:tcW w:w="2410" w:type="dxa"/>
            <w:vAlign w:val="center"/>
          </w:tcPr>
          <w:p w14:paraId="2F80540F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CL (mL/h/kg)</w:t>
            </w:r>
          </w:p>
        </w:tc>
        <w:tc>
          <w:tcPr>
            <w:tcW w:w="2173" w:type="dxa"/>
            <w:vAlign w:val="center"/>
          </w:tcPr>
          <w:p w14:paraId="692597E4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5.07 (29.6)</w:t>
            </w:r>
          </w:p>
        </w:tc>
        <w:tc>
          <w:tcPr>
            <w:tcW w:w="2174" w:type="dxa"/>
          </w:tcPr>
          <w:p w14:paraId="6240FADD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kern w:val="0"/>
                <w:sz w:val="22"/>
                <w:szCs w:val="22"/>
                <w:lang w:eastAsia="en-AU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4.63 (29.5)</w:t>
            </w:r>
          </w:p>
        </w:tc>
        <w:tc>
          <w:tcPr>
            <w:tcW w:w="2174" w:type="dxa"/>
          </w:tcPr>
          <w:p w14:paraId="71E4E5D8" w14:textId="77777777" w:rsidR="00634501" w:rsidRPr="001D6AE4" w:rsidRDefault="001E2D84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kern w:val="0"/>
                <w:sz w:val="22"/>
                <w:szCs w:val="22"/>
                <w:lang w:eastAsia="en-AU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3.80 (46.9)</w:t>
            </w:r>
          </w:p>
        </w:tc>
      </w:tr>
      <w:tr w:rsidR="00634501" w:rsidRPr="001D6AE4" w14:paraId="0795389E" w14:textId="77777777" w:rsidTr="00634501">
        <w:tc>
          <w:tcPr>
            <w:tcW w:w="2410" w:type="dxa"/>
            <w:vAlign w:val="center"/>
          </w:tcPr>
          <w:p w14:paraId="7B55EB8A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V</w:t>
            </w:r>
            <w:r w:rsidRPr="001D6AE4">
              <w:rPr>
                <w:kern w:val="0"/>
                <w:sz w:val="22"/>
                <w:szCs w:val="22"/>
                <w:vertAlign w:val="subscript"/>
                <w:lang w:eastAsia="en-AU"/>
              </w:rPr>
              <w:t>ss</w:t>
            </w:r>
            <w:r w:rsidRPr="001D6AE4">
              <w:rPr>
                <w:kern w:val="0"/>
                <w:sz w:val="22"/>
                <w:szCs w:val="22"/>
                <w:lang w:eastAsia="en-AU"/>
              </w:rPr>
              <w:t xml:space="preserve"> (mL/kg)</w:t>
            </w:r>
          </w:p>
        </w:tc>
        <w:tc>
          <w:tcPr>
            <w:tcW w:w="2173" w:type="dxa"/>
            <w:vAlign w:val="center"/>
          </w:tcPr>
          <w:p w14:paraId="2A3A1953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71.0 (11.8)</w:t>
            </w:r>
          </w:p>
        </w:tc>
        <w:tc>
          <w:tcPr>
            <w:tcW w:w="2174" w:type="dxa"/>
          </w:tcPr>
          <w:p w14:paraId="11EA594D" w14:textId="77777777" w:rsidR="00634501" w:rsidRPr="001D6AE4" w:rsidRDefault="00634501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kern w:val="0"/>
                <w:sz w:val="22"/>
                <w:szCs w:val="22"/>
                <w:lang w:eastAsia="en-AU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67.1 (22.3)</w:t>
            </w:r>
          </w:p>
        </w:tc>
        <w:tc>
          <w:tcPr>
            <w:tcW w:w="2174" w:type="dxa"/>
          </w:tcPr>
          <w:p w14:paraId="667091C6" w14:textId="77777777" w:rsidR="00634501" w:rsidRPr="001D6AE4" w:rsidRDefault="001E2D84" w:rsidP="00291451">
            <w:pPr>
              <w:pStyle w:val="DocumentText"/>
              <w:keepNext/>
              <w:spacing w:before="40" w:after="40" w:line="240" w:lineRule="auto"/>
              <w:jc w:val="center"/>
              <w:rPr>
                <w:kern w:val="0"/>
                <w:sz w:val="22"/>
                <w:szCs w:val="22"/>
                <w:lang w:eastAsia="en-AU"/>
              </w:rPr>
            </w:pPr>
            <w:r w:rsidRPr="001D6AE4">
              <w:rPr>
                <w:kern w:val="0"/>
                <w:sz w:val="22"/>
                <w:szCs w:val="22"/>
                <w:lang w:eastAsia="en-AU"/>
              </w:rPr>
              <w:t>68.5 (29.9)</w:t>
            </w:r>
          </w:p>
        </w:tc>
      </w:tr>
    </w:tbl>
    <w:p w14:paraId="02A9B728" w14:textId="77777777" w:rsidR="00B55AF6" w:rsidRDefault="00B55AF6" w:rsidP="00CF7AC0">
      <w:pPr>
        <w:pStyle w:val="TableFootnote"/>
        <w:keepNext w:val="0"/>
        <w:spacing w:after="240"/>
        <w:ind w:left="0" w:right="380" w:firstLine="0"/>
      </w:pPr>
      <w:r>
        <w:t>IR = incremental recovery recorded at 30 minutes after injection</w:t>
      </w:r>
      <w:r w:rsidR="007665A3">
        <w:t xml:space="preserve"> for subjects 12 to &lt;18 years and at 60 minutes after injection for subjects 1 to &lt;12 years</w:t>
      </w:r>
      <w:r>
        <w:t xml:space="preserve">; </w:t>
      </w:r>
      <w:r w:rsidR="00666D50">
        <w:t xml:space="preserve">Cmax = maximum concentration; </w:t>
      </w:r>
      <w:r>
        <w:t>AUC</w:t>
      </w:r>
      <w:r w:rsidRPr="00B55AF6">
        <w:rPr>
          <w:vertAlign w:val="subscript"/>
        </w:rPr>
        <w:t>0-inf</w:t>
      </w:r>
      <w:r>
        <w:t xml:space="preserve"> = area under the </w:t>
      </w:r>
      <w:r w:rsidR="00436EAB">
        <w:t>F</w:t>
      </w:r>
      <w:r>
        <w:t>VIII activity time curve extrapolated to infinity; t</w:t>
      </w:r>
      <w:r w:rsidRPr="00B55AF6">
        <w:rPr>
          <w:vertAlign w:val="subscript"/>
        </w:rPr>
        <w:t>1/2</w:t>
      </w:r>
      <w:r w:rsidRPr="00014FD1">
        <w:t xml:space="preserve"> </w:t>
      </w:r>
      <w:r>
        <w:t>= half-life; MRT = mean residence time; CL = body weight adjusted clearance; V</w:t>
      </w:r>
      <w:r w:rsidRPr="00B55AF6">
        <w:rPr>
          <w:vertAlign w:val="subscript"/>
        </w:rPr>
        <w:t>ss</w:t>
      </w:r>
      <w:r w:rsidRPr="00014FD1">
        <w:t xml:space="preserve"> </w:t>
      </w:r>
      <w:r>
        <w:t>= body weight adjusted volume of distribution at steady-state.</w:t>
      </w:r>
    </w:p>
    <w:p w14:paraId="43E41E05" w14:textId="2C7A3BEF" w:rsidR="00137C30" w:rsidRPr="00B1677F" w:rsidRDefault="00137C30" w:rsidP="00B55AF6">
      <w:pPr>
        <w:pStyle w:val="Heading2"/>
        <w:numPr>
          <w:ilvl w:val="0"/>
          <w:numId w:val="0"/>
        </w:numPr>
        <w:ind w:left="1901" w:hanging="1901"/>
      </w:pPr>
      <w:r w:rsidRPr="00B1677F">
        <w:t>CLINICAL TRIALS</w:t>
      </w:r>
    </w:p>
    <w:p w14:paraId="27050F3B" w14:textId="04635FDE" w:rsidR="00985419" w:rsidRDefault="00985419" w:rsidP="00985419">
      <w:pPr>
        <w:pStyle w:val="DocumentText"/>
      </w:pPr>
      <w:r>
        <w:t xml:space="preserve">The </w:t>
      </w:r>
      <w:r w:rsidR="00BD7B34">
        <w:t xml:space="preserve">pharmacokinetics, </w:t>
      </w:r>
      <w:r>
        <w:t>safety and efficacy of AFSTYLA</w:t>
      </w:r>
      <w:r w:rsidRPr="007C7BEE">
        <w:rPr>
          <w:vertAlign w:val="superscript"/>
        </w:rPr>
        <w:t>®</w:t>
      </w:r>
      <w:r>
        <w:t xml:space="preserve"> </w:t>
      </w:r>
      <w:r w:rsidR="00574647">
        <w:t xml:space="preserve">were </w:t>
      </w:r>
      <w:r>
        <w:t xml:space="preserve">evaluated in </w:t>
      </w:r>
      <w:r w:rsidR="00BD7B34">
        <w:t xml:space="preserve">two studies; </w:t>
      </w:r>
      <w:r>
        <w:t>a phase I/III study</w:t>
      </w:r>
      <w:r w:rsidR="00BD7B34">
        <w:t xml:space="preserve"> in adults/adolescents</w:t>
      </w:r>
      <w:r w:rsidR="00D4640D">
        <w:t xml:space="preserve"> (S</w:t>
      </w:r>
      <w:r w:rsidR="00032987">
        <w:t>tudy 1001)</w:t>
      </w:r>
      <w:r w:rsidR="00BD7B34">
        <w:t xml:space="preserve"> as well as a phase III study in children</w:t>
      </w:r>
      <w:r w:rsidR="00D4640D">
        <w:t xml:space="preserve"> (S</w:t>
      </w:r>
      <w:r w:rsidR="00032987">
        <w:t>tudy 3002)</w:t>
      </w:r>
      <w:r>
        <w:t>. Th</w:t>
      </w:r>
      <w:r w:rsidR="00BD7B34">
        <w:t>e</w:t>
      </w:r>
      <w:r>
        <w:t xml:space="preserve"> </w:t>
      </w:r>
      <w:r w:rsidR="00BD7B34">
        <w:t xml:space="preserve">studies </w:t>
      </w:r>
      <w:proofErr w:type="spellStart"/>
      <w:r>
        <w:t>characterised</w:t>
      </w:r>
      <w:proofErr w:type="spellEnd"/>
      <w:r>
        <w:t xml:space="preserve"> the PK of AFSTYLA</w:t>
      </w:r>
      <w:r w:rsidRPr="007C7BEE">
        <w:rPr>
          <w:vertAlign w:val="superscript"/>
        </w:rPr>
        <w:t>®</w:t>
      </w:r>
      <w:r>
        <w:t xml:space="preserve"> and determined haemostatic efficacy in the control of bleeding events, the prevention of bleeding events in prophylaxis and</w:t>
      </w:r>
      <w:r w:rsidR="00BD7B34">
        <w:t xml:space="preserve"> in the phase I/III adult/adolescent study</w:t>
      </w:r>
      <w:r>
        <w:t xml:space="preserve"> determined haemostatic efficacy during perioperative management in subjects undergoing surgical procedures.</w:t>
      </w:r>
    </w:p>
    <w:p w14:paraId="08260C73" w14:textId="45372F4C" w:rsidR="00985419" w:rsidRDefault="00985419" w:rsidP="00985419">
      <w:pPr>
        <w:pStyle w:val="DocumentText"/>
      </w:pPr>
      <w:r>
        <w:t>The</w:t>
      </w:r>
      <w:r w:rsidR="00BD7B34">
        <w:t xml:space="preserve"> adult/adolescent</w:t>
      </w:r>
      <w:r>
        <w:t xml:space="preserve"> study</w:t>
      </w:r>
      <w:r w:rsidR="00D4640D">
        <w:t xml:space="preserve"> </w:t>
      </w:r>
      <w:r>
        <w:t>enrolled a total of 175 previously treated male subjects with severe haemophilia</w:t>
      </w:r>
      <w:r w:rsidR="005A3867">
        <w:t> </w:t>
      </w:r>
      <w:r>
        <w:t>A (&lt;1% endogenous FVIII activity). Subjects ranged in age from 12 to 65</w:t>
      </w:r>
      <w:r w:rsidR="005A3867">
        <w:t> </w:t>
      </w:r>
      <w:r>
        <w:t>years, including 14 adolescent subjects (≥12 to &lt;18</w:t>
      </w:r>
      <w:r w:rsidR="005A3867">
        <w:t> </w:t>
      </w:r>
      <w:r>
        <w:t>years). Of the 175 enrolled subjects, 174 received at least one dose of AFSTYLA</w:t>
      </w:r>
      <w:r w:rsidRPr="007C7BEE">
        <w:rPr>
          <w:vertAlign w:val="superscript"/>
        </w:rPr>
        <w:t>®</w:t>
      </w:r>
      <w:r>
        <w:t xml:space="preserve"> and 173 (99%) were evaluable for efficacy. A total of 161 subjects (92.5%) completed the study.</w:t>
      </w:r>
    </w:p>
    <w:p w14:paraId="36B84C3A" w14:textId="7DEB4A39" w:rsidR="00985419" w:rsidRDefault="00985419" w:rsidP="00985419">
      <w:pPr>
        <w:pStyle w:val="DocumentText"/>
      </w:pPr>
      <w:r>
        <w:t>A total of 120 (69.0%) subjects were treated for at least 50 exposure days (EDs) and 52 (29.9%) of those subjects were treated for at least 100</w:t>
      </w:r>
      <w:r w:rsidR="005A3867">
        <w:t> </w:t>
      </w:r>
      <w:r>
        <w:t>EDs. Subjects received a total of 14,592 injections with a median of 67.0 (range 1 to 395 injections per subject).</w:t>
      </w:r>
    </w:p>
    <w:p w14:paraId="10B1BA51" w14:textId="3D4C9D1F" w:rsidR="00035005" w:rsidRDefault="00BD7B34" w:rsidP="00035005">
      <w:pPr>
        <w:pStyle w:val="DocumentText"/>
      </w:pPr>
      <w:r>
        <w:t xml:space="preserve">The </w:t>
      </w:r>
      <w:proofErr w:type="spellStart"/>
      <w:r>
        <w:t>paediatric</w:t>
      </w:r>
      <w:proofErr w:type="spellEnd"/>
      <w:r>
        <w:t xml:space="preserve"> study</w:t>
      </w:r>
      <w:r w:rsidR="00D4640D">
        <w:t xml:space="preserve"> </w:t>
      </w:r>
      <w:r>
        <w:t xml:space="preserve">enrolled </w:t>
      </w:r>
      <w:r w:rsidR="00985419">
        <w:t>84 previously treated</w:t>
      </w:r>
      <w:r>
        <w:t xml:space="preserve"> male</w:t>
      </w:r>
      <w:r w:rsidR="00985419">
        <w:t xml:space="preserve"> subjects</w:t>
      </w:r>
      <w:r>
        <w:t xml:space="preserve"> with severe haemophil</w:t>
      </w:r>
      <w:r w:rsidR="00D96C02">
        <w:t>i</w:t>
      </w:r>
      <w:r>
        <w:t>a</w:t>
      </w:r>
      <w:r w:rsidR="005A3867">
        <w:t> </w:t>
      </w:r>
      <w:r>
        <w:t>A</w:t>
      </w:r>
      <w:r w:rsidR="00985419">
        <w:t xml:space="preserve"> (35 subjects 0 to &lt;6</w:t>
      </w:r>
      <w:r w:rsidR="005A3867">
        <w:t> </w:t>
      </w:r>
      <w:r w:rsidR="00985419">
        <w:t>years and 49 subjects ≥6 to &lt;12</w:t>
      </w:r>
      <w:r w:rsidR="005A3867">
        <w:t> </w:t>
      </w:r>
      <w:r w:rsidR="00985419">
        <w:t>years)</w:t>
      </w:r>
      <w:r>
        <w:t xml:space="preserve">. Of the 84 enrolled subjects, all </w:t>
      </w:r>
      <w:r w:rsidR="00985419">
        <w:t>received at least 1 dose of AFSTYLA</w:t>
      </w:r>
      <w:r w:rsidR="00985419" w:rsidRPr="007C7BEE">
        <w:rPr>
          <w:vertAlign w:val="superscript"/>
        </w:rPr>
        <w:t>®</w:t>
      </w:r>
      <w:r w:rsidR="00985419">
        <w:t xml:space="preserve"> </w:t>
      </w:r>
      <w:r w:rsidR="00B9125F">
        <w:t>and 83 (99%) were evaluable for efficacy</w:t>
      </w:r>
      <w:r w:rsidR="00985419">
        <w:t xml:space="preserve">. A </w:t>
      </w:r>
      <w:r w:rsidR="00985419" w:rsidRPr="001B6BC2">
        <w:t>total of 65 (77.4 %) subjects were treated for at least 50</w:t>
      </w:r>
      <w:r w:rsidR="005A3867">
        <w:t> </w:t>
      </w:r>
      <w:r w:rsidR="00985419" w:rsidRPr="001B6BC2">
        <w:t>EDs and 8 (9.5%) of those subjects</w:t>
      </w:r>
      <w:r w:rsidR="00985419">
        <w:t xml:space="preserve"> were treated for at least 100</w:t>
      </w:r>
      <w:r w:rsidR="005A3867">
        <w:t> </w:t>
      </w:r>
      <w:r w:rsidR="00985419">
        <w:t>EDs. Subjects received a total of 5,313 injections with a median of 59 (range 4 to 145 injections per subject).</w:t>
      </w:r>
    </w:p>
    <w:p w14:paraId="2077B084" w14:textId="77777777" w:rsidR="00745E5B" w:rsidRDefault="00745E5B" w:rsidP="00745E5B">
      <w:pPr>
        <w:pStyle w:val="Heading3"/>
        <w:numPr>
          <w:ilvl w:val="0"/>
          <w:numId w:val="0"/>
        </w:numPr>
      </w:pPr>
      <w:r w:rsidRPr="00035005">
        <w:lastRenderedPageBreak/>
        <w:t xml:space="preserve">Control and </w:t>
      </w:r>
      <w:r>
        <w:t>p</w:t>
      </w:r>
      <w:r w:rsidRPr="00035005">
        <w:t xml:space="preserve">revention of </w:t>
      </w:r>
      <w:r>
        <w:t>b</w:t>
      </w:r>
      <w:r w:rsidRPr="00035005">
        <w:t xml:space="preserve">leeding </w:t>
      </w:r>
      <w:r>
        <w:t>e</w:t>
      </w:r>
      <w:r w:rsidRPr="00035005">
        <w:t>pisodes</w:t>
      </w:r>
    </w:p>
    <w:p w14:paraId="64ACE1C4" w14:textId="77777777" w:rsidR="00C94FF2" w:rsidRDefault="00F95846" w:rsidP="00745E5B">
      <w:pPr>
        <w:pStyle w:val="DocumentText"/>
        <w:rPr>
          <w:b/>
          <w:i/>
          <w:sz w:val="28"/>
          <w:szCs w:val="28"/>
        </w:rPr>
      </w:pPr>
      <w:r w:rsidRPr="0082193A">
        <w:rPr>
          <w:b/>
          <w:i/>
          <w:sz w:val="28"/>
          <w:szCs w:val="28"/>
        </w:rPr>
        <w:t>Adult and adolescent subjects (≥12 to 65 years of age)</w:t>
      </w:r>
    </w:p>
    <w:p w14:paraId="2ABB71B9" w14:textId="1EBCCA9B" w:rsidR="00745E5B" w:rsidRPr="00C94FF2" w:rsidRDefault="00D4640D" w:rsidP="00745E5B">
      <w:pPr>
        <w:pStyle w:val="DocumentText"/>
        <w:rPr>
          <w:b/>
          <w:i/>
          <w:sz w:val="28"/>
          <w:szCs w:val="28"/>
        </w:rPr>
      </w:pPr>
      <w:r>
        <w:t>In the adult/adolescent study</w:t>
      </w:r>
      <w:r w:rsidR="00B9125F">
        <w:t xml:space="preserve"> a</w:t>
      </w:r>
      <w:r w:rsidR="00745E5B" w:rsidRPr="00BA652A">
        <w:t xml:space="preserve"> total of 848 bleeding episodes were treated with </w:t>
      </w:r>
      <w:r w:rsidR="00745E5B" w:rsidRPr="00B55AF6">
        <w:t>AFSTYLA</w:t>
      </w:r>
      <w:r w:rsidR="00745E5B" w:rsidRPr="00B55AF6">
        <w:rPr>
          <w:vertAlign w:val="superscript"/>
        </w:rPr>
        <w:t>®</w:t>
      </w:r>
      <w:r w:rsidR="00745E5B" w:rsidRPr="00BA652A">
        <w:t xml:space="preserve"> and 835 received an efficacy assessment by the investigator. The majority of the bleeding episodes were </w:t>
      </w:r>
      <w:proofErr w:type="spellStart"/>
      <w:r w:rsidR="00745E5B" w:rsidRPr="00BA652A">
        <w:t>locali</w:t>
      </w:r>
      <w:r w:rsidR="00745E5B">
        <w:t>sed</w:t>
      </w:r>
      <w:proofErr w:type="spellEnd"/>
      <w:r w:rsidR="00745E5B">
        <w:t xml:space="preserve"> in joints.</w:t>
      </w:r>
    </w:p>
    <w:p w14:paraId="7406A1C4" w14:textId="7C1631C1" w:rsidR="00745E5B" w:rsidRPr="001512FA" w:rsidRDefault="00745E5B" w:rsidP="001512FA">
      <w:pPr>
        <w:pStyle w:val="DocumentText"/>
      </w:pPr>
      <w:r w:rsidRPr="00BA652A">
        <w:t>The median dose per injection used to treat a bleeding episode was 31.7</w:t>
      </w:r>
      <w:r>
        <w:t> IU/kg.</w:t>
      </w:r>
      <w:r w:rsidRPr="001512FA">
        <w:t xml:space="preserve"> Of these 848</w:t>
      </w:r>
      <w:r>
        <w:t> </w:t>
      </w:r>
      <w:r w:rsidRPr="001512FA">
        <w:t>bleeding episodes, 686</w:t>
      </w:r>
      <w:r>
        <w:t> </w:t>
      </w:r>
      <w:r w:rsidRPr="001512FA">
        <w:t xml:space="preserve">(81.0%) were controlled with a single </w:t>
      </w:r>
      <w:r>
        <w:t>AFSTYLA</w:t>
      </w:r>
      <w:r w:rsidRPr="001512FA">
        <w:rPr>
          <w:vertAlign w:val="superscript"/>
        </w:rPr>
        <w:t>®</w:t>
      </w:r>
      <w:r>
        <w:t xml:space="preserve"> </w:t>
      </w:r>
      <w:r w:rsidRPr="001512FA">
        <w:t>injection and another 107</w:t>
      </w:r>
      <w:r>
        <w:t> </w:t>
      </w:r>
      <w:r w:rsidRPr="001512FA">
        <w:t>(13%) wer</w:t>
      </w:r>
      <w:r w:rsidR="00351F5C">
        <w:t xml:space="preserve">e controlled with 2 injections. </w:t>
      </w:r>
      <w:r w:rsidRPr="001512FA">
        <w:t>Fifty-five</w:t>
      </w:r>
      <w:r w:rsidR="00351F5C">
        <w:t xml:space="preserve"> (6%)</w:t>
      </w:r>
      <w:r w:rsidRPr="001512FA">
        <w:t xml:space="preserve"> of the 848 bleeding episodes required 3 or more injections.</w:t>
      </w:r>
    </w:p>
    <w:p w14:paraId="508474F7" w14:textId="0488029F" w:rsidR="00F95846" w:rsidRDefault="00745E5B" w:rsidP="001512FA">
      <w:pPr>
        <w:pStyle w:val="DocumentText"/>
      </w:pPr>
      <w:r w:rsidRPr="001512FA">
        <w:t>For 94% of bleeding episodes the haemostatic efficacy rating evaluated by the investigator was either excellent or good.</w:t>
      </w:r>
    </w:p>
    <w:p w14:paraId="70D94DE6" w14:textId="7E10A8AC" w:rsidR="00F95846" w:rsidRDefault="00F95846" w:rsidP="001512FA">
      <w:pPr>
        <w:pStyle w:val="DocumentText"/>
      </w:pPr>
      <w:r w:rsidRPr="00BA652A">
        <w:t>Efficacy in control of bleeding episodes</w:t>
      </w:r>
      <w:r>
        <w:t xml:space="preserve"> </w:t>
      </w:r>
      <w:r w:rsidRPr="00BA652A">
        <w:t>is summari</w:t>
      </w:r>
      <w:r>
        <w:t>s</w:t>
      </w:r>
      <w:r w:rsidRPr="00BA652A">
        <w:t xml:space="preserve">ed in </w:t>
      </w:r>
      <w:r w:rsidRPr="006A4D68">
        <w:rPr>
          <w:b/>
        </w:rPr>
        <w:t xml:space="preserve">Table </w:t>
      </w:r>
      <w:r>
        <w:rPr>
          <w:b/>
        </w:rPr>
        <w:t>4</w:t>
      </w:r>
      <w:r w:rsidRPr="00BA652A">
        <w:t>.</w:t>
      </w:r>
    </w:p>
    <w:p w14:paraId="342849ED" w14:textId="77777777" w:rsidR="00F95846" w:rsidRPr="0082193A" w:rsidRDefault="00F95846" w:rsidP="00F95846">
      <w:pPr>
        <w:pStyle w:val="DocumentText"/>
        <w:keepNext/>
        <w:spacing w:after="120"/>
        <w:rPr>
          <w:b/>
          <w:i/>
          <w:sz w:val="28"/>
          <w:szCs w:val="28"/>
        </w:rPr>
      </w:pPr>
      <w:r w:rsidRPr="0082193A">
        <w:rPr>
          <w:b/>
          <w:i/>
          <w:sz w:val="28"/>
          <w:szCs w:val="28"/>
        </w:rPr>
        <w:t>P</w:t>
      </w:r>
      <w:r>
        <w:rPr>
          <w:b/>
          <w:i/>
          <w:sz w:val="28"/>
          <w:szCs w:val="28"/>
        </w:rPr>
        <w:t>a</w:t>
      </w:r>
      <w:r w:rsidRPr="0082193A">
        <w:rPr>
          <w:b/>
          <w:i/>
          <w:sz w:val="28"/>
          <w:szCs w:val="28"/>
        </w:rPr>
        <w:t>ediatric subjects (0 to &lt;12 years of age)</w:t>
      </w:r>
    </w:p>
    <w:p w14:paraId="7E94770A" w14:textId="5E0E16D7" w:rsidR="00B9125F" w:rsidRPr="001512FA" w:rsidRDefault="00B9125F" w:rsidP="001512FA">
      <w:pPr>
        <w:pStyle w:val="DocumentText"/>
      </w:pPr>
      <w:r w:rsidRPr="001512FA">
        <w:t xml:space="preserve">In the </w:t>
      </w:r>
      <w:proofErr w:type="spellStart"/>
      <w:r w:rsidRPr="001512FA">
        <w:t>paediatric</w:t>
      </w:r>
      <w:proofErr w:type="spellEnd"/>
      <w:r w:rsidRPr="001512FA">
        <w:t xml:space="preserve"> study a total of 347</w:t>
      </w:r>
      <w:r w:rsidR="005A3867">
        <w:t> </w:t>
      </w:r>
      <w:r w:rsidRPr="001512FA">
        <w:t>bleeding episodes were treated with AFSTYLA</w:t>
      </w:r>
      <w:r w:rsidRPr="001512FA">
        <w:rPr>
          <w:vertAlign w:val="superscript"/>
        </w:rPr>
        <w:t>®</w:t>
      </w:r>
      <w:r w:rsidR="00D4640D">
        <w:t xml:space="preserve"> </w:t>
      </w:r>
      <w:r w:rsidRPr="001512FA">
        <w:t xml:space="preserve">all of which received an efficacy assessment by the investigator. The majority of the bleeding episodes were </w:t>
      </w:r>
      <w:proofErr w:type="spellStart"/>
      <w:r w:rsidRPr="001512FA">
        <w:t>localised</w:t>
      </w:r>
      <w:proofErr w:type="spellEnd"/>
      <w:r w:rsidRPr="001512FA">
        <w:t xml:space="preserve"> in joints.</w:t>
      </w:r>
    </w:p>
    <w:p w14:paraId="28E8677C" w14:textId="681FF6E1" w:rsidR="00B9125F" w:rsidRPr="001512FA" w:rsidRDefault="00B9125F" w:rsidP="001512FA">
      <w:pPr>
        <w:pStyle w:val="DocumentText"/>
      </w:pPr>
      <w:r w:rsidRPr="001512FA">
        <w:t>The median dose per injection used to treat a ble</w:t>
      </w:r>
      <w:r w:rsidR="00313AF7" w:rsidRPr="001512FA">
        <w:t>eding episode was 27.3 </w:t>
      </w:r>
      <w:r w:rsidRPr="001512FA">
        <w:t>IU/kg. Of the 347 bleeding episodes, 298 (86%) were controlled with a single AFSTYLA</w:t>
      </w:r>
      <w:r w:rsidRPr="001512FA">
        <w:rPr>
          <w:vertAlign w:val="superscript"/>
        </w:rPr>
        <w:t>®</w:t>
      </w:r>
      <w:r w:rsidRPr="001512FA">
        <w:t xml:space="preserve"> injection and another 34 (10%) were controlled with 2 injections. Fifteen (4%) of the 347 bleeding episodes required 3 or more injections.</w:t>
      </w:r>
    </w:p>
    <w:p w14:paraId="452E0A7F" w14:textId="75A96002" w:rsidR="00B9125F" w:rsidRPr="00B9125F" w:rsidRDefault="00B9125F" w:rsidP="001512FA">
      <w:pPr>
        <w:pStyle w:val="DocumentText"/>
      </w:pPr>
      <w:r w:rsidRPr="001512FA">
        <w:t>For 96% of bleeding episodes the haemostatic efficacy rating evaluated by the investigator was either excellent or good.</w:t>
      </w:r>
    </w:p>
    <w:p w14:paraId="607895DB" w14:textId="550A4116" w:rsidR="00745E5B" w:rsidRDefault="00745E5B" w:rsidP="00745E5B">
      <w:pPr>
        <w:pStyle w:val="DocumentText"/>
      </w:pPr>
      <w:r w:rsidRPr="00BA652A">
        <w:t>Efficacy in control of bleeding episodes</w:t>
      </w:r>
      <w:r w:rsidR="007F0D75">
        <w:t xml:space="preserve"> </w:t>
      </w:r>
      <w:r w:rsidRPr="00BA652A">
        <w:t>is summari</w:t>
      </w:r>
      <w:r>
        <w:t>s</w:t>
      </w:r>
      <w:r w:rsidRPr="00BA652A">
        <w:t xml:space="preserve">ed in </w:t>
      </w:r>
      <w:r w:rsidRPr="006A4D68">
        <w:rPr>
          <w:b/>
        </w:rPr>
        <w:t>Table</w:t>
      </w:r>
      <w:r w:rsidR="005A3867">
        <w:rPr>
          <w:b/>
        </w:rPr>
        <w:t> </w:t>
      </w:r>
      <w:r w:rsidR="003373A7">
        <w:rPr>
          <w:b/>
        </w:rPr>
        <w:t>4</w:t>
      </w:r>
      <w:r w:rsidRPr="00BA652A">
        <w:t>.</w:t>
      </w:r>
    </w:p>
    <w:p w14:paraId="0D19D05F" w14:textId="28A591BA" w:rsidR="00745E5B" w:rsidRPr="006A4D68" w:rsidRDefault="00745E5B" w:rsidP="00745E5B">
      <w:pPr>
        <w:pStyle w:val="Caption"/>
        <w:ind w:left="0" w:firstLine="0"/>
      </w:pPr>
      <w:r w:rsidRPr="006A4D68">
        <w:lastRenderedPageBreak/>
        <w:t xml:space="preserve">Table </w:t>
      </w:r>
      <w:r w:rsidR="003373A7">
        <w:t>4</w:t>
      </w:r>
      <w:r w:rsidRPr="006A4D68">
        <w:t xml:space="preserve">: Efficacy* of </w:t>
      </w:r>
      <w:r w:rsidRPr="00B55AF6">
        <w:t>AFSTYLA</w:t>
      </w:r>
      <w:r w:rsidRPr="006A4D68">
        <w:rPr>
          <w:vertAlign w:val="superscript"/>
        </w:rPr>
        <w:t>®</w:t>
      </w:r>
      <w:r w:rsidRPr="006A4D68">
        <w:t xml:space="preserve"> in control of bleeding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  <w:gridCol w:w="2693"/>
      </w:tblGrid>
      <w:tr w:rsidR="00B9125F" w:rsidRPr="00AB6526" w14:paraId="2E3C8457" w14:textId="495C7127" w:rsidTr="00A20E3C"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25B8FE0" w14:textId="77777777" w:rsidR="00B9125F" w:rsidRPr="00AB6526" w:rsidRDefault="00B9125F" w:rsidP="001D49AF">
            <w:pPr>
              <w:pStyle w:val="Default"/>
              <w:keepNext/>
              <w:widowControl w:val="0"/>
              <w:spacing w:before="40" w:after="40"/>
              <w:ind w:right="-1440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1527B98" w14:textId="0B856DBD" w:rsidR="002D326D" w:rsidRDefault="002D326D" w:rsidP="002D326D">
            <w:pPr>
              <w:pStyle w:val="Default"/>
              <w:keepNext/>
              <w:widowControl w:val="0"/>
              <w:spacing w:before="40"/>
              <w:ind w:right="7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Adult/Adolescent</w:t>
            </w:r>
          </w:p>
          <w:p w14:paraId="7DAB4329" w14:textId="5FFFF01B" w:rsidR="00F95846" w:rsidRPr="00BE1CB2" w:rsidRDefault="002D326D" w:rsidP="002D326D">
            <w:pPr>
              <w:pStyle w:val="Default"/>
              <w:keepNext/>
              <w:widowControl w:val="0"/>
              <w:spacing w:before="40" w:after="40"/>
              <w:ind w:right="74"/>
              <w:jc w:val="center"/>
              <w:rPr>
                <w:b/>
                <w:sz w:val="22"/>
                <w:szCs w:val="22"/>
              </w:rPr>
            </w:pPr>
            <w:r w:rsidRPr="00BE1CB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S</w:t>
            </w:r>
            <w:r w:rsidRPr="00BE1CB2">
              <w:rPr>
                <w:b/>
                <w:sz w:val="22"/>
                <w:szCs w:val="22"/>
              </w:rPr>
              <w:t xml:space="preserve">tudy </w:t>
            </w:r>
            <w:r>
              <w:rPr>
                <w:b/>
                <w:sz w:val="22"/>
                <w:szCs w:val="22"/>
              </w:rPr>
              <w:t>1001</w:t>
            </w:r>
            <w:r w:rsidR="00FF5FB1">
              <w:rPr>
                <w:b/>
                <w:sz w:val="22"/>
                <w:szCs w:val="22"/>
              </w:rPr>
              <w:t xml:space="preserve">; </w:t>
            </w:r>
            <w:r>
              <w:rPr>
                <w:b/>
                <w:sz w:val="22"/>
                <w:szCs w:val="22"/>
              </w:rPr>
              <w:t>≥</w:t>
            </w:r>
            <w:r w:rsidRPr="00BE1CB2">
              <w:rPr>
                <w:b/>
                <w:sz w:val="22"/>
                <w:szCs w:val="22"/>
              </w:rPr>
              <w:t xml:space="preserve">12 </w:t>
            </w:r>
            <w:r>
              <w:rPr>
                <w:b/>
                <w:sz w:val="22"/>
                <w:szCs w:val="22"/>
              </w:rPr>
              <w:t xml:space="preserve">to 65 </w:t>
            </w:r>
            <w:r w:rsidRPr="00BE1CB2">
              <w:rPr>
                <w:b/>
                <w:sz w:val="22"/>
                <w:szCs w:val="22"/>
              </w:rPr>
              <w:t>years of age)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B19F4EF" w14:textId="6BCD0C66" w:rsidR="008F2333" w:rsidRDefault="00B9125F" w:rsidP="002D326D">
            <w:pPr>
              <w:pStyle w:val="Default"/>
              <w:keepNext/>
              <w:widowControl w:val="0"/>
              <w:spacing w:before="40"/>
              <w:ind w:right="74"/>
              <w:jc w:val="center"/>
              <w:rPr>
                <w:b/>
                <w:sz w:val="22"/>
                <w:szCs w:val="22"/>
              </w:rPr>
            </w:pPr>
            <w:r w:rsidRPr="00BE1CB2">
              <w:rPr>
                <w:b/>
                <w:sz w:val="22"/>
                <w:szCs w:val="22"/>
              </w:rPr>
              <w:t>P</w:t>
            </w:r>
            <w:r w:rsidR="00D66F11" w:rsidRPr="00BE1CB2">
              <w:rPr>
                <w:b/>
                <w:sz w:val="22"/>
                <w:szCs w:val="22"/>
              </w:rPr>
              <w:t>a</w:t>
            </w:r>
            <w:r w:rsidRPr="00BE1CB2">
              <w:rPr>
                <w:b/>
                <w:sz w:val="22"/>
                <w:szCs w:val="22"/>
              </w:rPr>
              <w:t>ediatric</w:t>
            </w:r>
          </w:p>
          <w:p w14:paraId="7A6DAEAB" w14:textId="480C1F91" w:rsidR="00F95846" w:rsidRPr="00BE1CB2" w:rsidRDefault="00B9125F" w:rsidP="002D326D">
            <w:pPr>
              <w:pStyle w:val="Default"/>
              <w:keepNext/>
              <w:widowControl w:val="0"/>
              <w:spacing w:before="40" w:after="40"/>
              <w:ind w:right="74"/>
              <w:jc w:val="center"/>
              <w:rPr>
                <w:b/>
                <w:sz w:val="22"/>
                <w:szCs w:val="22"/>
              </w:rPr>
            </w:pPr>
            <w:r w:rsidRPr="00BE1CB2">
              <w:rPr>
                <w:b/>
                <w:sz w:val="22"/>
                <w:szCs w:val="22"/>
              </w:rPr>
              <w:t>(</w:t>
            </w:r>
            <w:r w:rsidR="00E30A6A">
              <w:rPr>
                <w:b/>
                <w:sz w:val="22"/>
                <w:szCs w:val="22"/>
              </w:rPr>
              <w:t>S</w:t>
            </w:r>
            <w:r w:rsidR="00F95846" w:rsidRPr="00BE1CB2">
              <w:rPr>
                <w:b/>
                <w:sz w:val="22"/>
                <w:szCs w:val="22"/>
              </w:rPr>
              <w:t xml:space="preserve">tudy 3002; 0 to </w:t>
            </w:r>
            <w:r w:rsidRPr="00BE1CB2">
              <w:rPr>
                <w:b/>
                <w:sz w:val="22"/>
                <w:szCs w:val="22"/>
              </w:rPr>
              <w:t>&lt;12 years of age)</w:t>
            </w:r>
          </w:p>
        </w:tc>
      </w:tr>
      <w:tr w:rsidR="00B9125F" w:rsidRPr="00AB6526" w14:paraId="4BFB1048" w14:textId="5CD2DD97" w:rsidTr="00A20E3C">
        <w:tc>
          <w:tcPr>
            <w:tcW w:w="3969" w:type="dxa"/>
            <w:shd w:val="clear" w:color="auto" w:fill="FFFFFF" w:themeFill="background1"/>
            <w:vAlign w:val="center"/>
          </w:tcPr>
          <w:p w14:paraId="62ADCE9A" w14:textId="77777777" w:rsidR="00B9125F" w:rsidRPr="00BE1CB2" w:rsidRDefault="00B9125F" w:rsidP="001D49AF">
            <w:pPr>
              <w:pStyle w:val="Default"/>
              <w:keepNext/>
              <w:widowControl w:val="0"/>
              <w:spacing w:before="40" w:after="40"/>
              <w:ind w:right="-1440"/>
              <w:jc w:val="both"/>
              <w:rPr>
                <w:sz w:val="22"/>
                <w:szCs w:val="22"/>
              </w:rPr>
            </w:pPr>
            <w:r w:rsidRPr="00BE1CB2">
              <w:rPr>
                <w:b/>
                <w:bCs/>
                <w:sz w:val="22"/>
                <w:szCs w:val="22"/>
              </w:rPr>
              <w:t>Bleeding Episodes Treated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0DBD159" w14:textId="77777777" w:rsidR="00B9125F" w:rsidRPr="00BE1CB2" w:rsidRDefault="00B9125F" w:rsidP="001D49AF">
            <w:pPr>
              <w:pStyle w:val="Default"/>
              <w:keepNext/>
              <w:widowControl w:val="0"/>
              <w:spacing w:before="40" w:after="40"/>
              <w:ind w:right="72"/>
              <w:jc w:val="center"/>
              <w:rPr>
                <w:sz w:val="22"/>
                <w:szCs w:val="22"/>
              </w:rPr>
            </w:pPr>
            <w:r w:rsidRPr="00BE1CB2">
              <w:rPr>
                <w:b/>
                <w:sz w:val="22"/>
                <w:szCs w:val="22"/>
              </w:rPr>
              <w:t>(N = 848)</w:t>
            </w:r>
          </w:p>
        </w:tc>
        <w:tc>
          <w:tcPr>
            <w:tcW w:w="2693" w:type="dxa"/>
            <w:shd w:val="clear" w:color="auto" w:fill="FFFFFF" w:themeFill="background1"/>
          </w:tcPr>
          <w:p w14:paraId="208BD348" w14:textId="4E099039" w:rsidR="00B9125F" w:rsidRPr="00BE1CB2" w:rsidRDefault="00B9125F" w:rsidP="001D49AF">
            <w:pPr>
              <w:pStyle w:val="Default"/>
              <w:keepNext/>
              <w:widowControl w:val="0"/>
              <w:spacing w:before="40" w:after="40"/>
              <w:ind w:right="72"/>
              <w:jc w:val="center"/>
              <w:rPr>
                <w:b/>
                <w:sz w:val="22"/>
                <w:szCs w:val="22"/>
              </w:rPr>
            </w:pPr>
            <w:r w:rsidRPr="00BE1CB2">
              <w:rPr>
                <w:b/>
                <w:sz w:val="22"/>
                <w:szCs w:val="22"/>
              </w:rPr>
              <w:t>(N</w:t>
            </w:r>
            <w:r w:rsidR="00D96C02" w:rsidRPr="00BE1CB2">
              <w:rPr>
                <w:b/>
                <w:sz w:val="22"/>
                <w:szCs w:val="22"/>
              </w:rPr>
              <w:t xml:space="preserve"> </w:t>
            </w:r>
            <w:r w:rsidRPr="00BE1CB2">
              <w:rPr>
                <w:b/>
                <w:sz w:val="22"/>
                <w:szCs w:val="22"/>
              </w:rPr>
              <w:t>=</w:t>
            </w:r>
            <w:r w:rsidR="00D96C02" w:rsidRPr="00BE1CB2">
              <w:rPr>
                <w:b/>
                <w:sz w:val="22"/>
                <w:szCs w:val="22"/>
              </w:rPr>
              <w:t xml:space="preserve"> </w:t>
            </w:r>
            <w:r w:rsidRPr="00BE1CB2">
              <w:rPr>
                <w:b/>
                <w:sz w:val="22"/>
                <w:szCs w:val="22"/>
              </w:rPr>
              <w:t>347)</w:t>
            </w:r>
          </w:p>
        </w:tc>
      </w:tr>
      <w:tr w:rsidR="00B9125F" w:rsidRPr="00AB6526" w14:paraId="64DD4AA8" w14:textId="2F353A70" w:rsidTr="00BE1CB2">
        <w:tc>
          <w:tcPr>
            <w:tcW w:w="3969" w:type="dxa"/>
            <w:tcBorders>
              <w:bottom w:val="nil"/>
            </w:tcBorders>
            <w:shd w:val="clear" w:color="auto" w:fill="auto"/>
            <w:vAlign w:val="center"/>
          </w:tcPr>
          <w:p w14:paraId="79AC88E6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-1440"/>
              <w:jc w:val="both"/>
              <w:rPr>
                <w:sz w:val="22"/>
                <w:szCs w:val="22"/>
              </w:rPr>
            </w:pPr>
            <w:r w:rsidRPr="00BE1CB2">
              <w:rPr>
                <w:b/>
                <w:bCs/>
                <w:sz w:val="22"/>
                <w:szCs w:val="22"/>
              </w:rPr>
              <w:t>Number of injections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6B0CCB39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280FA6E4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9125F" w:rsidRPr="00AB6526" w14:paraId="168A4112" w14:textId="7B824840" w:rsidTr="00BE1CB2"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86001A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left="180" w:right="-1440"/>
              <w:jc w:val="both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1 injection, n (%)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BE9C97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72"/>
              <w:jc w:val="center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686 (81%)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01AADC5" w14:textId="7D80AC60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72"/>
              <w:jc w:val="center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298 (86%)</w:t>
            </w:r>
          </w:p>
        </w:tc>
      </w:tr>
      <w:tr w:rsidR="00B9125F" w:rsidRPr="00AB6526" w14:paraId="7ABF5472" w14:textId="2A893569" w:rsidTr="00BE1CB2">
        <w:trPr>
          <w:trHeight w:val="60"/>
        </w:trPr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EF1ED0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left="180" w:right="-1440"/>
              <w:jc w:val="both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2 injections, n (%)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7DF226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72"/>
              <w:jc w:val="center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107 (13%)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D2C4A0" w14:textId="090186FD" w:rsidR="00B9125F" w:rsidRPr="00BE1CB2" w:rsidRDefault="00A73401" w:rsidP="001D49AF">
            <w:pPr>
              <w:keepNext/>
              <w:widowControl w:val="0"/>
              <w:spacing w:before="40" w:after="40" w:line="240" w:lineRule="auto"/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BE1CB2">
              <w:rPr>
                <w:sz w:val="22"/>
                <w:szCs w:val="22"/>
              </w:rPr>
              <w:t xml:space="preserve"> </w:t>
            </w:r>
            <w:r w:rsidR="00B9125F" w:rsidRPr="00BE1CB2">
              <w:rPr>
                <w:sz w:val="22"/>
                <w:szCs w:val="22"/>
              </w:rPr>
              <w:t>(10%)</w:t>
            </w:r>
          </w:p>
        </w:tc>
      </w:tr>
      <w:tr w:rsidR="00B9125F" w:rsidRPr="00AB6526" w14:paraId="4F7B7236" w14:textId="6CCE12E7" w:rsidTr="00BE1CB2"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17A5E9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left="180" w:right="-1440"/>
              <w:jc w:val="both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3 injections, n (%)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48A53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72"/>
              <w:jc w:val="center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29 (3%)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B80D99" w14:textId="60DA7DE5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72"/>
              <w:jc w:val="center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8 (2%)</w:t>
            </w:r>
          </w:p>
        </w:tc>
      </w:tr>
      <w:tr w:rsidR="00B9125F" w:rsidRPr="00AB6526" w14:paraId="4C0CC864" w14:textId="07EE6CCB" w:rsidTr="00BE1CB2"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</w:tcPr>
          <w:p w14:paraId="4DD95636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left="180" w:right="-1440"/>
              <w:jc w:val="both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&gt;3 injections, n (%)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5CD323B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72"/>
              <w:jc w:val="center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26 (3%)</w:t>
            </w:r>
          </w:p>
        </w:tc>
        <w:tc>
          <w:tcPr>
            <w:tcW w:w="2693" w:type="dxa"/>
            <w:tcBorders>
              <w:top w:val="nil"/>
            </w:tcBorders>
          </w:tcPr>
          <w:p w14:paraId="60D062CA" w14:textId="391C9DFF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72"/>
              <w:jc w:val="center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7 (2%)</w:t>
            </w:r>
          </w:p>
        </w:tc>
      </w:tr>
      <w:tr w:rsidR="00B9125F" w:rsidRPr="00AB6526" w14:paraId="214F40DF" w14:textId="356ABE51" w:rsidTr="00BE1CB2">
        <w:tc>
          <w:tcPr>
            <w:tcW w:w="3969" w:type="dxa"/>
            <w:tcBorders>
              <w:bottom w:val="nil"/>
            </w:tcBorders>
            <w:shd w:val="clear" w:color="auto" w:fill="auto"/>
            <w:vAlign w:val="center"/>
          </w:tcPr>
          <w:p w14:paraId="21707EB2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-1440"/>
              <w:jc w:val="both"/>
              <w:rPr>
                <w:sz w:val="22"/>
                <w:szCs w:val="22"/>
              </w:rPr>
            </w:pPr>
            <w:r w:rsidRPr="00BE1CB2">
              <w:rPr>
                <w:b/>
                <w:bCs/>
                <w:sz w:val="22"/>
                <w:szCs w:val="22"/>
              </w:rPr>
              <w:t>Efficacy evaluation by investigator*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73B92863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BE1CB2">
              <w:rPr>
                <w:b/>
                <w:sz w:val="22"/>
                <w:szCs w:val="22"/>
              </w:rPr>
              <w:t>(N = 835)</w:t>
            </w:r>
          </w:p>
        </w:tc>
        <w:tc>
          <w:tcPr>
            <w:tcW w:w="2693" w:type="dxa"/>
            <w:tcBorders>
              <w:bottom w:val="nil"/>
            </w:tcBorders>
          </w:tcPr>
          <w:p w14:paraId="5B140895" w14:textId="637FF14E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BE1CB2">
              <w:rPr>
                <w:b/>
                <w:sz w:val="22"/>
                <w:szCs w:val="22"/>
              </w:rPr>
              <w:t>(N</w:t>
            </w:r>
            <w:r w:rsidR="00D96C02" w:rsidRPr="00BE1CB2">
              <w:rPr>
                <w:b/>
                <w:sz w:val="22"/>
                <w:szCs w:val="22"/>
              </w:rPr>
              <w:t xml:space="preserve"> </w:t>
            </w:r>
            <w:r w:rsidRPr="00BE1CB2">
              <w:rPr>
                <w:b/>
                <w:sz w:val="22"/>
                <w:szCs w:val="22"/>
              </w:rPr>
              <w:t>=</w:t>
            </w:r>
            <w:r w:rsidR="00D96C02" w:rsidRPr="00BE1CB2">
              <w:rPr>
                <w:b/>
                <w:sz w:val="22"/>
                <w:szCs w:val="22"/>
              </w:rPr>
              <w:t xml:space="preserve"> </w:t>
            </w:r>
            <w:r w:rsidRPr="00BE1CB2">
              <w:rPr>
                <w:b/>
                <w:sz w:val="22"/>
                <w:szCs w:val="22"/>
              </w:rPr>
              <w:t>347)</w:t>
            </w:r>
          </w:p>
        </w:tc>
      </w:tr>
      <w:tr w:rsidR="00B9125F" w:rsidRPr="00AB6526" w14:paraId="162E2B29" w14:textId="2A9A3032" w:rsidTr="00BE1CB2"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787BDB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left="180" w:right="-1440"/>
              <w:jc w:val="both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Excellent or Good, n (%)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348063" w14:textId="3E40F014" w:rsidR="00B9125F" w:rsidRPr="00BE1CB2" w:rsidRDefault="00B9125F" w:rsidP="00A73401">
            <w:pPr>
              <w:keepNext/>
              <w:widowControl w:val="0"/>
              <w:spacing w:before="40" w:after="40" w:line="240" w:lineRule="auto"/>
              <w:ind w:right="72"/>
              <w:jc w:val="center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783 (94%)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37AF80" w14:textId="2B1BB29D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72"/>
              <w:jc w:val="center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334 (96%)</w:t>
            </w:r>
          </w:p>
        </w:tc>
      </w:tr>
      <w:tr w:rsidR="00B9125F" w:rsidRPr="00AB6526" w14:paraId="1CBBAE0E" w14:textId="0B54AA54" w:rsidTr="00BE1CB2">
        <w:trPr>
          <w:trHeight w:val="152"/>
        </w:trPr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3A8B88" w14:textId="3608632B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left="180" w:right="-1440"/>
              <w:jc w:val="both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Moderate, n (%)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078665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72"/>
              <w:jc w:val="center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52 (6%)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A17107D" w14:textId="60A00AB9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72"/>
              <w:jc w:val="center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12 (4%)</w:t>
            </w:r>
          </w:p>
        </w:tc>
      </w:tr>
      <w:tr w:rsidR="00B9125F" w:rsidRPr="00AB6526" w14:paraId="0C2C89CA" w14:textId="71E0592F" w:rsidTr="00BE1CB2"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110EFF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left="180" w:right="-1440"/>
              <w:jc w:val="both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No response, n (%)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794A85" w14:textId="7777777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6CA4EBE" w14:textId="7C17A2F7" w:rsidR="00B9125F" w:rsidRPr="00BE1CB2" w:rsidRDefault="00B9125F" w:rsidP="001D49AF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sz w:val="22"/>
                <w:szCs w:val="22"/>
              </w:rPr>
            </w:pPr>
            <w:r w:rsidRPr="00BE1CB2">
              <w:rPr>
                <w:sz w:val="22"/>
                <w:szCs w:val="22"/>
              </w:rPr>
              <w:t>1 (0.3%)</w:t>
            </w:r>
          </w:p>
        </w:tc>
      </w:tr>
    </w:tbl>
    <w:p w14:paraId="23AECA13" w14:textId="77777777" w:rsidR="00745E5B" w:rsidRPr="00AB6526" w:rsidRDefault="00745E5B" w:rsidP="00745E5B">
      <w:pPr>
        <w:pStyle w:val="TableFootnote"/>
        <w:keepNext w:val="0"/>
        <w:spacing w:after="240"/>
        <w:ind w:left="0" w:right="96" w:firstLine="0"/>
      </w:pPr>
      <w:r>
        <w:t xml:space="preserve">* </w:t>
      </w:r>
      <w:r w:rsidRPr="00554567">
        <w:rPr>
          <w:b/>
        </w:rPr>
        <w:t>Excellent</w:t>
      </w:r>
      <w:r w:rsidRPr="00AB6526">
        <w:t>: Pain relief and/or improvement in signs of bleeding (i.e., swelling, tenderness, and/or increased range of motion in the case of musculoskeletal h</w:t>
      </w:r>
      <w:r>
        <w:t>a</w:t>
      </w:r>
      <w:r w:rsidRPr="00AB6526">
        <w:t xml:space="preserve">emorrhage) within approximately 8 hours after the first infusion; </w:t>
      </w:r>
      <w:r w:rsidRPr="00554567">
        <w:rPr>
          <w:b/>
        </w:rPr>
        <w:t>Good</w:t>
      </w:r>
      <w:r w:rsidRPr="00AB6526">
        <w:t xml:space="preserve">: Pain relief and/or improvement in signs of bleeding at approximately 8 hours after the first infusion, but requires two infusions for complete resolution; </w:t>
      </w:r>
      <w:r w:rsidRPr="00554567">
        <w:rPr>
          <w:b/>
        </w:rPr>
        <w:t>Moderate</w:t>
      </w:r>
      <w:r w:rsidRPr="00AB6526">
        <w:t xml:space="preserve">: Probable or slight beneficial effect within approximately 8 hours after the first infusion; requires more than two infusions for complete resolution; </w:t>
      </w:r>
      <w:r w:rsidRPr="00554567">
        <w:rPr>
          <w:b/>
        </w:rPr>
        <w:t>No response</w:t>
      </w:r>
      <w:r w:rsidRPr="00AB6526">
        <w:t>: No improvement at all or condition worsens (i.e., signs of bleeding) after the first infusion and additional h</w:t>
      </w:r>
      <w:r>
        <w:t>a</w:t>
      </w:r>
      <w:r w:rsidRPr="00AB6526">
        <w:t>emostatic intervention is required with another FVIII product, cryoprecipitate, or plasma for complete resolution.</w:t>
      </w:r>
    </w:p>
    <w:p w14:paraId="00A034B6" w14:textId="75959B5E" w:rsidR="00F95846" w:rsidRPr="00F95846" w:rsidRDefault="00A00C4F" w:rsidP="00F95846">
      <w:pPr>
        <w:pStyle w:val="Heading3"/>
        <w:numPr>
          <w:ilvl w:val="0"/>
          <w:numId w:val="0"/>
        </w:numPr>
        <w:ind w:left="2138" w:hanging="2138"/>
      </w:pPr>
      <w:r w:rsidRPr="006845F0">
        <w:t xml:space="preserve">Routine </w:t>
      </w:r>
      <w:r>
        <w:t>p</w:t>
      </w:r>
      <w:r w:rsidRPr="006845F0">
        <w:t>rophylaxis</w:t>
      </w:r>
    </w:p>
    <w:p w14:paraId="0B8F931D" w14:textId="4A87158B" w:rsidR="005B1A51" w:rsidRDefault="002D2934" w:rsidP="00A00C4F">
      <w:pPr>
        <w:pStyle w:val="DocumentText"/>
      </w:pPr>
      <w:r>
        <w:t xml:space="preserve">In the </w:t>
      </w:r>
      <w:r w:rsidR="005B1A51">
        <w:t xml:space="preserve">adult/adolescent and </w:t>
      </w:r>
      <w:proofErr w:type="spellStart"/>
      <w:r w:rsidR="005B1A51">
        <w:t>paediatric</w:t>
      </w:r>
      <w:proofErr w:type="spellEnd"/>
      <w:r w:rsidR="005B1A51">
        <w:t xml:space="preserve"> studies</w:t>
      </w:r>
      <w:r>
        <w:t>, s</w:t>
      </w:r>
      <w:r w:rsidR="00A00C4F" w:rsidRPr="00BA652A">
        <w:t>ubjects received prophylaxis in a regimen that was determined by the investigator, taking into account the subject’s FVIII treatment regimen used prior to enrollment and the subject’s bleeding phenotype</w:t>
      </w:r>
      <w:r w:rsidR="00D96C02">
        <w:t>.</w:t>
      </w:r>
    </w:p>
    <w:p w14:paraId="07765043" w14:textId="38579241" w:rsidR="00F95846" w:rsidRPr="00F95846" w:rsidRDefault="00F95846" w:rsidP="00F95846">
      <w:pPr>
        <w:pStyle w:val="DocumentText"/>
        <w:keepNext/>
        <w:spacing w:after="120"/>
        <w:rPr>
          <w:b/>
          <w:i/>
          <w:sz w:val="28"/>
          <w:szCs w:val="28"/>
        </w:rPr>
      </w:pPr>
      <w:r w:rsidRPr="0082193A">
        <w:rPr>
          <w:b/>
          <w:i/>
          <w:sz w:val="28"/>
          <w:szCs w:val="28"/>
        </w:rPr>
        <w:t>Adult and adolescent subjects (≥12 to 65 years of age)</w:t>
      </w:r>
    </w:p>
    <w:p w14:paraId="3DC195F7" w14:textId="35A46C4D" w:rsidR="00A00C4F" w:rsidRDefault="005B1A51" w:rsidP="00A00C4F">
      <w:pPr>
        <w:pStyle w:val="DocumentText"/>
      </w:pPr>
      <w:r>
        <w:t>In the adult/adolescent study 54%</w:t>
      </w:r>
      <w:r w:rsidR="00A00C4F" w:rsidRPr="00BA652A">
        <w:t xml:space="preserve"> of the 146 subjects on prophylaxis received </w:t>
      </w:r>
      <w:r w:rsidR="00A00C4F" w:rsidRPr="00B55AF6">
        <w:t>AFSTYLA</w:t>
      </w:r>
      <w:r w:rsidR="00A00C4F" w:rsidRPr="00B55AF6">
        <w:rPr>
          <w:vertAlign w:val="superscript"/>
        </w:rPr>
        <w:t>®</w:t>
      </w:r>
      <w:r w:rsidR="00A00C4F" w:rsidRPr="00BA652A">
        <w:t xml:space="preserve"> 3 times weekly; 32% of subjects received </w:t>
      </w:r>
      <w:r w:rsidR="00A00C4F" w:rsidRPr="00B55AF6">
        <w:t>AFSTYLA</w:t>
      </w:r>
      <w:r w:rsidR="00A00C4F" w:rsidRPr="00B55AF6">
        <w:rPr>
          <w:vertAlign w:val="superscript"/>
        </w:rPr>
        <w:t>®</w:t>
      </w:r>
      <w:r w:rsidR="00A00C4F" w:rsidRPr="00BA652A">
        <w:t xml:space="preserve"> 2 times weekly; 6% received </w:t>
      </w:r>
      <w:r w:rsidR="00A00C4F" w:rsidRPr="00B55AF6">
        <w:t>AFSTYLA</w:t>
      </w:r>
      <w:r w:rsidR="00A00C4F" w:rsidRPr="00B55AF6">
        <w:rPr>
          <w:vertAlign w:val="superscript"/>
        </w:rPr>
        <w:t>®</w:t>
      </w:r>
      <w:r w:rsidR="00A00C4F" w:rsidRPr="00BA652A">
        <w:t xml:space="preserve"> every other day, and 8% of subjects received other regimens.</w:t>
      </w:r>
    </w:p>
    <w:p w14:paraId="46A300D1" w14:textId="02592BC2" w:rsidR="00A00C4F" w:rsidRDefault="00A00C4F" w:rsidP="00A00C4F">
      <w:pPr>
        <w:pStyle w:val="DocumentText"/>
      </w:pPr>
      <w:r>
        <w:t>Sixty-three of 146 subjects (43%) experienced no bleeding episodes</w:t>
      </w:r>
      <w:r w:rsidR="003F3C73">
        <w:t xml:space="preserve"> requiring treatment</w:t>
      </w:r>
      <w:r>
        <w:t xml:space="preserve"> while on prophylaxis. There were no severe or life-threatening bleeds (e.g. intracranial haemorrhage) in subjects receiving prophylaxis.</w:t>
      </w:r>
    </w:p>
    <w:p w14:paraId="4C5082F9" w14:textId="2AD1AEA6" w:rsidR="005B1A51" w:rsidRPr="00BA652A" w:rsidRDefault="005B1A51" w:rsidP="00A00C4F">
      <w:pPr>
        <w:pStyle w:val="DocumentText"/>
      </w:pPr>
      <w:r w:rsidRPr="0023303C">
        <w:t xml:space="preserve">The </w:t>
      </w:r>
      <w:r>
        <w:t>median</w:t>
      </w:r>
      <w:r w:rsidR="008D3BBB">
        <w:t xml:space="preserve"> </w:t>
      </w:r>
      <w:proofErr w:type="spellStart"/>
      <w:r w:rsidR="008D3BBB">
        <w:t>annualised</w:t>
      </w:r>
      <w:proofErr w:type="spellEnd"/>
      <w:r w:rsidR="008D3BBB">
        <w:t xml:space="preserve"> bleeding rate (</w:t>
      </w:r>
      <w:r w:rsidR="008D3BBB" w:rsidRPr="00BA652A">
        <w:t>ABR</w:t>
      </w:r>
      <w:r w:rsidR="008D3BBB">
        <w:t>)</w:t>
      </w:r>
      <w:r w:rsidRPr="0023303C">
        <w:t xml:space="preserve"> in prophylaxis </w:t>
      </w:r>
      <w:r>
        <w:t>was</w:t>
      </w:r>
      <w:r w:rsidRPr="0023303C">
        <w:t xml:space="preserve"> 1.14</w:t>
      </w:r>
      <w:r>
        <w:t>, a si</w:t>
      </w:r>
      <w:r w:rsidRPr="0023303C">
        <w:t>gnificantly lower</w:t>
      </w:r>
      <w:r>
        <w:t xml:space="preserve"> ABR</w:t>
      </w:r>
      <w:r w:rsidRPr="0023303C">
        <w:t xml:space="preserve"> (p &lt;0.0001) than th</w:t>
      </w:r>
      <w:r>
        <w:t>at</w:t>
      </w:r>
      <w:r w:rsidRPr="0023303C">
        <w:t xml:space="preserve"> observed in subjects treat</w:t>
      </w:r>
      <w:r>
        <w:t>ed on</w:t>
      </w:r>
      <w:r w:rsidR="00B932A3">
        <w:t xml:space="preserve"> </w:t>
      </w:r>
      <w:r>
        <w:t>demand (median ABR 19.64).</w:t>
      </w:r>
    </w:p>
    <w:p w14:paraId="766334D4" w14:textId="6FAE8952" w:rsidR="00A00C4F" w:rsidRPr="00BA652A" w:rsidRDefault="00A00C4F" w:rsidP="00A00C4F">
      <w:pPr>
        <w:pStyle w:val="DocumentText"/>
      </w:pPr>
      <w:r w:rsidRPr="00BA652A">
        <w:lastRenderedPageBreak/>
        <w:t>The</w:t>
      </w:r>
      <w:r w:rsidR="008D3BBB">
        <w:t xml:space="preserve"> ABR</w:t>
      </w:r>
      <w:r w:rsidRPr="00BA652A">
        <w:t xml:space="preserve"> was comparable between subjects on a 3 times </w:t>
      </w:r>
      <w:r>
        <w:t>a week</w:t>
      </w:r>
      <w:r w:rsidRPr="00BA652A">
        <w:t xml:space="preserve"> regimen (median ABR 1.53) and those on a 2 times </w:t>
      </w:r>
      <w:r>
        <w:t>a week</w:t>
      </w:r>
      <w:r w:rsidRPr="00BA652A">
        <w:t xml:space="preserve"> regimen (median ABR 0.00). The </w:t>
      </w:r>
      <w:proofErr w:type="spellStart"/>
      <w:r>
        <w:t>annualised</w:t>
      </w:r>
      <w:proofErr w:type="spellEnd"/>
      <w:r>
        <w:t xml:space="preserve"> spontaneous bleeding rate (</w:t>
      </w:r>
      <w:r w:rsidRPr="00BA652A">
        <w:t>AsBR</w:t>
      </w:r>
      <w:r>
        <w:t>)</w:t>
      </w:r>
      <w:r w:rsidRPr="00BA652A">
        <w:t xml:space="preserve"> was </w:t>
      </w:r>
      <w:r w:rsidR="005B1A51">
        <w:t>identical</w:t>
      </w:r>
      <w:r w:rsidRPr="00BA652A">
        <w:t xml:space="preserve"> between subjects on </w:t>
      </w:r>
      <w:r>
        <w:t>these</w:t>
      </w:r>
      <w:r w:rsidRPr="00BA652A">
        <w:t xml:space="preserve"> regimen</w:t>
      </w:r>
      <w:r>
        <w:t xml:space="preserve">s; a </w:t>
      </w:r>
      <w:r w:rsidRPr="00BA652A">
        <w:t xml:space="preserve">median AsBR </w:t>
      </w:r>
      <w:r>
        <w:t>of 0.00 on both a 3 times a week</w:t>
      </w:r>
      <w:r w:rsidRPr="00BA652A">
        <w:t xml:space="preserve"> and on a 2 times</w:t>
      </w:r>
      <w:r>
        <w:t xml:space="preserve"> a w</w:t>
      </w:r>
      <w:r w:rsidRPr="00BA652A">
        <w:t>eek regimen.</w:t>
      </w:r>
    </w:p>
    <w:p w14:paraId="56EEA03A" w14:textId="223A65AC" w:rsidR="00A00C4F" w:rsidRDefault="00A00C4F" w:rsidP="00A00C4F">
      <w:pPr>
        <w:pStyle w:val="DocumentText"/>
      </w:pPr>
      <w:r w:rsidRPr="00BA652A">
        <w:t xml:space="preserve">The median prescribed dose for subjects on a 3 times </w:t>
      </w:r>
      <w:r>
        <w:t xml:space="preserve">a </w:t>
      </w:r>
      <w:r w:rsidRPr="00BA652A">
        <w:t>week</w:t>
      </w:r>
      <w:r>
        <w:t xml:space="preserve"> regimen</w:t>
      </w:r>
      <w:r w:rsidRPr="00BA652A">
        <w:t xml:space="preserve"> was 30</w:t>
      </w:r>
      <w:r>
        <w:t> </w:t>
      </w:r>
      <w:r w:rsidRPr="00BA652A">
        <w:t xml:space="preserve">IU/kg per </w:t>
      </w:r>
      <w:proofErr w:type="gramStart"/>
      <w:r w:rsidRPr="00BA652A">
        <w:t>injection</w:t>
      </w:r>
      <w:r>
        <w:t>,</w:t>
      </w:r>
      <w:proofErr w:type="gramEnd"/>
      <w:r>
        <w:t xml:space="preserve"> and for </w:t>
      </w:r>
      <w:r w:rsidRPr="00BA652A">
        <w:t>subjects on a 2 times</w:t>
      </w:r>
      <w:r>
        <w:t xml:space="preserve"> a</w:t>
      </w:r>
      <w:r w:rsidRPr="00BA652A">
        <w:t xml:space="preserve"> week regimen 35</w:t>
      </w:r>
      <w:r>
        <w:t> </w:t>
      </w:r>
      <w:r w:rsidRPr="00BA652A">
        <w:t>IU/kg.</w:t>
      </w:r>
    </w:p>
    <w:p w14:paraId="65765CB1" w14:textId="4E161D26" w:rsidR="00F95846" w:rsidRDefault="00F95846" w:rsidP="00A00C4F">
      <w:pPr>
        <w:pStyle w:val="DocumentText"/>
        <w:rPr>
          <w:rFonts w:eastAsia="TimesNewRoman"/>
          <w:b/>
          <w:color w:val="000000"/>
        </w:rPr>
      </w:pPr>
      <w:r>
        <w:rPr>
          <w:rFonts w:eastAsia="TimesNewRoman"/>
          <w:color w:val="000000"/>
        </w:rPr>
        <w:t>The A</w:t>
      </w:r>
      <w:r w:rsidRPr="0067381E">
        <w:rPr>
          <w:rFonts w:eastAsia="TimesNewRoman"/>
          <w:color w:val="000000"/>
        </w:rPr>
        <w:t xml:space="preserve">BRs for </w:t>
      </w:r>
      <w:r w:rsidR="00B932A3">
        <w:rPr>
          <w:rFonts w:eastAsia="TimesNewRoman"/>
          <w:color w:val="000000"/>
        </w:rPr>
        <w:t>p</w:t>
      </w:r>
      <w:r>
        <w:rPr>
          <w:rFonts w:eastAsia="TimesNewRoman"/>
          <w:color w:val="000000"/>
        </w:rPr>
        <w:t>rophylaxis</w:t>
      </w:r>
      <w:r w:rsidRPr="0067381E">
        <w:rPr>
          <w:rFonts w:eastAsia="TimesNewRoman"/>
          <w:color w:val="000000"/>
        </w:rPr>
        <w:t xml:space="preserve"> and </w:t>
      </w:r>
      <w:r w:rsidR="00B932A3">
        <w:rPr>
          <w:rFonts w:eastAsia="TimesNewRoman"/>
          <w:color w:val="000000"/>
        </w:rPr>
        <w:t>o</w:t>
      </w:r>
      <w:r>
        <w:rPr>
          <w:rFonts w:eastAsia="TimesNewRoman"/>
          <w:color w:val="000000"/>
        </w:rPr>
        <w:t xml:space="preserve">n demand </w:t>
      </w:r>
      <w:r w:rsidRPr="00957E7B">
        <w:rPr>
          <w:rFonts w:eastAsia="TimesNewRoman"/>
          <w:color w:val="000000"/>
        </w:rPr>
        <w:t>are summari</w:t>
      </w:r>
      <w:r>
        <w:rPr>
          <w:rFonts w:eastAsia="TimesNewRoman"/>
          <w:color w:val="000000"/>
        </w:rPr>
        <w:t>s</w:t>
      </w:r>
      <w:r w:rsidRPr="00957E7B">
        <w:rPr>
          <w:rFonts w:eastAsia="TimesNewRoman"/>
          <w:color w:val="000000"/>
        </w:rPr>
        <w:t xml:space="preserve">ed in </w:t>
      </w:r>
      <w:r w:rsidRPr="00957E7B">
        <w:rPr>
          <w:rFonts w:eastAsia="TimesNewRoman"/>
          <w:b/>
          <w:color w:val="000000"/>
        </w:rPr>
        <w:t>Table</w:t>
      </w:r>
      <w:r>
        <w:rPr>
          <w:rFonts w:eastAsia="TimesNewRoman"/>
          <w:b/>
          <w:color w:val="000000"/>
        </w:rPr>
        <w:t> 5</w:t>
      </w:r>
      <w:r w:rsidR="00BE1CB2">
        <w:rPr>
          <w:rFonts w:eastAsia="TimesNewRoman"/>
          <w:b/>
          <w:color w:val="000000"/>
        </w:rPr>
        <w:t>.</w:t>
      </w:r>
    </w:p>
    <w:p w14:paraId="2C845372" w14:textId="77777777" w:rsidR="00C7191A" w:rsidRPr="0082193A" w:rsidRDefault="00C7191A" w:rsidP="00C7191A">
      <w:pPr>
        <w:pStyle w:val="DocumentText"/>
        <w:keepNext/>
        <w:spacing w:after="120"/>
        <w:rPr>
          <w:b/>
          <w:i/>
          <w:sz w:val="28"/>
          <w:szCs w:val="28"/>
        </w:rPr>
      </w:pPr>
      <w:r w:rsidRPr="0082193A">
        <w:rPr>
          <w:b/>
          <w:i/>
          <w:sz w:val="28"/>
          <w:szCs w:val="28"/>
        </w:rPr>
        <w:t>P</w:t>
      </w:r>
      <w:r>
        <w:rPr>
          <w:b/>
          <w:i/>
          <w:sz w:val="28"/>
          <w:szCs w:val="28"/>
        </w:rPr>
        <w:t>a</w:t>
      </w:r>
      <w:r w:rsidRPr="0082193A">
        <w:rPr>
          <w:b/>
          <w:i/>
          <w:sz w:val="28"/>
          <w:szCs w:val="28"/>
        </w:rPr>
        <w:t>ediatric subjects (0 to &lt;12 years of age)</w:t>
      </w:r>
    </w:p>
    <w:p w14:paraId="6B81FDE6" w14:textId="5F21B898" w:rsidR="00C7191A" w:rsidRDefault="008D3BBB" w:rsidP="00C7191A">
      <w:pPr>
        <w:pStyle w:val="DocumentText"/>
      </w:pPr>
      <w:r>
        <w:t xml:space="preserve">In the </w:t>
      </w:r>
      <w:proofErr w:type="spellStart"/>
      <w:r>
        <w:t>paediatric</w:t>
      </w:r>
      <w:proofErr w:type="spellEnd"/>
      <w:r>
        <w:t xml:space="preserve"> study </w:t>
      </w:r>
      <w:r w:rsidR="00C7191A">
        <w:t>54% of the 80</w:t>
      </w:r>
      <w:r w:rsidR="00C7191A" w:rsidRPr="00BA652A">
        <w:t xml:space="preserve"> subjects on prophylaxis received </w:t>
      </w:r>
      <w:r w:rsidR="00C7191A" w:rsidRPr="00B55AF6">
        <w:t>AFSTYLA</w:t>
      </w:r>
      <w:r w:rsidR="00C7191A" w:rsidRPr="00B55AF6">
        <w:rPr>
          <w:vertAlign w:val="superscript"/>
        </w:rPr>
        <w:t>®</w:t>
      </w:r>
      <w:r w:rsidR="00C7191A">
        <w:t xml:space="preserve"> 2 times weekly; 30</w:t>
      </w:r>
      <w:r w:rsidR="00C7191A" w:rsidRPr="00BA652A">
        <w:t xml:space="preserve">% of subjects received </w:t>
      </w:r>
      <w:r w:rsidR="00C7191A" w:rsidRPr="00B55AF6">
        <w:t>AFSTYLA</w:t>
      </w:r>
      <w:r w:rsidR="00C7191A" w:rsidRPr="00B55AF6">
        <w:rPr>
          <w:vertAlign w:val="superscript"/>
        </w:rPr>
        <w:t>®</w:t>
      </w:r>
      <w:r w:rsidR="00C7191A">
        <w:t xml:space="preserve"> 3 times weekly; 4</w:t>
      </w:r>
      <w:r w:rsidR="00C7191A" w:rsidRPr="00BA652A">
        <w:t xml:space="preserve">% received </w:t>
      </w:r>
      <w:r w:rsidR="00C7191A" w:rsidRPr="00B55AF6">
        <w:t>AFSTYLA</w:t>
      </w:r>
      <w:r w:rsidR="00C7191A" w:rsidRPr="00B55AF6">
        <w:rPr>
          <w:vertAlign w:val="superscript"/>
        </w:rPr>
        <w:t>®</w:t>
      </w:r>
      <w:r w:rsidR="00C7191A">
        <w:t xml:space="preserve"> every other day, and 12</w:t>
      </w:r>
      <w:r w:rsidR="00C7191A" w:rsidRPr="00BA652A">
        <w:t>% of subjects received other regimens.</w:t>
      </w:r>
    </w:p>
    <w:p w14:paraId="74F65750" w14:textId="6502DB52" w:rsidR="00C7191A" w:rsidRPr="00BA652A" w:rsidRDefault="00C7191A" w:rsidP="00C7191A">
      <w:pPr>
        <w:pStyle w:val="DocumentText"/>
      </w:pPr>
      <w:r>
        <w:t>Twenty-one of 80 subjects (26%) experienced no bleeding episodes</w:t>
      </w:r>
      <w:r w:rsidR="008F1786">
        <w:t xml:space="preserve"> requiring treatment</w:t>
      </w:r>
      <w:r>
        <w:t xml:space="preserve"> while on prophylaxis. There was one severe bleed (hip joint </w:t>
      </w:r>
      <w:proofErr w:type="spellStart"/>
      <w:r>
        <w:t>haemorrhage</w:t>
      </w:r>
      <w:proofErr w:type="spellEnd"/>
      <w:r>
        <w:t xml:space="preserve">) in the </w:t>
      </w:r>
      <w:proofErr w:type="spellStart"/>
      <w:r>
        <w:t>paediatric</w:t>
      </w:r>
      <w:proofErr w:type="spellEnd"/>
      <w:r>
        <w:t xml:space="preserve"> study that was successfully treated.</w:t>
      </w:r>
    </w:p>
    <w:p w14:paraId="29809485" w14:textId="77777777" w:rsidR="00C7191A" w:rsidRPr="00BA652A" w:rsidRDefault="00C7191A" w:rsidP="00C7191A">
      <w:pPr>
        <w:pStyle w:val="DocumentText"/>
      </w:pPr>
      <w:r>
        <w:t>For subjects on prophylaxis t</w:t>
      </w:r>
      <w:r w:rsidRPr="00BA652A">
        <w:t xml:space="preserve">he </w:t>
      </w:r>
      <w:r>
        <w:t xml:space="preserve">overall ABR </w:t>
      </w:r>
      <w:r w:rsidRPr="00BA652A">
        <w:t>was</w:t>
      </w:r>
      <w:r>
        <w:t xml:space="preserve"> 3.69, with a median ABR of 2.30 for</w:t>
      </w:r>
      <w:r w:rsidRPr="00BA652A">
        <w:t xml:space="preserve"> subjects on a 3 times </w:t>
      </w:r>
      <w:r>
        <w:t>a week</w:t>
      </w:r>
      <w:r w:rsidRPr="00BA652A">
        <w:t xml:space="preserve"> regimen </w:t>
      </w:r>
      <w:r>
        <w:t>and 4.37 for subjects on a 2</w:t>
      </w:r>
      <w:r w:rsidRPr="00BA652A">
        <w:t xml:space="preserve"> times </w:t>
      </w:r>
      <w:r>
        <w:t>a week</w:t>
      </w:r>
      <w:r w:rsidRPr="00BA652A">
        <w:t xml:space="preserve"> regimen. The </w:t>
      </w:r>
      <w:r>
        <w:t>median AsBR (0.00)</w:t>
      </w:r>
      <w:r w:rsidRPr="00BA652A">
        <w:t xml:space="preserve"> was </w:t>
      </w:r>
      <w:r>
        <w:t>identical</w:t>
      </w:r>
      <w:r w:rsidRPr="00BA652A">
        <w:t xml:space="preserve"> between subjects on </w:t>
      </w:r>
      <w:r>
        <w:t xml:space="preserve">the 3 times a week and </w:t>
      </w:r>
      <w:r w:rsidRPr="00BA652A">
        <w:t>2 times</w:t>
      </w:r>
      <w:r>
        <w:t xml:space="preserve"> a week regimens</w:t>
      </w:r>
      <w:r w:rsidRPr="00BA652A">
        <w:t>.</w:t>
      </w:r>
    </w:p>
    <w:p w14:paraId="44CE80EB" w14:textId="77777777" w:rsidR="00C7191A" w:rsidDel="005B1A51" w:rsidRDefault="00C7191A" w:rsidP="00C7191A">
      <w:pPr>
        <w:pStyle w:val="DocumentText"/>
      </w:pPr>
      <w:r w:rsidRPr="00BA652A">
        <w:t xml:space="preserve">The median prescribed dose for subjects on a 3 times </w:t>
      </w:r>
      <w:r>
        <w:t xml:space="preserve">a </w:t>
      </w:r>
      <w:r w:rsidRPr="00BA652A">
        <w:t>week</w:t>
      </w:r>
      <w:r>
        <w:t xml:space="preserve"> regimen</w:t>
      </w:r>
      <w:r w:rsidRPr="00BA652A">
        <w:t xml:space="preserve"> was </w:t>
      </w:r>
      <w:r>
        <w:t>32 </w:t>
      </w:r>
      <w:r w:rsidRPr="00BA652A">
        <w:t xml:space="preserve">IU/kg per </w:t>
      </w:r>
      <w:proofErr w:type="gramStart"/>
      <w:r w:rsidRPr="00BA652A">
        <w:t>injection</w:t>
      </w:r>
      <w:r>
        <w:t>,</w:t>
      </w:r>
      <w:proofErr w:type="gramEnd"/>
      <w:r>
        <w:t xml:space="preserve"> and for </w:t>
      </w:r>
      <w:r w:rsidRPr="00BA652A">
        <w:t>subjects on a 2 times</w:t>
      </w:r>
      <w:r>
        <w:t xml:space="preserve"> a</w:t>
      </w:r>
      <w:r w:rsidRPr="00BA652A">
        <w:t xml:space="preserve"> week regimen 35</w:t>
      </w:r>
      <w:r>
        <w:t> </w:t>
      </w:r>
      <w:r w:rsidRPr="00BA652A">
        <w:t>IU/kg.</w:t>
      </w:r>
    </w:p>
    <w:p w14:paraId="646233BD" w14:textId="790FFB2D" w:rsidR="001345BC" w:rsidRPr="0023303C" w:rsidRDefault="001345BC" w:rsidP="00A00C4F">
      <w:pPr>
        <w:pStyle w:val="DocumentText"/>
      </w:pPr>
      <w:r>
        <w:rPr>
          <w:rFonts w:eastAsia="TimesNewRoman"/>
          <w:color w:val="000000"/>
        </w:rPr>
        <w:t>The A</w:t>
      </w:r>
      <w:r w:rsidRPr="0067381E">
        <w:rPr>
          <w:rFonts w:eastAsia="TimesNewRoman"/>
          <w:color w:val="000000"/>
        </w:rPr>
        <w:t xml:space="preserve">BRs for </w:t>
      </w:r>
      <w:r w:rsidR="00B932A3">
        <w:rPr>
          <w:rFonts w:eastAsia="TimesNewRoman"/>
          <w:color w:val="000000"/>
        </w:rPr>
        <w:t>p</w:t>
      </w:r>
      <w:r>
        <w:rPr>
          <w:rFonts w:eastAsia="TimesNewRoman"/>
          <w:color w:val="000000"/>
        </w:rPr>
        <w:t>rophylaxis</w:t>
      </w:r>
      <w:r w:rsidRPr="0067381E">
        <w:rPr>
          <w:rFonts w:eastAsia="TimesNewRoman"/>
          <w:color w:val="000000"/>
        </w:rPr>
        <w:t xml:space="preserve"> and </w:t>
      </w:r>
      <w:r w:rsidR="00B932A3">
        <w:rPr>
          <w:rFonts w:eastAsia="TimesNewRoman"/>
          <w:color w:val="000000"/>
        </w:rPr>
        <w:t>o</w:t>
      </w:r>
      <w:r>
        <w:rPr>
          <w:rFonts w:eastAsia="TimesNewRoman"/>
          <w:color w:val="000000"/>
        </w:rPr>
        <w:t>n demand</w:t>
      </w:r>
      <w:r w:rsidR="00F95846">
        <w:rPr>
          <w:rFonts w:eastAsia="TimesNewRoman"/>
          <w:color w:val="000000"/>
        </w:rPr>
        <w:t xml:space="preserve"> </w:t>
      </w:r>
      <w:r w:rsidRPr="00957E7B">
        <w:rPr>
          <w:rFonts w:eastAsia="TimesNewRoman"/>
          <w:color w:val="000000"/>
        </w:rPr>
        <w:t>are summari</w:t>
      </w:r>
      <w:r>
        <w:rPr>
          <w:rFonts w:eastAsia="TimesNewRoman"/>
          <w:color w:val="000000"/>
        </w:rPr>
        <w:t>s</w:t>
      </w:r>
      <w:r w:rsidRPr="00957E7B">
        <w:rPr>
          <w:rFonts w:eastAsia="TimesNewRoman"/>
          <w:color w:val="000000"/>
        </w:rPr>
        <w:t xml:space="preserve">ed in </w:t>
      </w:r>
      <w:r w:rsidRPr="00957E7B">
        <w:rPr>
          <w:rFonts w:eastAsia="TimesNewRoman"/>
          <w:b/>
          <w:color w:val="000000"/>
        </w:rPr>
        <w:t>Table</w:t>
      </w:r>
      <w:r>
        <w:rPr>
          <w:rFonts w:eastAsia="TimesNewRoman"/>
          <w:b/>
          <w:color w:val="000000"/>
        </w:rPr>
        <w:t> </w:t>
      </w:r>
      <w:r w:rsidR="003373A7">
        <w:rPr>
          <w:rFonts w:eastAsia="TimesNewRoman"/>
          <w:b/>
          <w:color w:val="000000"/>
        </w:rPr>
        <w:t>5</w:t>
      </w:r>
      <w:r w:rsidR="00BE1CB2">
        <w:rPr>
          <w:rFonts w:eastAsia="TimesNewRoman"/>
          <w:b/>
          <w:color w:val="000000"/>
        </w:rPr>
        <w:t>.</w:t>
      </w:r>
    </w:p>
    <w:p w14:paraId="78B31B40" w14:textId="0925530F" w:rsidR="00A00C4F" w:rsidRPr="001D6AE4" w:rsidRDefault="00A00C4F" w:rsidP="002B6CE3">
      <w:pPr>
        <w:pStyle w:val="Caption"/>
        <w:ind w:left="0" w:firstLine="0"/>
        <w:rPr>
          <w:szCs w:val="24"/>
        </w:rPr>
      </w:pPr>
      <w:r w:rsidRPr="001D6AE4">
        <w:rPr>
          <w:szCs w:val="24"/>
        </w:rPr>
        <w:lastRenderedPageBreak/>
        <w:t xml:space="preserve">Table </w:t>
      </w:r>
      <w:r w:rsidR="003373A7" w:rsidRPr="001D6AE4">
        <w:rPr>
          <w:szCs w:val="24"/>
        </w:rPr>
        <w:t>5</w:t>
      </w:r>
      <w:r w:rsidRPr="001D6AE4">
        <w:rPr>
          <w:szCs w:val="24"/>
        </w:rPr>
        <w:t xml:space="preserve">: Summary of </w:t>
      </w:r>
      <w:proofErr w:type="spellStart"/>
      <w:r w:rsidRPr="001D6AE4">
        <w:rPr>
          <w:szCs w:val="24"/>
        </w:rPr>
        <w:t>annualised</w:t>
      </w:r>
      <w:proofErr w:type="spellEnd"/>
      <w:r w:rsidRPr="001D6AE4">
        <w:rPr>
          <w:szCs w:val="24"/>
        </w:rPr>
        <w:t xml:space="preserve"> bleeding rate (ABR) by AFSTYLA</w:t>
      </w:r>
      <w:r w:rsidRPr="001D6AE4">
        <w:rPr>
          <w:szCs w:val="24"/>
          <w:vertAlign w:val="superscript"/>
        </w:rPr>
        <w:t>®</w:t>
      </w:r>
      <w:r w:rsidRPr="001D6AE4">
        <w:rPr>
          <w:szCs w:val="24"/>
        </w:rPr>
        <w:t xml:space="preserve"> treatment</w:t>
      </w:r>
      <w:r w:rsidR="002B6CE3" w:rsidRPr="001D6AE4">
        <w:rPr>
          <w:szCs w:val="24"/>
        </w:rPr>
        <w:t xml:space="preserve"> </w:t>
      </w:r>
      <w:r w:rsidRPr="001D6AE4">
        <w:rPr>
          <w:szCs w:val="24"/>
        </w:rPr>
        <w:t>regimen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1609"/>
        <w:gridCol w:w="1984"/>
        <w:gridCol w:w="1701"/>
        <w:gridCol w:w="2127"/>
      </w:tblGrid>
      <w:tr w:rsidR="007F0D75" w:rsidRPr="001D6AE4" w14:paraId="195F9BE6" w14:textId="77777777" w:rsidTr="00A20E3C">
        <w:tc>
          <w:tcPr>
            <w:tcW w:w="2077" w:type="dxa"/>
            <w:vMerge w:val="restart"/>
            <w:shd w:val="clear" w:color="auto" w:fill="D9D9D9" w:themeFill="background1" w:themeFillShade="D9"/>
          </w:tcPr>
          <w:p w14:paraId="5A2DF5DD" w14:textId="77777777" w:rsidR="007F0D75" w:rsidRPr="001D6AE4" w:rsidRDefault="007F0D75" w:rsidP="00271E75">
            <w:pPr>
              <w:pStyle w:val="Caption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93" w:type="dxa"/>
            <w:gridSpan w:val="2"/>
            <w:shd w:val="clear" w:color="auto" w:fill="D9D9D9" w:themeFill="background1" w:themeFillShade="D9"/>
          </w:tcPr>
          <w:p w14:paraId="29FE7789" w14:textId="223C8768" w:rsidR="00271E75" w:rsidRPr="001D6AE4" w:rsidRDefault="008F2333" w:rsidP="002D326D">
            <w:pPr>
              <w:pStyle w:val="Caption"/>
              <w:spacing w:before="40" w:after="0"/>
              <w:ind w:left="0" w:firstLine="0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A</w:t>
            </w:r>
            <w:r w:rsidR="007F0D75" w:rsidRPr="001D6AE4">
              <w:rPr>
                <w:sz w:val="22"/>
                <w:szCs w:val="22"/>
              </w:rPr>
              <w:t>dult/</w:t>
            </w:r>
            <w:r w:rsidRPr="001D6AE4">
              <w:rPr>
                <w:sz w:val="22"/>
                <w:szCs w:val="22"/>
              </w:rPr>
              <w:t>A</w:t>
            </w:r>
            <w:r w:rsidR="007F0D75" w:rsidRPr="001D6AE4">
              <w:rPr>
                <w:sz w:val="22"/>
                <w:szCs w:val="22"/>
              </w:rPr>
              <w:t>dolescent</w:t>
            </w:r>
          </w:p>
          <w:p w14:paraId="303E0796" w14:textId="3D418DCE" w:rsidR="00271E75" w:rsidRPr="001D6AE4" w:rsidRDefault="00F95846" w:rsidP="002D326D">
            <w:pPr>
              <w:pStyle w:val="Cap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(</w:t>
            </w:r>
            <w:r w:rsidR="008F2333" w:rsidRPr="001D6AE4">
              <w:rPr>
                <w:sz w:val="22"/>
                <w:szCs w:val="22"/>
              </w:rPr>
              <w:t>S</w:t>
            </w:r>
            <w:r w:rsidRPr="001D6AE4">
              <w:rPr>
                <w:sz w:val="22"/>
                <w:szCs w:val="22"/>
              </w:rPr>
              <w:t>tudy 1001; ≥</w:t>
            </w:r>
            <w:r w:rsidR="008451D2" w:rsidRPr="001D6AE4">
              <w:rPr>
                <w:sz w:val="22"/>
                <w:szCs w:val="22"/>
              </w:rPr>
              <w:t xml:space="preserve"> </w:t>
            </w:r>
            <w:r w:rsidRPr="001D6AE4">
              <w:rPr>
                <w:sz w:val="22"/>
                <w:szCs w:val="22"/>
              </w:rPr>
              <w:t>12 to 65 years of age)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</w:tcPr>
          <w:p w14:paraId="1E752CCC" w14:textId="5CE5893A" w:rsidR="007F0D75" w:rsidRPr="001D6AE4" w:rsidRDefault="008F2333" w:rsidP="002D326D">
            <w:pPr>
              <w:pStyle w:val="Caption"/>
              <w:spacing w:before="40" w:after="0"/>
              <w:ind w:left="0" w:firstLine="0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P</w:t>
            </w:r>
            <w:r w:rsidR="008F2B3B" w:rsidRPr="001D6AE4">
              <w:rPr>
                <w:sz w:val="22"/>
                <w:szCs w:val="22"/>
              </w:rPr>
              <w:t>a</w:t>
            </w:r>
            <w:r w:rsidR="007F0D75" w:rsidRPr="001D6AE4">
              <w:rPr>
                <w:sz w:val="22"/>
                <w:szCs w:val="22"/>
              </w:rPr>
              <w:t>ediatric</w:t>
            </w:r>
          </w:p>
          <w:p w14:paraId="56B5D956" w14:textId="2C9A2E45" w:rsidR="00F95846" w:rsidRPr="001D6AE4" w:rsidRDefault="00F95846" w:rsidP="002F7DC2">
            <w:pPr>
              <w:pStyle w:val="Caption"/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(</w:t>
            </w:r>
            <w:r w:rsidR="00271E75" w:rsidRPr="001D6AE4">
              <w:rPr>
                <w:sz w:val="22"/>
                <w:szCs w:val="22"/>
              </w:rPr>
              <w:t>S</w:t>
            </w:r>
            <w:r w:rsidRPr="001D6AE4">
              <w:rPr>
                <w:sz w:val="22"/>
                <w:szCs w:val="22"/>
              </w:rPr>
              <w:t xml:space="preserve">tudy </w:t>
            </w:r>
            <w:r w:rsidR="002F7DC2" w:rsidRPr="001D6AE4">
              <w:rPr>
                <w:sz w:val="22"/>
                <w:szCs w:val="22"/>
              </w:rPr>
              <w:t>3002</w:t>
            </w:r>
            <w:r w:rsidRPr="001D6AE4">
              <w:rPr>
                <w:sz w:val="22"/>
                <w:szCs w:val="22"/>
              </w:rPr>
              <w:t>; 0 to &lt;12 years of age)</w:t>
            </w:r>
          </w:p>
        </w:tc>
      </w:tr>
      <w:tr w:rsidR="00313AF7" w:rsidRPr="001D6AE4" w14:paraId="51DF879F" w14:textId="77777777" w:rsidTr="00A20E3C">
        <w:tc>
          <w:tcPr>
            <w:tcW w:w="2077" w:type="dxa"/>
            <w:vMerge/>
            <w:shd w:val="clear" w:color="auto" w:fill="D9D9D9" w:themeFill="background1" w:themeFillShade="D9"/>
          </w:tcPr>
          <w:p w14:paraId="03EC905D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D9D9D9" w:themeFill="background1" w:themeFillShade="D9"/>
          </w:tcPr>
          <w:p w14:paraId="256AF00A" w14:textId="77777777" w:rsidR="007F0D75" w:rsidRPr="001D6AE4" w:rsidRDefault="007F0D75" w:rsidP="0031500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D6AE4">
              <w:rPr>
                <w:b/>
                <w:bCs/>
                <w:color w:val="000000"/>
                <w:sz w:val="22"/>
                <w:szCs w:val="22"/>
              </w:rPr>
              <w:t>Prophylaxis</w:t>
            </w:r>
          </w:p>
          <w:p w14:paraId="12878893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1D6AE4">
              <w:rPr>
                <w:b/>
                <w:bCs/>
                <w:color w:val="000000"/>
                <w:sz w:val="22"/>
                <w:szCs w:val="22"/>
              </w:rPr>
              <w:t>(N = 146)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48F3A2E" w14:textId="77777777" w:rsidR="007F0D75" w:rsidRPr="001D6AE4" w:rsidRDefault="007F0D75" w:rsidP="0031500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62"/>
              <w:jc w:val="center"/>
              <w:rPr>
                <w:b/>
                <w:color w:val="000000"/>
                <w:sz w:val="22"/>
                <w:szCs w:val="22"/>
              </w:rPr>
            </w:pPr>
            <w:r w:rsidRPr="001D6AE4">
              <w:rPr>
                <w:b/>
                <w:bCs/>
                <w:color w:val="000000"/>
                <w:sz w:val="22"/>
                <w:szCs w:val="22"/>
              </w:rPr>
              <w:t>On demand</w:t>
            </w:r>
          </w:p>
          <w:p w14:paraId="35B7DB31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b/>
                <w:bCs/>
                <w:sz w:val="22"/>
                <w:szCs w:val="22"/>
              </w:rPr>
            </w:pPr>
            <w:r w:rsidRPr="001D6AE4">
              <w:rPr>
                <w:b/>
                <w:bCs/>
                <w:color w:val="000000"/>
                <w:sz w:val="22"/>
                <w:szCs w:val="22"/>
              </w:rPr>
              <w:t>(N = 27)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960B09A" w14:textId="77777777" w:rsidR="007F0D75" w:rsidRPr="001D6AE4" w:rsidRDefault="007F0D75" w:rsidP="0031500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D6AE4">
              <w:rPr>
                <w:b/>
                <w:bCs/>
                <w:color w:val="000000"/>
                <w:sz w:val="22"/>
                <w:szCs w:val="22"/>
              </w:rPr>
              <w:t>Prophylaxis</w:t>
            </w:r>
          </w:p>
          <w:p w14:paraId="3D6400ED" w14:textId="77777777" w:rsidR="007F0D75" w:rsidRPr="001D6AE4" w:rsidRDefault="007F0D75" w:rsidP="0031500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6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6AE4">
              <w:rPr>
                <w:b/>
                <w:bCs/>
                <w:color w:val="000000"/>
                <w:sz w:val="22"/>
                <w:szCs w:val="22"/>
              </w:rPr>
              <w:t>(N = 80)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0845D0A" w14:textId="77777777" w:rsidR="007F0D75" w:rsidRPr="001D6AE4" w:rsidRDefault="007F0D75" w:rsidP="0031500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62"/>
              <w:jc w:val="center"/>
              <w:rPr>
                <w:b/>
                <w:color w:val="000000"/>
                <w:sz w:val="22"/>
                <w:szCs w:val="22"/>
              </w:rPr>
            </w:pPr>
            <w:r w:rsidRPr="001D6AE4">
              <w:rPr>
                <w:b/>
                <w:bCs/>
                <w:color w:val="000000"/>
                <w:sz w:val="22"/>
                <w:szCs w:val="22"/>
              </w:rPr>
              <w:t>On demand</w:t>
            </w:r>
          </w:p>
          <w:p w14:paraId="30F2136A" w14:textId="77777777" w:rsidR="007F0D75" w:rsidRPr="001D6AE4" w:rsidRDefault="007F0D75" w:rsidP="0031500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6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6AE4">
              <w:rPr>
                <w:b/>
                <w:bCs/>
                <w:color w:val="000000"/>
                <w:sz w:val="22"/>
                <w:szCs w:val="22"/>
              </w:rPr>
              <w:t>(N = 3)</w:t>
            </w:r>
          </w:p>
        </w:tc>
      </w:tr>
      <w:tr w:rsidR="00313AF7" w:rsidRPr="001D6AE4" w14:paraId="2D0DC6B6" w14:textId="77777777" w:rsidTr="0054657C">
        <w:tc>
          <w:tcPr>
            <w:tcW w:w="2077" w:type="dxa"/>
            <w:shd w:val="clear" w:color="auto" w:fill="auto"/>
          </w:tcPr>
          <w:p w14:paraId="0762CEDC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rPr>
                <w:bCs/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Overall ABR</w:t>
            </w:r>
          </w:p>
          <w:p w14:paraId="74A67734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left="180" w:right="162"/>
              <w:jc w:val="both"/>
              <w:rPr>
                <w:bCs/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Median (IQR</w:t>
            </w:r>
            <w:r w:rsidRPr="001D6AE4">
              <w:rPr>
                <w:sz w:val="22"/>
                <w:szCs w:val="22"/>
              </w:rPr>
              <w:t>*</w:t>
            </w:r>
            <w:r w:rsidRPr="001D6AE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609" w:type="dxa"/>
            <w:shd w:val="clear" w:color="auto" w:fill="auto"/>
          </w:tcPr>
          <w:p w14:paraId="31380951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jc w:val="center"/>
              <w:rPr>
                <w:bCs/>
                <w:sz w:val="22"/>
                <w:szCs w:val="22"/>
              </w:rPr>
            </w:pPr>
          </w:p>
          <w:p w14:paraId="4DCA32D4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jc w:val="center"/>
              <w:rPr>
                <w:bCs/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1.14 (0–4.2)</w:t>
            </w:r>
          </w:p>
        </w:tc>
        <w:tc>
          <w:tcPr>
            <w:tcW w:w="1984" w:type="dxa"/>
            <w:shd w:val="clear" w:color="auto" w:fill="auto"/>
          </w:tcPr>
          <w:p w14:paraId="610CD704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bCs/>
                <w:sz w:val="22"/>
                <w:szCs w:val="22"/>
              </w:rPr>
            </w:pPr>
          </w:p>
          <w:p w14:paraId="44A192CA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bCs/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19.64 (6.2–46.5)</w:t>
            </w:r>
          </w:p>
        </w:tc>
        <w:tc>
          <w:tcPr>
            <w:tcW w:w="1701" w:type="dxa"/>
          </w:tcPr>
          <w:p w14:paraId="05891D2A" w14:textId="77777777" w:rsidR="007F0D75" w:rsidRPr="001D6AE4" w:rsidRDefault="007F0D75" w:rsidP="00313AF7">
            <w:pPr>
              <w:keepNext/>
              <w:widowControl w:val="0"/>
              <w:spacing w:before="40" w:after="40" w:line="240" w:lineRule="auto"/>
              <w:jc w:val="center"/>
              <w:rPr>
                <w:bCs/>
                <w:sz w:val="22"/>
                <w:szCs w:val="22"/>
              </w:rPr>
            </w:pPr>
          </w:p>
          <w:p w14:paraId="78307632" w14:textId="15904B91" w:rsidR="007F0D75" w:rsidRPr="001D6AE4" w:rsidRDefault="007F0D75" w:rsidP="00D96C02">
            <w:pPr>
              <w:keepNext/>
              <w:widowControl w:val="0"/>
              <w:spacing w:before="40" w:after="40"/>
              <w:ind w:right="162"/>
              <w:jc w:val="center"/>
              <w:rPr>
                <w:bCs/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3.69 (0</w:t>
            </w:r>
            <w:r w:rsidR="00D96C02" w:rsidRPr="001D6AE4">
              <w:rPr>
                <w:bCs/>
                <w:sz w:val="22"/>
                <w:szCs w:val="22"/>
              </w:rPr>
              <w:t>–</w:t>
            </w:r>
            <w:r w:rsidRPr="001D6AE4">
              <w:rPr>
                <w:bCs/>
                <w:sz w:val="22"/>
                <w:szCs w:val="22"/>
              </w:rPr>
              <w:t>7.2)</w:t>
            </w:r>
          </w:p>
        </w:tc>
        <w:tc>
          <w:tcPr>
            <w:tcW w:w="2127" w:type="dxa"/>
          </w:tcPr>
          <w:p w14:paraId="7633673A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bCs/>
                <w:sz w:val="22"/>
                <w:szCs w:val="22"/>
              </w:rPr>
            </w:pPr>
          </w:p>
          <w:p w14:paraId="455D72E6" w14:textId="2891C1A1" w:rsidR="007F0D75" w:rsidRPr="001D6AE4" w:rsidRDefault="007F0D75" w:rsidP="0054657C">
            <w:pPr>
              <w:keepNext/>
              <w:widowControl w:val="0"/>
              <w:spacing w:before="40" w:after="40" w:line="240" w:lineRule="auto"/>
              <w:ind w:right="162"/>
              <w:rPr>
                <w:bCs/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78.56 (35.1</w:t>
            </w:r>
            <w:r w:rsidR="00D96C02" w:rsidRPr="001D6AE4">
              <w:rPr>
                <w:bCs/>
                <w:sz w:val="22"/>
                <w:szCs w:val="22"/>
              </w:rPr>
              <w:t>–</w:t>
            </w:r>
            <w:r w:rsidRPr="001D6AE4">
              <w:rPr>
                <w:bCs/>
                <w:sz w:val="22"/>
                <w:szCs w:val="22"/>
              </w:rPr>
              <w:t>86.6)</w:t>
            </w:r>
          </w:p>
        </w:tc>
      </w:tr>
      <w:tr w:rsidR="00313AF7" w:rsidRPr="001D6AE4" w14:paraId="500949C4" w14:textId="77777777" w:rsidTr="0054657C">
        <w:tc>
          <w:tcPr>
            <w:tcW w:w="2077" w:type="dxa"/>
            <w:shd w:val="clear" w:color="auto" w:fill="auto"/>
          </w:tcPr>
          <w:p w14:paraId="048CEFD7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rPr>
                <w:bCs/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Annualised Spontaneous Bleeding Rate (AsBR)</w:t>
            </w:r>
          </w:p>
          <w:p w14:paraId="2DD9B5AB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 w:firstLine="180"/>
              <w:rPr>
                <w:bCs/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Median (IQR</w:t>
            </w:r>
            <w:r w:rsidRPr="001D6AE4">
              <w:rPr>
                <w:sz w:val="22"/>
                <w:szCs w:val="22"/>
              </w:rPr>
              <w:t>*</w:t>
            </w:r>
            <w:r w:rsidRPr="001D6AE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609" w:type="dxa"/>
            <w:shd w:val="clear" w:color="auto" w:fill="auto"/>
          </w:tcPr>
          <w:p w14:paraId="141B1B32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jc w:val="center"/>
              <w:rPr>
                <w:bCs/>
                <w:sz w:val="22"/>
                <w:szCs w:val="22"/>
              </w:rPr>
            </w:pPr>
          </w:p>
          <w:p w14:paraId="6EEEF7DF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jc w:val="center"/>
              <w:rPr>
                <w:bCs/>
                <w:sz w:val="22"/>
                <w:szCs w:val="22"/>
              </w:rPr>
            </w:pPr>
          </w:p>
          <w:p w14:paraId="60A81461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jc w:val="center"/>
              <w:rPr>
                <w:bCs/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0 (0–2.4)</w:t>
            </w:r>
          </w:p>
        </w:tc>
        <w:tc>
          <w:tcPr>
            <w:tcW w:w="1984" w:type="dxa"/>
            <w:shd w:val="clear" w:color="auto" w:fill="auto"/>
          </w:tcPr>
          <w:p w14:paraId="2B22BC82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bCs/>
                <w:sz w:val="22"/>
                <w:szCs w:val="22"/>
              </w:rPr>
            </w:pPr>
          </w:p>
          <w:p w14:paraId="6EA696F3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bCs/>
                <w:sz w:val="22"/>
                <w:szCs w:val="22"/>
              </w:rPr>
            </w:pPr>
          </w:p>
          <w:p w14:paraId="07F9CC4F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bCs/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11.73 (2.8–36.5)</w:t>
            </w:r>
          </w:p>
        </w:tc>
        <w:tc>
          <w:tcPr>
            <w:tcW w:w="1701" w:type="dxa"/>
          </w:tcPr>
          <w:p w14:paraId="151FB90F" w14:textId="77777777" w:rsidR="007F0D75" w:rsidRPr="001D6AE4" w:rsidRDefault="007F0D75" w:rsidP="00313AF7">
            <w:pPr>
              <w:keepNext/>
              <w:widowControl w:val="0"/>
              <w:spacing w:before="40" w:after="40" w:line="240" w:lineRule="auto"/>
              <w:jc w:val="center"/>
              <w:rPr>
                <w:bCs/>
                <w:sz w:val="22"/>
                <w:szCs w:val="22"/>
              </w:rPr>
            </w:pPr>
          </w:p>
          <w:p w14:paraId="7D0B3D6D" w14:textId="77777777" w:rsidR="007F0D75" w:rsidRPr="001D6AE4" w:rsidRDefault="007F0D75" w:rsidP="00313AF7">
            <w:pPr>
              <w:keepNext/>
              <w:widowControl w:val="0"/>
              <w:spacing w:before="40" w:after="40" w:line="240" w:lineRule="auto"/>
              <w:jc w:val="center"/>
              <w:rPr>
                <w:bCs/>
                <w:sz w:val="22"/>
                <w:szCs w:val="22"/>
              </w:rPr>
            </w:pPr>
          </w:p>
          <w:p w14:paraId="33407BA7" w14:textId="4CE8E061" w:rsidR="007F0D75" w:rsidRPr="001D6AE4" w:rsidRDefault="007F0D75" w:rsidP="00D96C02">
            <w:pPr>
              <w:keepNext/>
              <w:widowControl w:val="0"/>
              <w:spacing w:before="40" w:after="40"/>
              <w:ind w:right="162"/>
              <w:jc w:val="center"/>
              <w:rPr>
                <w:bCs/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0 (0</w:t>
            </w:r>
            <w:r w:rsidR="00D96C02" w:rsidRPr="001D6AE4">
              <w:rPr>
                <w:bCs/>
                <w:sz w:val="22"/>
                <w:szCs w:val="22"/>
              </w:rPr>
              <w:t>–</w:t>
            </w:r>
            <w:r w:rsidRPr="001D6AE4">
              <w:rPr>
                <w:bCs/>
                <w:sz w:val="22"/>
                <w:szCs w:val="22"/>
              </w:rPr>
              <w:t>2.2)</w:t>
            </w:r>
          </w:p>
        </w:tc>
        <w:tc>
          <w:tcPr>
            <w:tcW w:w="2127" w:type="dxa"/>
          </w:tcPr>
          <w:p w14:paraId="4BD495A7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bCs/>
                <w:sz w:val="22"/>
                <w:szCs w:val="22"/>
              </w:rPr>
            </w:pPr>
          </w:p>
          <w:p w14:paraId="357DF54B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bCs/>
                <w:sz w:val="22"/>
                <w:szCs w:val="22"/>
              </w:rPr>
            </w:pPr>
          </w:p>
          <w:p w14:paraId="3C381EFB" w14:textId="3688B68C" w:rsidR="007F0D75" w:rsidRPr="001D6AE4" w:rsidRDefault="007F0D75" w:rsidP="00D96C02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bCs/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31.76 (0</w:t>
            </w:r>
            <w:r w:rsidR="00D96C02" w:rsidRPr="001D6AE4">
              <w:rPr>
                <w:bCs/>
                <w:sz w:val="22"/>
                <w:szCs w:val="22"/>
              </w:rPr>
              <w:t>–</w:t>
            </w:r>
            <w:r w:rsidRPr="001D6AE4">
              <w:rPr>
                <w:bCs/>
                <w:sz w:val="22"/>
                <w:szCs w:val="22"/>
              </w:rPr>
              <w:t>42.7)</w:t>
            </w:r>
          </w:p>
        </w:tc>
      </w:tr>
      <w:tr w:rsidR="00313AF7" w:rsidRPr="001D6AE4" w14:paraId="3ECAC9B8" w14:textId="77777777" w:rsidTr="0054657C">
        <w:tc>
          <w:tcPr>
            <w:tcW w:w="2077" w:type="dxa"/>
            <w:shd w:val="clear" w:color="auto" w:fill="auto"/>
          </w:tcPr>
          <w:p w14:paraId="0F5FC217" w14:textId="31F05332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 xml:space="preserve">Number of subjects with zero </w:t>
            </w:r>
            <w:r w:rsidRPr="001D6AE4">
              <w:rPr>
                <w:bCs/>
                <w:sz w:val="22"/>
                <w:szCs w:val="22"/>
              </w:rPr>
              <w:t>bleeding episodes</w:t>
            </w:r>
            <w:r w:rsidR="003F3C73" w:rsidRPr="001D6AE4">
              <w:rPr>
                <w:bCs/>
                <w:sz w:val="22"/>
                <w:szCs w:val="22"/>
              </w:rPr>
              <w:t xml:space="preserve"> requiring treatment</w:t>
            </w:r>
          </w:p>
        </w:tc>
        <w:tc>
          <w:tcPr>
            <w:tcW w:w="1609" w:type="dxa"/>
            <w:shd w:val="clear" w:color="auto" w:fill="auto"/>
          </w:tcPr>
          <w:p w14:paraId="67A5B6AF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</w:p>
          <w:p w14:paraId="5B5E389B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63 (43.2%)</w:t>
            </w:r>
          </w:p>
        </w:tc>
        <w:tc>
          <w:tcPr>
            <w:tcW w:w="1984" w:type="dxa"/>
            <w:shd w:val="clear" w:color="auto" w:fill="auto"/>
          </w:tcPr>
          <w:p w14:paraId="48AE74C4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sz w:val="22"/>
                <w:szCs w:val="22"/>
              </w:rPr>
            </w:pPr>
          </w:p>
          <w:p w14:paraId="67C2509A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1 (3.7%)</w:t>
            </w:r>
          </w:p>
        </w:tc>
        <w:tc>
          <w:tcPr>
            <w:tcW w:w="1701" w:type="dxa"/>
          </w:tcPr>
          <w:p w14:paraId="249B1623" w14:textId="77777777" w:rsidR="007F0D75" w:rsidRPr="001D6AE4" w:rsidRDefault="007F0D75" w:rsidP="00313AF7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</w:p>
          <w:p w14:paraId="6CAD0FA8" w14:textId="77777777" w:rsidR="007F0D75" w:rsidRPr="001D6AE4" w:rsidRDefault="007F0D75" w:rsidP="00313AF7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21 (26.3%)</w:t>
            </w:r>
          </w:p>
        </w:tc>
        <w:tc>
          <w:tcPr>
            <w:tcW w:w="2127" w:type="dxa"/>
          </w:tcPr>
          <w:p w14:paraId="463EA328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sz w:val="22"/>
                <w:szCs w:val="22"/>
              </w:rPr>
            </w:pPr>
          </w:p>
          <w:p w14:paraId="6C060A6C" w14:textId="77777777" w:rsidR="007F0D75" w:rsidRPr="001D6AE4" w:rsidRDefault="007F0D75" w:rsidP="00315008">
            <w:pPr>
              <w:keepNext/>
              <w:widowControl w:val="0"/>
              <w:spacing w:before="40" w:after="40" w:line="240" w:lineRule="auto"/>
              <w:ind w:right="162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0</w:t>
            </w:r>
          </w:p>
        </w:tc>
      </w:tr>
    </w:tbl>
    <w:p w14:paraId="38A64AF9" w14:textId="77777777" w:rsidR="00A00C4F" w:rsidRPr="00BA652A" w:rsidRDefault="00A00C4F" w:rsidP="00A00C4F">
      <w:pPr>
        <w:pStyle w:val="TableFootnote"/>
        <w:keepNext w:val="0"/>
        <w:spacing w:after="240"/>
        <w:ind w:left="0" w:right="2648" w:firstLine="0"/>
      </w:pPr>
      <w:r w:rsidRPr="006845F0">
        <w:t>* IQR = interquartile range, 25th percentile to 75th percentile</w:t>
      </w:r>
      <w:r>
        <w:t>.</w:t>
      </w:r>
    </w:p>
    <w:p w14:paraId="401AB561" w14:textId="77777777" w:rsidR="0081494F" w:rsidRPr="00010047" w:rsidRDefault="0081494F" w:rsidP="0081494F">
      <w:pPr>
        <w:pStyle w:val="Heading3"/>
        <w:numPr>
          <w:ilvl w:val="0"/>
          <w:numId w:val="0"/>
        </w:numPr>
        <w:tabs>
          <w:tab w:val="clear" w:pos="2138"/>
        </w:tabs>
      </w:pPr>
      <w:r w:rsidRPr="00010047">
        <w:t xml:space="preserve">Control and </w:t>
      </w:r>
      <w:r>
        <w:t>p</w:t>
      </w:r>
      <w:r w:rsidRPr="00010047">
        <w:t xml:space="preserve">revention of </w:t>
      </w:r>
      <w:r>
        <w:t>b</w:t>
      </w:r>
      <w:r w:rsidRPr="00010047">
        <w:t xml:space="preserve">leeding </w:t>
      </w:r>
      <w:r>
        <w:t>e</w:t>
      </w:r>
      <w:r w:rsidRPr="00010047">
        <w:t xml:space="preserve">pisodes in </w:t>
      </w:r>
      <w:r>
        <w:t>the p</w:t>
      </w:r>
      <w:r w:rsidRPr="00010047">
        <w:t xml:space="preserve">erioperative </w:t>
      </w:r>
      <w:r>
        <w:t>setting</w:t>
      </w:r>
    </w:p>
    <w:p w14:paraId="5BAD2A5F" w14:textId="468B7740" w:rsidR="006845F0" w:rsidRDefault="006845F0" w:rsidP="006845F0">
      <w:pPr>
        <w:pStyle w:val="DocumentText"/>
      </w:pPr>
      <w:r w:rsidRPr="00BA652A">
        <w:t>Thirteen subjects</w:t>
      </w:r>
      <w:r w:rsidR="007F0D75">
        <w:t xml:space="preserve"> in the adult/adolescent study</w:t>
      </w:r>
      <w:r w:rsidRPr="00BA652A">
        <w:t xml:space="preserve"> underwent a total of 16 surgical procedures</w:t>
      </w:r>
      <w:r w:rsidRPr="006845F0">
        <w:t>. Overall, investigators assessed h</w:t>
      </w:r>
      <w:r>
        <w:t>a</w:t>
      </w:r>
      <w:r w:rsidRPr="006845F0">
        <w:t xml:space="preserve">emostatic efficacy of </w:t>
      </w:r>
      <w:r w:rsidRPr="00B55AF6">
        <w:t>AFSTYLA</w:t>
      </w:r>
      <w:r w:rsidRPr="00B55AF6">
        <w:rPr>
          <w:vertAlign w:val="superscript"/>
        </w:rPr>
        <w:t>®</w:t>
      </w:r>
      <w:r w:rsidRPr="006845F0">
        <w:t xml:space="preserve"> in surgical prophylaxis as excellent in 15 of 16 surgeries and as good in 1 of </w:t>
      </w:r>
      <w:r w:rsidR="00543DA5" w:rsidRPr="006845F0">
        <w:t>1</w:t>
      </w:r>
      <w:r w:rsidR="00543DA5">
        <w:t>6</w:t>
      </w:r>
      <w:r w:rsidR="00543DA5" w:rsidRPr="006845F0">
        <w:t xml:space="preserve"> </w:t>
      </w:r>
      <w:r w:rsidRPr="006845F0">
        <w:t>surgeries (</w:t>
      </w:r>
      <w:r w:rsidRPr="00BA652A">
        <w:t xml:space="preserve">see </w:t>
      </w:r>
      <w:r w:rsidRPr="006845F0">
        <w:rPr>
          <w:b/>
        </w:rPr>
        <w:t>Table 6</w:t>
      </w:r>
      <w:r w:rsidRPr="006845F0">
        <w:t>). Median factor consumption on the day of surgery was 89.4</w:t>
      </w:r>
      <w:r>
        <w:t> </w:t>
      </w:r>
      <w:r w:rsidRPr="006845F0">
        <w:t>IU/kg (range 40.5–108.6</w:t>
      </w:r>
      <w:r>
        <w:t> </w:t>
      </w:r>
      <w:r w:rsidRPr="006845F0">
        <w:t>IU/kg)</w:t>
      </w:r>
      <w:r w:rsidRPr="00BA652A">
        <w:t>.</w:t>
      </w:r>
    </w:p>
    <w:p w14:paraId="1D3F5A14" w14:textId="77777777" w:rsidR="004C0919" w:rsidRPr="00BA652A" w:rsidRDefault="004C0919" w:rsidP="00D31721">
      <w:pPr>
        <w:pStyle w:val="Caption"/>
        <w:ind w:left="0" w:firstLine="0"/>
      </w:pPr>
      <w:r w:rsidRPr="00BA652A">
        <w:lastRenderedPageBreak/>
        <w:t xml:space="preserve">Table </w:t>
      </w:r>
      <w:r>
        <w:t>6</w:t>
      </w:r>
      <w:r w:rsidRPr="00BA652A">
        <w:t>:</w:t>
      </w:r>
      <w:r>
        <w:t xml:space="preserve"> </w:t>
      </w:r>
      <w:r w:rsidRPr="00BA652A">
        <w:t xml:space="preserve">Efficacy of </w:t>
      </w:r>
      <w:r w:rsidRPr="004C0919">
        <w:t>AFSTYLA</w:t>
      </w:r>
      <w:r w:rsidRPr="004C0919">
        <w:rPr>
          <w:vertAlign w:val="superscript"/>
        </w:rPr>
        <w:t>®</w:t>
      </w:r>
      <w:r w:rsidRPr="00BA652A">
        <w:t xml:space="preserve"> in </w:t>
      </w:r>
      <w:r>
        <w:t>s</w:t>
      </w:r>
      <w:r w:rsidRPr="00BA652A">
        <w:t xml:space="preserve">urgical </w:t>
      </w:r>
      <w:r>
        <w:t>p</w:t>
      </w:r>
      <w:r w:rsidRPr="00BA652A">
        <w:t>rophylaxis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D31721" w:rsidRPr="001D6AE4" w14:paraId="5E3EDB2C" w14:textId="77777777" w:rsidTr="00A20E3C">
        <w:trPr>
          <w:trHeight w:val="562"/>
        </w:trPr>
        <w:tc>
          <w:tcPr>
            <w:tcW w:w="3261" w:type="dxa"/>
            <w:shd w:val="clear" w:color="auto" w:fill="D9D9D9" w:themeFill="background1" w:themeFillShade="D9"/>
            <w:vAlign w:val="center"/>
            <w:hideMark/>
          </w:tcPr>
          <w:p w14:paraId="226F6365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rPr>
                <w:b/>
                <w:sz w:val="22"/>
                <w:szCs w:val="22"/>
              </w:rPr>
            </w:pPr>
            <w:r w:rsidRPr="001D6AE4">
              <w:rPr>
                <w:b/>
                <w:bCs/>
                <w:sz w:val="22"/>
                <w:szCs w:val="22"/>
              </w:rPr>
              <w:t>Procedure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14:paraId="2644E106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b/>
                <w:sz w:val="22"/>
                <w:szCs w:val="22"/>
              </w:rPr>
            </w:pPr>
            <w:r w:rsidRPr="001D6AE4">
              <w:rPr>
                <w:b/>
                <w:bCs/>
                <w:sz w:val="22"/>
                <w:szCs w:val="22"/>
              </w:rPr>
              <w:t>Efficacy Evaluation*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14:paraId="3B797A06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1D6AE4">
              <w:rPr>
                <w:b/>
                <w:bCs/>
                <w:sz w:val="22"/>
                <w:szCs w:val="22"/>
              </w:rPr>
              <w:t>Factor Consumption (IU/kg)</w:t>
            </w:r>
          </w:p>
          <w:p w14:paraId="3E4AFFA9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b/>
                <w:sz w:val="22"/>
                <w:szCs w:val="22"/>
              </w:rPr>
            </w:pPr>
            <w:r w:rsidRPr="001D6AE4">
              <w:rPr>
                <w:b/>
                <w:bCs/>
                <w:sz w:val="22"/>
                <w:szCs w:val="22"/>
              </w:rPr>
              <w:t>(pre- and intra-operatively)</w:t>
            </w:r>
          </w:p>
        </w:tc>
      </w:tr>
      <w:tr w:rsidR="00D31721" w:rsidRPr="001D6AE4" w14:paraId="649F478E" w14:textId="77777777" w:rsidTr="00291451">
        <w:trPr>
          <w:trHeight w:val="281"/>
        </w:trPr>
        <w:tc>
          <w:tcPr>
            <w:tcW w:w="3261" w:type="dxa"/>
            <w:shd w:val="clear" w:color="auto" w:fill="auto"/>
            <w:vAlign w:val="center"/>
            <w:hideMark/>
          </w:tcPr>
          <w:p w14:paraId="2C6B0C97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Extraction of wisdom teeth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1CEBC06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Excellent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30FEA61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51.09</w:t>
            </w:r>
          </w:p>
        </w:tc>
      </w:tr>
      <w:tr w:rsidR="00D31721" w:rsidRPr="001D6AE4" w14:paraId="411568A4" w14:textId="77777777" w:rsidTr="00291451">
        <w:trPr>
          <w:trHeight w:val="281"/>
        </w:trPr>
        <w:tc>
          <w:tcPr>
            <w:tcW w:w="3261" w:type="dxa"/>
            <w:shd w:val="clear" w:color="auto" w:fill="auto"/>
            <w:vAlign w:val="center"/>
            <w:hideMark/>
          </w:tcPr>
          <w:p w14:paraId="4D88F4E4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Abdominal hernia repair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A27B4A9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Excellent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04A651B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47.89</w:t>
            </w:r>
          </w:p>
        </w:tc>
      </w:tr>
      <w:tr w:rsidR="00D31721" w:rsidRPr="001D6AE4" w14:paraId="795ED488" w14:textId="77777777" w:rsidTr="00291451">
        <w:trPr>
          <w:trHeight w:val="281"/>
        </w:trPr>
        <w:tc>
          <w:tcPr>
            <w:tcW w:w="3261" w:type="dxa"/>
            <w:shd w:val="clear" w:color="auto" w:fill="auto"/>
            <w:vAlign w:val="center"/>
            <w:hideMark/>
          </w:tcPr>
          <w:p w14:paraId="6D5C3F62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Elbow replacement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6F878BC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Excellent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53C6798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108.58</w:t>
            </w:r>
          </w:p>
        </w:tc>
      </w:tr>
      <w:tr w:rsidR="00D31721" w:rsidRPr="001D6AE4" w14:paraId="24DE3569" w14:textId="77777777" w:rsidTr="00291451">
        <w:trPr>
          <w:trHeight w:val="281"/>
        </w:trPr>
        <w:tc>
          <w:tcPr>
            <w:tcW w:w="3261" w:type="dxa"/>
            <w:shd w:val="clear" w:color="auto" w:fill="auto"/>
            <w:vAlign w:val="center"/>
            <w:hideMark/>
          </w:tcPr>
          <w:p w14:paraId="460C6CF4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Ankle arthroplasty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5BC96BE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Excellent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EEFE984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76.83</w:t>
            </w:r>
          </w:p>
        </w:tc>
      </w:tr>
      <w:tr w:rsidR="00D31721" w:rsidRPr="001D6AE4" w14:paraId="7D9FFDCA" w14:textId="77777777" w:rsidTr="00291451">
        <w:trPr>
          <w:trHeight w:val="566"/>
        </w:trPr>
        <w:tc>
          <w:tcPr>
            <w:tcW w:w="3261" w:type="dxa"/>
            <w:shd w:val="clear" w:color="auto" w:fill="auto"/>
            <w:hideMark/>
          </w:tcPr>
          <w:p w14:paraId="7BB3C96B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Knee replacement (5)</w:t>
            </w:r>
          </w:p>
        </w:tc>
        <w:tc>
          <w:tcPr>
            <w:tcW w:w="2551" w:type="dxa"/>
            <w:shd w:val="clear" w:color="auto" w:fill="auto"/>
            <w:hideMark/>
          </w:tcPr>
          <w:p w14:paraId="3B430AA1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Excellent (4), Good (1)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5FB869A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92.49</w:t>
            </w:r>
          </w:p>
          <w:p w14:paraId="6D6779B1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100.9</w:t>
            </w:r>
          </w:p>
          <w:p w14:paraId="35B45A89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67.26</w:t>
            </w:r>
          </w:p>
          <w:p w14:paraId="63020E83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105.79</w:t>
            </w:r>
          </w:p>
          <w:p w14:paraId="60F3A223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86.09</w:t>
            </w:r>
          </w:p>
        </w:tc>
      </w:tr>
      <w:tr w:rsidR="00D31721" w:rsidRPr="001D6AE4" w14:paraId="787D084E" w14:textId="77777777" w:rsidTr="00291451">
        <w:trPr>
          <w:trHeight w:val="257"/>
        </w:trPr>
        <w:tc>
          <w:tcPr>
            <w:tcW w:w="3261" w:type="dxa"/>
            <w:shd w:val="clear" w:color="auto" w:fill="auto"/>
          </w:tcPr>
          <w:p w14:paraId="7DD82FDB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rPr>
                <w:bCs/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Cholecystectomy</w:t>
            </w:r>
          </w:p>
          <w:p w14:paraId="69B0DFF7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rPr>
                <w:bCs/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and</w:t>
            </w:r>
          </w:p>
          <w:p w14:paraId="418CE6DD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Lengthening of the Achilles tendon combined with: Straightening of the right toes</w:t>
            </w:r>
          </w:p>
        </w:tc>
        <w:tc>
          <w:tcPr>
            <w:tcW w:w="2551" w:type="dxa"/>
            <w:shd w:val="clear" w:color="auto" w:fill="auto"/>
          </w:tcPr>
          <w:p w14:paraId="558187D9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Excellent</w:t>
            </w:r>
          </w:p>
          <w:p w14:paraId="65456852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</w:p>
          <w:p w14:paraId="32BFFF7C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Excellent</w:t>
            </w:r>
          </w:p>
        </w:tc>
        <w:tc>
          <w:tcPr>
            <w:tcW w:w="3260" w:type="dxa"/>
            <w:shd w:val="clear" w:color="auto" w:fill="auto"/>
          </w:tcPr>
          <w:p w14:paraId="0AB90EE4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105.95</w:t>
            </w:r>
          </w:p>
        </w:tc>
      </w:tr>
      <w:tr w:rsidR="00D31721" w:rsidRPr="001D6AE4" w14:paraId="61E43E90" w14:textId="77777777" w:rsidTr="00291451">
        <w:trPr>
          <w:trHeight w:val="257"/>
        </w:trPr>
        <w:tc>
          <w:tcPr>
            <w:tcW w:w="3261" w:type="dxa"/>
            <w:shd w:val="clear" w:color="auto" w:fill="auto"/>
            <w:hideMark/>
          </w:tcPr>
          <w:p w14:paraId="6FB4A37A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Circumcision (3)</w:t>
            </w:r>
          </w:p>
        </w:tc>
        <w:tc>
          <w:tcPr>
            <w:tcW w:w="2551" w:type="dxa"/>
            <w:shd w:val="clear" w:color="auto" w:fill="auto"/>
            <w:hideMark/>
          </w:tcPr>
          <w:p w14:paraId="7FF064FF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Excellent (3)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45F7735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99.04</w:t>
            </w:r>
          </w:p>
          <w:p w14:paraId="1D6D0DBD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92.74</w:t>
            </w:r>
          </w:p>
          <w:p w14:paraId="7BB4CB32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81.5</w:t>
            </w:r>
          </w:p>
        </w:tc>
      </w:tr>
      <w:tr w:rsidR="00D31721" w:rsidRPr="001D6AE4" w14:paraId="7875008B" w14:textId="77777777" w:rsidTr="00291451">
        <w:trPr>
          <w:trHeight w:val="281"/>
        </w:trPr>
        <w:tc>
          <w:tcPr>
            <w:tcW w:w="3261" w:type="dxa"/>
            <w:shd w:val="clear" w:color="auto" w:fill="auto"/>
            <w:vAlign w:val="center"/>
            <w:hideMark/>
          </w:tcPr>
          <w:p w14:paraId="0C410ED4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>Open reduction internal fixation (ORIF) right ankle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6E29FCD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Excellent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F194B93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89.36</w:t>
            </w:r>
          </w:p>
        </w:tc>
      </w:tr>
      <w:tr w:rsidR="00D31721" w:rsidRPr="001D6AE4" w14:paraId="092F2020" w14:textId="77777777" w:rsidTr="00291451">
        <w:trPr>
          <w:trHeight w:val="302"/>
        </w:trPr>
        <w:tc>
          <w:tcPr>
            <w:tcW w:w="3261" w:type="dxa"/>
            <w:shd w:val="clear" w:color="auto" w:fill="auto"/>
            <w:vAlign w:val="center"/>
            <w:hideMark/>
          </w:tcPr>
          <w:p w14:paraId="3BA2D2E7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rPr>
                <w:sz w:val="22"/>
                <w:szCs w:val="22"/>
              </w:rPr>
            </w:pPr>
            <w:r w:rsidRPr="001D6AE4">
              <w:rPr>
                <w:bCs/>
                <w:sz w:val="22"/>
                <w:szCs w:val="22"/>
              </w:rPr>
              <w:t xml:space="preserve">Hardware removal, </w:t>
            </w:r>
            <w:r w:rsidR="00291451" w:rsidRPr="001D6AE4">
              <w:rPr>
                <w:bCs/>
                <w:sz w:val="22"/>
                <w:szCs w:val="22"/>
              </w:rPr>
              <w:t>r</w:t>
            </w:r>
            <w:r w:rsidRPr="001D6AE4">
              <w:rPr>
                <w:bCs/>
                <w:sz w:val="22"/>
                <w:szCs w:val="22"/>
              </w:rPr>
              <w:t>ight ankle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081ABE0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Excellent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9ABA6EA" w14:textId="77777777" w:rsidR="004C0919" w:rsidRPr="001D6AE4" w:rsidRDefault="004C0919" w:rsidP="00291451">
            <w:pPr>
              <w:keepNext/>
              <w:widowControl w:val="0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1D6AE4">
              <w:rPr>
                <w:sz w:val="22"/>
                <w:szCs w:val="22"/>
              </w:rPr>
              <w:t>40.45</w:t>
            </w:r>
          </w:p>
        </w:tc>
      </w:tr>
    </w:tbl>
    <w:p w14:paraId="6FF0192E" w14:textId="52A3794F" w:rsidR="004C0919" w:rsidRPr="006845F0" w:rsidRDefault="0054657C" w:rsidP="00291451">
      <w:pPr>
        <w:pStyle w:val="TableFootnote"/>
        <w:keepNext w:val="0"/>
        <w:spacing w:after="240"/>
        <w:ind w:left="0" w:right="-45" w:firstLine="0"/>
      </w:pPr>
      <w:r>
        <w:t xml:space="preserve">* </w:t>
      </w:r>
      <w:r w:rsidR="004C0919" w:rsidRPr="00D31721">
        <w:rPr>
          <w:b/>
        </w:rPr>
        <w:t>Excellent</w:t>
      </w:r>
      <w:r w:rsidR="004C0919" w:rsidRPr="00D31721">
        <w:t>: H</w:t>
      </w:r>
      <w:r w:rsidR="00D31721">
        <w:t>a</w:t>
      </w:r>
      <w:r w:rsidR="004C0919" w:rsidRPr="00D31721">
        <w:t>emostasis clinically not significantly different from normal (e.g., achieved h</w:t>
      </w:r>
      <w:r w:rsidR="00D31721">
        <w:t>a</w:t>
      </w:r>
      <w:r w:rsidR="004C0919" w:rsidRPr="00D31721">
        <w:t>emostasis comparable to that expected during similar surgery in a non-factor deficient patient) in the absence of other h</w:t>
      </w:r>
      <w:r w:rsidR="00D31721">
        <w:t>a</w:t>
      </w:r>
      <w:r w:rsidR="004C0919" w:rsidRPr="00D31721">
        <w:t xml:space="preserve">emostatic intervention and estimated blood loss during surgery is not more than 20% higher than the predicted blood loss for the intended surgery; </w:t>
      </w:r>
      <w:r w:rsidR="004C0919" w:rsidRPr="00D31721">
        <w:rPr>
          <w:b/>
        </w:rPr>
        <w:t>Good</w:t>
      </w:r>
      <w:r w:rsidR="004C0919" w:rsidRPr="00D31721">
        <w:t>: Normal or mildly abnormal h</w:t>
      </w:r>
      <w:r w:rsidR="00D31721">
        <w:t>a</w:t>
      </w:r>
      <w:r w:rsidR="004C0919" w:rsidRPr="00D31721">
        <w:t>emostasis in terms of quantity and/or quality (e.g., slight oozing, prolonged time to h</w:t>
      </w:r>
      <w:r w:rsidR="00D31721">
        <w:t>a</w:t>
      </w:r>
      <w:r w:rsidR="004C0919" w:rsidRPr="00D31721">
        <w:t>emostasis with somewhat increased bleeding compared to a non-factor deficient patient in the absence of other h</w:t>
      </w:r>
      <w:r w:rsidR="00D31721">
        <w:t>a</w:t>
      </w:r>
      <w:r w:rsidR="004C0919" w:rsidRPr="00D31721">
        <w:t xml:space="preserve">emostatic intervention) or estimated blood loss is &gt;20%, but ≤30% higher than the predicted blood loss for intended surgery; </w:t>
      </w:r>
      <w:r w:rsidR="004C0919" w:rsidRPr="00D31721">
        <w:rPr>
          <w:b/>
        </w:rPr>
        <w:t>Moderate</w:t>
      </w:r>
      <w:r w:rsidR="004C0919" w:rsidRPr="00D31721">
        <w:t>: Moderately abnormal h</w:t>
      </w:r>
      <w:r w:rsidR="00D31721">
        <w:t>a</w:t>
      </w:r>
      <w:r w:rsidR="004C0919" w:rsidRPr="00D31721">
        <w:t>emostasis in terms of quantity and/or quality (e.g., moderate h</w:t>
      </w:r>
      <w:r w:rsidR="00D31721">
        <w:t>a</w:t>
      </w:r>
      <w:r w:rsidR="004C0919" w:rsidRPr="00D31721">
        <w:t xml:space="preserve">emorrhage that is difficult to control) with estimated blood loss greater than what is defined as good; </w:t>
      </w:r>
      <w:r w:rsidR="004C0919" w:rsidRPr="00D31721">
        <w:rPr>
          <w:b/>
        </w:rPr>
        <w:t>Poor/No Response</w:t>
      </w:r>
      <w:r w:rsidR="004C0919" w:rsidRPr="00D31721">
        <w:t>: Severely abnormal h</w:t>
      </w:r>
      <w:r w:rsidR="00D31721">
        <w:t>a</w:t>
      </w:r>
      <w:r w:rsidR="004C0919" w:rsidRPr="00D31721">
        <w:t>emostasis in terms of quantity and/or quality (e.g., severe h</w:t>
      </w:r>
      <w:r w:rsidR="00D31721">
        <w:t>a</w:t>
      </w:r>
      <w:r w:rsidR="004C0919" w:rsidRPr="00D31721">
        <w:t>emorrhage that is difficult to control) and/or additional h</w:t>
      </w:r>
      <w:r w:rsidR="00D31721">
        <w:t>a</w:t>
      </w:r>
      <w:r w:rsidR="004C0919" w:rsidRPr="00D31721">
        <w:t>emostatic intervention required with another FVIII product, cryoprecipitate, or plasma for complete resolution.</w:t>
      </w:r>
      <w:bookmarkStart w:id="1" w:name="_15_REFERENCES_(Ongoing)"/>
      <w:bookmarkEnd w:id="1"/>
    </w:p>
    <w:p w14:paraId="6902E455" w14:textId="77777777" w:rsidR="00137C30" w:rsidRPr="00B1677F" w:rsidRDefault="00137C30" w:rsidP="00B1677F">
      <w:pPr>
        <w:pStyle w:val="Heading2"/>
        <w:numPr>
          <w:ilvl w:val="0"/>
          <w:numId w:val="0"/>
        </w:numPr>
        <w:ind w:left="1901" w:hanging="1901"/>
      </w:pPr>
      <w:r w:rsidRPr="00B1677F">
        <w:t>INDICATIONS</w:t>
      </w:r>
    </w:p>
    <w:p w14:paraId="2EFE7D00" w14:textId="2A0FBC1B" w:rsidR="002F1B92" w:rsidRPr="002F1B92" w:rsidRDefault="00843E32" w:rsidP="00C26C99">
      <w:pPr>
        <w:pStyle w:val="DocumentText"/>
        <w:keepNext/>
        <w:spacing w:after="120"/>
      </w:pPr>
      <w:r>
        <w:t>AFSTYLA</w:t>
      </w:r>
      <w:r>
        <w:rPr>
          <w:vertAlign w:val="superscript"/>
        </w:rPr>
        <w:t>®</w:t>
      </w:r>
      <w:r w:rsidR="00590D61">
        <w:t xml:space="preserve"> is </w:t>
      </w:r>
      <w:r w:rsidR="002F1B92" w:rsidRPr="002F1B92">
        <w:t xml:space="preserve">indicated in </w:t>
      </w:r>
      <w:r w:rsidR="005B02E5">
        <w:t xml:space="preserve">adult and </w:t>
      </w:r>
      <w:proofErr w:type="spellStart"/>
      <w:r w:rsidR="005B02E5">
        <w:t>paediatric</w:t>
      </w:r>
      <w:proofErr w:type="spellEnd"/>
      <w:r w:rsidR="005B02E5">
        <w:t xml:space="preserve"> </w:t>
      </w:r>
      <w:r w:rsidR="00100F49">
        <w:t>patients</w:t>
      </w:r>
      <w:r w:rsidR="002F1B92" w:rsidRPr="002F1B92">
        <w:t xml:space="preserve"> with </w:t>
      </w:r>
      <w:proofErr w:type="spellStart"/>
      <w:r w:rsidR="002F1B92" w:rsidRPr="002F1B92">
        <w:t>h</w:t>
      </w:r>
      <w:r w:rsidR="000242FD">
        <w:t>a</w:t>
      </w:r>
      <w:r w:rsidR="002F1B92" w:rsidRPr="002F1B92">
        <w:t>emophilia</w:t>
      </w:r>
      <w:proofErr w:type="spellEnd"/>
      <w:r w:rsidR="00DA60C8" w:rsidRPr="00A00251">
        <w:t> </w:t>
      </w:r>
      <w:proofErr w:type="gramStart"/>
      <w:r>
        <w:t>A</w:t>
      </w:r>
      <w:proofErr w:type="gramEnd"/>
      <w:r>
        <w:t xml:space="preserve"> (congenital </w:t>
      </w:r>
      <w:r w:rsidR="00436EAB">
        <w:t>F</w:t>
      </w:r>
      <w:r>
        <w:t>VIII deficiency)</w:t>
      </w:r>
      <w:r w:rsidR="002F1B92" w:rsidRPr="002F1B92">
        <w:t xml:space="preserve"> for:</w:t>
      </w:r>
    </w:p>
    <w:p w14:paraId="002808CE" w14:textId="77777777" w:rsidR="002F1B92" w:rsidRDefault="002F1B92" w:rsidP="00DA3207">
      <w:pPr>
        <w:pStyle w:val="DocumentText"/>
        <w:numPr>
          <w:ilvl w:val="0"/>
          <w:numId w:val="7"/>
        </w:numPr>
        <w:spacing w:after="0"/>
        <w:ind w:left="357" w:hanging="357"/>
      </w:pPr>
      <w:r w:rsidRPr="00957E7B">
        <w:t>Control and prevention of bleeding episodes</w:t>
      </w:r>
    </w:p>
    <w:p w14:paraId="740E46F5" w14:textId="77777777" w:rsidR="00100F49" w:rsidRPr="00957E7B" w:rsidRDefault="00100F49" w:rsidP="00100F49">
      <w:pPr>
        <w:pStyle w:val="DocumentText"/>
        <w:numPr>
          <w:ilvl w:val="0"/>
          <w:numId w:val="7"/>
        </w:numPr>
        <w:spacing w:after="0"/>
        <w:ind w:left="357" w:hanging="357"/>
      </w:pPr>
      <w:r>
        <w:t>Routine prophylaxis to prevent or reduce the frequency of bleeding episodes</w:t>
      </w:r>
    </w:p>
    <w:p w14:paraId="3EE982BF" w14:textId="0AC46990" w:rsidR="002F1B92" w:rsidRDefault="002F1DB1" w:rsidP="00C27CED">
      <w:pPr>
        <w:pStyle w:val="DocumentText"/>
        <w:numPr>
          <w:ilvl w:val="0"/>
          <w:numId w:val="7"/>
        </w:numPr>
        <w:ind w:left="357" w:hanging="357"/>
      </w:pPr>
      <w:r>
        <w:t xml:space="preserve">Perioperative </w:t>
      </w:r>
      <w:r w:rsidR="00130752">
        <w:t>management</w:t>
      </w:r>
      <w:r>
        <w:t xml:space="preserve"> (surgical prophylaxis)</w:t>
      </w:r>
      <w:r w:rsidR="007B7E8C">
        <w:t>.</w:t>
      </w:r>
    </w:p>
    <w:p w14:paraId="2501388A" w14:textId="4A418F37" w:rsidR="00911B50" w:rsidRDefault="00911B50" w:rsidP="00911B50">
      <w:pPr>
        <w:autoSpaceDE w:val="0"/>
        <w:autoSpaceDN w:val="0"/>
        <w:adjustRightInd w:val="0"/>
        <w:spacing w:line="240" w:lineRule="auto"/>
      </w:pPr>
      <w:r>
        <w:lastRenderedPageBreak/>
        <w:t>AFSTYLA</w:t>
      </w:r>
      <w:r>
        <w:rPr>
          <w:vertAlign w:val="superscript"/>
        </w:rPr>
        <w:t>®</w:t>
      </w:r>
      <w:r>
        <w:t xml:space="preserve"> </w:t>
      </w:r>
      <w:r w:rsidRPr="00911B50">
        <w:t xml:space="preserve">is not indicated </w:t>
      </w:r>
      <w:r w:rsidR="00B566A1">
        <w:t xml:space="preserve">for the treatment of </w:t>
      </w:r>
      <w:r w:rsidR="009A3180">
        <w:t>von Willebrand</w:t>
      </w:r>
      <w:r w:rsidR="000C6ADD">
        <w:t xml:space="preserve"> disease.</w:t>
      </w:r>
    </w:p>
    <w:p w14:paraId="02E4A2AD" w14:textId="77777777" w:rsidR="00137C30" w:rsidRPr="00B1677F" w:rsidRDefault="00137C30" w:rsidP="00B1677F">
      <w:pPr>
        <w:pStyle w:val="Heading2"/>
        <w:numPr>
          <w:ilvl w:val="0"/>
          <w:numId w:val="0"/>
        </w:numPr>
        <w:ind w:left="1901" w:hanging="1901"/>
      </w:pPr>
      <w:r w:rsidRPr="00B1677F">
        <w:t>CONTRAINDICATIONS</w:t>
      </w:r>
    </w:p>
    <w:p w14:paraId="1F499CD3" w14:textId="0DE266CB" w:rsidR="00137C30" w:rsidRPr="00B1677F" w:rsidRDefault="00843E32" w:rsidP="00B1677F">
      <w:pPr>
        <w:pStyle w:val="DocumentText"/>
      </w:pPr>
      <w:r>
        <w:t>AFSTYLA</w:t>
      </w:r>
      <w:r>
        <w:rPr>
          <w:vertAlign w:val="superscript"/>
        </w:rPr>
        <w:t>®</w:t>
      </w:r>
      <w:r w:rsidR="00151E18">
        <w:t xml:space="preserve"> </w:t>
      </w:r>
      <w:r w:rsidR="00FD286B" w:rsidRPr="00647E4A">
        <w:t xml:space="preserve">is contraindicated in patients who have </w:t>
      </w:r>
      <w:r>
        <w:t>had life-threatening hypersensitivity reactions, including anaphylaxis</w:t>
      </w:r>
      <w:r w:rsidR="00EA2860">
        <w:t>,</w:t>
      </w:r>
      <w:r>
        <w:t xml:space="preserve"> to AFSTYLA</w:t>
      </w:r>
      <w:r>
        <w:rPr>
          <w:vertAlign w:val="superscript"/>
        </w:rPr>
        <w:t>®</w:t>
      </w:r>
      <w:r w:rsidR="006468E0" w:rsidRPr="006468E0">
        <w:t>,</w:t>
      </w:r>
      <w:r w:rsidR="00FD286B" w:rsidRPr="006468E0">
        <w:t xml:space="preserve"> </w:t>
      </w:r>
      <w:r w:rsidR="00FD286B">
        <w:t>any of its components, or</w:t>
      </w:r>
      <w:r w:rsidR="00FD286B" w:rsidRPr="00647E4A">
        <w:t xml:space="preserve"> hamster protein</w:t>
      </w:r>
      <w:r>
        <w:t>s</w:t>
      </w:r>
      <w:r w:rsidR="006468E0">
        <w:t xml:space="preserve"> (see </w:t>
      </w:r>
      <w:r w:rsidR="006468E0" w:rsidRPr="006468E0">
        <w:rPr>
          <w:b/>
        </w:rPr>
        <w:t>Table 1</w:t>
      </w:r>
      <w:r w:rsidR="006468E0">
        <w:t>)</w:t>
      </w:r>
      <w:r w:rsidR="00FD286B" w:rsidRPr="00647E4A">
        <w:t>.</w:t>
      </w:r>
    </w:p>
    <w:p w14:paraId="66121069" w14:textId="77777777" w:rsidR="00137C30" w:rsidRPr="00B1677F" w:rsidRDefault="00137C30" w:rsidP="00B1677F">
      <w:pPr>
        <w:pStyle w:val="Heading2"/>
        <w:numPr>
          <w:ilvl w:val="0"/>
          <w:numId w:val="0"/>
        </w:numPr>
        <w:ind w:left="1901" w:hanging="1901"/>
      </w:pPr>
      <w:r w:rsidRPr="00B1677F">
        <w:t>PRECAUTIONS</w:t>
      </w:r>
    </w:p>
    <w:p w14:paraId="5E0C6A1A" w14:textId="77777777" w:rsidR="00137C30" w:rsidRPr="0033730A" w:rsidRDefault="00ED209A" w:rsidP="0033730A">
      <w:pPr>
        <w:pStyle w:val="Heading3"/>
        <w:numPr>
          <w:ilvl w:val="0"/>
          <w:numId w:val="0"/>
        </w:numPr>
        <w:ind w:left="2138" w:hanging="2138"/>
      </w:pPr>
      <w:r w:rsidRPr="0033730A">
        <w:t>Hypersensitivity</w:t>
      </w:r>
    </w:p>
    <w:p w14:paraId="1D4F5F1C" w14:textId="48348F1A" w:rsidR="00DA3FF9" w:rsidRPr="00DA3FF9" w:rsidRDefault="00DA3FF9" w:rsidP="001512FA">
      <w:pPr>
        <w:pStyle w:val="DocumentText"/>
      </w:pPr>
      <w:r w:rsidRPr="00DA3FF9">
        <w:t>Allergic type hypersensitivity reactions, including anaphylaxis, are possible with</w:t>
      </w:r>
      <w:r>
        <w:t xml:space="preserve"> AFSTYLA</w:t>
      </w:r>
      <w:r w:rsidRPr="001512FA">
        <w:rPr>
          <w:vertAlign w:val="superscript"/>
        </w:rPr>
        <w:t>®</w:t>
      </w:r>
      <w:r w:rsidRPr="00DA3FF9">
        <w:t>. Patients should be informed of the early signs of hypersensitivity</w:t>
      </w:r>
      <w:r>
        <w:t xml:space="preserve"> </w:t>
      </w:r>
      <w:r w:rsidRPr="00DA3FF9">
        <w:t xml:space="preserve">reactions that may progress to anaphylaxis including hives, </w:t>
      </w:r>
      <w:proofErr w:type="spellStart"/>
      <w:r w:rsidRPr="00DA3FF9">
        <w:t>generalised</w:t>
      </w:r>
      <w:proofErr w:type="spellEnd"/>
      <w:r w:rsidRPr="00DA3FF9">
        <w:t xml:space="preserve"> </w:t>
      </w:r>
      <w:proofErr w:type="spellStart"/>
      <w:r w:rsidRPr="00DA3FF9">
        <w:t>urticaria</w:t>
      </w:r>
      <w:proofErr w:type="spellEnd"/>
      <w:r w:rsidRPr="00DA3FF9">
        <w:t xml:space="preserve">, </w:t>
      </w:r>
      <w:proofErr w:type="gramStart"/>
      <w:r w:rsidRPr="00DA3FF9">
        <w:t>tightness</w:t>
      </w:r>
      <w:proofErr w:type="gramEnd"/>
      <w:r>
        <w:t xml:space="preserve"> </w:t>
      </w:r>
      <w:r w:rsidRPr="00DA3FF9">
        <w:t>of the chest, wheezing, hypotension and pruritus. Immediately discontinue administration</w:t>
      </w:r>
      <w:r>
        <w:t xml:space="preserve"> </w:t>
      </w:r>
      <w:r w:rsidRPr="00DA3FF9">
        <w:t>and initiate appropriate treatment if hypersensitivity reactions occur.</w:t>
      </w:r>
      <w:r>
        <w:t xml:space="preserve"> </w:t>
      </w:r>
      <w:r w:rsidRPr="00DA3FF9">
        <w:t xml:space="preserve">Advise patients to discontinue use of </w:t>
      </w:r>
      <w:r>
        <w:t>AFSTYLA</w:t>
      </w:r>
      <w:r w:rsidRPr="001512FA">
        <w:rPr>
          <w:vertAlign w:val="superscript"/>
        </w:rPr>
        <w:t>®</w:t>
      </w:r>
      <w:r w:rsidRPr="00DA3FF9">
        <w:t xml:space="preserve"> and to contact their physician.</w:t>
      </w:r>
      <w:r>
        <w:t xml:space="preserve"> </w:t>
      </w:r>
      <w:r w:rsidRPr="00DA3FF9">
        <w:t>For patients with previous hypersensitivity reactions pre-medication with antihistamines</w:t>
      </w:r>
      <w:r>
        <w:t xml:space="preserve"> </w:t>
      </w:r>
      <w:r w:rsidRPr="00DA3FF9">
        <w:t>may be considered.</w:t>
      </w:r>
    </w:p>
    <w:p w14:paraId="55F226BA" w14:textId="77777777" w:rsidR="00DA3FF9" w:rsidRPr="00DA3FF9" w:rsidRDefault="006468E0" w:rsidP="00DA3FF9">
      <w:pPr>
        <w:pStyle w:val="Heading3"/>
        <w:numPr>
          <w:ilvl w:val="0"/>
          <w:numId w:val="0"/>
        </w:numPr>
        <w:ind w:left="2138" w:hanging="2138"/>
      </w:pPr>
      <w:r>
        <w:t>Inhibitors</w:t>
      </w:r>
    </w:p>
    <w:p w14:paraId="703154AC" w14:textId="77777777" w:rsidR="00DA3FF9" w:rsidRPr="00DA3FF9" w:rsidRDefault="00DA3FF9" w:rsidP="001512FA">
      <w:pPr>
        <w:pStyle w:val="DocumentText"/>
      </w:pPr>
      <w:r w:rsidRPr="00DA3FF9">
        <w:t xml:space="preserve">Formation of </w:t>
      </w:r>
      <w:proofErr w:type="spellStart"/>
      <w:r w:rsidRPr="00DA3FF9">
        <w:t>neutrali</w:t>
      </w:r>
      <w:r>
        <w:t>s</w:t>
      </w:r>
      <w:r w:rsidRPr="00DA3FF9">
        <w:t>ing</w:t>
      </w:r>
      <w:proofErr w:type="spellEnd"/>
      <w:r w:rsidRPr="00DA3FF9">
        <w:t xml:space="preserve"> antibodies (inhibitors) to </w:t>
      </w:r>
      <w:r w:rsidR="00CD66BA">
        <w:t>F</w:t>
      </w:r>
      <w:r w:rsidRPr="00DA3FF9">
        <w:t>VIII can occur following</w:t>
      </w:r>
      <w:r>
        <w:t xml:space="preserve"> </w:t>
      </w:r>
      <w:r w:rsidRPr="00DA3FF9">
        <w:t xml:space="preserve">administration of </w:t>
      </w:r>
      <w:r w:rsidR="00CD66BA">
        <w:t>F</w:t>
      </w:r>
      <w:r w:rsidRPr="00DA3FF9">
        <w:t>VIII products.</w:t>
      </w:r>
    </w:p>
    <w:p w14:paraId="2F8A3ABA" w14:textId="77777777" w:rsidR="00DA3FF9" w:rsidRPr="00DA3FF9" w:rsidRDefault="00DA3FF9" w:rsidP="001512FA">
      <w:pPr>
        <w:pStyle w:val="DocumentText"/>
      </w:pPr>
      <w:r w:rsidRPr="00DA3FF9">
        <w:t xml:space="preserve">Patients should be monitored for the development of </w:t>
      </w:r>
      <w:proofErr w:type="spellStart"/>
      <w:r w:rsidRPr="00DA3FF9">
        <w:t>neutrali</w:t>
      </w:r>
      <w:r>
        <w:t>s</w:t>
      </w:r>
      <w:r w:rsidRPr="00DA3FF9">
        <w:t>ing</w:t>
      </w:r>
      <w:proofErr w:type="spellEnd"/>
      <w:r w:rsidRPr="00DA3FF9">
        <w:t xml:space="preserve"> antibodies (inhibitors) by</w:t>
      </w:r>
      <w:r>
        <w:t xml:space="preserve"> </w:t>
      </w:r>
      <w:r w:rsidRPr="00DA3FF9">
        <w:t xml:space="preserve">appropriate clinical observations and laboratory tests. If expected </w:t>
      </w:r>
      <w:r w:rsidR="00CD66BA">
        <w:t>F</w:t>
      </w:r>
      <w:r w:rsidRPr="00DA3FF9">
        <w:t>VIII plasma activity</w:t>
      </w:r>
      <w:r>
        <w:t xml:space="preserve"> </w:t>
      </w:r>
      <w:r w:rsidRPr="00DA3FF9">
        <w:t xml:space="preserve">level is not attained or if bleeding is not controlled after </w:t>
      </w:r>
      <w:r>
        <w:t>AFSTYLA</w:t>
      </w:r>
      <w:r w:rsidRPr="001512FA">
        <w:rPr>
          <w:vertAlign w:val="superscript"/>
        </w:rPr>
        <w:t>®</w:t>
      </w:r>
      <w:r w:rsidRPr="00DA3FF9">
        <w:t xml:space="preserve"> administration,</w:t>
      </w:r>
      <w:r>
        <w:t xml:space="preserve"> </w:t>
      </w:r>
      <w:r w:rsidRPr="00DA3FF9">
        <w:t>the presence of an inhibitor (</w:t>
      </w:r>
      <w:proofErr w:type="spellStart"/>
      <w:r w:rsidRPr="00DA3FF9">
        <w:t>neutrali</w:t>
      </w:r>
      <w:r>
        <w:t>s</w:t>
      </w:r>
      <w:r w:rsidRPr="00DA3FF9">
        <w:t>ing</w:t>
      </w:r>
      <w:proofErr w:type="spellEnd"/>
      <w:r w:rsidRPr="00DA3FF9">
        <w:t xml:space="preserve"> antibody) should be suspected.</w:t>
      </w:r>
      <w:r>
        <w:t xml:space="preserve"> </w:t>
      </w:r>
      <w:r w:rsidRPr="00DA3FF9">
        <w:t xml:space="preserve">A </w:t>
      </w:r>
      <w:proofErr w:type="spellStart"/>
      <w:r w:rsidRPr="00DA3FF9">
        <w:t>speciali</w:t>
      </w:r>
      <w:r>
        <w:t>s</w:t>
      </w:r>
      <w:r w:rsidRPr="00DA3FF9">
        <w:t>ed</w:t>
      </w:r>
      <w:proofErr w:type="spellEnd"/>
      <w:r w:rsidRPr="00DA3FF9">
        <w:t xml:space="preserve"> </w:t>
      </w:r>
      <w:proofErr w:type="spellStart"/>
      <w:r w:rsidRPr="00DA3FF9">
        <w:t>h</w:t>
      </w:r>
      <w:r>
        <w:t>a</w:t>
      </w:r>
      <w:r w:rsidRPr="00DA3FF9">
        <w:t>emophilia</w:t>
      </w:r>
      <w:proofErr w:type="spellEnd"/>
      <w:r w:rsidRPr="00DA3FF9">
        <w:t xml:space="preserve"> treatment </w:t>
      </w:r>
      <w:proofErr w:type="spellStart"/>
      <w:r w:rsidRPr="00DA3FF9">
        <w:t>cent</w:t>
      </w:r>
      <w:r>
        <w:t>r</w:t>
      </w:r>
      <w:r w:rsidRPr="00DA3FF9">
        <w:t>e</w:t>
      </w:r>
      <w:proofErr w:type="spellEnd"/>
      <w:r w:rsidRPr="00DA3FF9">
        <w:t xml:space="preserve"> should be contacted if a patient develops an</w:t>
      </w:r>
      <w:r>
        <w:t xml:space="preserve"> </w:t>
      </w:r>
      <w:r w:rsidRPr="00DA3FF9">
        <w:t>inhibitor.</w:t>
      </w:r>
    </w:p>
    <w:p w14:paraId="435BF43E" w14:textId="4607832B" w:rsidR="00C50A60" w:rsidRDefault="00DA3FF9" w:rsidP="001512FA">
      <w:pPr>
        <w:pStyle w:val="DocumentText"/>
      </w:pPr>
      <w:r w:rsidRPr="00DA3FF9">
        <w:t xml:space="preserve">Perform a Bethesda inhibitor assay if expected </w:t>
      </w:r>
      <w:r w:rsidR="00CD66BA">
        <w:t>F</w:t>
      </w:r>
      <w:r w:rsidRPr="00DA3FF9">
        <w:t>VIII plasma levels are not attained or</w:t>
      </w:r>
      <w:r>
        <w:t xml:space="preserve"> </w:t>
      </w:r>
      <w:r w:rsidRPr="00DA3FF9">
        <w:t xml:space="preserve">if bleeding is not controlled with the expected dose of </w:t>
      </w:r>
      <w:r>
        <w:t>AFSTYLA</w:t>
      </w:r>
      <w:r w:rsidRPr="001512FA">
        <w:rPr>
          <w:vertAlign w:val="superscript"/>
        </w:rPr>
        <w:t>®</w:t>
      </w:r>
      <w:r w:rsidRPr="00DA3FF9">
        <w:t>. Use Bethesda</w:t>
      </w:r>
      <w:r>
        <w:t xml:space="preserve"> </w:t>
      </w:r>
      <w:r w:rsidRPr="00DA3FF9">
        <w:t>Units (BU) to report inhibitor levels.</w:t>
      </w:r>
    </w:p>
    <w:p w14:paraId="5ECB75D9" w14:textId="606F8421" w:rsidR="00ED209A" w:rsidRDefault="00B95557" w:rsidP="00B95557">
      <w:pPr>
        <w:pStyle w:val="Heading3"/>
        <w:numPr>
          <w:ilvl w:val="0"/>
          <w:numId w:val="0"/>
        </w:numPr>
        <w:ind w:left="2138" w:hanging="2138"/>
      </w:pPr>
      <w:r>
        <w:t>Monitoring laboratory tests</w:t>
      </w:r>
    </w:p>
    <w:p w14:paraId="3D9DE18D" w14:textId="63BE6BA1" w:rsidR="0032084B" w:rsidRDefault="00B95557" w:rsidP="001512FA">
      <w:pPr>
        <w:pStyle w:val="DocumentText"/>
      </w:pPr>
      <w:r w:rsidRPr="00B95557">
        <w:t xml:space="preserve">FVIII plasma activity in patients receiving </w:t>
      </w:r>
      <w:r>
        <w:t>AFSTYLA</w:t>
      </w:r>
      <w:r w:rsidRPr="001512FA">
        <w:rPr>
          <w:vertAlign w:val="superscript"/>
        </w:rPr>
        <w:t>®</w:t>
      </w:r>
      <w:r w:rsidRPr="00B95557">
        <w:t xml:space="preserve"> can be monitored using</w:t>
      </w:r>
      <w:r>
        <w:t xml:space="preserve"> </w:t>
      </w:r>
      <w:r w:rsidRPr="00B95557">
        <w:t>either a chromogenic assay</w:t>
      </w:r>
      <w:r w:rsidR="00F21DD8">
        <w:t xml:space="preserve"> </w:t>
      </w:r>
      <w:r w:rsidRPr="00B95557">
        <w:t>or a one-stage clotting assay.</w:t>
      </w:r>
      <w:r w:rsidR="0032084B">
        <w:t xml:space="preserve"> I</w:t>
      </w:r>
      <w:r w:rsidR="0032084B" w:rsidRPr="00B95557">
        <w:t>f available</w:t>
      </w:r>
      <w:r w:rsidR="0032084B">
        <w:t xml:space="preserve">, </w:t>
      </w:r>
      <w:r w:rsidR="0032084B" w:rsidRPr="00B95557">
        <w:t>the</w:t>
      </w:r>
      <w:r w:rsidR="0032084B">
        <w:t xml:space="preserve"> </w:t>
      </w:r>
      <w:r w:rsidR="0032084B" w:rsidRPr="00B95557">
        <w:t xml:space="preserve">chromogenic assay should be used to determine </w:t>
      </w:r>
      <w:r w:rsidR="0032084B">
        <w:t>F</w:t>
      </w:r>
      <w:r w:rsidR="0032084B" w:rsidRPr="00B95557">
        <w:t>VIII activity in patient</w:t>
      </w:r>
      <w:r w:rsidR="0032084B">
        <w:t xml:space="preserve"> </w:t>
      </w:r>
      <w:r w:rsidR="00F21DD8">
        <w:t>samples</w:t>
      </w:r>
      <w:r w:rsidR="0032084B">
        <w:t>, as e</w:t>
      </w:r>
      <w:r w:rsidR="0032084B" w:rsidRPr="00B95557" w:rsidDel="002F7DC2">
        <w:t xml:space="preserve">fficacy </w:t>
      </w:r>
      <w:r w:rsidRPr="00B95557" w:rsidDel="002F7DC2">
        <w:t>results of a large pivotal clinical study confirmed that the chromogenic assay results most accurately reflect the clinical h</w:t>
      </w:r>
      <w:r w:rsidDel="002F7DC2">
        <w:t>a</w:t>
      </w:r>
      <w:r w:rsidRPr="00B95557" w:rsidDel="002F7DC2">
        <w:t xml:space="preserve">emostatic potential. </w:t>
      </w:r>
    </w:p>
    <w:p w14:paraId="4AD48C8B" w14:textId="293FF365" w:rsidR="00EC1953" w:rsidRPr="0032084B" w:rsidRDefault="0032084B" w:rsidP="001512FA">
      <w:pPr>
        <w:pStyle w:val="DocumentText"/>
      </w:pPr>
      <w:r w:rsidRPr="0032084B">
        <w:lastRenderedPageBreak/>
        <w:t xml:space="preserve">Clinical trials have shown that the use of a one-stage assay produces results that are approximately 45% lower than those of the chromogenic assay. This should be taken into account when interpreting patient results if the one-stage method is used. </w:t>
      </w:r>
      <w:r>
        <w:t>O</w:t>
      </w:r>
      <w:r w:rsidR="00B95557" w:rsidRPr="00B95557">
        <w:t>ne</w:t>
      </w:r>
      <w:r w:rsidR="00FB0F5C">
        <w:t>-</w:t>
      </w:r>
      <w:r w:rsidR="00B95557" w:rsidRPr="00B95557">
        <w:t>stage</w:t>
      </w:r>
      <w:r w:rsidR="00FB0F5C">
        <w:t xml:space="preserve"> </w:t>
      </w:r>
      <w:r w:rsidR="00B95557" w:rsidRPr="00B95557">
        <w:t xml:space="preserve">assay results can be aligned to chromogenic </w:t>
      </w:r>
      <w:r w:rsidR="0081494F">
        <w:t>assay</w:t>
      </w:r>
      <w:r w:rsidR="0081494F" w:rsidRPr="00B95557">
        <w:t xml:space="preserve"> </w:t>
      </w:r>
      <w:r w:rsidR="00B95557" w:rsidRPr="00B95557">
        <w:t>results by multiplying</w:t>
      </w:r>
      <w:r w:rsidR="00FB0F5C">
        <w:t xml:space="preserve"> </w:t>
      </w:r>
      <w:r w:rsidR="00B95557" w:rsidRPr="00B95557">
        <w:t xml:space="preserve">the one-stage result </w:t>
      </w:r>
      <w:r w:rsidR="0081494F">
        <w:t>by</w:t>
      </w:r>
      <w:r w:rsidR="0081494F" w:rsidRPr="00B95557">
        <w:t xml:space="preserve"> </w:t>
      </w:r>
      <w:r w:rsidR="000D45AC">
        <w:t>2</w:t>
      </w:r>
      <w:r w:rsidR="00B95557" w:rsidRPr="00B95557">
        <w:t>.</w:t>
      </w:r>
      <w:r w:rsidR="00DB2A1F" w:rsidRPr="00DB2A1F">
        <w:rPr>
          <w:noProof/>
          <w:lang w:val="en-AU" w:eastAsia="en-AU"/>
        </w:rPr>
        <w:t xml:space="preserve"> </w:t>
      </w:r>
    </w:p>
    <w:p w14:paraId="168A93F8" w14:textId="3573C396" w:rsidR="001E1EAB" w:rsidRPr="001E1EAB" w:rsidRDefault="001E1EAB" w:rsidP="001E1EAB">
      <w:pPr>
        <w:pStyle w:val="Heading3"/>
        <w:numPr>
          <w:ilvl w:val="0"/>
          <w:numId w:val="0"/>
        </w:numPr>
        <w:ind w:left="2138" w:hanging="2138"/>
      </w:pPr>
      <w:r w:rsidRPr="001E1EAB">
        <w:t>Catheter-related complications</w:t>
      </w:r>
    </w:p>
    <w:p w14:paraId="5D5B5354" w14:textId="77777777" w:rsidR="001E1EAB" w:rsidRDefault="001E1EAB" w:rsidP="001512FA">
      <w:pPr>
        <w:pStyle w:val="DocumentText"/>
      </w:pPr>
      <w:r w:rsidRPr="001512FA">
        <w:t>If a central venous access device (CVAD) is required, risk of CVAD-related complications including local infections, bacteraemia and catheter site thrombosis should be considered.</w:t>
      </w:r>
    </w:p>
    <w:p w14:paraId="4FCEABD0" w14:textId="3D194E6D" w:rsidR="008F1786" w:rsidRDefault="008F1786" w:rsidP="008F1786">
      <w:pPr>
        <w:pStyle w:val="Heading3"/>
        <w:numPr>
          <w:ilvl w:val="0"/>
          <w:numId w:val="0"/>
        </w:numPr>
        <w:ind w:left="2138" w:hanging="2138"/>
      </w:pPr>
      <w:r>
        <w:t>Previously untreated patients</w:t>
      </w:r>
    </w:p>
    <w:p w14:paraId="6B65C37B" w14:textId="3B205061" w:rsidR="002527C8" w:rsidRPr="002527C8" w:rsidRDefault="002527C8" w:rsidP="002527C8">
      <w:pPr>
        <w:pStyle w:val="DocumentText"/>
      </w:pPr>
      <w:r>
        <w:t xml:space="preserve">The safety and efficacy of </w:t>
      </w:r>
      <w:r w:rsidRPr="00BD06F2">
        <w:t>AFSTYLA</w:t>
      </w:r>
      <w:r w:rsidRPr="00BD06F2">
        <w:rPr>
          <w:vertAlign w:val="superscript"/>
        </w:rPr>
        <w:t>®</w:t>
      </w:r>
      <w:r>
        <w:t xml:space="preserve"> in previously untreated patients</w:t>
      </w:r>
      <w:r w:rsidR="00EA2860">
        <w:t xml:space="preserve"> (PUPs)</w:t>
      </w:r>
      <w:r>
        <w:t xml:space="preserve"> have not yet been established.</w:t>
      </w:r>
    </w:p>
    <w:p w14:paraId="285A3E4A" w14:textId="77777777" w:rsidR="001E1EAB" w:rsidRPr="00B1677F" w:rsidRDefault="001E1EAB" w:rsidP="001E1EAB">
      <w:pPr>
        <w:pStyle w:val="Heading3"/>
        <w:numPr>
          <w:ilvl w:val="0"/>
          <w:numId w:val="0"/>
        </w:numPr>
        <w:ind w:left="2138" w:hanging="2138"/>
      </w:pPr>
      <w:r w:rsidRPr="00B1677F">
        <w:t>Paediatric use</w:t>
      </w:r>
    </w:p>
    <w:p w14:paraId="34B895DE" w14:textId="29147227" w:rsidR="001E1EAB" w:rsidDel="000B42BE" w:rsidRDefault="001E1EAB" w:rsidP="001512FA">
      <w:pPr>
        <w:pStyle w:val="DocumentText"/>
      </w:pPr>
      <w:r>
        <w:t>The listed precautions apply both to adults and children.</w:t>
      </w:r>
    </w:p>
    <w:p w14:paraId="0149BD3A" w14:textId="4CE8DE59" w:rsidR="00BD7B35" w:rsidRPr="00BD7B35" w:rsidRDefault="007D06E5" w:rsidP="00BD7B35">
      <w:pPr>
        <w:pStyle w:val="Heading3"/>
        <w:numPr>
          <w:ilvl w:val="0"/>
          <w:numId w:val="0"/>
        </w:numPr>
        <w:ind w:left="2138" w:hanging="2138"/>
      </w:pPr>
      <w:r>
        <w:t>Effects on f</w:t>
      </w:r>
      <w:r w:rsidR="00E40447" w:rsidRPr="00B1677F">
        <w:t>ertility</w:t>
      </w:r>
    </w:p>
    <w:p w14:paraId="04ED0A2E" w14:textId="5806F2F7" w:rsidR="007D1E53" w:rsidRDefault="00F40998" w:rsidP="00B1677F">
      <w:pPr>
        <w:pStyle w:val="DocumentText"/>
      </w:pPr>
      <w:r w:rsidRPr="00E90699">
        <w:t>Animal reproduction studies have not been conducted with</w:t>
      </w:r>
      <w:r w:rsidR="00151E18" w:rsidRPr="00151E18">
        <w:t xml:space="preserve"> </w:t>
      </w:r>
      <w:r w:rsidR="00FB0F5C">
        <w:t>AFSTYLA</w:t>
      </w:r>
      <w:r w:rsidR="00FB0F5C">
        <w:rPr>
          <w:vertAlign w:val="superscript"/>
        </w:rPr>
        <w:t>®</w:t>
      </w:r>
      <w:r w:rsidRPr="00E90699">
        <w:t>.</w:t>
      </w:r>
    </w:p>
    <w:p w14:paraId="2C07FA38" w14:textId="77777777" w:rsidR="007D06E5" w:rsidRDefault="007D06E5" w:rsidP="007D06E5">
      <w:pPr>
        <w:pStyle w:val="Heading3"/>
        <w:numPr>
          <w:ilvl w:val="0"/>
          <w:numId w:val="0"/>
        </w:numPr>
        <w:ind w:left="2138" w:hanging="2138"/>
      </w:pPr>
      <w:r>
        <w:t>Use in pregnancy</w:t>
      </w:r>
    </w:p>
    <w:p w14:paraId="7A87D279" w14:textId="47A2760D" w:rsidR="00033097" w:rsidRPr="00033097" w:rsidRDefault="00033097" w:rsidP="00033097">
      <w:pPr>
        <w:pStyle w:val="DocumentText"/>
      </w:pPr>
      <w:r>
        <w:t>Category B2</w:t>
      </w:r>
    </w:p>
    <w:p w14:paraId="4917025C" w14:textId="145F0846" w:rsidR="007D06E5" w:rsidRPr="00B1677F" w:rsidRDefault="00CA55CE" w:rsidP="007D06E5">
      <w:pPr>
        <w:pStyle w:val="DocumentText"/>
      </w:pPr>
      <w:r w:rsidRPr="0019392F">
        <w:rPr>
          <w:color w:val="000000"/>
        </w:rPr>
        <w:t xml:space="preserve">No developmental or animal reproduction toxicity studies were conducted with </w:t>
      </w:r>
      <w:r>
        <w:t>AFSTYLA</w:t>
      </w:r>
      <w:r>
        <w:rPr>
          <w:vertAlign w:val="superscript"/>
        </w:rPr>
        <w:t>®</w:t>
      </w:r>
      <w:r w:rsidRPr="0019392F">
        <w:rPr>
          <w:color w:val="000000"/>
        </w:rPr>
        <w:t xml:space="preserve">. Thus, the risk of developmental toxicity including, structural abnormalities, embryo-fetal and/or infant mortality, functional impairment, and alterations to growth cannot be evaluated. </w:t>
      </w:r>
      <w:r>
        <w:t>AFSTYLA</w:t>
      </w:r>
      <w:r>
        <w:rPr>
          <w:vertAlign w:val="superscript"/>
        </w:rPr>
        <w:t xml:space="preserve">® </w:t>
      </w:r>
      <w:r w:rsidRPr="0019392F">
        <w:rPr>
          <w:color w:val="000000"/>
        </w:rPr>
        <w:t>should be given to a pregnant woman only if clearly needed.</w:t>
      </w:r>
    </w:p>
    <w:p w14:paraId="12C2549C" w14:textId="77777777" w:rsidR="007D06E5" w:rsidRPr="00B1677F" w:rsidRDefault="007D06E5" w:rsidP="007D06E5">
      <w:pPr>
        <w:pStyle w:val="Heading3"/>
        <w:numPr>
          <w:ilvl w:val="0"/>
          <w:numId w:val="0"/>
        </w:numPr>
        <w:ind w:left="2138" w:hanging="2138"/>
      </w:pPr>
      <w:r>
        <w:t>U</w:t>
      </w:r>
      <w:r w:rsidRPr="00B1677F">
        <w:t>se</w:t>
      </w:r>
      <w:r>
        <w:t xml:space="preserve"> in lactation</w:t>
      </w:r>
    </w:p>
    <w:p w14:paraId="05203F7C" w14:textId="1D03C84B" w:rsidR="00CA55CE" w:rsidRPr="0019392F" w:rsidRDefault="00CA55CE" w:rsidP="001512FA">
      <w:pPr>
        <w:pStyle w:val="DocumentText"/>
        <w:rPr>
          <w:color w:val="000000"/>
        </w:rPr>
      </w:pPr>
      <w:r w:rsidRPr="0019392F">
        <w:rPr>
          <w:color w:val="000000"/>
        </w:rPr>
        <w:t xml:space="preserve">No animal studies were performed investigating the excretion of </w:t>
      </w:r>
      <w:r w:rsidR="00631640" w:rsidRPr="005B5BFC">
        <w:rPr>
          <w:color w:val="000000"/>
        </w:rPr>
        <w:t>AFSTYLA</w:t>
      </w:r>
      <w:r w:rsidR="00631640" w:rsidRPr="001512FA">
        <w:rPr>
          <w:color w:val="000000"/>
          <w:vertAlign w:val="superscript"/>
        </w:rPr>
        <w:t>®</w:t>
      </w:r>
      <w:r w:rsidR="00F412EA" w:rsidRPr="001512FA">
        <w:rPr>
          <w:color w:val="000000"/>
        </w:rPr>
        <w:t xml:space="preserve"> </w:t>
      </w:r>
      <w:r w:rsidRPr="0019392F">
        <w:rPr>
          <w:color w:val="000000"/>
        </w:rPr>
        <w:t>into milk or its effect on lactation</w:t>
      </w:r>
      <w:r w:rsidR="00486171">
        <w:rPr>
          <w:color w:val="000000"/>
        </w:rPr>
        <w:t xml:space="preserve"> and </w:t>
      </w:r>
      <w:r w:rsidR="00224B01">
        <w:rPr>
          <w:color w:val="000000"/>
        </w:rPr>
        <w:t>breast-feeding</w:t>
      </w:r>
      <w:r w:rsidR="00713EB6">
        <w:rPr>
          <w:color w:val="000000"/>
        </w:rPr>
        <w:t xml:space="preserve"> infants.</w:t>
      </w:r>
      <w:r w:rsidRPr="0019392F">
        <w:rPr>
          <w:color w:val="000000"/>
        </w:rPr>
        <w:t xml:space="preserve"> Use </w:t>
      </w:r>
      <w:r w:rsidR="00631640" w:rsidRPr="005B5BFC">
        <w:rPr>
          <w:color w:val="000000"/>
        </w:rPr>
        <w:t>AFSTYLA</w:t>
      </w:r>
      <w:r w:rsidR="00631640" w:rsidRPr="001512FA">
        <w:rPr>
          <w:color w:val="000000"/>
          <w:vertAlign w:val="superscript"/>
        </w:rPr>
        <w:t>®</w:t>
      </w:r>
      <w:r w:rsidR="005B5BFC">
        <w:rPr>
          <w:color w:val="000000"/>
        </w:rPr>
        <w:t xml:space="preserve"> </w:t>
      </w:r>
      <w:r w:rsidRPr="005B5BFC">
        <w:rPr>
          <w:color w:val="000000"/>
        </w:rPr>
        <w:t xml:space="preserve">only if clearly needed when treating a </w:t>
      </w:r>
      <w:r w:rsidR="00224B01">
        <w:rPr>
          <w:color w:val="000000"/>
        </w:rPr>
        <w:t>breast-feeding</w:t>
      </w:r>
      <w:r w:rsidR="00224B01" w:rsidRPr="005B5BFC">
        <w:rPr>
          <w:color w:val="000000"/>
        </w:rPr>
        <w:t xml:space="preserve"> </w:t>
      </w:r>
      <w:r w:rsidRPr="005B5BFC">
        <w:rPr>
          <w:color w:val="000000"/>
        </w:rPr>
        <w:t>woman.</w:t>
      </w:r>
    </w:p>
    <w:p w14:paraId="7A7D6460" w14:textId="77777777" w:rsidR="00C520A6" w:rsidRPr="00B1677F" w:rsidRDefault="00E40447" w:rsidP="00B1677F">
      <w:pPr>
        <w:pStyle w:val="Heading3"/>
        <w:numPr>
          <w:ilvl w:val="0"/>
          <w:numId w:val="0"/>
        </w:numPr>
        <w:ind w:left="2138" w:hanging="2138"/>
      </w:pPr>
      <w:r w:rsidRPr="00B1677F">
        <w:t>Genotoxicity</w:t>
      </w:r>
    </w:p>
    <w:p w14:paraId="3780BC06" w14:textId="77777777" w:rsidR="006168BD" w:rsidRDefault="00A25F01" w:rsidP="006168BD">
      <w:pPr>
        <w:pStyle w:val="DocumentText"/>
        <w:rPr>
          <w:rStyle w:val="CommentReference"/>
          <w:kern w:val="0"/>
          <w:sz w:val="24"/>
          <w:szCs w:val="24"/>
        </w:rPr>
      </w:pPr>
      <w:r>
        <w:rPr>
          <w:kern w:val="0"/>
          <w:lang w:val="en-AU"/>
        </w:rPr>
        <w:t>Genotoxi</w:t>
      </w:r>
      <w:r w:rsidR="006168BD" w:rsidRPr="00DA5358">
        <w:rPr>
          <w:kern w:val="0"/>
          <w:lang w:val="en-AU"/>
        </w:rPr>
        <w:t xml:space="preserve">city studies have </w:t>
      </w:r>
      <w:r w:rsidR="006168BD">
        <w:rPr>
          <w:kern w:val="0"/>
          <w:lang w:val="en-AU"/>
        </w:rPr>
        <w:t xml:space="preserve">not </w:t>
      </w:r>
      <w:r w:rsidR="006168BD" w:rsidRPr="00DA5358">
        <w:rPr>
          <w:kern w:val="0"/>
          <w:lang w:val="en-AU"/>
        </w:rPr>
        <w:t>been conducted with</w:t>
      </w:r>
      <w:r w:rsidR="006168BD" w:rsidRPr="00151E18">
        <w:t xml:space="preserve"> </w:t>
      </w:r>
      <w:r>
        <w:t>AFSTYLA</w:t>
      </w:r>
      <w:r>
        <w:rPr>
          <w:vertAlign w:val="superscript"/>
        </w:rPr>
        <w:t>®</w:t>
      </w:r>
      <w:r w:rsidR="006168BD" w:rsidRPr="00151E18">
        <w:rPr>
          <w:rStyle w:val="CommentReference"/>
          <w:kern w:val="0"/>
          <w:sz w:val="24"/>
          <w:szCs w:val="24"/>
        </w:rPr>
        <w:t>.</w:t>
      </w:r>
    </w:p>
    <w:p w14:paraId="60BA037A" w14:textId="77777777" w:rsidR="00C520A6" w:rsidRPr="00B1677F" w:rsidRDefault="00E40447" w:rsidP="00B1677F">
      <w:pPr>
        <w:pStyle w:val="Heading3"/>
        <w:numPr>
          <w:ilvl w:val="0"/>
          <w:numId w:val="0"/>
        </w:numPr>
        <w:ind w:left="2138" w:hanging="2138"/>
      </w:pPr>
      <w:r w:rsidRPr="00B1677F">
        <w:lastRenderedPageBreak/>
        <w:t>Carcinogenicity</w:t>
      </w:r>
    </w:p>
    <w:p w14:paraId="5B243C3B" w14:textId="1CAF06F3" w:rsidR="006168BD" w:rsidRDefault="006168BD" w:rsidP="006168BD">
      <w:pPr>
        <w:pStyle w:val="DocumentText"/>
        <w:rPr>
          <w:rStyle w:val="CommentReference"/>
          <w:kern w:val="0"/>
          <w:sz w:val="24"/>
          <w:szCs w:val="24"/>
        </w:rPr>
      </w:pPr>
      <w:r>
        <w:rPr>
          <w:kern w:val="0"/>
          <w:lang w:val="en-AU"/>
        </w:rPr>
        <w:t>C</w:t>
      </w:r>
      <w:r w:rsidRPr="00DA5358">
        <w:rPr>
          <w:kern w:val="0"/>
          <w:lang w:val="en-AU"/>
        </w:rPr>
        <w:t xml:space="preserve">arcinogenicity studies have </w:t>
      </w:r>
      <w:r>
        <w:rPr>
          <w:kern w:val="0"/>
          <w:lang w:val="en-AU"/>
        </w:rPr>
        <w:t xml:space="preserve">not </w:t>
      </w:r>
      <w:r w:rsidRPr="00DA5358">
        <w:rPr>
          <w:kern w:val="0"/>
          <w:lang w:val="en-AU"/>
        </w:rPr>
        <w:t>been conducted with</w:t>
      </w:r>
      <w:r w:rsidRPr="00151E18">
        <w:t xml:space="preserve"> </w:t>
      </w:r>
      <w:r w:rsidR="00A25F01">
        <w:t>AFSTYLA</w:t>
      </w:r>
      <w:r w:rsidR="00A25F01">
        <w:rPr>
          <w:vertAlign w:val="superscript"/>
        </w:rPr>
        <w:t>®</w:t>
      </w:r>
      <w:r w:rsidRPr="00151E18">
        <w:rPr>
          <w:rStyle w:val="CommentReference"/>
          <w:kern w:val="0"/>
          <w:sz w:val="24"/>
          <w:szCs w:val="24"/>
        </w:rPr>
        <w:t>.</w:t>
      </w:r>
    </w:p>
    <w:p w14:paraId="18278644" w14:textId="77777777" w:rsidR="00982162" w:rsidRPr="00B1677F" w:rsidRDefault="00982162" w:rsidP="00B1677F">
      <w:pPr>
        <w:pStyle w:val="Heading2"/>
        <w:numPr>
          <w:ilvl w:val="0"/>
          <w:numId w:val="0"/>
        </w:numPr>
        <w:ind w:left="1901" w:hanging="1901"/>
      </w:pPr>
      <w:r w:rsidRPr="00B1677F">
        <w:t>INTERACTIONS WITH OTHER MEDICINES</w:t>
      </w:r>
    </w:p>
    <w:p w14:paraId="3F56A895" w14:textId="4190DF2B" w:rsidR="00982162" w:rsidRDefault="009A3180" w:rsidP="00B1677F">
      <w:pPr>
        <w:pStyle w:val="DocumentText"/>
      </w:pPr>
      <w:r>
        <w:t>Studies investigating d</w:t>
      </w:r>
      <w:r w:rsidR="003F3C73">
        <w:t>rug-drug interactions have not been conducted with AFSTYLA</w:t>
      </w:r>
      <w:r w:rsidR="003F3C73">
        <w:rPr>
          <w:vertAlign w:val="superscript"/>
        </w:rPr>
        <w:t>®</w:t>
      </w:r>
      <w:r w:rsidR="00C124A2">
        <w:t xml:space="preserve">. </w:t>
      </w:r>
      <w:r w:rsidR="00F40998" w:rsidRPr="0061368B">
        <w:t xml:space="preserve">No interactions of </w:t>
      </w:r>
      <w:r w:rsidR="00C2232F">
        <w:t>AFSTYLA</w:t>
      </w:r>
      <w:r w:rsidR="00C2232F">
        <w:rPr>
          <w:vertAlign w:val="superscript"/>
        </w:rPr>
        <w:t>®</w:t>
      </w:r>
      <w:r w:rsidR="00151E18">
        <w:t xml:space="preserve"> </w:t>
      </w:r>
      <w:r w:rsidR="00F40998" w:rsidRPr="0061368B">
        <w:t>with other medicinal products have been reported</w:t>
      </w:r>
      <w:r w:rsidR="00A763F2">
        <w:t>.</w:t>
      </w:r>
    </w:p>
    <w:p w14:paraId="331DB320" w14:textId="77777777" w:rsidR="00137C30" w:rsidRPr="00B1677F" w:rsidRDefault="00137C30" w:rsidP="002416C1">
      <w:pPr>
        <w:pStyle w:val="Heading2"/>
        <w:numPr>
          <w:ilvl w:val="0"/>
          <w:numId w:val="0"/>
        </w:numPr>
        <w:ind w:left="1901" w:hanging="1901"/>
      </w:pPr>
      <w:r w:rsidRPr="00B1677F">
        <w:t>ADVERSE EFFECTS</w:t>
      </w:r>
    </w:p>
    <w:p w14:paraId="156DB396" w14:textId="1A94F688" w:rsidR="00C2232F" w:rsidRDefault="00C2232F" w:rsidP="00C2232F">
      <w:pPr>
        <w:pStyle w:val="Heading3"/>
        <w:numPr>
          <w:ilvl w:val="0"/>
          <w:numId w:val="0"/>
        </w:numPr>
        <w:ind w:left="2138" w:hanging="2138"/>
      </w:pPr>
      <w:r>
        <w:t>Summary of the safety profile</w:t>
      </w:r>
    </w:p>
    <w:p w14:paraId="63CE364C" w14:textId="63D9F222" w:rsidR="004C0F6E" w:rsidRPr="00656ECD" w:rsidRDefault="004C0F6E" w:rsidP="00361B49">
      <w:pPr>
        <w:keepNext/>
        <w:autoSpaceDE w:val="0"/>
        <w:autoSpaceDN w:val="0"/>
        <w:adjustRightInd w:val="0"/>
        <w:rPr>
          <w:b/>
          <w:bCs/>
          <w:sz w:val="20"/>
          <w:szCs w:val="20"/>
        </w:rPr>
      </w:pPr>
      <w:r>
        <w:t>In the completed</w:t>
      </w:r>
      <w:r w:rsidR="00BE1CB2">
        <w:t xml:space="preserve"> adult/adolescent study</w:t>
      </w:r>
      <w:r>
        <w:t xml:space="preserve"> </w:t>
      </w:r>
      <w:r w:rsidR="00BE1CB2">
        <w:t>(</w:t>
      </w:r>
      <w:r>
        <w:t>Study 1001</w:t>
      </w:r>
      <w:r w:rsidR="00656ECD">
        <w:rPr>
          <w:b/>
          <w:bCs/>
          <w:sz w:val="20"/>
          <w:szCs w:val="20"/>
        </w:rPr>
        <w:t xml:space="preserve">; </w:t>
      </w:r>
      <w:r w:rsidR="00656ECD" w:rsidRPr="00656ECD">
        <w:t>≥12 to 65 years of age)</w:t>
      </w:r>
      <w:r>
        <w:t xml:space="preserve">, the 174 subjects treated had a mean (SD) of 82.2 (61.35) </w:t>
      </w:r>
      <w:r w:rsidR="00A20E3C">
        <w:t>e</w:t>
      </w:r>
      <w:r>
        <w:t xml:space="preserve">xposure </w:t>
      </w:r>
      <w:r w:rsidR="00A20E3C">
        <w:t>d</w:t>
      </w:r>
      <w:r>
        <w:t>ays (EDs) and a mean (SD) study duration of 258.8 (163.52) days (i</w:t>
      </w:r>
      <w:r w:rsidR="00AD4A76">
        <w:t>.</w:t>
      </w:r>
      <w:r>
        <w:t>e</w:t>
      </w:r>
      <w:r w:rsidR="00AD4A76">
        <w:t>.</w:t>
      </w:r>
      <w:r>
        <w:t xml:space="preserve"> 8.5 months</w:t>
      </w:r>
      <w:r w:rsidR="00AD4A76">
        <w:t>)</w:t>
      </w:r>
      <w:r>
        <w:t xml:space="preserve"> and 52 (29.9%) subjects achieved at least 100 EDs.</w:t>
      </w:r>
    </w:p>
    <w:p w14:paraId="7905FB71" w14:textId="28FAC3D3" w:rsidR="004C0F6E" w:rsidRDefault="004C0F6E" w:rsidP="001512FA">
      <w:pPr>
        <w:pStyle w:val="DocumentText"/>
      </w:pPr>
      <w:r>
        <w:t>In the completed</w:t>
      </w:r>
      <w:r w:rsidR="00656ECD">
        <w:t xml:space="preserve"> </w:t>
      </w:r>
      <w:proofErr w:type="spellStart"/>
      <w:r w:rsidR="00656ECD">
        <w:t>paediatric</w:t>
      </w:r>
      <w:proofErr w:type="spellEnd"/>
      <w:r w:rsidR="00656ECD">
        <w:t xml:space="preserve"> study</w:t>
      </w:r>
      <w:r>
        <w:t xml:space="preserve"> </w:t>
      </w:r>
      <w:r w:rsidR="00656ECD">
        <w:t>(</w:t>
      </w:r>
      <w:r>
        <w:t>Study 3002</w:t>
      </w:r>
      <w:r w:rsidR="00656ECD">
        <w:t>; 0 to &lt;12 years of age)</w:t>
      </w:r>
      <w:r>
        <w:t>, the 84 subjects treated had a mean (SD) of 62.4 (24.73) EDs and a mean (SD) study duration of 183.5 (61.16) days (i</w:t>
      </w:r>
      <w:r w:rsidR="00AD4A76">
        <w:t>.</w:t>
      </w:r>
      <w:r>
        <w:t>e</w:t>
      </w:r>
      <w:r w:rsidR="00AD4A76">
        <w:t>.</w:t>
      </w:r>
      <w:r>
        <w:t xml:space="preserve"> 6.0 months). There were 65 (77.4%) subjects who had achieved at least 50 EDs and 8 (9.5%) subjects who had achieved at least 100 EDs.</w:t>
      </w:r>
    </w:p>
    <w:p w14:paraId="758C0539" w14:textId="0F6690A5" w:rsidR="004C0F6E" w:rsidRDefault="004C0F6E" w:rsidP="001512FA">
      <w:pPr>
        <w:pStyle w:val="DocumentText"/>
      </w:pPr>
      <w:r>
        <w:t xml:space="preserve">In the ongoing </w:t>
      </w:r>
      <w:r w:rsidR="008F2333">
        <w:t xml:space="preserve">extension study </w:t>
      </w:r>
      <w:r w:rsidR="00656ECD">
        <w:t>(</w:t>
      </w:r>
      <w:r>
        <w:t>Study 3001</w:t>
      </w:r>
      <w:r w:rsidR="00656ECD">
        <w:t>)</w:t>
      </w:r>
      <w:r>
        <w:t>, 154 subjects had a mean (SD) of 145.2 (68.69) EDs counted from the first day of exposure to rVIII-SingleChain in the pivotal studies. A total of 152 (98.7%) subjects had achieved at least 50 EDs, of whom 109 (70.8%) had achieved at least 100 EDs (counted from the first day of exposure to rVIII-SingleChain in the pivotal studies</w:t>
      </w:r>
      <w:r w:rsidR="00021359">
        <w:t>)</w:t>
      </w:r>
      <w:r>
        <w:t>.</w:t>
      </w:r>
    </w:p>
    <w:p w14:paraId="6375552F" w14:textId="09710A07" w:rsidR="0073307E" w:rsidRDefault="004C0F6E" w:rsidP="001512FA">
      <w:pPr>
        <w:pStyle w:val="DocumentText"/>
      </w:pPr>
      <w:r>
        <w:t>During completed clinical trials with AFSTYLA</w:t>
      </w:r>
      <w:r w:rsidRPr="001512FA">
        <w:rPr>
          <w:vertAlign w:val="superscript"/>
        </w:rPr>
        <w:t>®</w:t>
      </w:r>
      <w:r>
        <w:t xml:space="preserve"> conducted in 258 adult and </w:t>
      </w:r>
      <w:proofErr w:type="spellStart"/>
      <w:r>
        <w:t>p</w:t>
      </w:r>
      <w:r w:rsidR="00D66F11">
        <w:t>a</w:t>
      </w:r>
      <w:r>
        <w:t>ediatric</w:t>
      </w:r>
      <w:proofErr w:type="spellEnd"/>
      <w:r>
        <w:t xml:space="preserve"> </w:t>
      </w:r>
      <w:r w:rsidR="00EA2860">
        <w:t>p</w:t>
      </w:r>
      <w:r>
        <w:t xml:space="preserve">reviously </w:t>
      </w:r>
      <w:r w:rsidR="00EA2860">
        <w:t>t</w:t>
      </w:r>
      <w:r>
        <w:t xml:space="preserve">reated </w:t>
      </w:r>
      <w:r w:rsidR="00EA2860">
        <w:t>p</w:t>
      </w:r>
      <w:r>
        <w:t>atients, there were 475 adverse events reported in 177/258 (68.6%) subjects who received a total of 19,905 injections. Of these 475 events, 20 (4.2%) were reported as related to AFSTYLA</w:t>
      </w:r>
      <w:r w:rsidRPr="001512FA">
        <w:rPr>
          <w:vertAlign w:val="superscript"/>
        </w:rPr>
        <w:t>®</w:t>
      </w:r>
      <w:r>
        <w:t xml:space="preserve"> in 14/258 (5.4%) subjects.</w:t>
      </w:r>
    </w:p>
    <w:p w14:paraId="7A2FDE89" w14:textId="77777777" w:rsidR="00B27625" w:rsidRDefault="00B27625" w:rsidP="00B27625">
      <w:pPr>
        <w:pStyle w:val="Heading3"/>
        <w:numPr>
          <w:ilvl w:val="0"/>
          <w:numId w:val="0"/>
        </w:numPr>
        <w:ind w:left="2138" w:hanging="2138"/>
      </w:pPr>
      <w:r>
        <w:t>Tabulated list of adverse reactions</w:t>
      </w:r>
    </w:p>
    <w:p w14:paraId="197937DD" w14:textId="77777777" w:rsidR="00B27625" w:rsidRDefault="00B27625" w:rsidP="001512FA">
      <w:pPr>
        <w:pStyle w:val="DocumentText"/>
      </w:pPr>
      <w:r w:rsidRPr="001512FA">
        <w:rPr>
          <w:b/>
        </w:rPr>
        <w:t>Table 7</w:t>
      </w:r>
      <w:r>
        <w:t xml:space="preserve"> is presented according to the MedDRA system organ classification (SOC and preferred term level).</w:t>
      </w:r>
    </w:p>
    <w:p w14:paraId="0CBAF3D0" w14:textId="59E9E195" w:rsidR="00F40998" w:rsidRPr="00F40998" w:rsidRDefault="00F40998" w:rsidP="008640B7">
      <w:pPr>
        <w:pStyle w:val="Caption"/>
        <w:ind w:left="0" w:firstLine="0"/>
      </w:pPr>
      <w:r w:rsidRPr="00F40998">
        <w:lastRenderedPageBreak/>
        <w:t>Table</w:t>
      </w:r>
      <w:r w:rsidR="007E4F53" w:rsidRPr="00BF22EC" w:rsidDel="0058073D">
        <w:rPr>
          <w:b w:val="0"/>
          <w:szCs w:val="24"/>
          <w:lang w:val="en-AU"/>
        </w:rPr>
        <w:t> </w:t>
      </w:r>
      <w:r w:rsidR="001C46DE">
        <w:t>7</w:t>
      </w:r>
      <w:r w:rsidRPr="00F40998">
        <w:t xml:space="preserve">: </w:t>
      </w:r>
      <w:r w:rsidR="00656ECD">
        <w:t>Frequency of adverse reactions observed in clinical studies</w:t>
      </w:r>
    </w:p>
    <w:tbl>
      <w:tblPr>
        <w:tblW w:w="30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73"/>
        <w:gridCol w:w="1873"/>
      </w:tblGrid>
      <w:tr w:rsidR="002B6CE3" w:rsidRPr="005409DF" w14:paraId="0A59BF9A" w14:textId="77777777" w:rsidTr="00A20E3C">
        <w:trPr>
          <w:trHeight w:val="652"/>
        </w:trPr>
        <w:tc>
          <w:tcPr>
            <w:tcW w:w="1666" w:type="pct"/>
            <w:shd w:val="clear" w:color="auto" w:fill="D9D9D9" w:themeFill="background1" w:themeFillShade="D9"/>
          </w:tcPr>
          <w:p w14:paraId="7B283240" w14:textId="77777777" w:rsidR="002B6CE3" w:rsidRPr="00B3072A" w:rsidRDefault="002B6CE3" w:rsidP="001C46DE">
            <w:pPr>
              <w:pStyle w:val="TableCellHeading10pt"/>
              <w:keepLines/>
              <w:spacing w:line="240" w:lineRule="exact"/>
              <w:jc w:val="left"/>
              <w:rPr>
                <w:sz w:val="22"/>
                <w:szCs w:val="22"/>
              </w:rPr>
            </w:pPr>
            <w:r w:rsidRPr="00B3072A">
              <w:rPr>
                <w:sz w:val="22"/>
                <w:szCs w:val="22"/>
              </w:rPr>
              <w:t>MedDRA System Organ Class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01CAA39" w14:textId="77777777" w:rsidR="002B6CE3" w:rsidRPr="00B3072A" w:rsidRDefault="002B6CE3" w:rsidP="00105A30">
            <w:pPr>
              <w:pStyle w:val="TableCellHeading10pt"/>
              <w:keepLines/>
              <w:spacing w:line="240" w:lineRule="exact"/>
              <w:jc w:val="left"/>
              <w:rPr>
                <w:sz w:val="22"/>
                <w:szCs w:val="22"/>
              </w:rPr>
            </w:pPr>
            <w:r w:rsidRPr="00B3072A">
              <w:rPr>
                <w:sz w:val="22"/>
                <w:szCs w:val="22"/>
              </w:rPr>
              <w:t>MedDRA Preferred Term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1B00FC4" w14:textId="484B73AD" w:rsidR="002B6CE3" w:rsidRPr="00B3072A" w:rsidRDefault="002B6CE3" w:rsidP="001C46DE">
            <w:pPr>
              <w:pStyle w:val="TableCellHeading10pt"/>
              <w:keepLines/>
              <w:spacing w:line="240" w:lineRule="exact"/>
              <w:rPr>
                <w:sz w:val="22"/>
                <w:szCs w:val="22"/>
              </w:rPr>
            </w:pPr>
            <w:r w:rsidRPr="00B3072A">
              <w:rPr>
                <w:sz w:val="22"/>
                <w:szCs w:val="22"/>
              </w:rPr>
              <w:t xml:space="preserve">Frequency category </w:t>
            </w:r>
            <w:proofErr w:type="spellStart"/>
            <w:r w:rsidRPr="00B3072A">
              <w:rPr>
                <w:sz w:val="22"/>
                <w:szCs w:val="22"/>
              </w:rPr>
              <w:t>acc</w:t>
            </w:r>
            <w:proofErr w:type="spellEnd"/>
            <w:r w:rsidRPr="00B3072A">
              <w:rPr>
                <w:sz w:val="22"/>
                <w:szCs w:val="22"/>
              </w:rPr>
              <w:t xml:space="preserve"> to CIOMS*</w:t>
            </w:r>
          </w:p>
        </w:tc>
      </w:tr>
      <w:tr w:rsidR="002B6CE3" w:rsidRPr="005409DF" w14:paraId="2C3CADB6" w14:textId="77777777" w:rsidTr="0084588E">
        <w:trPr>
          <w:trHeight w:val="245"/>
        </w:trPr>
        <w:tc>
          <w:tcPr>
            <w:tcW w:w="1666" w:type="pct"/>
          </w:tcPr>
          <w:p w14:paraId="301831EA" w14:textId="77777777" w:rsidR="002B6CE3" w:rsidRPr="00B3072A" w:rsidRDefault="002B6CE3" w:rsidP="00C26C99">
            <w:pPr>
              <w:keepNext/>
              <w:spacing w:before="40" w:after="40" w:line="240" w:lineRule="exact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Immune system disorders</w:t>
            </w:r>
          </w:p>
        </w:tc>
        <w:tc>
          <w:tcPr>
            <w:tcW w:w="1667" w:type="pct"/>
          </w:tcPr>
          <w:p w14:paraId="2B3FB5FA" w14:textId="77777777" w:rsidR="002B6CE3" w:rsidRPr="00B3072A" w:rsidRDefault="002B6CE3" w:rsidP="00105A30">
            <w:pPr>
              <w:spacing w:before="40" w:after="40" w:line="240" w:lineRule="exact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Hypersensitivity</w:t>
            </w:r>
          </w:p>
        </w:tc>
        <w:tc>
          <w:tcPr>
            <w:tcW w:w="1667" w:type="pct"/>
          </w:tcPr>
          <w:p w14:paraId="577485C5" w14:textId="77777777" w:rsidR="002B6CE3" w:rsidRPr="00B3072A" w:rsidRDefault="002B6CE3" w:rsidP="001C46DE">
            <w:pPr>
              <w:tabs>
                <w:tab w:val="left" w:pos="1166"/>
              </w:tabs>
              <w:spacing w:before="40" w:after="40" w:line="240" w:lineRule="exact"/>
              <w:jc w:val="center"/>
              <w:rPr>
                <w:color w:val="000000" w:themeColor="text1"/>
                <w:kern w:val="0"/>
                <w:sz w:val="22"/>
                <w:szCs w:val="22"/>
                <w:lang w:val="en-AU"/>
              </w:rPr>
            </w:pPr>
            <w:r w:rsidRPr="00B3072A">
              <w:rPr>
                <w:color w:val="000000" w:themeColor="text1"/>
                <w:kern w:val="0"/>
                <w:sz w:val="22"/>
                <w:szCs w:val="22"/>
                <w:lang w:val="en-AU"/>
              </w:rPr>
              <w:t>common</w:t>
            </w:r>
          </w:p>
        </w:tc>
      </w:tr>
      <w:tr w:rsidR="002B6CE3" w:rsidRPr="005409DF" w14:paraId="77E81C40" w14:textId="77777777" w:rsidTr="0084588E">
        <w:trPr>
          <w:trHeight w:val="349"/>
        </w:trPr>
        <w:tc>
          <w:tcPr>
            <w:tcW w:w="1666" w:type="pct"/>
          </w:tcPr>
          <w:p w14:paraId="2EE0DC1C" w14:textId="77777777" w:rsidR="002B6CE3" w:rsidRPr="00B3072A" w:rsidRDefault="002B6CE3" w:rsidP="00C26C99">
            <w:pPr>
              <w:keepNext/>
              <w:spacing w:before="40" w:after="40" w:line="240" w:lineRule="exact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Nervous system disorders</w:t>
            </w:r>
          </w:p>
        </w:tc>
        <w:tc>
          <w:tcPr>
            <w:tcW w:w="1667" w:type="pct"/>
          </w:tcPr>
          <w:p w14:paraId="0368F278" w14:textId="77777777" w:rsidR="002B6CE3" w:rsidRPr="00B3072A" w:rsidRDefault="002B6CE3" w:rsidP="00105A30">
            <w:pPr>
              <w:spacing w:before="40" w:after="40" w:line="240" w:lineRule="exact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Dizziness</w:t>
            </w:r>
          </w:p>
          <w:p w14:paraId="6C2AA654" w14:textId="77777777" w:rsidR="002B6CE3" w:rsidRPr="00B3072A" w:rsidRDefault="002B6CE3" w:rsidP="00105A30">
            <w:pPr>
              <w:spacing w:before="40" w:after="40" w:line="240" w:lineRule="exact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Paraesthesia</w:t>
            </w:r>
          </w:p>
        </w:tc>
        <w:tc>
          <w:tcPr>
            <w:tcW w:w="1667" w:type="pct"/>
          </w:tcPr>
          <w:p w14:paraId="7771754F" w14:textId="77777777" w:rsidR="002B6CE3" w:rsidRPr="00B3072A" w:rsidRDefault="002B6CE3" w:rsidP="001C46DE">
            <w:pPr>
              <w:tabs>
                <w:tab w:val="left" w:pos="1166"/>
              </w:tabs>
              <w:spacing w:before="40" w:after="40" w:line="240" w:lineRule="exact"/>
              <w:jc w:val="center"/>
              <w:rPr>
                <w:color w:val="000000" w:themeColor="text1"/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common</w:t>
            </w:r>
          </w:p>
          <w:p w14:paraId="56AE4DB6" w14:textId="77777777" w:rsidR="002B6CE3" w:rsidRPr="00B3072A" w:rsidRDefault="002B6CE3" w:rsidP="001C46DE">
            <w:pPr>
              <w:tabs>
                <w:tab w:val="left" w:pos="1166"/>
              </w:tabs>
              <w:spacing w:before="40" w:after="40" w:line="240" w:lineRule="exact"/>
              <w:jc w:val="center"/>
              <w:rPr>
                <w:color w:val="000000" w:themeColor="text1"/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common</w:t>
            </w:r>
          </w:p>
        </w:tc>
      </w:tr>
      <w:tr w:rsidR="002B6CE3" w:rsidRPr="005409DF" w14:paraId="43DFC596" w14:textId="77777777" w:rsidTr="0084588E">
        <w:trPr>
          <w:trHeight w:val="301"/>
        </w:trPr>
        <w:tc>
          <w:tcPr>
            <w:tcW w:w="1666" w:type="pct"/>
          </w:tcPr>
          <w:p w14:paraId="1E90BAFD" w14:textId="77777777" w:rsidR="002B6CE3" w:rsidRPr="00B3072A" w:rsidRDefault="002B6CE3" w:rsidP="00C26C99">
            <w:pPr>
              <w:keepNext/>
              <w:spacing w:before="40" w:after="40" w:line="240" w:lineRule="exact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Skin and subcutaneous tissue disorders</w:t>
            </w:r>
          </w:p>
        </w:tc>
        <w:tc>
          <w:tcPr>
            <w:tcW w:w="1667" w:type="pct"/>
          </w:tcPr>
          <w:p w14:paraId="3162396D" w14:textId="77777777" w:rsidR="002B6CE3" w:rsidRPr="00B3072A" w:rsidRDefault="002B6CE3" w:rsidP="00105A30">
            <w:pPr>
              <w:spacing w:before="40" w:after="40" w:line="240" w:lineRule="exact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Rash</w:t>
            </w:r>
          </w:p>
          <w:p w14:paraId="2041E94F" w14:textId="77777777" w:rsidR="002B6CE3" w:rsidRPr="00B3072A" w:rsidRDefault="002B6CE3" w:rsidP="00105A30">
            <w:pPr>
              <w:spacing w:before="40" w:after="40" w:line="240" w:lineRule="exact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Erythema</w:t>
            </w:r>
          </w:p>
          <w:p w14:paraId="1BA045F5" w14:textId="77777777" w:rsidR="002B6CE3" w:rsidRPr="00B3072A" w:rsidRDefault="002B6CE3" w:rsidP="00105A30">
            <w:pPr>
              <w:spacing w:before="40" w:after="40" w:line="240" w:lineRule="exact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Pruritus</w:t>
            </w:r>
          </w:p>
        </w:tc>
        <w:tc>
          <w:tcPr>
            <w:tcW w:w="1667" w:type="pct"/>
          </w:tcPr>
          <w:p w14:paraId="01611F18" w14:textId="77777777" w:rsidR="002B6CE3" w:rsidRPr="00B3072A" w:rsidRDefault="002B6CE3" w:rsidP="001C46DE">
            <w:pPr>
              <w:tabs>
                <w:tab w:val="left" w:pos="1166"/>
              </w:tabs>
              <w:spacing w:before="40" w:after="40" w:line="240" w:lineRule="exact"/>
              <w:jc w:val="center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common</w:t>
            </w:r>
          </w:p>
          <w:p w14:paraId="05F28D2D" w14:textId="77777777" w:rsidR="002B6CE3" w:rsidRPr="00B3072A" w:rsidRDefault="002B6CE3" w:rsidP="001C46DE">
            <w:pPr>
              <w:tabs>
                <w:tab w:val="left" w:pos="1166"/>
              </w:tabs>
              <w:spacing w:before="40" w:after="40" w:line="240" w:lineRule="exact"/>
              <w:jc w:val="center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uncommon</w:t>
            </w:r>
          </w:p>
          <w:p w14:paraId="451EA654" w14:textId="77777777" w:rsidR="002B6CE3" w:rsidRPr="00B3072A" w:rsidRDefault="002B6CE3" w:rsidP="001C46DE">
            <w:pPr>
              <w:tabs>
                <w:tab w:val="left" w:pos="1166"/>
              </w:tabs>
              <w:spacing w:before="40" w:after="40" w:line="240" w:lineRule="exact"/>
              <w:jc w:val="center"/>
              <w:rPr>
                <w:color w:val="000000" w:themeColor="text1"/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uncommon</w:t>
            </w:r>
          </w:p>
        </w:tc>
      </w:tr>
      <w:tr w:rsidR="002B6CE3" w:rsidRPr="005409DF" w14:paraId="01C48F19" w14:textId="77777777" w:rsidTr="0084588E">
        <w:trPr>
          <w:trHeight w:val="437"/>
        </w:trPr>
        <w:tc>
          <w:tcPr>
            <w:tcW w:w="1666" w:type="pct"/>
          </w:tcPr>
          <w:p w14:paraId="7AABDE49" w14:textId="77777777" w:rsidR="002B6CE3" w:rsidRPr="00B3072A" w:rsidRDefault="002B6CE3" w:rsidP="00C26C99">
            <w:pPr>
              <w:keepNext/>
              <w:spacing w:before="40" w:after="40" w:line="240" w:lineRule="exact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General disorders and administration site conditions</w:t>
            </w:r>
          </w:p>
        </w:tc>
        <w:tc>
          <w:tcPr>
            <w:tcW w:w="1667" w:type="pct"/>
          </w:tcPr>
          <w:p w14:paraId="2E7B8BB5" w14:textId="77777777" w:rsidR="002B6CE3" w:rsidRPr="00B3072A" w:rsidRDefault="002B6CE3" w:rsidP="00105A30">
            <w:pPr>
              <w:spacing w:before="40" w:after="40" w:line="240" w:lineRule="exact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Pyrexia</w:t>
            </w:r>
          </w:p>
          <w:p w14:paraId="54AB7BE4" w14:textId="77777777" w:rsidR="002B6CE3" w:rsidRPr="00B3072A" w:rsidRDefault="002B6CE3" w:rsidP="00105A30">
            <w:pPr>
              <w:spacing w:before="40" w:after="40" w:line="240" w:lineRule="exact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Injection site pain</w:t>
            </w:r>
          </w:p>
          <w:p w14:paraId="51BCAB33" w14:textId="77777777" w:rsidR="002B6CE3" w:rsidRPr="00B3072A" w:rsidRDefault="002B6CE3" w:rsidP="00105A30">
            <w:pPr>
              <w:spacing w:before="40" w:after="40" w:line="240" w:lineRule="exact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Chills</w:t>
            </w:r>
          </w:p>
          <w:p w14:paraId="4E00A768" w14:textId="77777777" w:rsidR="002B6CE3" w:rsidRPr="00B3072A" w:rsidRDefault="002B6CE3" w:rsidP="00105A30">
            <w:pPr>
              <w:spacing w:before="40" w:after="40" w:line="240" w:lineRule="exact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Feeling hot</w:t>
            </w:r>
          </w:p>
        </w:tc>
        <w:tc>
          <w:tcPr>
            <w:tcW w:w="1667" w:type="pct"/>
          </w:tcPr>
          <w:p w14:paraId="4F065B5D" w14:textId="77777777" w:rsidR="002B6CE3" w:rsidRPr="00B3072A" w:rsidRDefault="002B6CE3" w:rsidP="006168BD">
            <w:pPr>
              <w:tabs>
                <w:tab w:val="left" w:pos="1166"/>
              </w:tabs>
              <w:spacing w:before="40" w:after="40" w:line="240" w:lineRule="exact"/>
              <w:jc w:val="center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common</w:t>
            </w:r>
          </w:p>
          <w:p w14:paraId="41EBED74" w14:textId="77777777" w:rsidR="002B6CE3" w:rsidRPr="00B3072A" w:rsidRDefault="002B6CE3" w:rsidP="006168BD">
            <w:pPr>
              <w:tabs>
                <w:tab w:val="left" w:pos="1166"/>
              </w:tabs>
              <w:spacing w:before="40" w:after="40" w:line="240" w:lineRule="exact"/>
              <w:jc w:val="center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uncommon</w:t>
            </w:r>
          </w:p>
          <w:p w14:paraId="13015FD9" w14:textId="77777777" w:rsidR="002B6CE3" w:rsidRPr="00B3072A" w:rsidRDefault="002B6CE3" w:rsidP="006168BD">
            <w:pPr>
              <w:tabs>
                <w:tab w:val="left" w:pos="1166"/>
              </w:tabs>
              <w:spacing w:before="40" w:after="40" w:line="240" w:lineRule="exact"/>
              <w:jc w:val="center"/>
              <w:rPr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uncommon</w:t>
            </w:r>
          </w:p>
          <w:p w14:paraId="36C6C01B" w14:textId="77777777" w:rsidR="002B6CE3" w:rsidRPr="00B3072A" w:rsidRDefault="002B6CE3" w:rsidP="006168BD">
            <w:pPr>
              <w:tabs>
                <w:tab w:val="left" w:pos="1166"/>
              </w:tabs>
              <w:spacing w:before="40" w:after="40" w:line="240" w:lineRule="exact"/>
              <w:jc w:val="center"/>
              <w:rPr>
                <w:color w:val="000000" w:themeColor="text1"/>
                <w:kern w:val="0"/>
                <w:sz w:val="22"/>
                <w:szCs w:val="22"/>
                <w:lang w:val="en-AU"/>
              </w:rPr>
            </w:pPr>
            <w:r w:rsidRPr="00B3072A">
              <w:rPr>
                <w:kern w:val="0"/>
                <w:sz w:val="22"/>
                <w:szCs w:val="22"/>
                <w:lang w:val="en-AU"/>
              </w:rPr>
              <w:t>uncommon</w:t>
            </w:r>
          </w:p>
        </w:tc>
      </w:tr>
    </w:tbl>
    <w:p w14:paraId="1BF80FDA" w14:textId="55BCF7B4" w:rsidR="006159FB" w:rsidRPr="006159FB" w:rsidRDefault="002B6CE3" w:rsidP="001512FA">
      <w:pPr>
        <w:pStyle w:val="TableFootnote"/>
        <w:keepNext w:val="0"/>
        <w:ind w:left="0" w:right="-45" w:firstLine="0"/>
      </w:pPr>
      <w:r w:rsidRPr="0054657C">
        <w:t>*</w:t>
      </w:r>
      <w:r w:rsidR="0054657C">
        <w:t xml:space="preserve"> </w:t>
      </w:r>
      <w:r w:rsidR="006159FB" w:rsidRPr="008467D4">
        <w:t>Frequencies have been evaluated on a per patient basis according to the following</w:t>
      </w:r>
      <w:r w:rsidR="002A3970">
        <w:t xml:space="preserve"> </w:t>
      </w:r>
      <w:r w:rsidR="006159FB" w:rsidRPr="008467D4">
        <w:t>convention:</w:t>
      </w:r>
    </w:p>
    <w:p w14:paraId="1684CCA7" w14:textId="77777777" w:rsidR="006159FB" w:rsidRPr="008467D4" w:rsidRDefault="006159FB" w:rsidP="001512FA">
      <w:pPr>
        <w:pStyle w:val="TableFootnote"/>
        <w:keepNext w:val="0"/>
        <w:spacing w:before="0"/>
        <w:ind w:left="0" w:right="-45" w:firstLine="0"/>
      </w:pPr>
      <w:proofErr w:type="gramStart"/>
      <w:r w:rsidRPr="008467D4">
        <w:t>very</w:t>
      </w:r>
      <w:proofErr w:type="gramEnd"/>
      <w:r w:rsidRPr="008467D4">
        <w:t xml:space="preserve"> common:</w:t>
      </w:r>
      <w:r w:rsidRPr="008467D4">
        <w:tab/>
        <w:t>≥1/10</w:t>
      </w:r>
    </w:p>
    <w:p w14:paraId="7FABEDD1" w14:textId="77777777" w:rsidR="006159FB" w:rsidRPr="008467D4" w:rsidRDefault="006159FB" w:rsidP="001512FA">
      <w:pPr>
        <w:pStyle w:val="TableFootnote"/>
        <w:keepNext w:val="0"/>
        <w:spacing w:before="0"/>
        <w:ind w:left="0" w:right="-45" w:firstLine="0"/>
      </w:pPr>
      <w:proofErr w:type="gramStart"/>
      <w:r w:rsidRPr="008467D4">
        <w:t>common</w:t>
      </w:r>
      <w:proofErr w:type="gramEnd"/>
      <w:r w:rsidRPr="008467D4">
        <w:t>:</w:t>
      </w:r>
      <w:r w:rsidRPr="008467D4">
        <w:tab/>
        <w:t>≥1/100 and &lt;1/10</w:t>
      </w:r>
    </w:p>
    <w:p w14:paraId="01CF7240" w14:textId="77777777" w:rsidR="006159FB" w:rsidRPr="008467D4" w:rsidRDefault="006159FB" w:rsidP="001512FA">
      <w:pPr>
        <w:pStyle w:val="TableFootnote"/>
        <w:keepNext w:val="0"/>
        <w:spacing w:before="0"/>
        <w:ind w:left="0" w:right="-45" w:firstLine="0"/>
      </w:pPr>
      <w:proofErr w:type="gramStart"/>
      <w:r w:rsidRPr="008467D4">
        <w:t>uncommon</w:t>
      </w:r>
      <w:proofErr w:type="gramEnd"/>
      <w:r w:rsidRPr="008467D4">
        <w:t>:</w:t>
      </w:r>
      <w:r w:rsidRPr="008467D4">
        <w:tab/>
        <w:t>≥1/1,000 and &lt;1/100</w:t>
      </w:r>
    </w:p>
    <w:p w14:paraId="0E5EB661" w14:textId="77777777" w:rsidR="006159FB" w:rsidRPr="008467D4" w:rsidRDefault="006159FB" w:rsidP="001512FA">
      <w:pPr>
        <w:pStyle w:val="TableFootnote"/>
        <w:keepNext w:val="0"/>
        <w:spacing w:before="0"/>
        <w:ind w:left="0" w:right="-45" w:firstLine="0"/>
      </w:pPr>
      <w:proofErr w:type="gramStart"/>
      <w:r w:rsidRPr="008467D4">
        <w:t>rare</w:t>
      </w:r>
      <w:proofErr w:type="gramEnd"/>
      <w:r w:rsidRPr="008467D4">
        <w:t>:</w:t>
      </w:r>
      <w:r w:rsidRPr="008467D4">
        <w:tab/>
      </w:r>
      <w:r w:rsidRPr="008467D4">
        <w:tab/>
        <w:t>≥1/10,000 and &lt;1/1,000</w:t>
      </w:r>
    </w:p>
    <w:p w14:paraId="62875266" w14:textId="77777777" w:rsidR="006159FB" w:rsidRPr="008467D4" w:rsidRDefault="006159FB" w:rsidP="001512FA">
      <w:pPr>
        <w:pStyle w:val="TableFootnote"/>
        <w:keepNext w:val="0"/>
        <w:spacing w:before="0"/>
        <w:ind w:left="0" w:right="-45" w:firstLine="0"/>
      </w:pPr>
      <w:proofErr w:type="gramStart"/>
      <w:r w:rsidRPr="008467D4">
        <w:t>very</w:t>
      </w:r>
      <w:proofErr w:type="gramEnd"/>
      <w:r w:rsidRPr="008467D4">
        <w:t xml:space="preserve"> rare:</w:t>
      </w:r>
      <w:r w:rsidRPr="008467D4">
        <w:tab/>
        <w:t>&lt;1/10,000</w:t>
      </w:r>
    </w:p>
    <w:p w14:paraId="244B09B6" w14:textId="77777777" w:rsidR="0073307E" w:rsidRDefault="006159FB" w:rsidP="002A3970">
      <w:pPr>
        <w:pStyle w:val="TableFootnote"/>
        <w:keepNext w:val="0"/>
        <w:spacing w:before="0" w:after="240"/>
        <w:ind w:left="0" w:right="-45" w:firstLine="0"/>
      </w:pPr>
      <w:proofErr w:type="gramStart"/>
      <w:r w:rsidRPr="004B071F">
        <w:t>not</w:t>
      </w:r>
      <w:proofErr w:type="gramEnd"/>
      <w:r w:rsidRPr="004B071F">
        <w:t xml:space="preserve"> known (cannot be estimated from the available data).</w:t>
      </w:r>
    </w:p>
    <w:p w14:paraId="1395A920" w14:textId="06FC02BC" w:rsidR="0073307E" w:rsidRPr="00C2232F" w:rsidRDefault="0073307E" w:rsidP="00C247E1">
      <w:pPr>
        <w:pStyle w:val="DocumentText"/>
      </w:pPr>
      <w:r w:rsidRPr="00C2232F">
        <w:t xml:space="preserve">Hypersensitivity or allergic reactions </w:t>
      </w:r>
      <w:r w:rsidRPr="008467D4">
        <w:t xml:space="preserve">(which may include angioedema, burning and stinging at the injection site, chills, flushing, </w:t>
      </w:r>
      <w:proofErr w:type="spellStart"/>
      <w:r w:rsidRPr="00C2232F">
        <w:t>generali</w:t>
      </w:r>
      <w:r>
        <w:t>s</w:t>
      </w:r>
      <w:r w:rsidRPr="00C2232F">
        <w:t>ed</w:t>
      </w:r>
      <w:proofErr w:type="spellEnd"/>
      <w:r w:rsidRPr="008467D4">
        <w:t xml:space="preserve"> </w:t>
      </w:r>
      <w:proofErr w:type="spellStart"/>
      <w:r w:rsidRPr="008467D4">
        <w:t>urticaria</w:t>
      </w:r>
      <w:proofErr w:type="spellEnd"/>
      <w:r w:rsidRPr="008467D4">
        <w:t>, headache, hives, hypotension, lethargy, nausea, restlessness, tachycardia, tightness of the chest, tingling, vomiting, wheezing</w:t>
      </w:r>
      <w:r w:rsidRPr="00AD4A76">
        <w:t xml:space="preserve">) have been observed with the use of </w:t>
      </w:r>
      <w:r>
        <w:t>F</w:t>
      </w:r>
      <w:r w:rsidRPr="00C2232F">
        <w:t>VIII</w:t>
      </w:r>
      <w:r w:rsidRPr="008467D4">
        <w:t xml:space="preserve"> products and may in some cases progress to severe anaphylaxis (including shock) (see also </w:t>
      </w:r>
      <w:r w:rsidRPr="00C247E1">
        <w:rPr>
          <w:b/>
        </w:rPr>
        <w:t>PRECAUTIONS</w:t>
      </w:r>
      <w:r w:rsidRPr="008467D4">
        <w:t>). Hypersensitivity reactions were observed in clinical trial</w:t>
      </w:r>
      <w:r w:rsidR="001F6D2D">
        <w:t>s</w:t>
      </w:r>
      <w:r w:rsidRPr="008467D4">
        <w:t xml:space="preserve"> of </w:t>
      </w:r>
      <w:r>
        <w:t>AFSTYLA</w:t>
      </w:r>
      <w:r w:rsidRPr="00C247E1">
        <w:rPr>
          <w:vertAlign w:val="superscript"/>
        </w:rPr>
        <w:t>®</w:t>
      </w:r>
      <w:r w:rsidRPr="008467D4">
        <w:t xml:space="preserve"> (see </w:t>
      </w:r>
      <w:r w:rsidRPr="00C247E1">
        <w:rPr>
          <w:b/>
        </w:rPr>
        <w:t>Table 7</w:t>
      </w:r>
      <w:r w:rsidRPr="008467D4">
        <w:t>), no anaphylactic reactions were reported.</w:t>
      </w:r>
    </w:p>
    <w:p w14:paraId="738CC020" w14:textId="78F3CB28" w:rsidR="005B6E07" w:rsidRDefault="0073307E" w:rsidP="005B6E07">
      <w:pPr>
        <w:pStyle w:val="DocumentText"/>
      </w:pPr>
      <w:r w:rsidRPr="00C2232F">
        <w:t>Patients with h</w:t>
      </w:r>
      <w:r>
        <w:t>a</w:t>
      </w:r>
      <w:r w:rsidRPr="00C2232F">
        <w:t xml:space="preserve">emophilia A may develop </w:t>
      </w:r>
      <w:proofErr w:type="spellStart"/>
      <w:r w:rsidRPr="00C2232F">
        <w:t>neutrali</w:t>
      </w:r>
      <w:r>
        <w:t>s</w:t>
      </w:r>
      <w:r w:rsidRPr="00C2232F">
        <w:t>ing</w:t>
      </w:r>
      <w:proofErr w:type="spellEnd"/>
      <w:r w:rsidRPr="00C2232F">
        <w:t xml:space="preserve"> antibodies (inhibitors) to </w:t>
      </w:r>
      <w:r w:rsidR="008D2C16">
        <w:t>F</w:t>
      </w:r>
      <w:r w:rsidRPr="00C2232F">
        <w:t>VIII.</w:t>
      </w:r>
      <w:r>
        <w:t xml:space="preserve"> </w:t>
      </w:r>
      <w:r w:rsidRPr="00C2232F">
        <w:t>If such inhibitors occur, the condition will manifest itself as an insufficient clinical response.</w:t>
      </w:r>
      <w:r>
        <w:t xml:space="preserve"> </w:t>
      </w:r>
      <w:r w:rsidRPr="00C2232F">
        <w:t xml:space="preserve">In such cases, it is recommended that a </w:t>
      </w:r>
      <w:proofErr w:type="spellStart"/>
      <w:r w:rsidRPr="00C2232F">
        <w:t>speciali</w:t>
      </w:r>
      <w:r>
        <w:t>s</w:t>
      </w:r>
      <w:r w:rsidRPr="00C2232F">
        <w:t>ed</w:t>
      </w:r>
      <w:proofErr w:type="spellEnd"/>
      <w:r w:rsidRPr="00C2232F">
        <w:t xml:space="preserve"> </w:t>
      </w:r>
      <w:proofErr w:type="spellStart"/>
      <w:r w:rsidRPr="00C2232F">
        <w:t>h</w:t>
      </w:r>
      <w:r>
        <w:t>a</w:t>
      </w:r>
      <w:r w:rsidRPr="00C2232F">
        <w:t>emophilia</w:t>
      </w:r>
      <w:proofErr w:type="spellEnd"/>
      <w:r w:rsidRPr="00C2232F">
        <w:t xml:space="preserve"> </w:t>
      </w:r>
      <w:proofErr w:type="spellStart"/>
      <w:r w:rsidRPr="00C2232F">
        <w:t>cent</w:t>
      </w:r>
      <w:r>
        <w:t>r</w:t>
      </w:r>
      <w:r w:rsidRPr="00C2232F">
        <w:t>e</w:t>
      </w:r>
      <w:proofErr w:type="spellEnd"/>
      <w:r w:rsidRPr="00C2232F">
        <w:t xml:space="preserve"> be contacted. No such</w:t>
      </w:r>
      <w:r>
        <w:t xml:space="preserve"> </w:t>
      </w:r>
      <w:r w:rsidRPr="00536320">
        <w:t>re</w:t>
      </w:r>
      <w:r w:rsidR="00A63165">
        <w:t xml:space="preserve">actions have been identified in previously treated patients in completed </w:t>
      </w:r>
      <w:r w:rsidRPr="00536320">
        <w:t xml:space="preserve">clinical </w:t>
      </w:r>
      <w:r w:rsidR="00C014CE">
        <w:t>studies</w:t>
      </w:r>
      <w:r w:rsidR="00A63165">
        <w:t xml:space="preserve"> </w:t>
      </w:r>
      <w:r w:rsidRPr="00536320">
        <w:t>for AFSTYLA</w:t>
      </w:r>
      <w:r w:rsidRPr="00C247E1">
        <w:rPr>
          <w:vertAlign w:val="superscript"/>
        </w:rPr>
        <w:t>®</w:t>
      </w:r>
      <w:r w:rsidRPr="005B6E07">
        <w:t>.</w:t>
      </w:r>
      <w:r w:rsidR="005B6E07">
        <w:t xml:space="preserve"> </w:t>
      </w:r>
      <w:r w:rsidR="005B6E07" w:rsidRPr="005B6E07">
        <w:rPr>
          <w:iCs/>
        </w:rPr>
        <w:t>Inhibitor development has been observed in PUPs in an ongoing study. There is insufficient data to provide information on inhibitor incidence in PUPs.</w:t>
      </w:r>
    </w:p>
    <w:p w14:paraId="0FF06075" w14:textId="77777777" w:rsidR="00105A30" w:rsidRPr="00105A30" w:rsidRDefault="00105A30" w:rsidP="00EC1953">
      <w:pPr>
        <w:pStyle w:val="Heading3"/>
        <w:numPr>
          <w:ilvl w:val="0"/>
          <w:numId w:val="0"/>
        </w:numPr>
      </w:pPr>
      <w:r w:rsidRPr="00105A30">
        <w:t>Reporting of suspected adverse reactions</w:t>
      </w:r>
    </w:p>
    <w:p w14:paraId="13B11025" w14:textId="77777777" w:rsidR="00105A30" w:rsidRDefault="00105A30" w:rsidP="00105A30">
      <w:pPr>
        <w:pStyle w:val="DocumentText"/>
      </w:pPr>
      <w:r w:rsidRPr="0046213D">
        <w:t xml:space="preserve">Reporting suspected adverse reactions after </w:t>
      </w:r>
      <w:proofErr w:type="spellStart"/>
      <w:r w:rsidRPr="0046213D">
        <w:t>authorisation</w:t>
      </w:r>
      <w:proofErr w:type="spellEnd"/>
      <w:r w:rsidRPr="0046213D">
        <w:t xml:space="preserve"> of the medicinal product is important. It allows continued monitoring of the benefit/risk balance of the medicinal product. Healthcare professionals are asked to report a</w:t>
      </w:r>
      <w:r>
        <w:t>ny suspected adverse reactions.</w:t>
      </w:r>
    </w:p>
    <w:p w14:paraId="0AC5124B" w14:textId="77777777" w:rsidR="00137C30" w:rsidRPr="00B1677F" w:rsidRDefault="00137C30" w:rsidP="00105A30">
      <w:pPr>
        <w:pStyle w:val="Heading2"/>
        <w:numPr>
          <w:ilvl w:val="0"/>
          <w:numId w:val="0"/>
        </w:numPr>
        <w:ind w:left="1901" w:hanging="1901"/>
      </w:pPr>
      <w:r w:rsidRPr="00B1677F">
        <w:lastRenderedPageBreak/>
        <w:t>DOSAGE AND ADMINISTRATION</w:t>
      </w:r>
    </w:p>
    <w:p w14:paraId="455B7939" w14:textId="4FE13CA3" w:rsidR="00F40998" w:rsidRDefault="00F40998" w:rsidP="00F40998">
      <w:pPr>
        <w:pStyle w:val="DocumentText"/>
      </w:pPr>
      <w:r w:rsidRPr="000F3841">
        <w:t xml:space="preserve">Initiate treatment of </w:t>
      </w:r>
      <w:r w:rsidR="003161EC">
        <w:t>AFSTYLA</w:t>
      </w:r>
      <w:r w:rsidR="003161EC">
        <w:rPr>
          <w:vertAlign w:val="superscript"/>
        </w:rPr>
        <w:t>®</w:t>
      </w:r>
      <w:r w:rsidR="001332D9">
        <w:t xml:space="preserve"> </w:t>
      </w:r>
      <w:r w:rsidRPr="000F3841">
        <w:t xml:space="preserve">under the supervision of a physician experienced in </w:t>
      </w:r>
      <w:r>
        <w:t>the treatment of haemophilia</w:t>
      </w:r>
      <w:r w:rsidR="000A2132">
        <w:t xml:space="preserve"> A</w:t>
      </w:r>
      <w:r>
        <w:t>.</w:t>
      </w:r>
    </w:p>
    <w:p w14:paraId="1D3B3241" w14:textId="3674FB30" w:rsidR="003F1C78" w:rsidRDefault="003F1C78" w:rsidP="00F40998">
      <w:pPr>
        <w:pStyle w:val="DocumentText"/>
      </w:pPr>
      <w:r>
        <w:t>It is recommended that prescribed doses of AFSTYLA</w:t>
      </w:r>
      <w:r>
        <w:rPr>
          <w:vertAlign w:val="superscript"/>
        </w:rPr>
        <w:t>®</w:t>
      </w:r>
      <w:r>
        <w:t xml:space="preserve"> are expressed as ‘International Units’ written in full.</w:t>
      </w:r>
    </w:p>
    <w:p w14:paraId="61465F77" w14:textId="77777777" w:rsidR="00F40998" w:rsidRPr="00F40998" w:rsidRDefault="00F40998" w:rsidP="00F40998">
      <w:pPr>
        <w:pStyle w:val="DocumentText"/>
      </w:pPr>
      <w:r w:rsidRPr="000F3841">
        <w:t>The decision for an individual patient on the use of home treatment of bleeding and prophylaxis of bleeding in patients with haemophilia</w:t>
      </w:r>
      <w:r w:rsidR="00645A47">
        <w:t> </w:t>
      </w:r>
      <w:r w:rsidR="003161EC">
        <w:t>A</w:t>
      </w:r>
      <w:r w:rsidRPr="000F3841">
        <w:t xml:space="preserve"> should be made by the treating physician who should ensure that appropriate training is provided and the use is reviewed at intervals</w:t>
      </w:r>
      <w:r>
        <w:t>.</w:t>
      </w:r>
    </w:p>
    <w:p w14:paraId="63C93750" w14:textId="77777777" w:rsidR="00137C30" w:rsidRPr="00B1677F" w:rsidRDefault="00137C30" w:rsidP="00B1677F">
      <w:pPr>
        <w:pStyle w:val="Heading3"/>
        <w:numPr>
          <w:ilvl w:val="0"/>
          <w:numId w:val="0"/>
        </w:numPr>
        <w:ind w:left="2138" w:hanging="2138"/>
      </w:pPr>
      <w:r w:rsidRPr="00B1677F">
        <w:t>Dosage</w:t>
      </w:r>
    </w:p>
    <w:p w14:paraId="395BE529" w14:textId="77777777" w:rsidR="00137C30" w:rsidRDefault="00F40998" w:rsidP="00B1677F">
      <w:pPr>
        <w:pStyle w:val="DocumentText"/>
      </w:pPr>
      <w:r w:rsidRPr="000F3841">
        <w:t xml:space="preserve">The dose and duration of the </w:t>
      </w:r>
      <w:r w:rsidR="003161EC">
        <w:t>treatment</w:t>
      </w:r>
      <w:r w:rsidRPr="000F3841">
        <w:t xml:space="preserve"> depend on the severity of the</w:t>
      </w:r>
      <w:r w:rsidR="003161EC">
        <w:t xml:space="preserve"> </w:t>
      </w:r>
      <w:r w:rsidR="00CD66BA">
        <w:t>F</w:t>
      </w:r>
      <w:r w:rsidR="003161EC">
        <w:t>VIII</w:t>
      </w:r>
      <w:r w:rsidRPr="000F3841">
        <w:t xml:space="preserve"> deficiency, the location and extent of the bleeding</w:t>
      </w:r>
      <w:r w:rsidR="003161EC">
        <w:t>,</w:t>
      </w:r>
      <w:r w:rsidRPr="000F3841">
        <w:t xml:space="preserve"> and the patient’s clinical condition.</w:t>
      </w:r>
    </w:p>
    <w:p w14:paraId="15731B5B" w14:textId="66C35C96" w:rsidR="00BD06F2" w:rsidRDefault="00F40998" w:rsidP="00C247E1">
      <w:pPr>
        <w:pStyle w:val="DocumentText"/>
      </w:pPr>
      <w:r w:rsidRPr="000F3841">
        <w:t xml:space="preserve">The number of units of </w:t>
      </w:r>
      <w:r w:rsidR="00CD66BA">
        <w:t>F</w:t>
      </w:r>
      <w:r w:rsidR="003161EC">
        <w:t>VIII</w:t>
      </w:r>
      <w:r w:rsidRPr="000F3841">
        <w:t xml:space="preserve"> administered is expressed in International Units</w:t>
      </w:r>
      <w:r w:rsidR="00BE761A" w:rsidRPr="00A00251">
        <w:t> </w:t>
      </w:r>
      <w:r w:rsidRPr="000F3841">
        <w:t xml:space="preserve">(IU), which </w:t>
      </w:r>
      <w:proofErr w:type="gramStart"/>
      <w:r w:rsidRPr="000F3841">
        <w:t>are</w:t>
      </w:r>
      <w:proofErr w:type="gramEnd"/>
      <w:r w:rsidRPr="000F3841">
        <w:t xml:space="preserve"> related to the current WHO standard for </w:t>
      </w:r>
      <w:r w:rsidR="00CD66BA">
        <w:t>F</w:t>
      </w:r>
      <w:r w:rsidR="003161EC">
        <w:t>VIII</w:t>
      </w:r>
      <w:r w:rsidRPr="000F3841">
        <w:t xml:space="preserve"> products. </w:t>
      </w:r>
      <w:r w:rsidR="003161EC">
        <w:t>FVIII</w:t>
      </w:r>
      <w:r w:rsidRPr="000F3841">
        <w:t xml:space="preserve"> activity in plasma is expressed either as a percentage (relative to normal human plasma) or in</w:t>
      </w:r>
      <w:r w:rsidR="003161EC">
        <w:t xml:space="preserve"> </w:t>
      </w:r>
      <w:r>
        <w:t>IU</w:t>
      </w:r>
      <w:r w:rsidR="001335BB">
        <w:t xml:space="preserve"> </w:t>
      </w:r>
      <w:r w:rsidR="001335BB" w:rsidRPr="00E447AC">
        <w:t xml:space="preserve">(relative to an International Standard for </w:t>
      </w:r>
      <w:r w:rsidR="007665A3">
        <w:t>F</w:t>
      </w:r>
      <w:r w:rsidR="003161EC">
        <w:t>VIII</w:t>
      </w:r>
      <w:r w:rsidR="001335BB" w:rsidRPr="00E447AC">
        <w:t xml:space="preserve"> in plasma)</w:t>
      </w:r>
      <w:r w:rsidRPr="000F3841">
        <w:t>.</w:t>
      </w:r>
    </w:p>
    <w:p w14:paraId="27ADD71C" w14:textId="77777777" w:rsidR="00BD06F2" w:rsidRPr="00BD06F2" w:rsidRDefault="00BD06F2" w:rsidP="00C247E1">
      <w:pPr>
        <w:pStyle w:val="DocumentText"/>
      </w:pPr>
      <w:r w:rsidRPr="00BD06F2">
        <w:t>Each vial label of AFSTYLA</w:t>
      </w:r>
      <w:r w:rsidRPr="00C247E1">
        <w:rPr>
          <w:vertAlign w:val="superscript"/>
        </w:rPr>
        <w:t>®</w:t>
      </w:r>
      <w:r w:rsidRPr="00BD06F2">
        <w:t xml:space="preserve"> states the </w:t>
      </w:r>
      <w:r w:rsidR="00DE6429">
        <w:t>F</w:t>
      </w:r>
      <w:r w:rsidRPr="00BD06F2">
        <w:t xml:space="preserve">VIII potency in IU. </w:t>
      </w:r>
      <w:r w:rsidR="006468E0" w:rsidRPr="00BD06F2">
        <w:t xml:space="preserve">One IU corresponds to the activity of </w:t>
      </w:r>
      <w:r w:rsidR="006468E0">
        <w:t>F</w:t>
      </w:r>
      <w:r w:rsidR="006468E0" w:rsidRPr="00BD06F2">
        <w:t xml:space="preserve">VIII contained in one </w:t>
      </w:r>
      <w:proofErr w:type="spellStart"/>
      <w:r w:rsidR="006468E0" w:rsidRPr="00BD06F2">
        <w:t>millilit</w:t>
      </w:r>
      <w:r w:rsidR="006468E0">
        <w:t>re</w:t>
      </w:r>
      <w:proofErr w:type="spellEnd"/>
      <w:r w:rsidR="006468E0" w:rsidRPr="00BD06F2">
        <w:t xml:space="preserve"> of normal</w:t>
      </w:r>
      <w:r w:rsidR="006468E0">
        <w:t xml:space="preserve"> </w:t>
      </w:r>
      <w:r w:rsidR="006468E0" w:rsidRPr="00BD06F2">
        <w:t>human plasma.</w:t>
      </w:r>
    </w:p>
    <w:p w14:paraId="53221028" w14:textId="72A38A37" w:rsidR="00BD06F2" w:rsidRPr="0039009E" w:rsidRDefault="00BD06F2" w:rsidP="0039009E">
      <w:pPr>
        <w:autoSpaceDE w:val="0"/>
        <w:autoSpaceDN w:val="0"/>
        <w:rPr>
          <w:sz w:val="20"/>
          <w:szCs w:val="20"/>
        </w:rPr>
      </w:pPr>
      <w:r w:rsidRPr="00BD06F2">
        <w:t>Potency assignment is determined using a chromogenic assay.</w:t>
      </w:r>
      <w:r>
        <w:t xml:space="preserve"> </w:t>
      </w:r>
      <w:r w:rsidRPr="00BD06F2">
        <w:t xml:space="preserve">Plasma </w:t>
      </w:r>
      <w:r w:rsidR="00DE6429">
        <w:t>F</w:t>
      </w:r>
      <w:r w:rsidRPr="00BD06F2">
        <w:t>VIII levels can be monitored using either a chromogenic assay or a</w:t>
      </w:r>
      <w:r>
        <w:t xml:space="preserve"> </w:t>
      </w:r>
      <w:r w:rsidRPr="00BD06F2">
        <w:t xml:space="preserve">one-stage clotting assay (see </w:t>
      </w:r>
      <w:r w:rsidRPr="0039009E">
        <w:rPr>
          <w:b/>
        </w:rPr>
        <w:t>PRECAUTIONS</w:t>
      </w:r>
      <w:r w:rsidRPr="00BD06F2">
        <w:t>).</w:t>
      </w:r>
      <w:r w:rsidR="00AE1A50">
        <w:t xml:space="preserve"> </w:t>
      </w:r>
      <w:r w:rsidR="0039009E" w:rsidRPr="0039009E">
        <w:t>The chromogenic assay results most accurately reflect the clinical h</w:t>
      </w:r>
      <w:r w:rsidR="0040743C">
        <w:t>a</w:t>
      </w:r>
      <w:r w:rsidR="0039009E" w:rsidRPr="0039009E">
        <w:t>emostatic potential. If using the one</w:t>
      </w:r>
      <w:r w:rsidR="0040743C">
        <w:t>-</w:t>
      </w:r>
      <w:r w:rsidR="0039009E" w:rsidRPr="0039009E">
        <w:t xml:space="preserve">stage assay to monitor FVIII activity level, the results can be aligned to chromogenic </w:t>
      </w:r>
      <w:r w:rsidR="0040743C">
        <w:t>assay</w:t>
      </w:r>
      <w:r w:rsidR="0039009E" w:rsidRPr="0039009E">
        <w:t xml:space="preserve"> acquired results by multiplying the one-stage result by 2.</w:t>
      </w:r>
    </w:p>
    <w:p w14:paraId="5DD0838E" w14:textId="77777777" w:rsidR="00BD06F2" w:rsidRPr="00BD06F2" w:rsidRDefault="00BD06F2" w:rsidP="00BD06F2">
      <w:pPr>
        <w:pStyle w:val="Heading4"/>
        <w:numPr>
          <w:ilvl w:val="0"/>
          <w:numId w:val="0"/>
        </w:numPr>
        <w:ind w:left="2362" w:hanging="2362"/>
        <w:rPr>
          <w:i/>
          <w:lang w:eastAsia="en-AU"/>
        </w:rPr>
      </w:pPr>
      <w:r w:rsidRPr="00BD06F2">
        <w:rPr>
          <w:i/>
          <w:lang w:eastAsia="en-AU"/>
        </w:rPr>
        <w:t>On demand treatment</w:t>
      </w:r>
    </w:p>
    <w:p w14:paraId="2353C251" w14:textId="77777777" w:rsidR="00BD06F2" w:rsidRPr="00BD06F2" w:rsidRDefault="00BD06F2" w:rsidP="00C247E1">
      <w:pPr>
        <w:pStyle w:val="DocumentText"/>
      </w:pPr>
      <w:r w:rsidRPr="00BD06F2">
        <w:t xml:space="preserve">Calculation of the required dose of </w:t>
      </w:r>
      <w:r w:rsidR="00DE6429">
        <w:t>F</w:t>
      </w:r>
      <w:r w:rsidRPr="00BD06F2">
        <w:t>VIII is based on the empirical finding that 1</w:t>
      </w:r>
      <w:r w:rsidR="00177F44">
        <w:t> </w:t>
      </w:r>
      <w:r w:rsidRPr="00BD06F2">
        <w:t>IU</w:t>
      </w:r>
      <w:r w:rsidR="00177F44">
        <w:t xml:space="preserve"> </w:t>
      </w:r>
      <w:r w:rsidR="00DE6429">
        <w:t>F</w:t>
      </w:r>
      <w:r w:rsidRPr="00BD06F2">
        <w:t xml:space="preserve">VIII per kg body weight raises the plasma </w:t>
      </w:r>
      <w:r w:rsidR="00DE6429">
        <w:t>F</w:t>
      </w:r>
      <w:r w:rsidRPr="00BD06F2">
        <w:t>VIII activity by 2</w:t>
      </w:r>
      <w:r w:rsidR="00177F44">
        <w:t> </w:t>
      </w:r>
      <w:r w:rsidRPr="00BD06F2">
        <w:t>IU/dL. The</w:t>
      </w:r>
      <w:r w:rsidR="00177F44">
        <w:t xml:space="preserve"> </w:t>
      </w:r>
      <w:r w:rsidRPr="00BD06F2">
        <w:t xml:space="preserve">expected </w:t>
      </w:r>
      <w:r w:rsidRPr="00C247E1">
        <w:rPr>
          <w:i/>
        </w:rPr>
        <w:t>in vivo</w:t>
      </w:r>
      <w:r w:rsidRPr="00BD06F2">
        <w:t xml:space="preserve"> peak increase in </w:t>
      </w:r>
      <w:r w:rsidR="00DE6429">
        <w:t>F</w:t>
      </w:r>
      <w:r w:rsidRPr="00BD06F2">
        <w:t>VIII level expressed as IU/dL (or % of normal) is</w:t>
      </w:r>
      <w:r w:rsidR="00177F44">
        <w:t xml:space="preserve"> </w:t>
      </w:r>
      <w:r w:rsidRPr="00BD06F2">
        <w:t>estimated using the following formula:</w:t>
      </w:r>
    </w:p>
    <w:p w14:paraId="5F526E32" w14:textId="77777777" w:rsidR="00BD06F2" w:rsidRDefault="00BD06F2" w:rsidP="00C247E1">
      <w:pPr>
        <w:pStyle w:val="DocumentText"/>
      </w:pPr>
      <w:r w:rsidRPr="00BD06F2">
        <w:lastRenderedPageBreak/>
        <w:t xml:space="preserve">Estimated Increment of </w:t>
      </w:r>
      <w:r w:rsidR="00DE6429">
        <w:t>F</w:t>
      </w:r>
      <w:r w:rsidRPr="00BD06F2">
        <w:t>VIII (IU/dL or % of normal) = [Total Dose (IU)/body weight</w:t>
      </w:r>
      <w:r w:rsidR="00177F44">
        <w:t xml:space="preserve"> </w:t>
      </w:r>
      <w:r w:rsidRPr="00BD06F2">
        <w:t>(kg)] x 2 (IU/dL per IU/kg)</w:t>
      </w:r>
    </w:p>
    <w:p w14:paraId="785A6D05" w14:textId="77777777" w:rsidR="00177F44" w:rsidRPr="00177F44" w:rsidRDefault="00177F44" w:rsidP="00C247E1">
      <w:pPr>
        <w:pStyle w:val="DocumentText"/>
      </w:pPr>
      <w:r w:rsidRPr="00177F44">
        <w:t xml:space="preserve">The dose to achieve a desired </w:t>
      </w:r>
      <w:r w:rsidRPr="00C247E1">
        <w:rPr>
          <w:i/>
        </w:rPr>
        <w:t>in vivo</w:t>
      </w:r>
      <w:r w:rsidRPr="00177F44">
        <w:t xml:space="preserve"> peak increase in </w:t>
      </w:r>
      <w:r w:rsidR="00DE6429">
        <w:t>F</w:t>
      </w:r>
      <w:r w:rsidRPr="00177F44">
        <w:t>VIII level may be calculated</w:t>
      </w:r>
      <w:r>
        <w:t xml:space="preserve"> </w:t>
      </w:r>
      <w:r w:rsidRPr="00177F44">
        <w:t>using the following formula:</w:t>
      </w:r>
    </w:p>
    <w:p w14:paraId="4015587F" w14:textId="77777777" w:rsidR="00177F44" w:rsidRPr="00177F44" w:rsidRDefault="00177F44" w:rsidP="00C247E1">
      <w:pPr>
        <w:pStyle w:val="DocumentText"/>
      </w:pPr>
      <w:r w:rsidRPr="00177F44">
        <w:t xml:space="preserve">Dose (IU) = body weight (kg) x Desired </w:t>
      </w:r>
      <w:r w:rsidR="00DE6429">
        <w:t>F</w:t>
      </w:r>
      <w:r w:rsidRPr="00177F44">
        <w:t>VIII rise (IU/dL or % of normal) x 0.5</w:t>
      </w:r>
      <w:r w:rsidR="007B0DA1">
        <w:t xml:space="preserve"> </w:t>
      </w:r>
      <w:r w:rsidRPr="00177F44">
        <w:t>(IU/kg per IU/dL)</w:t>
      </w:r>
    </w:p>
    <w:p w14:paraId="0DF0C766" w14:textId="77777777" w:rsidR="00177F44" w:rsidRPr="00177F44" w:rsidRDefault="00177F44" w:rsidP="00C247E1">
      <w:pPr>
        <w:pStyle w:val="DocumentText"/>
      </w:pPr>
      <w:r w:rsidRPr="00177F44">
        <w:t>The amount to be administered and the frequency of administration should always be</w:t>
      </w:r>
      <w:r w:rsidR="007B0DA1">
        <w:t xml:space="preserve"> </w:t>
      </w:r>
      <w:r w:rsidRPr="00177F44">
        <w:t>oriented to the clinical effectiveness in the individual case.</w:t>
      </w:r>
    </w:p>
    <w:p w14:paraId="691E3D90" w14:textId="0F215C08" w:rsidR="00177F44" w:rsidRDefault="00177F44" w:rsidP="00C247E1">
      <w:pPr>
        <w:pStyle w:val="DocumentText"/>
      </w:pPr>
      <w:r w:rsidRPr="00177F44">
        <w:t xml:space="preserve">A guide for dosing </w:t>
      </w:r>
      <w:r w:rsidR="007B0DA1" w:rsidRPr="00BD06F2">
        <w:t>AFSTYLA</w:t>
      </w:r>
      <w:r w:rsidR="007B0DA1" w:rsidRPr="00C247E1">
        <w:rPr>
          <w:vertAlign w:val="superscript"/>
        </w:rPr>
        <w:t>®</w:t>
      </w:r>
      <w:r w:rsidRPr="00177F44">
        <w:t xml:space="preserve"> for the control and prevention of bleeding episodes</w:t>
      </w:r>
      <w:r w:rsidR="007B0DA1">
        <w:t xml:space="preserve"> </w:t>
      </w:r>
      <w:r w:rsidRPr="00177F44">
        <w:t xml:space="preserve">is provided in </w:t>
      </w:r>
      <w:r w:rsidR="007B0DA1" w:rsidRPr="00C247E1">
        <w:rPr>
          <w:b/>
        </w:rPr>
        <w:t>T</w:t>
      </w:r>
      <w:r w:rsidRPr="00C247E1">
        <w:rPr>
          <w:b/>
        </w:rPr>
        <w:t>able</w:t>
      </w:r>
      <w:r w:rsidR="007B0DA1" w:rsidRPr="00C247E1">
        <w:rPr>
          <w:b/>
        </w:rPr>
        <w:t xml:space="preserve"> 8</w:t>
      </w:r>
      <w:r w:rsidRPr="00177F44">
        <w:t xml:space="preserve">. Consideration should be given to maintaining a </w:t>
      </w:r>
      <w:r w:rsidR="00DE6429">
        <w:t>F</w:t>
      </w:r>
      <w:r w:rsidRPr="00177F44">
        <w:t>VIII activity at or above the target range</w:t>
      </w:r>
      <w:r w:rsidR="007B0DA1">
        <w:t>.</w:t>
      </w:r>
    </w:p>
    <w:p w14:paraId="482CAF47" w14:textId="77777777" w:rsidR="007B0DA1" w:rsidRPr="003D425E" w:rsidRDefault="007B0DA1" w:rsidP="007B0DA1">
      <w:pPr>
        <w:pStyle w:val="Caption"/>
        <w:ind w:left="0" w:firstLine="0"/>
      </w:pPr>
      <w:r w:rsidRPr="007B0DA1">
        <w:t xml:space="preserve">Table 8: </w:t>
      </w:r>
      <w:r w:rsidR="00C01399" w:rsidRPr="003402D8">
        <w:t xml:space="preserve">Dosing for control and prevention of bleeding episodes and </w:t>
      </w:r>
      <w:r w:rsidR="00C01399">
        <w:t xml:space="preserve">in the </w:t>
      </w:r>
      <w:r w:rsidR="00C01399" w:rsidRPr="003402D8">
        <w:t xml:space="preserve">perioperative </w:t>
      </w:r>
      <w:r w:rsidR="00C01399">
        <w:t>setting</w:t>
      </w:r>
    </w:p>
    <w:tbl>
      <w:tblPr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1433"/>
        <w:gridCol w:w="1659"/>
        <w:gridCol w:w="2841"/>
      </w:tblGrid>
      <w:tr w:rsidR="00A93341" w:rsidRPr="003D425E" w14:paraId="743E2B39" w14:textId="77777777" w:rsidTr="00A93341">
        <w:trPr>
          <w:trHeight w:val="584"/>
        </w:trPr>
        <w:tc>
          <w:tcPr>
            <w:tcW w:w="2686" w:type="dxa"/>
            <w:shd w:val="pct15" w:color="auto" w:fill="auto"/>
          </w:tcPr>
          <w:p w14:paraId="754D1B32" w14:textId="5ED93221" w:rsidR="00A93341" w:rsidRPr="003D425E" w:rsidRDefault="00A93341" w:rsidP="00C01399">
            <w:pPr>
              <w:keepNext/>
              <w:suppressLineNumbers/>
              <w:tabs>
                <w:tab w:val="left" w:pos="567"/>
              </w:tabs>
              <w:spacing w:before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  <w:lang w:val="en-GB"/>
              </w:rPr>
              <w:t>Degree of haemorrhage</w:t>
            </w:r>
          </w:p>
        </w:tc>
        <w:tc>
          <w:tcPr>
            <w:tcW w:w="1433" w:type="dxa"/>
            <w:shd w:val="pct15" w:color="auto" w:fill="auto"/>
          </w:tcPr>
          <w:p w14:paraId="2A19364A" w14:textId="77777777" w:rsidR="00A93341" w:rsidRPr="003D425E" w:rsidRDefault="00A93341" w:rsidP="00DE6429">
            <w:pPr>
              <w:keepNext/>
              <w:suppressLineNumbers/>
              <w:tabs>
                <w:tab w:val="left" w:pos="567"/>
              </w:tabs>
              <w:spacing w:after="40" w:line="240" w:lineRule="auto"/>
              <w:rPr>
                <w:b/>
                <w:sz w:val="20"/>
                <w:szCs w:val="20"/>
              </w:rPr>
            </w:pPr>
            <w:r w:rsidRPr="003D425E">
              <w:rPr>
                <w:b/>
                <w:noProof/>
                <w:color w:val="000000"/>
                <w:sz w:val="20"/>
                <w:szCs w:val="20"/>
                <w:lang w:val="en-GB"/>
              </w:rPr>
              <w:t xml:space="preserve">FVIII </w:t>
            </w:r>
            <w:r>
              <w:rPr>
                <w:b/>
                <w:noProof/>
                <w:color w:val="000000"/>
                <w:sz w:val="20"/>
                <w:szCs w:val="20"/>
                <w:lang w:val="en-GB"/>
              </w:rPr>
              <w:t>l</w:t>
            </w:r>
            <w:r w:rsidRPr="003D425E">
              <w:rPr>
                <w:b/>
                <w:noProof/>
                <w:color w:val="000000"/>
                <w:sz w:val="20"/>
                <w:szCs w:val="20"/>
                <w:lang w:val="en-GB"/>
              </w:rPr>
              <w:t xml:space="preserve">evel </w:t>
            </w:r>
            <w:r>
              <w:rPr>
                <w:b/>
                <w:noProof/>
                <w:color w:val="000000"/>
                <w:sz w:val="20"/>
                <w:szCs w:val="20"/>
                <w:lang w:val="en-GB"/>
              </w:rPr>
              <w:t>r</w:t>
            </w:r>
            <w:r w:rsidRPr="003D425E">
              <w:rPr>
                <w:b/>
                <w:noProof/>
                <w:color w:val="000000"/>
                <w:sz w:val="20"/>
                <w:szCs w:val="20"/>
                <w:lang w:val="en-GB"/>
              </w:rPr>
              <w:t>equired (% or IU/dL)</w:t>
            </w:r>
          </w:p>
        </w:tc>
        <w:tc>
          <w:tcPr>
            <w:tcW w:w="1659" w:type="dxa"/>
            <w:shd w:val="pct15" w:color="auto" w:fill="auto"/>
          </w:tcPr>
          <w:p w14:paraId="3CDADCD2" w14:textId="458955BF" w:rsidR="00A93341" w:rsidRPr="003D425E" w:rsidRDefault="00A93341" w:rsidP="00C01399">
            <w:pPr>
              <w:keepNext/>
              <w:suppressLineNumbers/>
              <w:tabs>
                <w:tab w:val="left" w:pos="567"/>
              </w:tabs>
              <w:spacing w:before="40" w:line="240" w:lineRule="auto"/>
              <w:rPr>
                <w:b/>
                <w:noProof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noProof/>
                <w:color w:val="000000"/>
                <w:sz w:val="20"/>
                <w:szCs w:val="20"/>
                <w:lang w:val="en-GB"/>
              </w:rPr>
              <w:t>Dose (IU/kg)</w:t>
            </w:r>
          </w:p>
        </w:tc>
        <w:tc>
          <w:tcPr>
            <w:tcW w:w="2841" w:type="dxa"/>
            <w:shd w:val="pct15" w:color="auto" w:fill="auto"/>
          </w:tcPr>
          <w:p w14:paraId="244488BB" w14:textId="45C54AFE" w:rsidR="00A93341" w:rsidRPr="003D425E" w:rsidRDefault="00A93341" w:rsidP="00C01399">
            <w:pPr>
              <w:keepNext/>
              <w:suppressLineNumbers/>
              <w:tabs>
                <w:tab w:val="left" w:pos="567"/>
              </w:tabs>
              <w:spacing w:before="40" w:line="240" w:lineRule="auto"/>
              <w:rPr>
                <w:b/>
                <w:sz w:val="20"/>
                <w:szCs w:val="20"/>
              </w:rPr>
            </w:pPr>
            <w:r w:rsidRPr="003D425E">
              <w:rPr>
                <w:b/>
                <w:noProof/>
                <w:color w:val="000000"/>
                <w:sz w:val="20"/>
                <w:szCs w:val="20"/>
                <w:lang w:val="en-GB"/>
              </w:rPr>
              <w:t>Frequency of Doses (hours)</w:t>
            </w:r>
          </w:p>
        </w:tc>
      </w:tr>
      <w:tr w:rsidR="00A93341" w:rsidRPr="003D425E" w14:paraId="09688C29" w14:textId="77777777" w:rsidTr="00A93341">
        <w:trPr>
          <w:trHeight w:val="557"/>
        </w:trPr>
        <w:tc>
          <w:tcPr>
            <w:tcW w:w="2686" w:type="dxa"/>
          </w:tcPr>
          <w:p w14:paraId="100D19E1" w14:textId="34FE1A46" w:rsidR="00A93341" w:rsidRDefault="00A93341" w:rsidP="0049657B">
            <w:pPr>
              <w:pStyle w:val="Default"/>
              <w:keepNext/>
              <w:widowControl w:val="0"/>
              <w:spacing w:before="40" w:after="40"/>
              <w:rPr>
                <w:noProof/>
                <w:sz w:val="20"/>
                <w:szCs w:val="20"/>
                <w:lang w:val="en-GB"/>
              </w:rPr>
            </w:pPr>
            <w:r w:rsidRPr="00645A9B">
              <w:rPr>
                <w:b/>
                <w:sz w:val="20"/>
                <w:lang w:val="en-GB"/>
              </w:rPr>
              <w:t xml:space="preserve">Early </w:t>
            </w:r>
            <w:proofErr w:type="spellStart"/>
            <w:r w:rsidRPr="00645A9B">
              <w:rPr>
                <w:b/>
                <w:sz w:val="20"/>
                <w:lang w:val="en-GB"/>
              </w:rPr>
              <w:t>haemarthrosis</w:t>
            </w:r>
            <w:proofErr w:type="spellEnd"/>
          </w:p>
          <w:p w14:paraId="61A67D11" w14:textId="77777777" w:rsidR="00A93341" w:rsidRPr="003D425E" w:rsidRDefault="00A93341" w:rsidP="0049657B">
            <w:pPr>
              <w:pStyle w:val="Default"/>
              <w:keepNext/>
              <w:widowControl w:val="0"/>
              <w:spacing w:before="40" w:after="40"/>
              <w:rPr>
                <w:sz w:val="20"/>
                <w:szCs w:val="20"/>
              </w:rPr>
            </w:pPr>
            <w:r w:rsidRPr="003D425E">
              <w:rPr>
                <w:noProof/>
                <w:sz w:val="20"/>
                <w:szCs w:val="20"/>
                <w:lang w:val="en-GB"/>
              </w:rPr>
              <w:t>muscle bleeding or oral bleeding</w:t>
            </w:r>
          </w:p>
        </w:tc>
        <w:tc>
          <w:tcPr>
            <w:tcW w:w="1433" w:type="dxa"/>
          </w:tcPr>
          <w:p w14:paraId="4B18D515" w14:textId="77777777" w:rsidR="00A93341" w:rsidRPr="003D425E" w:rsidRDefault="00A93341" w:rsidP="0049657B">
            <w:pPr>
              <w:pStyle w:val="Default"/>
              <w:keepNext/>
              <w:widowControl w:val="0"/>
              <w:spacing w:before="40" w:after="40"/>
              <w:rPr>
                <w:sz w:val="20"/>
                <w:szCs w:val="20"/>
              </w:rPr>
            </w:pPr>
            <w:r w:rsidRPr="003D425E">
              <w:rPr>
                <w:noProof/>
                <w:sz w:val="20"/>
                <w:szCs w:val="20"/>
                <w:lang w:val="en-GB"/>
              </w:rPr>
              <w:t>20</w:t>
            </w:r>
            <w:r>
              <w:rPr>
                <w:noProof/>
                <w:sz w:val="20"/>
                <w:szCs w:val="20"/>
                <w:lang w:val="en-GB"/>
              </w:rPr>
              <w:t>–</w:t>
            </w:r>
            <w:r w:rsidRPr="003D425E">
              <w:rPr>
                <w:noProof/>
                <w:sz w:val="20"/>
                <w:szCs w:val="20"/>
                <w:lang w:val="en-GB"/>
              </w:rPr>
              <w:t>40</w:t>
            </w:r>
          </w:p>
        </w:tc>
        <w:tc>
          <w:tcPr>
            <w:tcW w:w="1659" w:type="dxa"/>
          </w:tcPr>
          <w:p w14:paraId="10497644" w14:textId="53BA8855" w:rsidR="00A93341" w:rsidRPr="003D425E" w:rsidRDefault="00A93341" w:rsidP="0049657B">
            <w:pPr>
              <w:pStyle w:val="Default"/>
              <w:keepNext/>
              <w:widowControl w:val="0"/>
              <w:spacing w:before="40" w:after="4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10–20</w:t>
            </w:r>
          </w:p>
        </w:tc>
        <w:tc>
          <w:tcPr>
            <w:tcW w:w="2841" w:type="dxa"/>
          </w:tcPr>
          <w:p w14:paraId="12B373A7" w14:textId="3356495E" w:rsidR="00A93341" w:rsidRPr="003D425E" w:rsidRDefault="00A93341" w:rsidP="0049657B">
            <w:pPr>
              <w:pStyle w:val="Default"/>
              <w:keepNext/>
              <w:widowControl w:val="0"/>
              <w:spacing w:before="40" w:after="40"/>
              <w:rPr>
                <w:sz w:val="20"/>
                <w:szCs w:val="20"/>
              </w:rPr>
            </w:pPr>
            <w:r w:rsidRPr="003D425E">
              <w:rPr>
                <w:noProof/>
                <w:sz w:val="20"/>
                <w:szCs w:val="20"/>
                <w:lang w:val="en-GB"/>
              </w:rPr>
              <w:t>Repeat injection every 12</w:t>
            </w:r>
            <w:r w:rsidRPr="0049657B">
              <w:rPr>
                <w:sz w:val="20"/>
                <w:szCs w:val="20"/>
              </w:rPr>
              <w:t>–</w:t>
            </w:r>
            <w:r w:rsidRPr="003D425E">
              <w:rPr>
                <w:noProof/>
                <w:sz w:val="20"/>
                <w:szCs w:val="20"/>
                <w:lang w:val="en-GB"/>
              </w:rPr>
              <w:t>24 hours until the bleeding is resolved.</w:t>
            </w:r>
          </w:p>
        </w:tc>
      </w:tr>
      <w:tr w:rsidR="00A93341" w:rsidRPr="003D425E" w14:paraId="10D11B82" w14:textId="77777777" w:rsidTr="00A93341">
        <w:trPr>
          <w:trHeight w:val="620"/>
        </w:trPr>
        <w:tc>
          <w:tcPr>
            <w:tcW w:w="2686" w:type="dxa"/>
          </w:tcPr>
          <w:p w14:paraId="0AD5C71B" w14:textId="1342CE84" w:rsidR="00A93341" w:rsidRPr="00C01399" w:rsidRDefault="00A93341" w:rsidP="0049657B">
            <w:pPr>
              <w:pStyle w:val="Default"/>
              <w:keepNext/>
              <w:widowControl w:val="0"/>
              <w:spacing w:before="40" w:after="40"/>
              <w:rPr>
                <w:b/>
                <w:noProof/>
                <w:sz w:val="20"/>
                <w:szCs w:val="20"/>
                <w:lang w:val="en-GB"/>
              </w:rPr>
            </w:pPr>
            <w:r w:rsidRPr="00645A9B">
              <w:rPr>
                <w:b/>
                <w:sz w:val="20"/>
                <w:lang w:val="en-GB"/>
              </w:rPr>
              <w:t xml:space="preserve">More extensive </w:t>
            </w:r>
            <w:proofErr w:type="spellStart"/>
            <w:r w:rsidRPr="00645A9B">
              <w:rPr>
                <w:b/>
                <w:sz w:val="20"/>
                <w:lang w:val="en-GB"/>
              </w:rPr>
              <w:t>haemarthrosis</w:t>
            </w:r>
            <w:proofErr w:type="spellEnd"/>
          </w:p>
          <w:p w14:paraId="464411DA" w14:textId="77777777" w:rsidR="00A93341" w:rsidRPr="003D425E" w:rsidRDefault="00A93341" w:rsidP="0049657B">
            <w:pPr>
              <w:pStyle w:val="Default"/>
              <w:keepNext/>
              <w:widowControl w:val="0"/>
              <w:spacing w:before="40" w:after="40"/>
              <w:rPr>
                <w:sz w:val="20"/>
                <w:szCs w:val="20"/>
              </w:rPr>
            </w:pPr>
            <w:r w:rsidRPr="003D425E">
              <w:rPr>
                <w:noProof/>
                <w:sz w:val="20"/>
                <w:szCs w:val="20"/>
                <w:lang w:val="en-GB"/>
              </w:rPr>
              <w:t>muscle bleeding or h</w:t>
            </w:r>
            <w:r>
              <w:rPr>
                <w:noProof/>
                <w:sz w:val="20"/>
                <w:szCs w:val="20"/>
                <w:lang w:val="en-GB"/>
              </w:rPr>
              <w:t>a</w:t>
            </w:r>
            <w:r w:rsidRPr="003D425E">
              <w:rPr>
                <w:noProof/>
                <w:sz w:val="20"/>
                <w:szCs w:val="20"/>
                <w:lang w:val="en-GB"/>
              </w:rPr>
              <w:t>ematoma</w:t>
            </w:r>
          </w:p>
        </w:tc>
        <w:tc>
          <w:tcPr>
            <w:tcW w:w="1433" w:type="dxa"/>
          </w:tcPr>
          <w:p w14:paraId="3C6DB721" w14:textId="77777777" w:rsidR="00A93341" w:rsidRPr="003D425E" w:rsidRDefault="00A93341" w:rsidP="0049657B">
            <w:pPr>
              <w:pStyle w:val="Default"/>
              <w:keepNext/>
              <w:widowControl w:val="0"/>
              <w:spacing w:before="40" w:after="40"/>
              <w:rPr>
                <w:sz w:val="20"/>
                <w:szCs w:val="20"/>
              </w:rPr>
            </w:pPr>
            <w:r w:rsidRPr="003D425E">
              <w:rPr>
                <w:noProof/>
                <w:sz w:val="20"/>
                <w:szCs w:val="20"/>
                <w:lang w:val="en-GB"/>
              </w:rPr>
              <w:t>30</w:t>
            </w:r>
            <w:r w:rsidRPr="007B0DA1">
              <w:rPr>
                <w:noProof/>
                <w:sz w:val="20"/>
                <w:szCs w:val="20"/>
                <w:lang w:val="en-GB"/>
              </w:rPr>
              <w:t>–</w:t>
            </w:r>
            <w:r w:rsidRPr="003D425E">
              <w:rPr>
                <w:noProof/>
                <w:sz w:val="20"/>
                <w:szCs w:val="20"/>
                <w:lang w:val="en-GB"/>
              </w:rPr>
              <w:t>60</w:t>
            </w:r>
          </w:p>
        </w:tc>
        <w:tc>
          <w:tcPr>
            <w:tcW w:w="1659" w:type="dxa"/>
          </w:tcPr>
          <w:p w14:paraId="675038A8" w14:textId="2D3857A3" w:rsidR="00A93341" w:rsidRPr="003D425E" w:rsidRDefault="00A93341" w:rsidP="0049657B">
            <w:pPr>
              <w:pStyle w:val="Default"/>
              <w:keepNext/>
              <w:widowControl w:val="0"/>
              <w:spacing w:before="40" w:after="4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15–30</w:t>
            </w:r>
          </w:p>
        </w:tc>
        <w:tc>
          <w:tcPr>
            <w:tcW w:w="2841" w:type="dxa"/>
          </w:tcPr>
          <w:p w14:paraId="58174C25" w14:textId="6D4ABD62" w:rsidR="00A93341" w:rsidRPr="003D425E" w:rsidRDefault="00A93341" w:rsidP="0049657B">
            <w:pPr>
              <w:pStyle w:val="Default"/>
              <w:keepNext/>
              <w:widowControl w:val="0"/>
              <w:spacing w:before="40" w:after="40"/>
              <w:rPr>
                <w:sz w:val="20"/>
                <w:szCs w:val="20"/>
              </w:rPr>
            </w:pPr>
            <w:r w:rsidRPr="003D425E">
              <w:rPr>
                <w:noProof/>
                <w:sz w:val="20"/>
                <w:szCs w:val="20"/>
                <w:lang w:val="en-GB"/>
              </w:rPr>
              <w:t>Repeat injection every 12</w:t>
            </w:r>
            <w:r w:rsidRPr="0049657B">
              <w:rPr>
                <w:noProof/>
                <w:sz w:val="20"/>
                <w:szCs w:val="20"/>
                <w:lang w:val="en-GB"/>
              </w:rPr>
              <w:t>–</w:t>
            </w:r>
            <w:r w:rsidRPr="003D425E">
              <w:rPr>
                <w:noProof/>
                <w:sz w:val="20"/>
                <w:szCs w:val="20"/>
                <w:lang w:val="en-GB"/>
              </w:rPr>
              <w:t>24 hours until the bleeding is resolved.</w:t>
            </w:r>
          </w:p>
        </w:tc>
      </w:tr>
      <w:tr w:rsidR="00A93341" w:rsidRPr="000142E1" w14:paraId="0F60C5A1" w14:textId="77777777" w:rsidTr="00A93341">
        <w:trPr>
          <w:trHeight w:val="620"/>
        </w:trPr>
        <w:tc>
          <w:tcPr>
            <w:tcW w:w="2686" w:type="dxa"/>
            <w:tcBorders>
              <w:bottom w:val="single" w:sz="4" w:space="0" w:color="auto"/>
            </w:tcBorders>
          </w:tcPr>
          <w:p w14:paraId="41190B90" w14:textId="77777777" w:rsidR="00A93341" w:rsidRPr="00645A9B" w:rsidRDefault="00A93341" w:rsidP="00387BAE">
            <w:pPr>
              <w:keepNext/>
              <w:spacing w:before="40" w:after="40" w:line="240" w:lineRule="auto"/>
              <w:rPr>
                <w:b/>
                <w:sz w:val="20"/>
                <w:lang w:val="en-GB"/>
              </w:rPr>
            </w:pPr>
            <w:r w:rsidRPr="00645A9B">
              <w:rPr>
                <w:b/>
                <w:kern w:val="0"/>
                <w:sz w:val="20"/>
                <w:lang w:val="en-AU"/>
              </w:rPr>
              <w:t>Life-threatening haemorrhages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78DD7C22" w14:textId="77777777" w:rsidR="00A93341" w:rsidRPr="003D425E" w:rsidRDefault="00A93341" w:rsidP="0049657B">
            <w:pPr>
              <w:pStyle w:val="Default"/>
              <w:keepNext/>
              <w:widowControl w:val="0"/>
              <w:spacing w:before="40" w:after="40"/>
              <w:rPr>
                <w:sz w:val="20"/>
                <w:szCs w:val="20"/>
              </w:rPr>
            </w:pPr>
            <w:r w:rsidRPr="003D425E">
              <w:rPr>
                <w:noProof/>
                <w:sz w:val="20"/>
                <w:szCs w:val="20"/>
                <w:lang w:val="en-GB"/>
              </w:rPr>
              <w:t>60</w:t>
            </w:r>
            <w:r w:rsidRPr="007B0DA1">
              <w:rPr>
                <w:noProof/>
                <w:sz w:val="20"/>
                <w:szCs w:val="20"/>
                <w:lang w:val="en-GB"/>
              </w:rPr>
              <w:t>–</w:t>
            </w:r>
            <w:r w:rsidRPr="003D425E">
              <w:rPr>
                <w:noProof/>
                <w:sz w:val="20"/>
                <w:szCs w:val="20"/>
                <w:lang w:val="en-GB"/>
              </w:rPr>
              <w:t>100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412CE986" w14:textId="7E9BB2CB" w:rsidR="00A93341" w:rsidRPr="003D425E" w:rsidRDefault="00A93341" w:rsidP="0049657B">
            <w:pPr>
              <w:pStyle w:val="Default"/>
              <w:keepNext/>
              <w:widowControl w:val="0"/>
              <w:spacing w:before="40" w:after="4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30–50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14:paraId="63F028F9" w14:textId="0B9A7FFE" w:rsidR="00A93341" w:rsidRPr="003D425E" w:rsidRDefault="00A93341" w:rsidP="0049657B">
            <w:pPr>
              <w:pStyle w:val="Default"/>
              <w:keepNext/>
              <w:widowControl w:val="0"/>
              <w:spacing w:before="40" w:after="40"/>
              <w:rPr>
                <w:sz w:val="20"/>
                <w:szCs w:val="20"/>
              </w:rPr>
            </w:pPr>
            <w:r w:rsidRPr="003D425E">
              <w:rPr>
                <w:noProof/>
                <w:sz w:val="20"/>
                <w:szCs w:val="20"/>
                <w:lang w:val="en-GB"/>
              </w:rPr>
              <w:t>Repeat injection every 8</w:t>
            </w:r>
            <w:r w:rsidRPr="0049657B">
              <w:rPr>
                <w:noProof/>
                <w:sz w:val="20"/>
                <w:szCs w:val="20"/>
                <w:lang w:val="en-GB"/>
              </w:rPr>
              <w:t>–</w:t>
            </w:r>
            <w:r w:rsidRPr="003D425E">
              <w:rPr>
                <w:noProof/>
                <w:sz w:val="20"/>
                <w:szCs w:val="20"/>
                <w:lang w:val="en-GB"/>
              </w:rPr>
              <w:t>24 hours until bleed is resolved.</w:t>
            </w:r>
          </w:p>
        </w:tc>
      </w:tr>
      <w:tr w:rsidR="00A93341" w:rsidRPr="00C01399" w14:paraId="539B7FF2" w14:textId="77777777" w:rsidTr="00A93341">
        <w:trPr>
          <w:trHeight w:val="620"/>
        </w:trPr>
        <w:tc>
          <w:tcPr>
            <w:tcW w:w="2686" w:type="dxa"/>
            <w:shd w:val="pct15" w:color="auto" w:fill="auto"/>
          </w:tcPr>
          <w:p w14:paraId="0E8A7DEB" w14:textId="0A24D810" w:rsidR="00A93341" w:rsidRPr="000B2B34" w:rsidRDefault="00A93341" w:rsidP="00645A9B">
            <w:pPr>
              <w:pStyle w:val="TableCellHeading10pt"/>
              <w:keepLines/>
              <w:spacing w:beforeLines="40" w:before="96" w:afterLines="40" w:after="96"/>
              <w:ind w:right="29"/>
              <w:jc w:val="left"/>
            </w:pPr>
            <w:r w:rsidRPr="005409DF">
              <w:rPr>
                <w:szCs w:val="20"/>
              </w:rPr>
              <w:t xml:space="preserve">Control and prevention of </w:t>
            </w:r>
            <w:r>
              <w:rPr>
                <w:szCs w:val="20"/>
              </w:rPr>
              <w:t>bleeding in the p</w:t>
            </w:r>
            <w:r w:rsidRPr="005409DF">
              <w:rPr>
                <w:szCs w:val="20"/>
              </w:rPr>
              <w:t xml:space="preserve">erioperative </w:t>
            </w:r>
            <w:r>
              <w:rPr>
                <w:szCs w:val="20"/>
              </w:rPr>
              <w:t>setting</w:t>
            </w:r>
          </w:p>
        </w:tc>
        <w:tc>
          <w:tcPr>
            <w:tcW w:w="1433" w:type="dxa"/>
            <w:shd w:val="pct15" w:color="auto" w:fill="auto"/>
          </w:tcPr>
          <w:p w14:paraId="720D5E56" w14:textId="44D458A7" w:rsidR="00A93341" w:rsidRPr="00C01399" w:rsidRDefault="00A93341" w:rsidP="00AA2393">
            <w:pPr>
              <w:pStyle w:val="TableCellHeading10pt"/>
              <w:keepLines/>
              <w:spacing w:beforeLines="40" w:before="96" w:afterLines="40" w:after="96"/>
              <w:ind w:right="29"/>
              <w:jc w:val="left"/>
              <w:rPr>
                <w:szCs w:val="20"/>
              </w:rPr>
            </w:pPr>
            <w:r w:rsidRPr="005409DF">
              <w:rPr>
                <w:szCs w:val="20"/>
              </w:rPr>
              <w:t>F</w:t>
            </w:r>
            <w:r>
              <w:rPr>
                <w:szCs w:val="20"/>
              </w:rPr>
              <w:t>VIII</w:t>
            </w:r>
            <w:r w:rsidRPr="005409DF">
              <w:rPr>
                <w:szCs w:val="20"/>
              </w:rPr>
              <w:t xml:space="preserve"> </w:t>
            </w:r>
            <w:r>
              <w:rPr>
                <w:szCs w:val="20"/>
              </w:rPr>
              <w:t>level required (%</w:t>
            </w:r>
            <w:r w:rsidRPr="005409DF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or </w:t>
            </w:r>
            <w:r w:rsidRPr="005409DF">
              <w:rPr>
                <w:szCs w:val="20"/>
              </w:rPr>
              <w:t>IU/dL)</w:t>
            </w:r>
          </w:p>
        </w:tc>
        <w:tc>
          <w:tcPr>
            <w:tcW w:w="1659" w:type="dxa"/>
            <w:shd w:val="pct15" w:color="auto" w:fill="auto"/>
          </w:tcPr>
          <w:p w14:paraId="01DEC795" w14:textId="1E354F88" w:rsidR="00A93341" w:rsidRPr="00A93341" w:rsidRDefault="00A93341" w:rsidP="00C01399">
            <w:pPr>
              <w:pStyle w:val="TableCellHeading10pt"/>
              <w:keepLines/>
              <w:spacing w:beforeLines="40" w:before="96" w:afterLines="40" w:after="96"/>
              <w:ind w:right="29"/>
              <w:jc w:val="left"/>
              <w:rPr>
                <w:szCs w:val="20"/>
              </w:rPr>
            </w:pPr>
            <w:r w:rsidRPr="00A93341">
              <w:rPr>
                <w:noProof/>
                <w:color w:val="000000"/>
                <w:szCs w:val="20"/>
                <w:lang w:val="en-GB"/>
              </w:rPr>
              <w:t>Dose (IU/kg)</w:t>
            </w:r>
          </w:p>
        </w:tc>
        <w:tc>
          <w:tcPr>
            <w:tcW w:w="2841" w:type="dxa"/>
            <w:shd w:val="pct15" w:color="auto" w:fill="auto"/>
          </w:tcPr>
          <w:p w14:paraId="05E8EB67" w14:textId="730780A2" w:rsidR="00A93341" w:rsidRPr="00C01399" w:rsidRDefault="00A93341" w:rsidP="00C01399">
            <w:pPr>
              <w:pStyle w:val="TableCellHeading10pt"/>
              <w:keepLines/>
              <w:spacing w:beforeLines="40" w:before="96" w:afterLines="40" w:after="96"/>
              <w:ind w:right="29"/>
              <w:jc w:val="left"/>
              <w:rPr>
                <w:szCs w:val="20"/>
              </w:rPr>
            </w:pPr>
            <w:r w:rsidRPr="005409DF">
              <w:rPr>
                <w:szCs w:val="20"/>
              </w:rPr>
              <w:t>Frequency of doses (hours)/Duration of therapy (days)</w:t>
            </w:r>
          </w:p>
        </w:tc>
      </w:tr>
      <w:tr w:rsidR="00A93341" w:rsidRPr="003D425E" w14:paraId="0BFA9685" w14:textId="77777777" w:rsidTr="00A93341">
        <w:trPr>
          <w:trHeight w:val="620"/>
        </w:trPr>
        <w:tc>
          <w:tcPr>
            <w:tcW w:w="2686" w:type="dxa"/>
          </w:tcPr>
          <w:p w14:paraId="0F88433B" w14:textId="77777777" w:rsidR="00A93341" w:rsidRPr="00645A9B" w:rsidRDefault="00A93341" w:rsidP="0049657B">
            <w:pPr>
              <w:keepNext/>
              <w:spacing w:before="40" w:after="0" w:line="240" w:lineRule="auto"/>
              <w:rPr>
                <w:b/>
                <w:sz w:val="20"/>
                <w:lang w:val="en-GB"/>
              </w:rPr>
            </w:pPr>
            <w:r w:rsidRPr="00645A9B">
              <w:rPr>
                <w:b/>
                <w:sz w:val="20"/>
                <w:lang w:val="en-GB"/>
              </w:rPr>
              <w:t>Minor</w:t>
            </w:r>
            <w:r w:rsidRPr="00C01399">
              <w:rPr>
                <w:b/>
                <w:noProof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val="en-GB"/>
              </w:rPr>
              <w:t>s</w:t>
            </w:r>
            <w:r w:rsidRPr="00C01399">
              <w:rPr>
                <w:b/>
                <w:noProof/>
                <w:sz w:val="20"/>
                <w:szCs w:val="20"/>
                <w:lang w:val="en-GB"/>
              </w:rPr>
              <w:t>urgery</w:t>
            </w:r>
          </w:p>
          <w:p w14:paraId="7987D984" w14:textId="1378F9DA" w:rsidR="00A93341" w:rsidRPr="0049657B" w:rsidRDefault="00A93341" w:rsidP="0049657B">
            <w:pPr>
              <w:keepNext/>
              <w:spacing w:after="40" w:line="240" w:lineRule="auto"/>
              <w:rPr>
                <w:sz w:val="20"/>
                <w:szCs w:val="20"/>
              </w:rPr>
            </w:pPr>
            <w:r w:rsidRPr="005409DF">
              <w:rPr>
                <w:kern w:val="0"/>
                <w:sz w:val="20"/>
                <w:szCs w:val="20"/>
                <w:lang w:val="en-AU"/>
              </w:rPr>
              <w:t>(</w:t>
            </w:r>
            <w:r w:rsidRPr="00645A9B">
              <w:rPr>
                <w:kern w:val="0"/>
                <w:sz w:val="20"/>
                <w:lang w:val="en-AU"/>
              </w:rPr>
              <w:t>including tooth extraction</w:t>
            </w:r>
            <w:r w:rsidRPr="005409DF">
              <w:rPr>
                <w:kern w:val="0"/>
                <w:sz w:val="20"/>
                <w:szCs w:val="20"/>
                <w:lang w:val="en-AU"/>
              </w:rPr>
              <w:t>)</w:t>
            </w:r>
          </w:p>
        </w:tc>
        <w:tc>
          <w:tcPr>
            <w:tcW w:w="1433" w:type="dxa"/>
          </w:tcPr>
          <w:p w14:paraId="6BB087CC" w14:textId="77777777" w:rsidR="00A93341" w:rsidRPr="003D425E" w:rsidRDefault="00A93341" w:rsidP="0049657B">
            <w:pPr>
              <w:pStyle w:val="Default"/>
              <w:keepNext/>
              <w:widowControl w:val="0"/>
              <w:spacing w:before="40" w:after="40"/>
              <w:rPr>
                <w:sz w:val="20"/>
                <w:szCs w:val="20"/>
              </w:rPr>
            </w:pPr>
            <w:r w:rsidRPr="003D425E">
              <w:rPr>
                <w:noProof/>
                <w:sz w:val="20"/>
                <w:szCs w:val="20"/>
                <w:lang w:val="en-GB"/>
              </w:rPr>
              <w:t>30</w:t>
            </w:r>
            <w:r w:rsidRPr="0049657B">
              <w:rPr>
                <w:noProof/>
                <w:sz w:val="20"/>
                <w:szCs w:val="20"/>
                <w:lang w:val="en-GB"/>
              </w:rPr>
              <w:t>–</w:t>
            </w:r>
            <w:r w:rsidRPr="003D425E">
              <w:rPr>
                <w:noProof/>
                <w:sz w:val="20"/>
                <w:szCs w:val="20"/>
                <w:lang w:val="en-GB"/>
              </w:rPr>
              <w:t>60</w:t>
            </w:r>
          </w:p>
        </w:tc>
        <w:tc>
          <w:tcPr>
            <w:tcW w:w="1659" w:type="dxa"/>
          </w:tcPr>
          <w:p w14:paraId="1413121B" w14:textId="15D50DC4" w:rsidR="00A93341" w:rsidRPr="003D425E" w:rsidRDefault="00A93341" w:rsidP="0049657B">
            <w:pPr>
              <w:pStyle w:val="Default"/>
              <w:keepNext/>
              <w:widowControl w:val="0"/>
              <w:spacing w:before="40" w:after="4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15–30</w:t>
            </w:r>
          </w:p>
        </w:tc>
        <w:tc>
          <w:tcPr>
            <w:tcW w:w="2841" w:type="dxa"/>
          </w:tcPr>
          <w:p w14:paraId="6E569E0F" w14:textId="5A9B54DA" w:rsidR="00A93341" w:rsidRPr="003D425E" w:rsidRDefault="00A93341" w:rsidP="0049657B">
            <w:pPr>
              <w:pStyle w:val="Default"/>
              <w:keepNext/>
              <w:widowControl w:val="0"/>
              <w:spacing w:before="40" w:after="40"/>
              <w:rPr>
                <w:sz w:val="20"/>
                <w:szCs w:val="20"/>
              </w:rPr>
            </w:pPr>
            <w:r w:rsidRPr="003D425E">
              <w:rPr>
                <w:noProof/>
                <w:sz w:val="20"/>
                <w:szCs w:val="20"/>
                <w:lang w:val="en-GB"/>
              </w:rPr>
              <w:t>Repeat injection every 24 hours for at least 1 day, until healing is achieved.</w:t>
            </w:r>
          </w:p>
        </w:tc>
      </w:tr>
      <w:tr w:rsidR="00A93341" w:rsidRPr="003D425E" w14:paraId="6A8000E0" w14:textId="77777777" w:rsidTr="00A93341">
        <w:trPr>
          <w:trHeight w:val="620"/>
        </w:trPr>
        <w:tc>
          <w:tcPr>
            <w:tcW w:w="2686" w:type="dxa"/>
          </w:tcPr>
          <w:p w14:paraId="5DFB6355" w14:textId="1DD6CC02" w:rsidR="00A93341" w:rsidRPr="008467D4" w:rsidRDefault="00A93341" w:rsidP="0049657B">
            <w:pPr>
              <w:pStyle w:val="Default"/>
              <w:widowControl w:val="0"/>
              <w:spacing w:before="40" w:after="40"/>
              <w:rPr>
                <w:b/>
                <w:sz w:val="20"/>
                <w:lang w:val="en-GB"/>
              </w:rPr>
            </w:pPr>
            <w:r w:rsidRPr="00645A9B">
              <w:rPr>
                <w:b/>
                <w:noProof/>
                <w:sz w:val="20"/>
                <w:szCs w:val="20"/>
                <w:lang w:val="en-GB"/>
              </w:rPr>
              <w:t xml:space="preserve">Major </w:t>
            </w:r>
            <w:r>
              <w:rPr>
                <w:b/>
                <w:noProof/>
                <w:sz w:val="20"/>
                <w:szCs w:val="20"/>
                <w:lang w:val="en-GB"/>
              </w:rPr>
              <w:t>surgery</w:t>
            </w:r>
          </w:p>
        </w:tc>
        <w:tc>
          <w:tcPr>
            <w:tcW w:w="1433" w:type="dxa"/>
          </w:tcPr>
          <w:p w14:paraId="143110CC" w14:textId="6FC3D157" w:rsidR="00A93341" w:rsidRPr="003D425E" w:rsidRDefault="00A93341" w:rsidP="0049657B">
            <w:pPr>
              <w:pStyle w:val="Default"/>
              <w:widowControl w:val="0"/>
              <w:spacing w:before="40" w:after="40"/>
              <w:rPr>
                <w:sz w:val="20"/>
                <w:szCs w:val="20"/>
              </w:rPr>
            </w:pPr>
            <w:r w:rsidRPr="003D425E">
              <w:rPr>
                <w:noProof/>
                <w:sz w:val="20"/>
                <w:szCs w:val="20"/>
                <w:lang w:val="en-GB"/>
              </w:rPr>
              <w:t>80</w:t>
            </w:r>
            <w:r w:rsidRPr="0049657B">
              <w:rPr>
                <w:noProof/>
                <w:sz w:val="20"/>
                <w:szCs w:val="20"/>
                <w:lang w:val="en-GB"/>
              </w:rPr>
              <w:t>–</w:t>
            </w:r>
            <w:r w:rsidRPr="003D425E">
              <w:rPr>
                <w:noProof/>
                <w:sz w:val="20"/>
                <w:szCs w:val="20"/>
                <w:lang w:val="en-GB"/>
              </w:rPr>
              <w:t>10</w:t>
            </w:r>
            <w:r>
              <w:rPr>
                <w:noProof/>
                <w:sz w:val="20"/>
                <w:szCs w:val="20"/>
                <w:lang w:val="en-GB"/>
              </w:rPr>
              <w:t>0</w:t>
            </w:r>
            <w:r>
              <w:rPr>
                <w:noProof/>
                <w:sz w:val="20"/>
                <w:szCs w:val="20"/>
                <w:lang w:val="en-GB"/>
              </w:rPr>
              <w:br/>
            </w:r>
            <w:r w:rsidRPr="00645A9B">
              <w:rPr>
                <w:sz w:val="20"/>
                <w:lang w:val="en-GB"/>
              </w:rPr>
              <w:t>(pre- and postoperative)</w:t>
            </w:r>
          </w:p>
        </w:tc>
        <w:tc>
          <w:tcPr>
            <w:tcW w:w="1659" w:type="dxa"/>
          </w:tcPr>
          <w:p w14:paraId="33E3CF02" w14:textId="5CD2E329" w:rsidR="00A93341" w:rsidRPr="003D425E" w:rsidRDefault="00A93341" w:rsidP="00DE6429">
            <w:pPr>
              <w:pStyle w:val="Default"/>
              <w:widowControl w:val="0"/>
              <w:spacing w:before="40" w:after="4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>40–50</w:t>
            </w:r>
          </w:p>
        </w:tc>
        <w:tc>
          <w:tcPr>
            <w:tcW w:w="2841" w:type="dxa"/>
          </w:tcPr>
          <w:p w14:paraId="395E1CB4" w14:textId="3AAA574C" w:rsidR="00A93341" w:rsidRPr="003D425E" w:rsidRDefault="00A93341" w:rsidP="00DE6429">
            <w:pPr>
              <w:pStyle w:val="Default"/>
              <w:widowControl w:val="0"/>
              <w:spacing w:before="40" w:after="40"/>
              <w:rPr>
                <w:sz w:val="20"/>
                <w:szCs w:val="20"/>
              </w:rPr>
            </w:pPr>
            <w:r w:rsidRPr="003D425E">
              <w:rPr>
                <w:noProof/>
                <w:sz w:val="20"/>
                <w:szCs w:val="20"/>
                <w:lang w:val="en-GB"/>
              </w:rPr>
              <w:t>Repeat injection every 8</w:t>
            </w:r>
            <w:r w:rsidRPr="0049657B">
              <w:rPr>
                <w:noProof/>
                <w:sz w:val="20"/>
                <w:szCs w:val="20"/>
                <w:lang w:val="en-GB"/>
              </w:rPr>
              <w:t>–</w:t>
            </w:r>
            <w:r w:rsidRPr="003D425E">
              <w:rPr>
                <w:noProof/>
                <w:sz w:val="20"/>
                <w:szCs w:val="20"/>
                <w:lang w:val="en-GB"/>
              </w:rPr>
              <w:t xml:space="preserve">24 hours until adequate wound healing, then continue therapy for at least another 7 days to maintain a </w:t>
            </w:r>
            <w:r>
              <w:rPr>
                <w:noProof/>
                <w:sz w:val="20"/>
                <w:szCs w:val="20"/>
                <w:lang w:val="en-GB"/>
              </w:rPr>
              <w:t>F</w:t>
            </w:r>
            <w:r w:rsidRPr="003D425E">
              <w:rPr>
                <w:noProof/>
                <w:sz w:val="20"/>
                <w:szCs w:val="20"/>
                <w:lang w:val="en-GB"/>
              </w:rPr>
              <w:t>VIII activity of 30</w:t>
            </w:r>
            <w:r>
              <w:rPr>
                <w:noProof/>
                <w:sz w:val="20"/>
                <w:szCs w:val="20"/>
                <w:lang w:val="en-GB"/>
              </w:rPr>
              <w:t>–</w:t>
            </w:r>
            <w:r w:rsidRPr="003D425E">
              <w:rPr>
                <w:noProof/>
                <w:sz w:val="20"/>
                <w:szCs w:val="20"/>
                <w:lang w:val="en-GB"/>
              </w:rPr>
              <w:t>60% (IU/dL).</w:t>
            </w:r>
          </w:p>
        </w:tc>
      </w:tr>
    </w:tbl>
    <w:p w14:paraId="23A14C9A" w14:textId="77777777" w:rsidR="00C01399" w:rsidRPr="008467D4" w:rsidRDefault="00C01399" w:rsidP="00121E90">
      <w:pPr>
        <w:pStyle w:val="Heading4"/>
        <w:numPr>
          <w:ilvl w:val="0"/>
          <w:numId w:val="0"/>
        </w:numPr>
        <w:ind w:left="2362" w:hanging="2362"/>
        <w:rPr>
          <w:i/>
          <w:lang w:eastAsia="en-AU"/>
        </w:rPr>
      </w:pPr>
      <w:r w:rsidRPr="00121E90">
        <w:rPr>
          <w:i/>
          <w:lang w:eastAsia="en-AU"/>
        </w:rPr>
        <w:lastRenderedPageBreak/>
        <w:t>Prophylaxis</w:t>
      </w:r>
    </w:p>
    <w:p w14:paraId="0EB85647" w14:textId="23C9AE1B" w:rsidR="00DD1780" w:rsidRDefault="00DD1780" w:rsidP="00202220">
      <w:pPr>
        <w:pStyle w:val="DocumentText"/>
        <w:keepNext/>
        <w:jc w:val="both"/>
      </w:pPr>
      <w:r>
        <w:t xml:space="preserve">The recommended starting regimen is </w:t>
      </w:r>
      <w:r w:rsidR="00C01399">
        <w:t xml:space="preserve">20 to 50 IU/kg of </w:t>
      </w:r>
      <w:r w:rsidR="00C01399" w:rsidRPr="00BD06F2">
        <w:t>AFSTYLA</w:t>
      </w:r>
      <w:r w:rsidR="00C01399" w:rsidRPr="00BD06F2">
        <w:rPr>
          <w:vertAlign w:val="superscript"/>
        </w:rPr>
        <w:t>®</w:t>
      </w:r>
      <w:r w:rsidR="00C01399">
        <w:t xml:space="preserve"> administered 2 to 3 times weekly</w:t>
      </w:r>
      <w:r w:rsidR="006E6783">
        <w:t>.</w:t>
      </w:r>
    </w:p>
    <w:p w14:paraId="3C13CE73" w14:textId="49381B46" w:rsidR="00C01399" w:rsidRDefault="006E6783" w:rsidP="00C247E1">
      <w:pPr>
        <w:pStyle w:val="DocumentText"/>
        <w:jc w:val="both"/>
      </w:pPr>
      <w:r w:rsidRPr="006E6783">
        <w:t>The regimen may be adjusted based on patient response.</w:t>
      </w:r>
    </w:p>
    <w:p w14:paraId="4BAE8943" w14:textId="50D2A514" w:rsidR="00F14EF7" w:rsidRPr="008467D4" w:rsidRDefault="00F14EF7" w:rsidP="008467D4">
      <w:pPr>
        <w:pStyle w:val="DocumentText"/>
        <w:keepNext/>
        <w:spacing w:before="240" w:after="120"/>
        <w:rPr>
          <w:i/>
        </w:rPr>
      </w:pPr>
      <w:r w:rsidRPr="008467D4">
        <w:rPr>
          <w:b/>
          <w:i/>
          <w:sz w:val="28"/>
        </w:rPr>
        <w:t>Paediatric population</w:t>
      </w:r>
    </w:p>
    <w:p w14:paraId="01D49ACC" w14:textId="00907931" w:rsidR="006E6783" w:rsidRDefault="006E6783" w:rsidP="00C247E1">
      <w:pPr>
        <w:pStyle w:val="DocumentText"/>
        <w:jc w:val="both"/>
      </w:pPr>
      <w:r w:rsidRPr="006E6783">
        <w:t>Higher and/or more frequent dosing based on body weight may be needed because clearance</w:t>
      </w:r>
      <w:r>
        <w:t xml:space="preserve"> </w:t>
      </w:r>
      <w:r w:rsidRPr="006E6783">
        <w:t xml:space="preserve">(based on per kg body weight) has been shown to be higher in the </w:t>
      </w:r>
      <w:proofErr w:type="spellStart"/>
      <w:r w:rsidRPr="006E6783">
        <w:t>p</w:t>
      </w:r>
      <w:r>
        <w:t>a</w:t>
      </w:r>
      <w:r w:rsidRPr="006E6783">
        <w:t>ediatric</w:t>
      </w:r>
      <w:proofErr w:type="spellEnd"/>
      <w:r w:rsidRPr="006E6783">
        <w:t xml:space="preserve"> population (0 to</w:t>
      </w:r>
      <w:r>
        <w:t xml:space="preserve"> </w:t>
      </w:r>
      <w:r w:rsidRPr="006E6783">
        <w:t>12 years of age).</w:t>
      </w:r>
    </w:p>
    <w:p w14:paraId="54433436" w14:textId="77777777" w:rsidR="00856F0C" w:rsidRPr="008467D4" w:rsidRDefault="00856F0C" w:rsidP="008467D4">
      <w:pPr>
        <w:pStyle w:val="DocumentText"/>
        <w:keepNext/>
        <w:spacing w:before="240" w:after="120"/>
        <w:rPr>
          <w:i/>
        </w:rPr>
      </w:pPr>
      <w:r w:rsidRPr="008467D4">
        <w:rPr>
          <w:b/>
          <w:i/>
          <w:sz w:val="28"/>
        </w:rPr>
        <w:t>Older people</w:t>
      </w:r>
    </w:p>
    <w:p w14:paraId="3136ECFD" w14:textId="38179C5B" w:rsidR="00C01399" w:rsidRDefault="006E6783" w:rsidP="00C01399">
      <w:pPr>
        <w:pStyle w:val="DocumentText"/>
      </w:pPr>
      <w:r>
        <w:t xml:space="preserve">Clinical studies of </w:t>
      </w:r>
      <w:r w:rsidRPr="00BD06F2">
        <w:t>AFSTYLA</w:t>
      </w:r>
      <w:r w:rsidRPr="00BD06F2">
        <w:rPr>
          <w:vertAlign w:val="superscript"/>
        </w:rPr>
        <w:t>®</w:t>
      </w:r>
      <w:r>
        <w:t xml:space="preserve"> did not include patients aged over </w:t>
      </w:r>
      <w:r w:rsidR="00856F0C">
        <w:t>65</w:t>
      </w:r>
      <w:r w:rsidR="00645A47">
        <w:t> </w:t>
      </w:r>
      <w:r w:rsidR="00856F0C">
        <w:t>years.</w:t>
      </w:r>
    </w:p>
    <w:p w14:paraId="587D2AFD" w14:textId="77777777" w:rsidR="00137C30" w:rsidRPr="00B1677F" w:rsidRDefault="00137C30" w:rsidP="00B1677F">
      <w:pPr>
        <w:pStyle w:val="Heading3"/>
        <w:numPr>
          <w:ilvl w:val="0"/>
          <w:numId w:val="0"/>
        </w:numPr>
        <w:ind w:left="2138" w:hanging="2138"/>
      </w:pPr>
      <w:r w:rsidRPr="00B1677F">
        <w:t>Monitoring</w:t>
      </w:r>
      <w:r w:rsidR="003C480C">
        <w:t xml:space="preserve"> advice</w:t>
      </w:r>
    </w:p>
    <w:p w14:paraId="54E6FE55" w14:textId="32552382" w:rsidR="00C01399" w:rsidRDefault="00C01399" w:rsidP="00C01399">
      <w:pPr>
        <w:pStyle w:val="DocumentText"/>
      </w:pPr>
      <w:r w:rsidRPr="000F3841">
        <w:t xml:space="preserve">Patients should be monitored </w:t>
      </w:r>
      <w:r>
        <w:t>to confirm adequate F</w:t>
      </w:r>
      <w:r w:rsidR="003F10BD">
        <w:t>VII</w:t>
      </w:r>
      <w:r>
        <w:t xml:space="preserve">I levels have been achieved and maintained, and </w:t>
      </w:r>
      <w:r w:rsidRPr="000F3841">
        <w:t xml:space="preserve">for the development of </w:t>
      </w:r>
      <w:r>
        <w:t>F</w:t>
      </w:r>
      <w:r w:rsidR="003F10BD">
        <w:t>VII</w:t>
      </w:r>
      <w:r>
        <w:t>I</w:t>
      </w:r>
      <w:r w:rsidRPr="000F3841">
        <w:t xml:space="preserve"> </w:t>
      </w:r>
      <w:r>
        <w:t xml:space="preserve">inhibitors. See </w:t>
      </w:r>
      <w:r w:rsidRPr="00DA5358">
        <w:rPr>
          <w:b/>
        </w:rPr>
        <w:t>PRECAUTIONS</w:t>
      </w:r>
      <w:r w:rsidRPr="00D25B82">
        <w:t>.</w:t>
      </w:r>
    </w:p>
    <w:p w14:paraId="71EB5446" w14:textId="77777777" w:rsidR="00856F0C" w:rsidRPr="0061208D" w:rsidRDefault="00856F0C" w:rsidP="0061208D">
      <w:pPr>
        <w:pStyle w:val="Heading3"/>
        <w:numPr>
          <w:ilvl w:val="0"/>
          <w:numId w:val="0"/>
        </w:numPr>
        <w:ind w:left="2138" w:hanging="2138"/>
      </w:pPr>
      <w:r w:rsidRPr="0061208D">
        <w:t>General instructions</w:t>
      </w:r>
    </w:p>
    <w:p w14:paraId="6C0CF6FD" w14:textId="77777777" w:rsidR="006374D3" w:rsidRDefault="006374D3" w:rsidP="004A4600">
      <w:pPr>
        <w:pStyle w:val="DocumentText"/>
        <w:keepNext/>
        <w:spacing w:after="120"/>
      </w:pPr>
      <w:proofErr w:type="gramStart"/>
      <w:r>
        <w:t>For intravenous use</w:t>
      </w:r>
      <w:r w:rsidR="00C26C99">
        <w:t xml:space="preserve"> only after reconstitution.</w:t>
      </w:r>
      <w:proofErr w:type="gramEnd"/>
    </w:p>
    <w:p w14:paraId="486C47F6" w14:textId="77777777" w:rsidR="00856F0C" w:rsidRPr="00A607D3" w:rsidRDefault="00856F0C" w:rsidP="00C26C99">
      <w:pPr>
        <w:pStyle w:val="DocumentText"/>
        <w:spacing w:after="120"/>
      </w:pPr>
      <w:r w:rsidRPr="00A607D3">
        <w:t>The solution should be</w:t>
      </w:r>
      <w:r w:rsidR="001F316E">
        <w:t xml:space="preserve"> almost </w:t>
      </w:r>
      <w:proofErr w:type="spellStart"/>
      <w:r w:rsidR="001F316E">
        <w:t>colourless</w:t>
      </w:r>
      <w:proofErr w:type="spellEnd"/>
      <w:r w:rsidR="001F316E">
        <w:t>,</w:t>
      </w:r>
      <w:r w:rsidRPr="00A607D3">
        <w:t xml:space="preserve"> clear or slightly opalescent. </w:t>
      </w:r>
      <w:r w:rsidRPr="00AE16E4">
        <w:t>After</w:t>
      </w:r>
      <w:r w:rsidRPr="00A607D3">
        <w:t xml:space="preserve"> filtering/withdrawal (</w:t>
      </w:r>
      <w:r w:rsidR="00054304">
        <w:t xml:space="preserve">see </w:t>
      </w:r>
      <w:r w:rsidRPr="00DA5358">
        <w:rPr>
          <w:b/>
        </w:rPr>
        <w:t>Reconstitution</w:t>
      </w:r>
      <w:r w:rsidRPr="00A607D3">
        <w:t>) the reconstituted product should be inspected visually for particulate matter and discoloration prior to administration.</w:t>
      </w:r>
    </w:p>
    <w:p w14:paraId="7D11928A" w14:textId="7C1DF724" w:rsidR="00856F0C" w:rsidRDefault="00856F0C" w:rsidP="00C26C99">
      <w:pPr>
        <w:pStyle w:val="DocumentText"/>
        <w:spacing w:after="120"/>
      </w:pPr>
      <w:r w:rsidRPr="00A607D3">
        <w:t xml:space="preserve">Do not use </w:t>
      </w:r>
      <w:r w:rsidR="001F316E">
        <w:t xml:space="preserve">visibly cloudy </w:t>
      </w:r>
      <w:r w:rsidRPr="00A607D3">
        <w:t xml:space="preserve">solutions </w:t>
      </w:r>
      <w:r w:rsidR="001F316E">
        <w:t>or solutions still containing flakes or particles.</w:t>
      </w:r>
    </w:p>
    <w:p w14:paraId="262FA0BC" w14:textId="77777777" w:rsidR="00856F0C" w:rsidRPr="00B1677F" w:rsidRDefault="00856F0C" w:rsidP="00C26C99">
      <w:pPr>
        <w:pStyle w:val="DocumentText"/>
      </w:pPr>
      <w:r w:rsidRPr="00A607D3">
        <w:t>Reconstitution and withdrawal must be carried out under aseptic conditions.</w:t>
      </w:r>
    </w:p>
    <w:p w14:paraId="0C3615A8" w14:textId="77777777" w:rsidR="00137C30" w:rsidRPr="00B349E4" w:rsidRDefault="00137C30" w:rsidP="008467D4">
      <w:pPr>
        <w:pStyle w:val="DocumentText"/>
        <w:keepNext/>
        <w:spacing w:before="120" w:after="120"/>
        <w:rPr>
          <w:i/>
        </w:rPr>
      </w:pPr>
      <w:r w:rsidRPr="008467D4">
        <w:rPr>
          <w:b/>
          <w:i/>
          <w:sz w:val="28"/>
        </w:rPr>
        <w:t>Reconstitution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6491"/>
      </w:tblGrid>
      <w:tr w:rsidR="002E09FB" w:rsidRPr="004A4600" w14:paraId="4D887118" w14:textId="77777777" w:rsidTr="008E539B">
        <w:tc>
          <w:tcPr>
            <w:tcW w:w="2581" w:type="dxa"/>
            <w:vAlign w:val="bottom"/>
          </w:tcPr>
          <w:p w14:paraId="11E97AD7" w14:textId="77777777" w:rsidR="002E09FB" w:rsidRPr="004A4600" w:rsidRDefault="008E539B" w:rsidP="008E539B">
            <w:pPr>
              <w:pStyle w:val="LAFISPCNormal"/>
              <w:tabs>
                <w:tab w:val="clear" w:pos="567"/>
                <w:tab w:val="left" w:pos="318"/>
                <w:tab w:val="left" w:pos="2019"/>
              </w:tabs>
              <w:spacing w:before="120" w:after="12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ab/>
            </w:r>
            <w:r w:rsidRPr="004A4600">
              <w:rPr>
                <w:noProof/>
                <w:lang w:val="en-AU" w:eastAsia="en-AU"/>
              </w:rPr>
              <w:drawing>
                <wp:inline distT="0" distB="0" distL="0" distR="0" wp14:anchorId="754CC7C7" wp14:editId="1D991AA7">
                  <wp:extent cx="707390" cy="724535"/>
                  <wp:effectExtent l="0" t="0" r="0" b="0"/>
                  <wp:docPr id="10" name="Picture 10" descr="Abb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b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ab/>
            </w:r>
            <w:r w:rsidR="00C26C99" w:rsidRPr="004A4600">
              <w:rPr>
                <w:lang w:val="en-US"/>
              </w:rPr>
              <w:t>1</w:t>
            </w:r>
          </w:p>
        </w:tc>
        <w:tc>
          <w:tcPr>
            <w:tcW w:w="6491" w:type="dxa"/>
          </w:tcPr>
          <w:p w14:paraId="451A5569" w14:textId="77777777" w:rsidR="00F14EF7" w:rsidRPr="004A4600" w:rsidRDefault="002E09FB" w:rsidP="00F14EF7">
            <w:pPr>
              <w:pStyle w:val="DocumentText"/>
              <w:keepNext/>
            </w:pPr>
            <w:r w:rsidRPr="004A4600">
              <w:t xml:space="preserve">1. </w:t>
            </w:r>
            <w:r w:rsidR="00F14EF7" w:rsidRPr="004A4600">
              <w:t xml:space="preserve">Bring the WFI to room temperature. Ensure </w:t>
            </w:r>
            <w:r w:rsidR="001F316E" w:rsidRPr="00BD06F2">
              <w:t>AFSTYLA</w:t>
            </w:r>
            <w:r w:rsidR="001F316E" w:rsidRPr="00BD06F2">
              <w:rPr>
                <w:vertAlign w:val="superscript"/>
              </w:rPr>
              <w:t>®</w:t>
            </w:r>
            <w:r w:rsidR="00F14EF7" w:rsidRPr="004A4600">
              <w:t xml:space="preserve"> and WFI vial flip caps are removed and the stoppers are treated with an antiseptic solution and allowed to dry prior to opening the Mix2Vial</w:t>
            </w:r>
            <w:r w:rsidR="00F14EF7" w:rsidRPr="004A4600">
              <w:rPr>
                <w:vertAlign w:val="superscript"/>
              </w:rPr>
              <w:t>™</w:t>
            </w:r>
            <w:r w:rsidR="00F14EF7" w:rsidRPr="004A4600">
              <w:t xml:space="preserve"> package.</w:t>
            </w:r>
          </w:p>
          <w:p w14:paraId="1E4B65AD" w14:textId="77777777" w:rsidR="002E09FB" w:rsidRPr="004A4600" w:rsidRDefault="002E09FB" w:rsidP="000B44A6">
            <w:pPr>
              <w:pStyle w:val="DocumentText"/>
              <w:spacing w:before="120" w:after="120"/>
            </w:pPr>
            <w:r w:rsidRPr="004A4600">
              <w:t>Open the Mix2Vial</w:t>
            </w:r>
            <w:r w:rsidRPr="004A4600">
              <w:rPr>
                <w:vertAlign w:val="superscript"/>
              </w:rPr>
              <w:t>™</w:t>
            </w:r>
            <w:r w:rsidRPr="004A4600">
              <w:t xml:space="preserve"> package by peeling off the lid. Do </w:t>
            </w:r>
            <w:r w:rsidRPr="004A4600">
              <w:rPr>
                <w:b/>
                <w:u w:val="single"/>
              </w:rPr>
              <w:t>not</w:t>
            </w:r>
            <w:r w:rsidRPr="004A4600">
              <w:t xml:space="preserve"> remove the Mix2Vial</w:t>
            </w:r>
            <w:r w:rsidRPr="004A4600">
              <w:rPr>
                <w:vertAlign w:val="superscript"/>
              </w:rPr>
              <w:t>™</w:t>
            </w:r>
            <w:r w:rsidRPr="004A4600">
              <w:t xml:space="preserve"> from the blister package!</w:t>
            </w:r>
          </w:p>
        </w:tc>
      </w:tr>
      <w:tr w:rsidR="002E09FB" w:rsidRPr="004A4600" w14:paraId="3B2D8032" w14:textId="77777777" w:rsidTr="005409DF">
        <w:tc>
          <w:tcPr>
            <w:tcW w:w="2581" w:type="dxa"/>
          </w:tcPr>
          <w:p w14:paraId="066777FE" w14:textId="77777777" w:rsidR="002E09FB" w:rsidRPr="004A4600" w:rsidRDefault="00D12884" w:rsidP="000B44A6">
            <w:pPr>
              <w:pStyle w:val="LAFISPCNormal"/>
              <w:tabs>
                <w:tab w:val="clear" w:pos="567"/>
                <w:tab w:val="left" w:pos="426"/>
                <w:tab w:val="left" w:pos="1985"/>
              </w:tabs>
              <w:spacing w:before="120" w:after="120"/>
              <w:ind w:left="0"/>
              <w:jc w:val="center"/>
              <w:rPr>
                <w:lang w:val="en-US"/>
              </w:rPr>
            </w:pPr>
            <w:r w:rsidRPr="004A4600">
              <w:rPr>
                <w:lang w:val="en-US"/>
              </w:rPr>
              <w:lastRenderedPageBreak/>
              <w:tab/>
            </w:r>
            <w:r w:rsidR="002E09FB" w:rsidRPr="004A4600">
              <w:rPr>
                <w:noProof/>
                <w:lang w:val="en-AU" w:eastAsia="en-AU"/>
              </w:rPr>
              <w:drawing>
                <wp:inline distT="0" distB="0" distL="0" distR="0" wp14:anchorId="15A027CD" wp14:editId="3C23A09D">
                  <wp:extent cx="560705" cy="1147445"/>
                  <wp:effectExtent l="0" t="0" r="0" b="0"/>
                  <wp:docPr id="8" name="Picture 8" descr="Abb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bb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09FB" w:rsidRPr="004A4600">
              <w:rPr>
                <w:lang w:val="en-US"/>
              </w:rPr>
              <w:tab/>
              <w:t>2</w:t>
            </w:r>
          </w:p>
        </w:tc>
        <w:tc>
          <w:tcPr>
            <w:tcW w:w="6491" w:type="dxa"/>
          </w:tcPr>
          <w:p w14:paraId="4A730FAF" w14:textId="77777777" w:rsidR="002E09FB" w:rsidRPr="004A4600" w:rsidRDefault="002E09FB" w:rsidP="000B44A6">
            <w:pPr>
              <w:pStyle w:val="DocumentText"/>
              <w:spacing w:before="120" w:after="120"/>
            </w:pPr>
            <w:r w:rsidRPr="004A4600">
              <w:t xml:space="preserve">2. Place the </w:t>
            </w:r>
            <w:r w:rsidR="00606E6A" w:rsidRPr="004A4600">
              <w:rPr>
                <w:b/>
              </w:rPr>
              <w:t>WFI</w:t>
            </w:r>
            <w:r w:rsidRPr="004A4600">
              <w:rPr>
                <w:b/>
              </w:rPr>
              <w:t xml:space="preserve"> vial</w:t>
            </w:r>
            <w:r w:rsidRPr="004A4600">
              <w:t xml:space="preserve"> on an even, clean surface and hold the vial tight. Take the Mix2Vial</w:t>
            </w:r>
            <w:r w:rsidRPr="004A4600">
              <w:rPr>
                <w:vertAlign w:val="superscript"/>
              </w:rPr>
              <w:t>™</w:t>
            </w:r>
            <w:r w:rsidRPr="004A4600">
              <w:t xml:space="preserve"> together with the blister package and push the spike of the </w:t>
            </w:r>
            <w:r w:rsidRPr="004A4600">
              <w:rPr>
                <w:b/>
              </w:rPr>
              <w:t>blue</w:t>
            </w:r>
            <w:r w:rsidRPr="004A4600">
              <w:t xml:space="preserve"> adapter end </w:t>
            </w:r>
            <w:r w:rsidRPr="004A4600">
              <w:rPr>
                <w:b/>
              </w:rPr>
              <w:t>straight down</w:t>
            </w:r>
            <w:r w:rsidRPr="004A4600">
              <w:t xml:space="preserve"> through the </w:t>
            </w:r>
            <w:r w:rsidR="0019180F" w:rsidRPr="004A4600">
              <w:t>WFI</w:t>
            </w:r>
            <w:r w:rsidRPr="004A4600">
              <w:t xml:space="preserve"> vial stopper.</w:t>
            </w:r>
          </w:p>
        </w:tc>
      </w:tr>
      <w:tr w:rsidR="002E09FB" w:rsidRPr="004A4600" w14:paraId="3EB3AAD7" w14:textId="77777777" w:rsidTr="005409DF">
        <w:tc>
          <w:tcPr>
            <w:tcW w:w="2581" w:type="dxa"/>
          </w:tcPr>
          <w:p w14:paraId="5B9BCCEA" w14:textId="77777777" w:rsidR="002E09FB" w:rsidRPr="004A4600" w:rsidRDefault="002E09FB" w:rsidP="000B44A6">
            <w:pPr>
              <w:pStyle w:val="LAFISPCNormal"/>
              <w:tabs>
                <w:tab w:val="clear" w:pos="567"/>
                <w:tab w:val="left" w:pos="589"/>
                <w:tab w:val="left" w:pos="1985"/>
              </w:tabs>
              <w:spacing w:before="120" w:after="120"/>
              <w:ind w:left="0"/>
              <w:jc w:val="center"/>
              <w:rPr>
                <w:lang w:val="en-US"/>
              </w:rPr>
            </w:pPr>
            <w:r w:rsidRPr="004A4600">
              <w:rPr>
                <w:lang w:val="en-US"/>
              </w:rPr>
              <w:tab/>
            </w:r>
            <w:r w:rsidRPr="004A4600">
              <w:rPr>
                <w:noProof/>
                <w:lang w:val="en-AU" w:eastAsia="en-AU"/>
              </w:rPr>
              <w:drawing>
                <wp:inline distT="0" distB="0" distL="0" distR="0" wp14:anchorId="3DD58944" wp14:editId="43FFD490">
                  <wp:extent cx="431165" cy="1155700"/>
                  <wp:effectExtent l="0" t="0" r="6985" b="6350"/>
                  <wp:docPr id="7" name="Picture 7" descr="Abb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bb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600">
              <w:rPr>
                <w:lang w:val="en-US"/>
              </w:rPr>
              <w:tab/>
              <w:t>3</w:t>
            </w:r>
          </w:p>
        </w:tc>
        <w:tc>
          <w:tcPr>
            <w:tcW w:w="6491" w:type="dxa"/>
          </w:tcPr>
          <w:p w14:paraId="0311032E" w14:textId="77777777" w:rsidR="002E09FB" w:rsidRPr="004A4600" w:rsidRDefault="002E09FB" w:rsidP="000B44A6">
            <w:pPr>
              <w:pStyle w:val="DocumentText"/>
              <w:spacing w:before="120" w:after="120"/>
            </w:pPr>
            <w:r w:rsidRPr="004A4600">
              <w:t>3. Carefully remove the blister package from the Mix2Vial</w:t>
            </w:r>
            <w:r w:rsidRPr="004A4600">
              <w:rPr>
                <w:vertAlign w:val="superscript"/>
              </w:rPr>
              <w:t>™</w:t>
            </w:r>
            <w:r w:rsidRPr="004A4600">
              <w:t xml:space="preserve"> set by holding at the rim, and pulling </w:t>
            </w:r>
            <w:r w:rsidRPr="004A4600">
              <w:rPr>
                <w:b/>
              </w:rPr>
              <w:t>vertically</w:t>
            </w:r>
            <w:r w:rsidRPr="004A4600">
              <w:t xml:space="preserve"> upwards. Make sure that you only pull away the blister package and not the Mix2Vial</w:t>
            </w:r>
            <w:r w:rsidRPr="004A4600">
              <w:rPr>
                <w:vertAlign w:val="superscript"/>
              </w:rPr>
              <w:t>™</w:t>
            </w:r>
            <w:r w:rsidRPr="004A4600">
              <w:t xml:space="preserve"> set.</w:t>
            </w:r>
          </w:p>
        </w:tc>
      </w:tr>
      <w:tr w:rsidR="002E09FB" w:rsidRPr="004A4600" w14:paraId="59457413" w14:textId="77777777" w:rsidTr="005409DF">
        <w:tc>
          <w:tcPr>
            <w:tcW w:w="2581" w:type="dxa"/>
          </w:tcPr>
          <w:p w14:paraId="0DADDD9E" w14:textId="77777777" w:rsidR="002E09FB" w:rsidRPr="004A4600" w:rsidRDefault="002E09FB" w:rsidP="000B44A6">
            <w:pPr>
              <w:pStyle w:val="LAFISPCNormal"/>
              <w:tabs>
                <w:tab w:val="clear" w:pos="567"/>
                <w:tab w:val="left" w:pos="709"/>
                <w:tab w:val="left" w:pos="1964"/>
              </w:tabs>
              <w:spacing w:before="120" w:after="120"/>
              <w:ind w:left="0"/>
              <w:jc w:val="center"/>
              <w:rPr>
                <w:lang w:val="en-US"/>
              </w:rPr>
            </w:pPr>
            <w:r w:rsidRPr="004A4600">
              <w:rPr>
                <w:lang w:val="en-US"/>
              </w:rPr>
              <w:tab/>
            </w:r>
            <w:r w:rsidRPr="004A4600">
              <w:rPr>
                <w:noProof/>
                <w:lang w:val="en-AU" w:eastAsia="en-AU"/>
              </w:rPr>
              <w:drawing>
                <wp:inline distT="0" distB="0" distL="0" distR="0" wp14:anchorId="488A7081" wp14:editId="020AD6B0">
                  <wp:extent cx="310515" cy="1216025"/>
                  <wp:effectExtent l="0" t="0" r="0" b="3175"/>
                  <wp:docPr id="6" name="Picture 6" descr="Abb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bb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600">
              <w:rPr>
                <w:lang w:val="en-US"/>
              </w:rPr>
              <w:tab/>
              <w:t>4</w:t>
            </w:r>
          </w:p>
        </w:tc>
        <w:tc>
          <w:tcPr>
            <w:tcW w:w="6491" w:type="dxa"/>
          </w:tcPr>
          <w:p w14:paraId="621BA2E7" w14:textId="77777777" w:rsidR="002E09FB" w:rsidRPr="004A4600" w:rsidRDefault="002E09FB" w:rsidP="001F316E">
            <w:pPr>
              <w:pStyle w:val="DocumentText"/>
              <w:spacing w:before="120" w:after="120"/>
            </w:pPr>
            <w:r w:rsidRPr="004A4600">
              <w:t xml:space="preserve">4. Place the </w:t>
            </w:r>
            <w:r w:rsidR="001F316E" w:rsidRPr="001F316E">
              <w:rPr>
                <w:b/>
              </w:rPr>
              <w:t>AFSTYLA</w:t>
            </w:r>
            <w:r w:rsidR="001F316E" w:rsidRPr="001F316E">
              <w:rPr>
                <w:b/>
                <w:vertAlign w:val="superscript"/>
              </w:rPr>
              <w:t>®</w:t>
            </w:r>
            <w:r w:rsidRPr="004A4600">
              <w:rPr>
                <w:b/>
              </w:rPr>
              <w:t xml:space="preserve"> vial</w:t>
            </w:r>
            <w:r w:rsidRPr="004A4600">
              <w:t xml:space="preserve"> on an even and firm surface. </w:t>
            </w:r>
            <w:proofErr w:type="gramStart"/>
            <w:r w:rsidRPr="004A4600">
              <w:t xml:space="preserve">Invert the </w:t>
            </w:r>
            <w:r w:rsidR="0019180F" w:rsidRPr="004A4600">
              <w:t>WFI</w:t>
            </w:r>
            <w:r w:rsidRPr="004A4600">
              <w:t xml:space="preserve"> vial with the Mix2Vial</w:t>
            </w:r>
            <w:r w:rsidRPr="004A4600">
              <w:rPr>
                <w:vertAlign w:val="superscript"/>
              </w:rPr>
              <w:t>™</w:t>
            </w:r>
            <w:r w:rsidRPr="004A4600">
              <w:t xml:space="preserve"> set attached and push</w:t>
            </w:r>
            <w:proofErr w:type="gramEnd"/>
            <w:r w:rsidRPr="004A4600">
              <w:t xml:space="preserve"> the spike of the </w:t>
            </w:r>
            <w:r w:rsidRPr="004A4600">
              <w:rPr>
                <w:b/>
              </w:rPr>
              <w:t>transparent</w:t>
            </w:r>
            <w:r w:rsidRPr="004A4600">
              <w:t xml:space="preserve"> adapter end </w:t>
            </w:r>
            <w:r w:rsidRPr="004A4600">
              <w:rPr>
                <w:b/>
              </w:rPr>
              <w:t xml:space="preserve">straight down </w:t>
            </w:r>
            <w:r w:rsidRPr="004A4600">
              <w:t xml:space="preserve">through the </w:t>
            </w:r>
            <w:r w:rsidR="001F316E" w:rsidRPr="00BD06F2">
              <w:t>AFSTYLA</w:t>
            </w:r>
            <w:r w:rsidR="001F316E" w:rsidRPr="00BD06F2">
              <w:rPr>
                <w:vertAlign w:val="superscript"/>
              </w:rPr>
              <w:t>®</w:t>
            </w:r>
            <w:r w:rsidRPr="004A4600">
              <w:t xml:space="preserve"> vial stopper. The </w:t>
            </w:r>
            <w:r w:rsidR="0019180F" w:rsidRPr="004A4600">
              <w:t>WFI</w:t>
            </w:r>
            <w:r w:rsidRPr="004A4600">
              <w:t xml:space="preserve"> will automatically flow into the </w:t>
            </w:r>
            <w:r w:rsidR="001F316E" w:rsidRPr="00BD06F2">
              <w:t>AFSTYLA</w:t>
            </w:r>
            <w:r w:rsidR="001F316E" w:rsidRPr="00BD06F2">
              <w:rPr>
                <w:vertAlign w:val="superscript"/>
              </w:rPr>
              <w:t>®</w:t>
            </w:r>
            <w:r w:rsidRPr="004A4600">
              <w:t xml:space="preserve"> vial.</w:t>
            </w:r>
          </w:p>
        </w:tc>
      </w:tr>
      <w:tr w:rsidR="002E09FB" w:rsidRPr="004A4600" w14:paraId="0AD26B16" w14:textId="77777777" w:rsidTr="005409DF">
        <w:tc>
          <w:tcPr>
            <w:tcW w:w="2581" w:type="dxa"/>
          </w:tcPr>
          <w:p w14:paraId="5882D5EA" w14:textId="77777777" w:rsidR="002E09FB" w:rsidRPr="004A4600" w:rsidRDefault="002E09FB" w:rsidP="000B44A6">
            <w:pPr>
              <w:pStyle w:val="LAFISPCNormal"/>
              <w:tabs>
                <w:tab w:val="left" w:pos="1985"/>
              </w:tabs>
              <w:spacing w:before="120" w:after="120"/>
              <w:ind w:left="0"/>
              <w:jc w:val="center"/>
              <w:rPr>
                <w:lang w:val="en-US"/>
              </w:rPr>
            </w:pPr>
            <w:r w:rsidRPr="004A4600">
              <w:rPr>
                <w:lang w:val="en-US"/>
              </w:rPr>
              <w:tab/>
            </w:r>
            <w:r w:rsidRPr="004A4600">
              <w:rPr>
                <w:noProof/>
                <w:lang w:val="en-AU" w:eastAsia="en-AU"/>
              </w:rPr>
              <w:drawing>
                <wp:inline distT="0" distB="0" distL="0" distR="0" wp14:anchorId="74DADEE6" wp14:editId="0BA609E8">
                  <wp:extent cx="405130" cy="1285240"/>
                  <wp:effectExtent l="0" t="0" r="0" b="0"/>
                  <wp:docPr id="5" name="Picture 5" descr="Abb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bb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600">
              <w:rPr>
                <w:lang w:val="en-US"/>
              </w:rPr>
              <w:tab/>
              <w:t>5</w:t>
            </w:r>
          </w:p>
        </w:tc>
        <w:tc>
          <w:tcPr>
            <w:tcW w:w="6491" w:type="dxa"/>
          </w:tcPr>
          <w:p w14:paraId="2E556A1F" w14:textId="77777777" w:rsidR="002E09FB" w:rsidRPr="004A4600" w:rsidRDefault="002E09FB" w:rsidP="001F1BFD">
            <w:pPr>
              <w:pStyle w:val="DocumentText"/>
              <w:spacing w:before="120"/>
            </w:pPr>
            <w:r w:rsidRPr="004A4600">
              <w:t xml:space="preserve">5. With one hand grasp the </w:t>
            </w:r>
            <w:r w:rsidR="001F316E" w:rsidRPr="00BD06F2">
              <w:t>AFSTYLA</w:t>
            </w:r>
            <w:r w:rsidR="001F316E" w:rsidRPr="00BD06F2">
              <w:rPr>
                <w:vertAlign w:val="superscript"/>
              </w:rPr>
              <w:t>®</w:t>
            </w:r>
            <w:r w:rsidR="0019180F" w:rsidRPr="004A4600">
              <w:t xml:space="preserve"> </w:t>
            </w:r>
            <w:proofErr w:type="gramStart"/>
            <w:r w:rsidRPr="004A4600">
              <w:t>side of the Mix2Vial</w:t>
            </w:r>
            <w:r w:rsidRPr="004A4600">
              <w:rPr>
                <w:vertAlign w:val="superscript"/>
              </w:rPr>
              <w:t>™</w:t>
            </w:r>
            <w:r w:rsidRPr="004A4600">
              <w:t xml:space="preserve"> set and with the other hand grasp</w:t>
            </w:r>
            <w:proofErr w:type="gramEnd"/>
            <w:r w:rsidRPr="004A4600">
              <w:t xml:space="preserve"> the </w:t>
            </w:r>
            <w:r w:rsidR="0019180F" w:rsidRPr="004A4600">
              <w:t xml:space="preserve">WFI </w:t>
            </w:r>
            <w:r w:rsidRPr="004A4600">
              <w:t>side and unscrew the set carefully counterclockwise into two pieces.</w:t>
            </w:r>
          </w:p>
          <w:p w14:paraId="1DD4E142" w14:textId="77777777" w:rsidR="002E09FB" w:rsidRPr="004A4600" w:rsidRDefault="002E09FB" w:rsidP="001F1BFD">
            <w:pPr>
              <w:pStyle w:val="DocumentText"/>
              <w:spacing w:after="120"/>
            </w:pPr>
            <w:r w:rsidRPr="004A4600">
              <w:t xml:space="preserve">Discard the </w:t>
            </w:r>
            <w:r w:rsidR="0019180F" w:rsidRPr="004A4600">
              <w:t>WFI</w:t>
            </w:r>
            <w:r w:rsidRPr="004A4600">
              <w:t xml:space="preserve"> vial with the blue Mix2Vial</w:t>
            </w:r>
            <w:r w:rsidRPr="004A4600">
              <w:rPr>
                <w:vertAlign w:val="superscript"/>
              </w:rPr>
              <w:t>™</w:t>
            </w:r>
            <w:r w:rsidRPr="004A4600">
              <w:t xml:space="preserve"> adapter attached.</w:t>
            </w:r>
          </w:p>
        </w:tc>
      </w:tr>
      <w:tr w:rsidR="002E09FB" w:rsidRPr="004A4600" w14:paraId="4DE61F1A" w14:textId="77777777" w:rsidTr="005409DF">
        <w:tc>
          <w:tcPr>
            <w:tcW w:w="2581" w:type="dxa"/>
          </w:tcPr>
          <w:p w14:paraId="4562D0C2" w14:textId="77777777" w:rsidR="002E09FB" w:rsidRPr="004A4600" w:rsidRDefault="002E09FB" w:rsidP="000B44A6">
            <w:pPr>
              <w:pStyle w:val="LAFISPCNormal"/>
              <w:tabs>
                <w:tab w:val="clear" w:pos="567"/>
                <w:tab w:val="left" w:pos="284"/>
                <w:tab w:val="left" w:pos="1985"/>
              </w:tabs>
              <w:spacing w:before="120" w:after="120"/>
              <w:ind w:left="0"/>
              <w:jc w:val="center"/>
              <w:rPr>
                <w:lang w:val="en-US"/>
              </w:rPr>
            </w:pPr>
            <w:r w:rsidRPr="004A4600">
              <w:rPr>
                <w:lang w:val="en-US"/>
              </w:rPr>
              <w:tab/>
            </w:r>
            <w:r w:rsidRPr="004A4600">
              <w:rPr>
                <w:noProof/>
                <w:lang w:val="en-AU" w:eastAsia="en-AU"/>
              </w:rPr>
              <w:drawing>
                <wp:inline distT="0" distB="0" distL="0" distR="0" wp14:anchorId="7BD6C658" wp14:editId="79841F97">
                  <wp:extent cx="905510" cy="905510"/>
                  <wp:effectExtent l="0" t="0" r="8890" b="8890"/>
                  <wp:docPr id="4" name="Picture 4" descr="Abb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bb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600">
              <w:rPr>
                <w:lang w:val="en-US"/>
              </w:rPr>
              <w:tab/>
              <w:t>6</w:t>
            </w:r>
          </w:p>
        </w:tc>
        <w:tc>
          <w:tcPr>
            <w:tcW w:w="6491" w:type="dxa"/>
          </w:tcPr>
          <w:p w14:paraId="7AEF6AEE" w14:textId="77777777" w:rsidR="002E09FB" w:rsidRPr="004A4600" w:rsidRDefault="002E09FB" w:rsidP="0019180F">
            <w:pPr>
              <w:pStyle w:val="DocumentText"/>
              <w:spacing w:before="120" w:after="120"/>
            </w:pPr>
            <w:r w:rsidRPr="004A4600">
              <w:t xml:space="preserve">6. Gently swirl the </w:t>
            </w:r>
            <w:r w:rsidR="001F316E" w:rsidRPr="00BD06F2">
              <w:t>AFSTYLA</w:t>
            </w:r>
            <w:r w:rsidR="001F316E" w:rsidRPr="00BD06F2">
              <w:rPr>
                <w:vertAlign w:val="superscript"/>
              </w:rPr>
              <w:t>®</w:t>
            </w:r>
            <w:r w:rsidRPr="004A4600">
              <w:t xml:space="preserve"> vial with the transparent adapter attached until the substance is fully dissolved. Do not shake.</w:t>
            </w:r>
          </w:p>
        </w:tc>
      </w:tr>
      <w:tr w:rsidR="002E09FB" w:rsidRPr="004A4600" w14:paraId="21BA3639" w14:textId="77777777" w:rsidTr="005409DF">
        <w:tc>
          <w:tcPr>
            <w:tcW w:w="2581" w:type="dxa"/>
          </w:tcPr>
          <w:p w14:paraId="1043FED7" w14:textId="77777777" w:rsidR="002E09FB" w:rsidRPr="004A4600" w:rsidRDefault="002E09FB" w:rsidP="000B44A6">
            <w:pPr>
              <w:pStyle w:val="LAFISPCNormal"/>
              <w:tabs>
                <w:tab w:val="clear" w:pos="567"/>
                <w:tab w:val="left" w:pos="142"/>
                <w:tab w:val="left" w:pos="1992"/>
              </w:tabs>
              <w:spacing w:before="120" w:after="120"/>
              <w:ind w:left="0"/>
              <w:jc w:val="center"/>
              <w:rPr>
                <w:lang w:val="en-US"/>
              </w:rPr>
            </w:pPr>
            <w:r w:rsidRPr="004A4600">
              <w:rPr>
                <w:lang w:val="en-US"/>
              </w:rPr>
              <w:lastRenderedPageBreak/>
              <w:tab/>
            </w:r>
            <w:r w:rsidRPr="004A4600">
              <w:rPr>
                <w:noProof/>
                <w:lang w:val="en-AU" w:eastAsia="en-AU"/>
              </w:rPr>
              <w:drawing>
                <wp:inline distT="0" distB="0" distL="0" distR="0" wp14:anchorId="5CBCED33" wp14:editId="56E4956B">
                  <wp:extent cx="1061085" cy="1501140"/>
                  <wp:effectExtent l="0" t="0" r="5715" b="3810"/>
                  <wp:docPr id="3" name="Picture 3" descr="Abb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bb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600">
              <w:rPr>
                <w:lang w:val="en-US"/>
              </w:rPr>
              <w:tab/>
              <w:t>7</w:t>
            </w:r>
          </w:p>
        </w:tc>
        <w:tc>
          <w:tcPr>
            <w:tcW w:w="6491" w:type="dxa"/>
          </w:tcPr>
          <w:p w14:paraId="1B944225" w14:textId="77777777" w:rsidR="002E09FB" w:rsidRPr="004A4600" w:rsidRDefault="002E09FB" w:rsidP="0019180F">
            <w:pPr>
              <w:pStyle w:val="DocumentText"/>
              <w:spacing w:before="120" w:after="120"/>
            </w:pPr>
            <w:r w:rsidRPr="004A4600">
              <w:t xml:space="preserve">7. Draw air into an empty, sterile syringe. While the </w:t>
            </w:r>
            <w:r w:rsidR="001F316E" w:rsidRPr="00BD06F2">
              <w:t>AFSTYLA</w:t>
            </w:r>
            <w:r w:rsidR="001F316E" w:rsidRPr="00BD06F2">
              <w:rPr>
                <w:vertAlign w:val="superscript"/>
              </w:rPr>
              <w:t>®</w:t>
            </w:r>
            <w:r w:rsidRPr="004A4600">
              <w:t xml:space="preserve"> vial is upright, connect the syringe to the Mix2Vial</w:t>
            </w:r>
            <w:r w:rsidRPr="004A4600">
              <w:rPr>
                <w:vertAlign w:val="superscript"/>
              </w:rPr>
              <w:t>™</w:t>
            </w:r>
            <w:r w:rsidRPr="004A4600">
              <w:t xml:space="preserve">’s </w:t>
            </w:r>
            <w:proofErr w:type="spellStart"/>
            <w:r w:rsidRPr="004A4600">
              <w:t>Luer</w:t>
            </w:r>
            <w:proofErr w:type="spellEnd"/>
            <w:r w:rsidR="00505721">
              <w:t> </w:t>
            </w:r>
            <w:r w:rsidRPr="004A4600">
              <w:t xml:space="preserve">Lock fitting by screwing clockwise. Inject air into the </w:t>
            </w:r>
            <w:r w:rsidR="001F316E" w:rsidRPr="00BD06F2">
              <w:t>AFSTYLA</w:t>
            </w:r>
            <w:r w:rsidR="001F316E" w:rsidRPr="00BD06F2">
              <w:rPr>
                <w:vertAlign w:val="superscript"/>
              </w:rPr>
              <w:t>®</w:t>
            </w:r>
            <w:r w:rsidRPr="004A4600">
              <w:t xml:space="preserve"> vial.</w:t>
            </w:r>
          </w:p>
        </w:tc>
      </w:tr>
    </w:tbl>
    <w:p w14:paraId="7FBEE5B2" w14:textId="77777777" w:rsidR="00856F0C" w:rsidRPr="004A4600" w:rsidRDefault="00856F0C" w:rsidP="00BE1AC6">
      <w:pPr>
        <w:pStyle w:val="DocumentText"/>
        <w:keepNext/>
        <w:spacing w:before="240" w:after="120"/>
        <w:rPr>
          <w:b/>
          <w:i/>
          <w:sz w:val="28"/>
          <w:szCs w:val="28"/>
        </w:rPr>
      </w:pPr>
      <w:r w:rsidRPr="004A4600">
        <w:rPr>
          <w:b/>
          <w:i/>
          <w:sz w:val="28"/>
          <w:szCs w:val="28"/>
        </w:rPr>
        <w:t>Withdrawal and application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6491"/>
      </w:tblGrid>
      <w:tr w:rsidR="00856F0C" w:rsidRPr="004A4600" w14:paraId="4287EA24" w14:textId="77777777" w:rsidTr="005409DF">
        <w:tc>
          <w:tcPr>
            <w:tcW w:w="2581" w:type="dxa"/>
          </w:tcPr>
          <w:p w14:paraId="597ED852" w14:textId="77777777" w:rsidR="00856F0C" w:rsidRPr="004A4600" w:rsidRDefault="000B44A6" w:rsidP="000B44A6">
            <w:pPr>
              <w:pStyle w:val="LAFISPCNormal"/>
              <w:tabs>
                <w:tab w:val="clear" w:pos="567"/>
                <w:tab w:val="left" w:pos="709"/>
                <w:tab w:val="left" w:pos="1973"/>
              </w:tabs>
              <w:spacing w:before="120" w:after="120"/>
              <w:ind w:left="0"/>
              <w:jc w:val="center"/>
              <w:rPr>
                <w:lang w:val="en-US"/>
              </w:rPr>
            </w:pPr>
            <w:r w:rsidRPr="004A4600">
              <w:rPr>
                <w:lang w:val="en-US"/>
              </w:rPr>
              <w:tab/>
            </w:r>
            <w:r w:rsidRPr="004A4600">
              <w:rPr>
                <w:noProof/>
                <w:lang w:val="en-AU" w:eastAsia="en-AU"/>
              </w:rPr>
              <w:drawing>
                <wp:inline distT="0" distB="0" distL="0" distR="0" wp14:anchorId="1A45062F" wp14:editId="650B0A85">
                  <wp:extent cx="293370" cy="1509395"/>
                  <wp:effectExtent l="0" t="0" r="0" b="0"/>
                  <wp:docPr id="2" name="Picture 2" descr="Abb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bb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600">
              <w:rPr>
                <w:lang w:val="en-US"/>
              </w:rPr>
              <w:tab/>
            </w:r>
            <w:r w:rsidR="00856F0C" w:rsidRPr="004A4600">
              <w:rPr>
                <w:lang w:val="en-US"/>
              </w:rPr>
              <w:t>8</w:t>
            </w:r>
          </w:p>
        </w:tc>
        <w:tc>
          <w:tcPr>
            <w:tcW w:w="6491" w:type="dxa"/>
          </w:tcPr>
          <w:p w14:paraId="723DA8F6" w14:textId="77777777" w:rsidR="00856F0C" w:rsidRPr="004A4600" w:rsidRDefault="00856F0C" w:rsidP="000B44A6">
            <w:pPr>
              <w:pStyle w:val="DocumentText"/>
              <w:spacing w:before="120" w:after="120"/>
            </w:pPr>
            <w:r w:rsidRPr="004A4600">
              <w:t>8. While keeping the syringe plunger pressed, turn the system upside down and draw the solution into the syringe by pulling the plunger back slowly.</w:t>
            </w:r>
          </w:p>
        </w:tc>
      </w:tr>
      <w:tr w:rsidR="00856F0C" w:rsidRPr="004A4600" w14:paraId="5E37CA66" w14:textId="77777777" w:rsidTr="005409DF">
        <w:tc>
          <w:tcPr>
            <w:tcW w:w="2581" w:type="dxa"/>
          </w:tcPr>
          <w:p w14:paraId="732E3BD2" w14:textId="77777777" w:rsidR="00606E6A" w:rsidRPr="004A4600" w:rsidRDefault="00606E6A" w:rsidP="00F921CB">
            <w:pPr>
              <w:pStyle w:val="LAFISPCNormal"/>
              <w:keepNext/>
              <w:keepLines/>
              <w:tabs>
                <w:tab w:val="clear" w:pos="567"/>
                <w:tab w:val="left" w:pos="709"/>
                <w:tab w:val="left" w:pos="1954"/>
              </w:tabs>
              <w:spacing w:before="120" w:after="120"/>
              <w:ind w:left="0"/>
              <w:jc w:val="center"/>
              <w:rPr>
                <w:lang w:val="en-US"/>
              </w:rPr>
            </w:pPr>
          </w:p>
          <w:p w14:paraId="4FB9D1D6" w14:textId="77777777" w:rsidR="00856F0C" w:rsidRPr="004A4600" w:rsidRDefault="000B44A6" w:rsidP="00F921CB">
            <w:pPr>
              <w:pStyle w:val="LAFISPCNormal"/>
              <w:keepNext/>
              <w:keepLines/>
              <w:tabs>
                <w:tab w:val="clear" w:pos="567"/>
                <w:tab w:val="left" w:pos="709"/>
                <w:tab w:val="left" w:pos="1954"/>
              </w:tabs>
              <w:spacing w:before="120" w:after="120"/>
              <w:ind w:left="0"/>
              <w:jc w:val="center"/>
              <w:rPr>
                <w:lang w:val="en-US"/>
              </w:rPr>
            </w:pPr>
            <w:r w:rsidRPr="004A4600">
              <w:rPr>
                <w:lang w:val="en-US"/>
              </w:rPr>
              <w:tab/>
            </w:r>
            <w:r w:rsidRPr="004A4600">
              <w:rPr>
                <w:noProof/>
                <w:lang w:val="en-AU" w:eastAsia="en-AU"/>
              </w:rPr>
              <w:drawing>
                <wp:inline distT="0" distB="0" distL="0" distR="0" wp14:anchorId="739F7B29" wp14:editId="4844D4D9">
                  <wp:extent cx="276225" cy="1518285"/>
                  <wp:effectExtent l="0" t="0" r="952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600">
              <w:rPr>
                <w:lang w:val="en-US"/>
              </w:rPr>
              <w:tab/>
            </w:r>
            <w:r w:rsidR="00856F0C" w:rsidRPr="004A4600">
              <w:rPr>
                <w:lang w:val="en-US"/>
              </w:rPr>
              <w:t>9</w:t>
            </w:r>
          </w:p>
        </w:tc>
        <w:tc>
          <w:tcPr>
            <w:tcW w:w="6491" w:type="dxa"/>
          </w:tcPr>
          <w:p w14:paraId="26B3E3D3" w14:textId="77777777" w:rsidR="00856F0C" w:rsidRPr="004A4600" w:rsidRDefault="00856F0C" w:rsidP="00F921CB">
            <w:pPr>
              <w:pStyle w:val="DocumentText"/>
              <w:keepLines/>
              <w:spacing w:before="120" w:after="120"/>
            </w:pPr>
            <w:r w:rsidRPr="004A4600">
              <w:t>9. Now that the solution has been transferred into the syringe, firmly hold on to the barrel of the syringe (keeping the syringe plunger facing down) and disconnect the transparent Mix2Vial</w:t>
            </w:r>
            <w:r w:rsidR="00A763F2" w:rsidRPr="004A4600">
              <w:rPr>
                <w:vertAlign w:val="superscript"/>
              </w:rPr>
              <w:t>™</w:t>
            </w:r>
            <w:r w:rsidRPr="004A4600">
              <w:t xml:space="preserve"> adapter from the syringe by unscrewing counterclockwise.</w:t>
            </w:r>
          </w:p>
        </w:tc>
      </w:tr>
    </w:tbl>
    <w:p w14:paraId="1D5CA677" w14:textId="5ADDF8FD" w:rsidR="00856F0C" w:rsidRPr="004A4600" w:rsidRDefault="00856F0C" w:rsidP="005409DF">
      <w:pPr>
        <w:pStyle w:val="DocumentText"/>
        <w:spacing w:before="240"/>
      </w:pPr>
      <w:r w:rsidRPr="004A4600">
        <w:t>For injection of</w:t>
      </w:r>
      <w:r w:rsidR="001332D9" w:rsidRPr="004A4600">
        <w:t xml:space="preserve"> </w:t>
      </w:r>
      <w:r w:rsidR="001F316E" w:rsidRPr="00BD06F2">
        <w:t>AFSTYLA</w:t>
      </w:r>
      <w:r w:rsidR="001F316E" w:rsidRPr="00BD06F2">
        <w:rPr>
          <w:vertAlign w:val="superscript"/>
        </w:rPr>
        <w:t>®</w:t>
      </w:r>
      <w:r w:rsidRPr="004A4600">
        <w:t xml:space="preserve">, the provided administration sets </w:t>
      </w:r>
      <w:r w:rsidR="00B43762">
        <w:t>are recommended to</w:t>
      </w:r>
      <w:r w:rsidR="00B43762" w:rsidRPr="004A4600">
        <w:t xml:space="preserve"> </w:t>
      </w:r>
      <w:r w:rsidRPr="004A4600">
        <w:t xml:space="preserve">be used because treatment failure can occur as a consequence of </w:t>
      </w:r>
      <w:r w:rsidR="00DE6429">
        <w:t>F</w:t>
      </w:r>
      <w:r w:rsidR="001F316E">
        <w:t>VIII</w:t>
      </w:r>
      <w:r w:rsidRPr="004A4600">
        <w:t xml:space="preserve"> adsorption to the internal surface of some injection equipment.</w:t>
      </w:r>
    </w:p>
    <w:p w14:paraId="066ADCEE" w14:textId="77777777" w:rsidR="00856F0C" w:rsidRDefault="00856F0C" w:rsidP="00856F0C">
      <w:pPr>
        <w:pStyle w:val="DocumentText"/>
      </w:pPr>
      <w:r w:rsidRPr="004A4600">
        <w:t>Care should be taken that no blood</w:t>
      </w:r>
      <w:r w:rsidRPr="00D17187">
        <w:t xml:space="preserve"> enters the syringe filled with </w:t>
      </w:r>
      <w:r w:rsidR="001F316E" w:rsidRPr="00BD06F2">
        <w:t>AFSTYLA</w:t>
      </w:r>
      <w:r w:rsidR="001F316E" w:rsidRPr="00BD06F2">
        <w:rPr>
          <w:vertAlign w:val="superscript"/>
        </w:rPr>
        <w:t>®</w:t>
      </w:r>
      <w:r w:rsidRPr="00D17187">
        <w:t>, as there is a risk that the blood could coagulate in the syringe and fibrin clots could therefore be administered to the patient.</w:t>
      </w:r>
    </w:p>
    <w:p w14:paraId="3B1A16EA" w14:textId="17C4F8ED" w:rsidR="00856F0C" w:rsidRDefault="00856F0C" w:rsidP="00893345">
      <w:pPr>
        <w:pStyle w:val="DocumentText"/>
      </w:pPr>
      <w:r w:rsidRPr="00D17187">
        <w:t xml:space="preserve">The </w:t>
      </w:r>
      <w:r w:rsidR="001F316E" w:rsidRPr="00BD06F2">
        <w:t>AFSTYLA</w:t>
      </w:r>
      <w:r w:rsidR="001F316E" w:rsidRPr="00BD06F2">
        <w:rPr>
          <w:vertAlign w:val="superscript"/>
        </w:rPr>
        <w:t>®</w:t>
      </w:r>
      <w:r w:rsidR="001332D9">
        <w:t xml:space="preserve"> </w:t>
      </w:r>
      <w:r w:rsidRPr="00D17187">
        <w:t>solution must not be diluted.</w:t>
      </w:r>
    </w:p>
    <w:p w14:paraId="72EDD5F6" w14:textId="77777777" w:rsidR="00137C30" w:rsidRPr="008467D4" w:rsidRDefault="00137C30" w:rsidP="008467D4">
      <w:pPr>
        <w:pStyle w:val="DocumentText"/>
        <w:keepNext/>
        <w:spacing w:before="120" w:after="120"/>
        <w:rPr>
          <w:i/>
        </w:rPr>
      </w:pPr>
      <w:r w:rsidRPr="008467D4">
        <w:rPr>
          <w:b/>
          <w:i/>
          <w:sz w:val="28"/>
        </w:rPr>
        <w:lastRenderedPageBreak/>
        <w:t>Administration</w:t>
      </w:r>
    </w:p>
    <w:p w14:paraId="29363F19" w14:textId="77777777" w:rsidR="00137C30" w:rsidRDefault="00856F0C" w:rsidP="00BE1AC6">
      <w:pPr>
        <w:pStyle w:val="DocumentText"/>
        <w:keepNext/>
      </w:pPr>
      <w:proofErr w:type="gramStart"/>
      <w:r w:rsidRPr="00D17187">
        <w:t>Intravenous use.</w:t>
      </w:r>
      <w:proofErr w:type="gramEnd"/>
    </w:p>
    <w:p w14:paraId="211F57CF" w14:textId="53AACF27" w:rsidR="00856F0C" w:rsidRDefault="00856F0C" w:rsidP="003C74A1">
      <w:pPr>
        <w:pStyle w:val="DocumentText"/>
      </w:pPr>
      <w:r w:rsidRPr="00785A68">
        <w:t xml:space="preserve">For instructions on reconstitution of the medicinal product before administration, see </w:t>
      </w:r>
      <w:r w:rsidR="00656ECD">
        <w:rPr>
          <w:b/>
        </w:rPr>
        <w:t>General instructions</w:t>
      </w:r>
      <w:r w:rsidRPr="00785A68">
        <w:t>. The reconstituted preparation should be injected slowly intravenously at a rate comfortable for the patient.</w:t>
      </w:r>
    </w:p>
    <w:p w14:paraId="4A785CBE" w14:textId="77777777" w:rsidR="001102F7" w:rsidRDefault="001102F7" w:rsidP="003C74A1">
      <w:pPr>
        <w:pStyle w:val="DocumentText"/>
      </w:pPr>
      <w:r w:rsidRPr="009E605D">
        <w:t xml:space="preserve">The patient should be observed for any immediate reaction. If any reaction takes place that might be related to the administration of </w:t>
      </w:r>
      <w:r w:rsidR="001F316E" w:rsidRPr="00BD06F2">
        <w:t>AFSTYLA</w:t>
      </w:r>
      <w:r w:rsidR="001F316E" w:rsidRPr="00BD06F2">
        <w:rPr>
          <w:vertAlign w:val="superscript"/>
        </w:rPr>
        <w:t>®</w:t>
      </w:r>
      <w:r w:rsidRPr="009E605D">
        <w:t>, the rate of injection should be decreased or the application should be stopped, as required by the clinical condition of the patient</w:t>
      </w:r>
      <w:r>
        <w:t>.</w:t>
      </w:r>
      <w:r w:rsidRPr="009E605D">
        <w:t xml:space="preserve"> </w:t>
      </w:r>
      <w:r>
        <w:t>S</w:t>
      </w:r>
      <w:r w:rsidRPr="009E605D">
        <w:t xml:space="preserve">ee </w:t>
      </w:r>
      <w:r w:rsidRPr="000003A2">
        <w:rPr>
          <w:b/>
        </w:rPr>
        <w:t>PRECAUTIONS</w:t>
      </w:r>
      <w:r w:rsidRPr="009E605D">
        <w:t>.</w:t>
      </w:r>
    </w:p>
    <w:p w14:paraId="068AB5E0" w14:textId="04D9648A" w:rsidR="00683D94" w:rsidRPr="0072554A" w:rsidRDefault="00683D94" w:rsidP="00683D94">
      <w:pPr>
        <w:pStyle w:val="DocumentText"/>
        <w:rPr>
          <w:lang w:val="en-AU"/>
        </w:rPr>
      </w:pPr>
      <w:proofErr w:type="gramStart"/>
      <w:r w:rsidRPr="0072554A" w:rsidDel="0004629A">
        <w:rPr>
          <w:lang w:val="en-AU"/>
        </w:rPr>
        <w:t>Use in one patient on one occasion only.</w:t>
      </w:r>
      <w:proofErr w:type="gramEnd"/>
    </w:p>
    <w:p w14:paraId="1270057B" w14:textId="77777777" w:rsidR="00683D94" w:rsidRPr="0072554A" w:rsidRDefault="00683D94" w:rsidP="00683D94">
      <w:pPr>
        <w:pStyle w:val="DocumentText"/>
        <w:rPr>
          <w:lang w:val="en-AU"/>
        </w:rPr>
      </w:pPr>
      <w:r w:rsidRPr="0072554A">
        <w:rPr>
          <w:lang w:val="en-AU"/>
        </w:rPr>
        <w:t>Any unused medicinal product or waste material should be disposed of in acco</w:t>
      </w:r>
      <w:r w:rsidR="00645A47">
        <w:rPr>
          <w:lang w:val="en-AU"/>
        </w:rPr>
        <w:t>rdance with local requirements.</w:t>
      </w:r>
    </w:p>
    <w:p w14:paraId="6E8EEE83" w14:textId="77777777" w:rsidR="00683D94" w:rsidRDefault="00FB1DC7" w:rsidP="00FB1DC7">
      <w:pPr>
        <w:pStyle w:val="DocumentText"/>
      </w:pPr>
      <w:r w:rsidRPr="00E90699">
        <w:t xml:space="preserve">It is strongly recommended that every time that </w:t>
      </w:r>
      <w:r w:rsidR="00FB0F5C">
        <w:t>AFSTYLA</w:t>
      </w:r>
      <w:r w:rsidR="00FB0F5C">
        <w:rPr>
          <w:vertAlign w:val="superscript"/>
        </w:rPr>
        <w:t>®</w:t>
      </w:r>
      <w:r w:rsidR="001332D9">
        <w:t xml:space="preserve"> </w:t>
      </w:r>
      <w:r w:rsidRPr="00E90699">
        <w:t>is administered to a patient, the name and batch number of the product are recorded in order to maintain a link between the patient and the batch of the medicinal product.</w:t>
      </w:r>
    </w:p>
    <w:p w14:paraId="7C610595" w14:textId="77777777" w:rsidR="00856F0C" w:rsidRPr="008467D4" w:rsidRDefault="00856F0C" w:rsidP="008467D4">
      <w:pPr>
        <w:pStyle w:val="DocumentText"/>
        <w:keepNext/>
        <w:spacing w:before="120" w:after="120"/>
        <w:rPr>
          <w:i/>
        </w:rPr>
      </w:pPr>
      <w:r w:rsidRPr="008467D4">
        <w:rPr>
          <w:b/>
          <w:i/>
          <w:sz w:val="28"/>
        </w:rPr>
        <w:t>Compatibility with other medicines</w:t>
      </w:r>
    </w:p>
    <w:p w14:paraId="312017D8" w14:textId="77777777" w:rsidR="00856F0C" w:rsidRPr="00B1677F" w:rsidRDefault="00856F0C" w:rsidP="00856F0C">
      <w:pPr>
        <w:pStyle w:val="DocumentText"/>
      </w:pPr>
      <w:r w:rsidRPr="000F3841">
        <w:t xml:space="preserve">In the absence of compatibility studies, this medicinal product must not be mixed with other medicinal products, diluents or solvents except those mentioned in </w:t>
      </w:r>
      <w:r w:rsidRPr="00DA5358">
        <w:t xml:space="preserve">section </w:t>
      </w:r>
      <w:r w:rsidRPr="00DA5358">
        <w:rPr>
          <w:b/>
        </w:rPr>
        <w:t>DESCRIPTION</w:t>
      </w:r>
      <w:r w:rsidRPr="00DA5358">
        <w:t>.</w:t>
      </w:r>
    </w:p>
    <w:p w14:paraId="373F96E8" w14:textId="77777777" w:rsidR="00137C30" w:rsidRPr="00B1677F" w:rsidRDefault="00137C30" w:rsidP="00393118">
      <w:pPr>
        <w:pStyle w:val="Heading2"/>
        <w:numPr>
          <w:ilvl w:val="0"/>
          <w:numId w:val="0"/>
        </w:numPr>
        <w:ind w:left="1901" w:hanging="1901"/>
      </w:pPr>
      <w:r w:rsidRPr="00B1677F">
        <w:t>OVERDOSAGE</w:t>
      </w:r>
    </w:p>
    <w:p w14:paraId="1D8D092A" w14:textId="77777777" w:rsidR="00137C30" w:rsidRDefault="00856F0C" w:rsidP="00393118">
      <w:pPr>
        <w:pStyle w:val="DocumentText"/>
      </w:pPr>
      <w:r w:rsidRPr="00D17187">
        <w:t xml:space="preserve">No symptoms of overdose with </w:t>
      </w:r>
      <w:r w:rsidR="001F316E" w:rsidRPr="00BD06F2">
        <w:t>AFSTYLA</w:t>
      </w:r>
      <w:r w:rsidR="001F316E" w:rsidRPr="00BD06F2">
        <w:rPr>
          <w:vertAlign w:val="superscript"/>
        </w:rPr>
        <w:t>®</w:t>
      </w:r>
      <w:r w:rsidR="001332D9">
        <w:t xml:space="preserve"> </w:t>
      </w:r>
      <w:r w:rsidRPr="00D17187">
        <w:t>have been reported.</w:t>
      </w:r>
      <w:r w:rsidR="001F316E">
        <w:t xml:space="preserve"> One patient was reported to have received more than double the prescribed dose. No related adverse events were reported with this overdose.</w:t>
      </w:r>
    </w:p>
    <w:p w14:paraId="6A47F4E7" w14:textId="0EA50712" w:rsidR="008F4924" w:rsidRDefault="008F4924" w:rsidP="008F4924">
      <w:pPr>
        <w:pStyle w:val="DocumentText"/>
        <w:spacing w:after="0"/>
      </w:pPr>
      <w:r>
        <w:t>For general advice on overdose management, contact the Poisons Information Centre on</w:t>
      </w:r>
    </w:p>
    <w:p w14:paraId="17703458" w14:textId="6DB5D43D" w:rsidR="008F4924" w:rsidRPr="00B1677F" w:rsidRDefault="008F4924" w:rsidP="0088439A">
      <w:pPr>
        <w:pStyle w:val="DocumentText"/>
      </w:pPr>
      <w:proofErr w:type="gramStart"/>
      <w:r>
        <w:t>131 126.</w:t>
      </w:r>
      <w:proofErr w:type="gramEnd"/>
    </w:p>
    <w:p w14:paraId="4C88F5D4" w14:textId="1390A1EA" w:rsidR="00D71473" w:rsidRDefault="005B39D4" w:rsidP="00D71473">
      <w:pPr>
        <w:pStyle w:val="Heading2"/>
        <w:numPr>
          <w:ilvl w:val="0"/>
          <w:numId w:val="0"/>
        </w:numPr>
        <w:ind w:left="1901" w:hanging="1901"/>
      </w:pPr>
      <w:r w:rsidRPr="00B1677F">
        <w:t>PRESENTATION</w:t>
      </w:r>
      <w:r w:rsidR="001B7CD7" w:rsidRPr="00B1677F">
        <w:t xml:space="preserve"> AND STORAGE CONDITIONS</w:t>
      </w:r>
    </w:p>
    <w:p w14:paraId="7543E4A6" w14:textId="1E2414C9" w:rsidR="004418FD" w:rsidRDefault="008611BA" w:rsidP="004418FD">
      <w:pPr>
        <w:pStyle w:val="DocumentText"/>
      </w:pPr>
      <w:r>
        <w:t>Store</w:t>
      </w:r>
      <w:r w:rsidRPr="00A607D3">
        <w:t xml:space="preserve"> at 2</w:t>
      </w:r>
      <w:r w:rsidR="0040649A">
        <w:t xml:space="preserve">°C to </w:t>
      </w:r>
      <w:r w:rsidR="001F316E">
        <w:t>8</w:t>
      </w:r>
      <w:r w:rsidRPr="00A607D3">
        <w:t>°C.</w:t>
      </w:r>
      <w:r w:rsidR="00D71473" w:rsidRPr="00D71473">
        <w:t xml:space="preserve"> </w:t>
      </w:r>
      <w:r w:rsidR="00D71473">
        <w:t>Refrigerate (</w:t>
      </w:r>
      <w:r w:rsidR="00D71473" w:rsidRPr="00A607D3">
        <w:t>Do not freeze</w:t>
      </w:r>
      <w:r w:rsidR="00D71473">
        <w:t>)</w:t>
      </w:r>
      <w:r w:rsidR="00D71473" w:rsidRPr="00A607D3">
        <w:t>.</w:t>
      </w:r>
    </w:p>
    <w:p w14:paraId="48A7A260" w14:textId="42818287" w:rsidR="004418FD" w:rsidRPr="0040649A" w:rsidRDefault="004418FD" w:rsidP="004418FD">
      <w:pPr>
        <w:pStyle w:val="DocumentText"/>
      </w:pPr>
      <w:r w:rsidRPr="00BD06F2">
        <w:lastRenderedPageBreak/>
        <w:t>AFSTYLA</w:t>
      </w:r>
      <w:r w:rsidRPr="00BD06F2">
        <w:rPr>
          <w:vertAlign w:val="superscript"/>
        </w:rPr>
        <w:t>®</w:t>
      </w:r>
      <w:r>
        <w:t xml:space="preserve"> may be stored at room temperature</w:t>
      </w:r>
      <w:r w:rsidR="00D71473" w:rsidDel="00D71473">
        <w:t xml:space="preserve"> </w:t>
      </w:r>
      <w:r w:rsidR="00D71473">
        <w:t>(up to</w:t>
      </w:r>
      <w:r>
        <w:t xml:space="preserve"> 25°C</w:t>
      </w:r>
      <w:r w:rsidR="00D71473">
        <w:t xml:space="preserve">) </w:t>
      </w:r>
      <w:r>
        <w:t>for a single period of up to 3 months</w:t>
      </w:r>
      <w:r w:rsidR="00995EDD">
        <w:t xml:space="preserve"> and then discarded</w:t>
      </w:r>
      <w:r w:rsidR="00D71473">
        <w:t>.</w:t>
      </w:r>
      <w:r w:rsidR="00995EDD">
        <w:t xml:space="preserve"> Do not return AFSTYLA</w:t>
      </w:r>
      <w:r w:rsidR="00061827" w:rsidRPr="00061827">
        <w:rPr>
          <w:vertAlign w:val="superscript"/>
        </w:rPr>
        <w:t>®</w:t>
      </w:r>
      <w:r w:rsidR="00995EDD" w:rsidRPr="00061827">
        <w:rPr>
          <w:vertAlign w:val="superscript"/>
        </w:rPr>
        <w:t xml:space="preserve"> </w:t>
      </w:r>
      <w:r w:rsidR="00995EDD">
        <w:t>to refrigeration after storage at room temperature.</w:t>
      </w:r>
      <w:r w:rsidR="00DB2A1F" w:rsidRPr="00DB2A1F">
        <w:rPr>
          <w:noProof/>
          <w:lang w:val="en-AU" w:eastAsia="en-AU"/>
        </w:rPr>
        <w:t xml:space="preserve"> </w:t>
      </w:r>
    </w:p>
    <w:p w14:paraId="04772365" w14:textId="0A4A6ECA" w:rsidR="00085871" w:rsidRPr="00A07B1E" w:rsidRDefault="00085871" w:rsidP="00085871">
      <w:pPr>
        <w:pStyle w:val="DocumentText"/>
      </w:pPr>
      <w:r w:rsidRPr="00A07B1E">
        <w:rPr>
          <w:lang w:val="en-AU"/>
        </w:rPr>
        <w:t>Do not</w:t>
      </w:r>
      <w:r>
        <w:rPr>
          <w:lang w:val="en-AU"/>
        </w:rPr>
        <w:t xml:space="preserve"> </w:t>
      </w:r>
      <w:r w:rsidRPr="00A07B1E">
        <w:rPr>
          <w:lang w:val="en-AU"/>
        </w:rPr>
        <w:t xml:space="preserve">use </w:t>
      </w:r>
      <w:r>
        <w:rPr>
          <w:lang w:val="en-AU"/>
        </w:rPr>
        <w:t>AFSTYLA</w:t>
      </w:r>
      <w:r w:rsidR="00E805F9">
        <w:rPr>
          <w:vertAlign w:val="superscript"/>
          <w:lang w:val="en-AU"/>
        </w:rPr>
        <w:t>®</w:t>
      </w:r>
      <w:r>
        <w:rPr>
          <w:lang w:val="en-AU"/>
        </w:rPr>
        <w:t xml:space="preserve"> </w:t>
      </w:r>
      <w:r w:rsidR="00061827">
        <w:rPr>
          <w:lang w:val="en-AU"/>
        </w:rPr>
        <w:t>after the</w:t>
      </w:r>
      <w:r w:rsidRPr="00A07B1E">
        <w:rPr>
          <w:lang w:val="en-AU"/>
        </w:rPr>
        <w:t xml:space="preserve"> expiry date.</w:t>
      </w:r>
    </w:p>
    <w:p w14:paraId="41403FF3" w14:textId="77777777" w:rsidR="00D71473" w:rsidRDefault="00D71473" w:rsidP="004418FD">
      <w:pPr>
        <w:pStyle w:val="DocumentText"/>
      </w:pPr>
      <w:r w:rsidRPr="00A607D3">
        <w:t>Keep vials in the outer carton in order to protect from light.</w:t>
      </w:r>
    </w:p>
    <w:p w14:paraId="75F6889D" w14:textId="471B287F" w:rsidR="00E86C90" w:rsidRPr="00E86C90" w:rsidRDefault="00E86C90" w:rsidP="004418FD">
      <w:pPr>
        <w:pStyle w:val="DocumentText"/>
      </w:pPr>
      <w:r>
        <w:rPr>
          <w:lang w:val="en-AU"/>
        </w:rPr>
        <w:t>AFSTYLA</w:t>
      </w:r>
      <w:r>
        <w:rPr>
          <w:vertAlign w:val="superscript"/>
          <w:lang w:val="en-AU"/>
        </w:rPr>
        <w:t>®</w:t>
      </w:r>
      <w:r>
        <w:rPr>
          <w:lang w:val="en-AU"/>
        </w:rPr>
        <w:t xml:space="preserve"> should be used as soon as possible after reconstitution and within 4 hours at </w:t>
      </w:r>
      <w:r w:rsidR="007E1FE6">
        <w:rPr>
          <w:lang w:val="en-AU"/>
        </w:rPr>
        <w:t xml:space="preserve">or below </w:t>
      </w:r>
      <w:r>
        <w:rPr>
          <w:lang w:val="en-AU"/>
        </w:rPr>
        <w:t>25°C.</w:t>
      </w:r>
    </w:p>
    <w:p w14:paraId="60F017EB" w14:textId="77777777" w:rsidR="00D9655A" w:rsidRPr="00A07B1E" w:rsidRDefault="00D9655A" w:rsidP="007C4B9F">
      <w:pPr>
        <w:pStyle w:val="Heading3"/>
        <w:numPr>
          <w:ilvl w:val="0"/>
          <w:numId w:val="0"/>
        </w:numPr>
        <w:ind w:left="2138" w:hanging="2138"/>
      </w:pPr>
      <w:r w:rsidRPr="00A07B1E">
        <w:t>Presentation</w:t>
      </w:r>
    </w:p>
    <w:p w14:paraId="5ECC44A1" w14:textId="12871376" w:rsidR="00D9655A" w:rsidRPr="005F2088" w:rsidRDefault="00D9655A" w:rsidP="007C4B9F">
      <w:pPr>
        <w:pStyle w:val="DocumentText"/>
        <w:keepNext/>
      </w:pPr>
      <w:r>
        <w:t>AFSTYLA</w:t>
      </w:r>
      <w:r w:rsidRPr="005F2088">
        <w:rPr>
          <w:vertAlign w:val="superscript"/>
        </w:rPr>
        <w:t>®</w:t>
      </w:r>
      <w:r w:rsidRPr="005F2088">
        <w:t xml:space="preserve"> is </w:t>
      </w:r>
      <w:r>
        <w:t>available in the following presentations:</w:t>
      </w:r>
    </w:p>
    <w:p w14:paraId="117F215F" w14:textId="64890077" w:rsidR="00856F0C" w:rsidRPr="00A07B1E" w:rsidRDefault="00856F0C" w:rsidP="007C4B9F">
      <w:pPr>
        <w:pStyle w:val="DocumentText"/>
        <w:keepNext/>
        <w:numPr>
          <w:ilvl w:val="0"/>
          <w:numId w:val="6"/>
        </w:numPr>
        <w:spacing w:after="120"/>
        <w:ind w:left="357" w:hanging="357"/>
      </w:pPr>
      <w:r w:rsidRPr="00A07B1E">
        <w:t>Powder (250/500/1000</w:t>
      </w:r>
      <w:r w:rsidR="00E7365E">
        <w:t> </w:t>
      </w:r>
      <w:r w:rsidRPr="00A07B1E">
        <w:t>IU) in a</w:t>
      </w:r>
      <w:r w:rsidR="001960A1">
        <w:t xml:space="preserve"> 5</w:t>
      </w:r>
      <w:r w:rsidR="007B7554">
        <w:t> </w:t>
      </w:r>
      <w:r w:rsidR="001960A1">
        <w:t>mL</w:t>
      </w:r>
      <w:r w:rsidRPr="00A07B1E">
        <w:t xml:space="preserve"> vial (type</w:t>
      </w:r>
      <w:r w:rsidR="00645A47" w:rsidRPr="00A07B1E">
        <w:t> </w:t>
      </w:r>
      <w:r w:rsidRPr="00A07B1E">
        <w:t xml:space="preserve">I glass), with a stopper (rubber) a disc </w:t>
      </w:r>
      <w:r w:rsidR="00C26C99" w:rsidRPr="00A07B1E">
        <w:t>(plastic) and a cap (aluminium)</w:t>
      </w:r>
    </w:p>
    <w:p w14:paraId="552FE678" w14:textId="5911E710" w:rsidR="00856F0C" w:rsidRDefault="00856F0C" w:rsidP="00297E8D">
      <w:pPr>
        <w:pStyle w:val="DocumentText"/>
        <w:keepNext/>
        <w:spacing w:after="120"/>
        <w:ind w:left="357"/>
      </w:pPr>
      <w:r w:rsidRPr="00A07B1E">
        <w:t xml:space="preserve">2.5 mL of </w:t>
      </w:r>
      <w:r w:rsidR="00E86C90">
        <w:rPr>
          <w:kern w:val="0"/>
          <w:lang w:val="en-AU"/>
        </w:rPr>
        <w:t>W</w:t>
      </w:r>
      <w:r w:rsidR="009D03D3" w:rsidRPr="00A07B1E">
        <w:rPr>
          <w:kern w:val="0"/>
          <w:lang w:val="en-AU"/>
        </w:rPr>
        <w:t xml:space="preserve">ater for </w:t>
      </w:r>
      <w:r w:rsidR="00E86C90">
        <w:rPr>
          <w:kern w:val="0"/>
          <w:lang w:val="en-AU"/>
        </w:rPr>
        <w:t>I</w:t>
      </w:r>
      <w:r w:rsidR="009D03D3" w:rsidRPr="00A07B1E">
        <w:rPr>
          <w:kern w:val="0"/>
          <w:lang w:val="en-AU"/>
        </w:rPr>
        <w:t>njections</w:t>
      </w:r>
      <w:r w:rsidR="00CD2E70" w:rsidRPr="00A07B1E">
        <w:rPr>
          <w:kern w:val="0"/>
          <w:lang w:val="en-AU"/>
        </w:rPr>
        <w:t xml:space="preserve"> </w:t>
      </w:r>
      <w:r w:rsidRPr="00A07B1E">
        <w:t>in a vial (type</w:t>
      </w:r>
      <w:r w:rsidR="00645A47" w:rsidRPr="00A07B1E">
        <w:t> </w:t>
      </w:r>
      <w:r w:rsidRPr="00A07B1E">
        <w:t xml:space="preserve">I glass), with a stopper (rubber) a disc </w:t>
      </w:r>
      <w:r w:rsidR="00C26C99" w:rsidRPr="00A07B1E">
        <w:t>(plastic) and a cap (aluminium)</w:t>
      </w:r>
    </w:p>
    <w:p w14:paraId="29A962D6" w14:textId="73A7B99A" w:rsidR="00F829E8" w:rsidRDefault="00F829E8" w:rsidP="00F829E8">
      <w:pPr>
        <w:pStyle w:val="DocumentText"/>
        <w:keepNext/>
        <w:numPr>
          <w:ilvl w:val="0"/>
          <w:numId w:val="6"/>
        </w:numPr>
        <w:spacing w:after="120"/>
        <w:ind w:left="357" w:hanging="357"/>
      </w:pPr>
      <w:r w:rsidRPr="00A607D3">
        <w:t>Powder (</w:t>
      </w:r>
      <w:r w:rsidR="001960A1">
        <w:t>1500/</w:t>
      </w:r>
      <w:r w:rsidRPr="00A607D3">
        <w:t>2000</w:t>
      </w:r>
      <w:r>
        <w:t>/</w:t>
      </w:r>
      <w:r w:rsidR="001960A1">
        <w:t>2500/</w:t>
      </w:r>
      <w:r>
        <w:t>3000</w:t>
      </w:r>
      <w:r w:rsidRPr="00A607D3">
        <w:t xml:space="preserve"> IU) in a 10 mL vial (type I glass), with a stopper (rubber) a disc </w:t>
      </w:r>
      <w:r>
        <w:t>(plastic) and a cap (aluminium)</w:t>
      </w:r>
    </w:p>
    <w:p w14:paraId="62416C07" w14:textId="36381116" w:rsidR="00F829E8" w:rsidRPr="00A07B1E" w:rsidRDefault="00F829E8" w:rsidP="00C124A2">
      <w:pPr>
        <w:pStyle w:val="DocumentText"/>
        <w:ind w:left="357"/>
      </w:pPr>
      <w:r w:rsidRPr="00A607D3">
        <w:t xml:space="preserve">5 mL of </w:t>
      </w:r>
      <w:r w:rsidR="00E86C90">
        <w:rPr>
          <w:kern w:val="0"/>
          <w:lang w:val="en-AU"/>
        </w:rPr>
        <w:t>W</w:t>
      </w:r>
      <w:r>
        <w:rPr>
          <w:kern w:val="0"/>
          <w:lang w:val="en-AU"/>
        </w:rPr>
        <w:t xml:space="preserve">ater for </w:t>
      </w:r>
      <w:r w:rsidR="00E86C90">
        <w:rPr>
          <w:kern w:val="0"/>
          <w:lang w:val="en-AU"/>
        </w:rPr>
        <w:t>I</w:t>
      </w:r>
      <w:r>
        <w:rPr>
          <w:kern w:val="0"/>
          <w:lang w:val="en-AU"/>
        </w:rPr>
        <w:t xml:space="preserve">njections </w:t>
      </w:r>
      <w:r w:rsidRPr="00A607D3">
        <w:t>in a vial (type</w:t>
      </w:r>
      <w:r>
        <w:t> </w:t>
      </w:r>
      <w:r w:rsidRPr="00A607D3">
        <w:t>I glass), with a stopper (rubber) a disc (plastic) and a cap (aluminium).</w:t>
      </w:r>
    </w:p>
    <w:p w14:paraId="0F3C754E" w14:textId="77777777" w:rsidR="00C124A2" w:rsidRPr="00D9655A" w:rsidDel="00D9655A" w:rsidRDefault="00C124A2" w:rsidP="00C124A2">
      <w:pPr>
        <w:pStyle w:val="DocumentText"/>
        <w:keepNext/>
      </w:pPr>
      <w:r>
        <w:t>AFSTYLA</w:t>
      </w:r>
      <w:r w:rsidRPr="005F2088">
        <w:rPr>
          <w:vertAlign w:val="superscript"/>
        </w:rPr>
        <w:t>®</w:t>
      </w:r>
      <w:r>
        <w:t xml:space="preserve"> is supplied as:</w:t>
      </w:r>
    </w:p>
    <w:p w14:paraId="0A456326" w14:textId="1A77B7EB" w:rsidR="00FC1805" w:rsidRPr="00B50261" w:rsidRDefault="00FC1805" w:rsidP="00C124A2">
      <w:pPr>
        <w:pStyle w:val="DocumentText"/>
        <w:keepNext/>
        <w:spacing w:before="120" w:after="120"/>
        <w:rPr>
          <w:b/>
          <w:i/>
        </w:rPr>
      </w:pPr>
      <w:r w:rsidRPr="00B50261">
        <w:rPr>
          <w:b/>
          <w:i/>
        </w:rPr>
        <w:t>One pack with 250</w:t>
      </w:r>
      <w:r w:rsidR="00A763E7" w:rsidRPr="00B50261">
        <w:rPr>
          <w:b/>
          <w:i/>
        </w:rPr>
        <w:t xml:space="preserve">, </w:t>
      </w:r>
      <w:r w:rsidRPr="00B50261">
        <w:rPr>
          <w:b/>
          <w:i/>
        </w:rPr>
        <w:t>500</w:t>
      </w:r>
      <w:r w:rsidR="00F829E8" w:rsidRPr="00B50261">
        <w:rPr>
          <w:b/>
          <w:i/>
        </w:rPr>
        <w:t xml:space="preserve"> or </w:t>
      </w:r>
      <w:r w:rsidR="00A07B1E" w:rsidRPr="00B50261">
        <w:rPr>
          <w:b/>
          <w:i/>
        </w:rPr>
        <w:t>1000</w:t>
      </w:r>
      <w:r w:rsidR="007B7554" w:rsidRPr="00B50261">
        <w:rPr>
          <w:b/>
          <w:i/>
        </w:rPr>
        <w:t> </w:t>
      </w:r>
      <w:r w:rsidRPr="00B50261">
        <w:rPr>
          <w:b/>
          <w:i/>
        </w:rPr>
        <w:t>IU containing:</w:t>
      </w:r>
    </w:p>
    <w:p w14:paraId="22F96A5F" w14:textId="77777777" w:rsidR="00FC1805" w:rsidRPr="00C247E1" w:rsidRDefault="00FC1805" w:rsidP="00F21DD8">
      <w:pPr>
        <w:pStyle w:val="DocumentText"/>
        <w:keepNext/>
        <w:spacing w:after="0"/>
        <w:rPr>
          <w:lang w:val="en-AU"/>
        </w:rPr>
      </w:pPr>
      <w:r w:rsidRPr="00C247E1">
        <w:rPr>
          <w:lang w:val="en-AU"/>
        </w:rPr>
        <w:t>1</w:t>
      </w:r>
      <w:r w:rsidR="00645A47" w:rsidRPr="00C247E1">
        <w:rPr>
          <w:lang w:val="en-AU"/>
        </w:rPr>
        <w:t> </w:t>
      </w:r>
      <w:r w:rsidRPr="00C247E1">
        <w:rPr>
          <w:lang w:val="en-AU"/>
        </w:rPr>
        <w:t>vial with powder</w:t>
      </w:r>
    </w:p>
    <w:p w14:paraId="33789ED9" w14:textId="77777777" w:rsidR="00555907" w:rsidRDefault="00FC1805" w:rsidP="007A3AC1">
      <w:pPr>
        <w:pStyle w:val="DocumentText"/>
        <w:keepNext/>
        <w:spacing w:after="0"/>
        <w:rPr>
          <w:lang w:val="en-AU"/>
        </w:rPr>
      </w:pPr>
      <w:r w:rsidRPr="00C247E1">
        <w:rPr>
          <w:lang w:val="en-AU"/>
        </w:rPr>
        <w:t>1</w:t>
      </w:r>
      <w:r w:rsidR="00645A47" w:rsidRPr="00C247E1">
        <w:rPr>
          <w:lang w:val="en-AU"/>
        </w:rPr>
        <w:t> </w:t>
      </w:r>
      <w:r w:rsidRPr="00C247E1">
        <w:rPr>
          <w:lang w:val="en-AU"/>
        </w:rPr>
        <w:t>vial with 2.5</w:t>
      </w:r>
      <w:r w:rsidR="00645A47" w:rsidRPr="00C247E1">
        <w:rPr>
          <w:lang w:val="en-AU"/>
        </w:rPr>
        <w:t> </w:t>
      </w:r>
      <w:r w:rsidRPr="00C247E1">
        <w:rPr>
          <w:lang w:val="en-AU"/>
        </w:rPr>
        <w:t xml:space="preserve">mL </w:t>
      </w:r>
      <w:r w:rsidR="00E86C90">
        <w:rPr>
          <w:lang w:val="en-AU"/>
        </w:rPr>
        <w:t>W</w:t>
      </w:r>
      <w:r w:rsidRPr="00C247E1">
        <w:rPr>
          <w:lang w:val="en-AU"/>
        </w:rPr>
        <w:t xml:space="preserve">ater for </w:t>
      </w:r>
      <w:r w:rsidR="00E86C90">
        <w:rPr>
          <w:lang w:val="en-AU"/>
        </w:rPr>
        <w:t>I</w:t>
      </w:r>
      <w:r w:rsidRPr="00C247E1">
        <w:rPr>
          <w:lang w:val="en-AU"/>
        </w:rPr>
        <w:t>njections</w:t>
      </w:r>
    </w:p>
    <w:p w14:paraId="7F0CA83E" w14:textId="3572CAF7" w:rsidR="00FC1805" w:rsidRPr="007A3AC1" w:rsidRDefault="00FC1805" w:rsidP="007A3AC1">
      <w:pPr>
        <w:pStyle w:val="DocumentText"/>
        <w:keepNext/>
        <w:spacing w:after="0"/>
        <w:rPr>
          <w:i/>
        </w:rPr>
      </w:pPr>
      <w:r w:rsidRPr="007A3AC1">
        <w:rPr>
          <w:i/>
        </w:rPr>
        <w:t xml:space="preserve">One </w:t>
      </w:r>
      <w:r w:rsidR="00A763E7" w:rsidRPr="007A3AC1">
        <w:rPr>
          <w:i/>
        </w:rPr>
        <w:t xml:space="preserve">administration </w:t>
      </w:r>
      <w:r w:rsidRPr="007A3AC1">
        <w:rPr>
          <w:i/>
        </w:rPr>
        <w:t>pack containing:</w:t>
      </w:r>
    </w:p>
    <w:p w14:paraId="78F205CF" w14:textId="264EAD9C" w:rsidR="00A763E7" w:rsidRPr="00C247E1" w:rsidRDefault="00A07B1E" w:rsidP="007A3AC1">
      <w:pPr>
        <w:pStyle w:val="DocumentText"/>
        <w:spacing w:after="0"/>
        <w:rPr>
          <w:lang w:val="en-AU"/>
        </w:rPr>
      </w:pPr>
      <w:r w:rsidRPr="00C247E1">
        <w:rPr>
          <w:lang w:val="en-AU"/>
        </w:rPr>
        <w:t xml:space="preserve">1 </w:t>
      </w:r>
      <w:r w:rsidR="00A763E7" w:rsidRPr="00C247E1">
        <w:rPr>
          <w:lang w:val="en-AU"/>
        </w:rPr>
        <w:t>filter transfer set 20/20</w:t>
      </w:r>
    </w:p>
    <w:p w14:paraId="06F8E655" w14:textId="77777777" w:rsidR="00656ECD" w:rsidRPr="00C247E1" w:rsidRDefault="00656ECD" w:rsidP="007A3AC1">
      <w:pPr>
        <w:pStyle w:val="DocumentText"/>
        <w:spacing w:after="0"/>
        <w:rPr>
          <w:lang w:val="en-AU"/>
        </w:rPr>
      </w:pPr>
      <w:r w:rsidRPr="00C247E1">
        <w:rPr>
          <w:lang w:val="en-AU"/>
        </w:rPr>
        <w:t>1 syringe (5 mL)</w:t>
      </w:r>
    </w:p>
    <w:p w14:paraId="239F5068" w14:textId="099AA097" w:rsidR="00A07B1E" w:rsidRPr="00C247E1" w:rsidRDefault="00A763E7" w:rsidP="007A3AC1">
      <w:pPr>
        <w:pStyle w:val="DocumentText"/>
        <w:spacing w:after="0"/>
        <w:rPr>
          <w:lang w:val="en-AU"/>
        </w:rPr>
      </w:pPr>
      <w:r w:rsidRPr="00C247E1">
        <w:rPr>
          <w:lang w:val="en-AU"/>
        </w:rPr>
        <w:t xml:space="preserve">1 </w:t>
      </w:r>
      <w:proofErr w:type="spellStart"/>
      <w:r w:rsidR="008F2333" w:rsidRPr="00C247E1">
        <w:rPr>
          <w:lang w:val="en-AU"/>
        </w:rPr>
        <w:t>ven</w:t>
      </w:r>
      <w:r w:rsidR="00C36F37">
        <w:rPr>
          <w:lang w:val="en-AU"/>
        </w:rPr>
        <w:t>i</w:t>
      </w:r>
      <w:r w:rsidR="008F2333" w:rsidRPr="00C247E1">
        <w:rPr>
          <w:lang w:val="en-AU"/>
        </w:rPr>
        <w:t>puncture</w:t>
      </w:r>
      <w:proofErr w:type="spellEnd"/>
      <w:r w:rsidR="008F2333" w:rsidRPr="00C247E1">
        <w:rPr>
          <w:lang w:val="en-AU"/>
        </w:rPr>
        <w:t xml:space="preserve"> </w:t>
      </w:r>
      <w:r w:rsidR="00A07B1E" w:rsidRPr="00C247E1">
        <w:rPr>
          <w:lang w:val="en-AU"/>
        </w:rPr>
        <w:t>set (butterfly)</w:t>
      </w:r>
    </w:p>
    <w:p w14:paraId="5ADB58FA" w14:textId="77777777" w:rsidR="00656ECD" w:rsidRDefault="00656ECD" w:rsidP="007A3AC1">
      <w:pPr>
        <w:pStyle w:val="DocumentText"/>
        <w:spacing w:after="0"/>
        <w:rPr>
          <w:lang w:val="en-AU"/>
        </w:rPr>
      </w:pPr>
      <w:r w:rsidRPr="00C247E1">
        <w:rPr>
          <w:lang w:val="en-AU"/>
        </w:rPr>
        <w:t>2 alcohol swabs</w:t>
      </w:r>
    </w:p>
    <w:p w14:paraId="31DC5F41" w14:textId="2BF158FF" w:rsidR="00A07B1E" w:rsidRPr="00C247E1" w:rsidRDefault="00A07B1E" w:rsidP="007A3AC1">
      <w:pPr>
        <w:pStyle w:val="DocumentText"/>
        <w:spacing w:after="0"/>
        <w:rPr>
          <w:lang w:val="en-AU"/>
        </w:rPr>
      </w:pPr>
      <w:r w:rsidRPr="00C247E1">
        <w:rPr>
          <w:lang w:val="en-AU"/>
        </w:rPr>
        <w:t>1 plaster (not sterile)</w:t>
      </w:r>
    </w:p>
    <w:p w14:paraId="349DBEA2" w14:textId="7358D939" w:rsidR="00D66F11" w:rsidRPr="00C247E1" w:rsidRDefault="00656ECD" w:rsidP="00C247E1">
      <w:pPr>
        <w:pStyle w:val="DocumentText"/>
        <w:spacing w:after="0" w:line="240" w:lineRule="auto"/>
        <w:rPr>
          <w:lang w:val="en-AU"/>
        </w:rPr>
      </w:pPr>
      <w:r w:rsidRPr="00C247E1">
        <w:rPr>
          <w:lang w:val="en-AU"/>
        </w:rPr>
        <w:t xml:space="preserve"> </w:t>
      </w:r>
    </w:p>
    <w:p w14:paraId="01FB72F4" w14:textId="2EC9D5CF" w:rsidR="00F829E8" w:rsidRPr="00B50261" w:rsidRDefault="00F829E8" w:rsidP="00F21DD8">
      <w:pPr>
        <w:pStyle w:val="DocumentText"/>
        <w:keepNext/>
        <w:spacing w:before="120" w:after="120"/>
        <w:rPr>
          <w:b/>
          <w:i/>
        </w:rPr>
      </w:pPr>
      <w:r w:rsidRPr="00B50261">
        <w:rPr>
          <w:b/>
          <w:i/>
        </w:rPr>
        <w:lastRenderedPageBreak/>
        <w:t xml:space="preserve">One pack with </w:t>
      </w:r>
      <w:r w:rsidR="00A763E7" w:rsidRPr="00B50261">
        <w:rPr>
          <w:b/>
          <w:i/>
        </w:rPr>
        <w:t xml:space="preserve">1500, </w:t>
      </w:r>
      <w:r w:rsidRPr="00B50261">
        <w:rPr>
          <w:b/>
          <w:i/>
        </w:rPr>
        <w:t>2000</w:t>
      </w:r>
      <w:r w:rsidR="00A763E7" w:rsidRPr="00B50261">
        <w:rPr>
          <w:b/>
          <w:i/>
        </w:rPr>
        <w:t>, 2500</w:t>
      </w:r>
      <w:r w:rsidRPr="00B50261">
        <w:rPr>
          <w:b/>
          <w:i/>
        </w:rPr>
        <w:t xml:space="preserve"> or 3000</w:t>
      </w:r>
      <w:r w:rsidR="004418FD" w:rsidRPr="00B50261">
        <w:rPr>
          <w:b/>
          <w:i/>
        </w:rPr>
        <w:t> </w:t>
      </w:r>
      <w:r w:rsidRPr="00B50261">
        <w:rPr>
          <w:b/>
          <w:i/>
        </w:rPr>
        <w:t>IU containing:</w:t>
      </w:r>
    </w:p>
    <w:p w14:paraId="26759A30" w14:textId="77777777" w:rsidR="00F829E8" w:rsidRPr="00C247E1" w:rsidRDefault="00F829E8" w:rsidP="00F21DD8">
      <w:pPr>
        <w:pStyle w:val="DocumentText"/>
        <w:keepNext/>
        <w:spacing w:after="0"/>
        <w:rPr>
          <w:lang w:val="en-AU"/>
        </w:rPr>
      </w:pPr>
      <w:r w:rsidRPr="00C247E1">
        <w:rPr>
          <w:lang w:val="en-AU"/>
        </w:rPr>
        <w:t>1 vial with powder</w:t>
      </w:r>
    </w:p>
    <w:p w14:paraId="2A591C14" w14:textId="77777777" w:rsidR="00555907" w:rsidRDefault="00F829E8" w:rsidP="007A3AC1">
      <w:pPr>
        <w:pStyle w:val="DocumentText"/>
        <w:keepNext/>
        <w:spacing w:after="0"/>
        <w:rPr>
          <w:lang w:val="en-AU"/>
        </w:rPr>
      </w:pPr>
      <w:r w:rsidRPr="00C247E1">
        <w:rPr>
          <w:lang w:val="en-AU"/>
        </w:rPr>
        <w:t xml:space="preserve">1 vial with 5 mL </w:t>
      </w:r>
      <w:r w:rsidR="00E86C90">
        <w:rPr>
          <w:lang w:val="en-AU"/>
        </w:rPr>
        <w:t>W</w:t>
      </w:r>
      <w:r w:rsidRPr="00C247E1">
        <w:rPr>
          <w:lang w:val="en-AU"/>
        </w:rPr>
        <w:t xml:space="preserve">ater for </w:t>
      </w:r>
      <w:r w:rsidR="00E86C90">
        <w:rPr>
          <w:lang w:val="en-AU"/>
        </w:rPr>
        <w:t>I</w:t>
      </w:r>
      <w:r w:rsidRPr="00C247E1">
        <w:rPr>
          <w:lang w:val="en-AU"/>
        </w:rPr>
        <w:t>njections</w:t>
      </w:r>
    </w:p>
    <w:p w14:paraId="5D86BB78" w14:textId="3796E915" w:rsidR="00F829E8" w:rsidRPr="007A3AC1" w:rsidRDefault="00F829E8" w:rsidP="007A3AC1">
      <w:pPr>
        <w:pStyle w:val="DocumentText"/>
        <w:keepNext/>
        <w:spacing w:after="0"/>
        <w:rPr>
          <w:i/>
        </w:rPr>
      </w:pPr>
      <w:r w:rsidRPr="007A3AC1">
        <w:rPr>
          <w:i/>
        </w:rPr>
        <w:t xml:space="preserve">One </w:t>
      </w:r>
      <w:r w:rsidR="00A763E7" w:rsidRPr="007A3AC1">
        <w:rPr>
          <w:i/>
        </w:rPr>
        <w:t xml:space="preserve">administration </w:t>
      </w:r>
      <w:proofErr w:type="gramStart"/>
      <w:r w:rsidRPr="007A3AC1">
        <w:rPr>
          <w:i/>
        </w:rPr>
        <w:t>pack</w:t>
      </w:r>
      <w:proofErr w:type="gramEnd"/>
      <w:r w:rsidRPr="007A3AC1">
        <w:rPr>
          <w:i/>
        </w:rPr>
        <w:t xml:space="preserve"> containing:</w:t>
      </w:r>
    </w:p>
    <w:p w14:paraId="110255D4" w14:textId="21A35719" w:rsidR="00A763E7" w:rsidRPr="00C247E1" w:rsidRDefault="00A763E7" w:rsidP="007A3AC1">
      <w:pPr>
        <w:pStyle w:val="DocumentText"/>
        <w:spacing w:after="0"/>
        <w:rPr>
          <w:lang w:val="en-AU"/>
        </w:rPr>
      </w:pPr>
      <w:r w:rsidRPr="00C247E1">
        <w:rPr>
          <w:lang w:val="en-AU"/>
        </w:rPr>
        <w:t>1 filter transfer set 20/20</w:t>
      </w:r>
    </w:p>
    <w:p w14:paraId="64100580" w14:textId="77777777" w:rsidR="00656ECD" w:rsidRPr="00C247E1" w:rsidRDefault="00656ECD" w:rsidP="007A3AC1">
      <w:pPr>
        <w:pStyle w:val="DocumentText"/>
        <w:spacing w:after="0"/>
        <w:rPr>
          <w:lang w:val="en-AU"/>
        </w:rPr>
      </w:pPr>
      <w:r w:rsidRPr="00C247E1">
        <w:rPr>
          <w:lang w:val="en-AU"/>
        </w:rPr>
        <w:t>1 syringe (10 mL)</w:t>
      </w:r>
    </w:p>
    <w:p w14:paraId="14D2D7EB" w14:textId="46EEDE10" w:rsidR="00F829E8" w:rsidRPr="00C247E1" w:rsidRDefault="00F829E8" w:rsidP="007A3AC1">
      <w:pPr>
        <w:pStyle w:val="DocumentText"/>
        <w:spacing w:after="0"/>
        <w:rPr>
          <w:lang w:val="en-AU"/>
        </w:rPr>
      </w:pPr>
      <w:r w:rsidRPr="00C247E1">
        <w:rPr>
          <w:lang w:val="en-AU"/>
        </w:rPr>
        <w:t xml:space="preserve">1 </w:t>
      </w:r>
      <w:proofErr w:type="spellStart"/>
      <w:r w:rsidR="008F2333" w:rsidRPr="00C247E1">
        <w:rPr>
          <w:lang w:val="en-AU"/>
        </w:rPr>
        <w:t>ven</w:t>
      </w:r>
      <w:r w:rsidR="00C36F37">
        <w:rPr>
          <w:lang w:val="en-AU"/>
        </w:rPr>
        <w:t>i</w:t>
      </w:r>
      <w:r w:rsidR="008F2333" w:rsidRPr="00C247E1">
        <w:rPr>
          <w:lang w:val="en-AU"/>
        </w:rPr>
        <w:t>puncture</w:t>
      </w:r>
      <w:proofErr w:type="spellEnd"/>
      <w:r w:rsidR="008F2333" w:rsidRPr="00C247E1">
        <w:rPr>
          <w:lang w:val="en-AU"/>
        </w:rPr>
        <w:t xml:space="preserve"> </w:t>
      </w:r>
      <w:r w:rsidRPr="00C247E1">
        <w:rPr>
          <w:lang w:val="en-AU"/>
        </w:rPr>
        <w:t>set (butterfly)</w:t>
      </w:r>
    </w:p>
    <w:p w14:paraId="472F5D93" w14:textId="77777777" w:rsidR="00656ECD" w:rsidRDefault="00656ECD" w:rsidP="007A3AC1">
      <w:pPr>
        <w:pStyle w:val="DocumentText"/>
        <w:spacing w:after="0"/>
        <w:rPr>
          <w:lang w:val="en-AU"/>
        </w:rPr>
      </w:pPr>
      <w:r w:rsidRPr="00C247E1">
        <w:rPr>
          <w:lang w:val="en-AU"/>
        </w:rPr>
        <w:t>2 alcohol swabs</w:t>
      </w:r>
    </w:p>
    <w:p w14:paraId="7FE36FB9" w14:textId="0D6753D4" w:rsidR="00D66F11" w:rsidRPr="00C247E1" w:rsidRDefault="00F829E8" w:rsidP="007A3AC1">
      <w:pPr>
        <w:pStyle w:val="DocumentText"/>
        <w:spacing w:after="0"/>
        <w:rPr>
          <w:lang w:val="en-AU"/>
        </w:rPr>
      </w:pPr>
      <w:r w:rsidRPr="00C247E1">
        <w:rPr>
          <w:lang w:val="en-AU"/>
        </w:rPr>
        <w:t>1 plaster (not sterile)</w:t>
      </w:r>
    </w:p>
    <w:p w14:paraId="562CF221" w14:textId="77777777" w:rsidR="00856F0C" w:rsidRPr="00B1677F" w:rsidRDefault="00856F0C" w:rsidP="00643846">
      <w:pPr>
        <w:pStyle w:val="DocumentText"/>
        <w:spacing w:before="240"/>
      </w:pPr>
      <w:r w:rsidRPr="00A607D3">
        <w:t>Not all pack sizes may be marketed.</w:t>
      </w:r>
    </w:p>
    <w:p w14:paraId="1551B156" w14:textId="391D45F3" w:rsidR="00137C30" w:rsidRPr="00B1677F" w:rsidRDefault="00137C30" w:rsidP="00393118">
      <w:pPr>
        <w:pStyle w:val="Heading2"/>
        <w:numPr>
          <w:ilvl w:val="0"/>
          <w:numId w:val="0"/>
        </w:numPr>
        <w:ind w:left="1901" w:hanging="1901"/>
      </w:pPr>
      <w:r w:rsidRPr="00B1677F">
        <w:t>NAME AND ADDRESS OF THE SPONSOR</w:t>
      </w:r>
      <w:r w:rsidR="003F1C78">
        <w:t xml:space="preserve"> AND DISTRIBUTOR</w:t>
      </w:r>
      <w:r w:rsidR="004F1504">
        <w:t xml:space="preserve"> </w:t>
      </w:r>
    </w:p>
    <w:p w14:paraId="7A0CDF72" w14:textId="77777777" w:rsidR="00032506" w:rsidRDefault="00856F0C" w:rsidP="00F21DD8">
      <w:pPr>
        <w:pStyle w:val="DocumentText"/>
        <w:keepNext/>
        <w:spacing w:after="0"/>
      </w:pPr>
      <w:r w:rsidRPr="00EB3180">
        <w:t xml:space="preserve">CSL </w:t>
      </w:r>
      <w:r w:rsidR="00032506">
        <w:t>Behring (Australia) Pty Ltd</w:t>
      </w:r>
    </w:p>
    <w:p w14:paraId="5AE502E3" w14:textId="77777777" w:rsidR="00856F0C" w:rsidRPr="00EB3180" w:rsidRDefault="00032506" w:rsidP="00F21DD8">
      <w:pPr>
        <w:pStyle w:val="DocumentText"/>
        <w:keepNext/>
        <w:spacing w:after="0"/>
      </w:pPr>
      <w:r w:rsidRPr="00032506">
        <w:t>ABN 48 160 734 761</w:t>
      </w:r>
    </w:p>
    <w:p w14:paraId="1EAC9CA7" w14:textId="77777777" w:rsidR="00856F0C" w:rsidRPr="00EB3180" w:rsidRDefault="00856F0C" w:rsidP="00F21DD8">
      <w:pPr>
        <w:pStyle w:val="DocumentText"/>
        <w:keepNext/>
        <w:spacing w:after="0"/>
      </w:pPr>
      <w:r w:rsidRPr="00EB3180">
        <w:t>189–209 Camp Road</w:t>
      </w:r>
    </w:p>
    <w:p w14:paraId="5F027281" w14:textId="77777777" w:rsidR="00856F0C" w:rsidRPr="00EB3180" w:rsidRDefault="00856F0C" w:rsidP="00F21DD8">
      <w:pPr>
        <w:pStyle w:val="DocumentText"/>
        <w:keepNext/>
        <w:spacing w:after="0"/>
      </w:pPr>
      <w:proofErr w:type="spellStart"/>
      <w:r w:rsidRPr="00EB3180">
        <w:t>Broadmeadows</w:t>
      </w:r>
      <w:proofErr w:type="spellEnd"/>
      <w:r w:rsidRPr="00EB3180">
        <w:t xml:space="preserve"> VIC 3047</w:t>
      </w:r>
    </w:p>
    <w:p w14:paraId="7BEFB5C5" w14:textId="77777777" w:rsidR="001B7CD7" w:rsidRDefault="00856F0C" w:rsidP="00F21DD8">
      <w:pPr>
        <w:pStyle w:val="DocumentText"/>
      </w:pPr>
      <w:r w:rsidRPr="00EB3180">
        <w:t>Australia</w:t>
      </w:r>
    </w:p>
    <w:p w14:paraId="78A4AD06" w14:textId="77777777" w:rsidR="004F1504" w:rsidRPr="00B1677F" w:rsidRDefault="004F1504" w:rsidP="004F1504">
      <w:pPr>
        <w:pStyle w:val="Heading2"/>
        <w:numPr>
          <w:ilvl w:val="0"/>
          <w:numId w:val="0"/>
        </w:numPr>
        <w:ind w:left="1901" w:hanging="1901"/>
      </w:pPr>
      <w:r w:rsidRPr="00B1677F">
        <w:t>POISON SCHEDULE OF THE MEDICINE</w:t>
      </w:r>
      <w:r>
        <w:t xml:space="preserve"> (Australia)</w:t>
      </w:r>
    </w:p>
    <w:p w14:paraId="608EAF0C" w14:textId="38CB6182" w:rsidR="004F1504" w:rsidRDefault="004F1504" w:rsidP="004F1504">
      <w:pPr>
        <w:pStyle w:val="DocumentText"/>
      </w:pPr>
      <w:r>
        <w:t>Unscheduled</w:t>
      </w:r>
    </w:p>
    <w:p w14:paraId="338BA634" w14:textId="431A4F5F" w:rsidR="004F1504" w:rsidRPr="00B1677F" w:rsidRDefault="004F1504" w:rsidP="004F1504">
      <w:pPr>
        <w:pStyle w:val="Heading2"/>
        <w:numPr>
          <w:ilvl w:val="0"/>
          <w:numId w:val="0"/>
        </w:numPr>
        <w:tabs>
          <w:tab w:val="clear" w:pos="1901"/>
          <w:tab w:val="left" w:pos="0"/>
        </w:tabs>
      </w:pPr>
      <w:r w:rsidRPr="00B1677F">
        <w:t>DATE OF FIRST INCLUSION IN THE AUSTRALIAN REGISTER OF THERAPEUTIC GOODS</w:t>
      </w:r>
      <w:r>
        <w:t xml:space="preserve"> (THE ARTG)</w:t>
      </w:r>
    </w:p>
    <w:p w14:paraId="0F73E578" w14:textId="17FF27EB" w:rsidR="004F1504" w:rsidRPr="00B1677F" w:rsidRDefault="005A7D4F" w:rsidP="004F1504">
      <w:pPr>
        <w:pStyle w:val="DocumentText"/>
      </w:pPr>
      <w:r>
        <w:t>13 April 2017</w:t>
      </w:r>
    </w:p>
    <w:p w14:paraId="6C36F87E" w14:textId="77777777" w:rsidR="004F1504" w:rsidRPr="00B1677F" w:rsidRDefault="004F1504" w:rsidP="004F1504">
      <w:pPr>
        <w:pStyle w:val="Heading2"/>
        <w:numPr>
          <w:ilvl w:val="0"/>
          <w:numId w:val="0"/>
        </w:numPr>
        <w:ind w:left="1901" w:hanging="1901"/>
      </w:pPr>
      <w:bookmarkStart w:id="2" w:name="_Hlk472396991"/>
      <w:r w:rsidRPr="00B1677F">
        <w:t>DATE OF MOST RECENT AMENDMENT</w:t>
      </w:r>
    </w:p>
    <w:p w14:paraId="13E7FA0E" w14:textId="77777777" w:rsidR="004F1504" w:rsidRDefault="004F1504" w:rsidP="004F1504">
      <w:pPr>
        <w:pStyle w:val="DocumentText"/>
      </w:pPr>
      <w:r>
        <w:t>Not applicable</w:t>
      </w:r>
    </w:p>
    <w:bookmarkEnd w:id="2"/>
    <w:p w14:paraId="395ABDB0" w14:textId="77777777" w:rsidR="004F1504" w:rsidRDefault="004F1504" w:rsidP="004F1504">
      <w:pPr>
        <w:pStyle w:val="DocumentText"/>
      </w:pPr>
      <w:r w:rsidRPr="0035726E">
        <w:rPr>
          <w:vertAlign w:val="superscript"/>
        </w:rPr>
        <w:t>®</w:t>
      </w:r>
      <w:r w:rsidRPr="0035726E">
        <w:t xml:space="preserve"> Registered trademark of CSL Limited</w:t>
      </w:r>
      <w:r>
        <w:t xml:space="preserve"> or its affiliated companies</w:t>
      </w:r>
    </w:p>
    <w:p w14:paraId="692BD12B" w14:textId="77777777" w:rsidR="004F1504" w:rsidRPr="00B1677F" w:rsidRDefault="004F1504" w:rsidP="004F1504">
      <w:pPr>
        <w:pStyle w:val="DocumentText"/>
      </w:pPr>
      <w:r w:rsidRPr="0035726E">
        <w:rPr>
          <w:vertAlign w:val="superscript"/>
        </w:rPr>
        <w:t xml:space="preserve">™ </w:t>
      </w:r>
      <w:r w:rsidRPr="0035726E">
        <w:t>Mix2Vial is a trademark of West Pharmaceutical Services, Inc. or a subsidiary thereof</w:t>
      </w:r>
    </w:p>
    <w:p w14:paraId="51043C5B" w14:textId="77777777" w:rsidR="004F1504" w:rsidRPr="00B1677F" w:rsidRDefault="004F1504" w:rsidP="004F1504">
      <w:pPr>
        <w:pStyle w:val="Heading3"/>
        <w:numPr>
          <w:ilvl w:val="0"/>
          <w:numId w:val="0"/>
        </w:numPr>
        <w:spacing w:before="240"/>
        <w:ind w:left="2138" w:hanging="2138"/>
      </w:pPr>
      <w:r w:rsidRPr="00B1677F">
        <w:t>For Medical/Technical Enquiries</w:t>
      </w:r>
    </w:p>
    <w:p w14:paraId="2A8C51D1" w14:textId="304E34D2" w:rsidR="004F1504" w:rsidRDefault="004F1504" w:rsidP="004F1504">
      <w:pPr>
        <w:pStyle w:val="DocumentText"/>
        <w:spacing w:after="0"/>
      </w:pPr>
      <w:r w:rsidRPr="00B1677F">
        <w:t>TOLL FREE: 1800 642 865</w:t>
      </w:r>
    </w:p>
    <w:p w14:paraId="7420D072" w14:textId="77777777" w:rsidR="004F1504" w:rsidRPr="00B1677F" w:rsidRDefault="004F1504" w:rsidP="004F1504">
      <w:pPr>
        <w:pStyle w:val="Heading3"/>
        <w:numPr>
          <w:ilvl w:val="0"/>
          <w:numId w:val="0"/>
        </w:numPr>
        <w:spacing w:before="240"/>
        <w:ind w:left="2138" w:hanging="2138"/>
      </w:pPr>
      <w:r w:rsidRPr="00B1677F">
        <w:lastRenderedPageBreak/>
        <w:t>For Customer Service Enquiries</w:t>
      </w:r>
    </w:p>
    <w:p w14:paraId="29E9A039" w14:textId="088F3CA4" w:rsidR="004F1504" w:rsidRDefault="004F1504" w:rsidP="004F1504">
      <w:pPr>
        <w:pStyle w:val="DocumentText"/>
        <w:spacing w:after="0"/>
      </w:pPr>
      <w:r w:rsidRPr="00B1677F">
        <w:t>TOLL FREE: 1800 063 8</w:t>
      </w:r>
      <w:r>
        <w:t>9</w:t>
      </w:r>
      <w:r w:rsidRPr="00B1677F">
        <w:t>2</w:t>
      </w:r>
    </w:p>
    <w:p w14:paraId="553D6E3F" w14:textId="77777777" w:rsidR="00E0660A" w:rsidRDefault="00E0660A" w:rsidP="004F1504">
      <w:pPr>
        <w:pStyle w:val="DocumentText"/>
        <w:spacing w:after="0"/>
      </w:pPr>
    </w:p>
    <w:p w14:paraId="60A453AB" w14:textId="77777777" w:rsidR="009C0F09" w:rsidRPr="00B1677F" w:rsidRDefault="00A02AEB" w:rsidP="007A7D2D">
      <w:pPr>
        <w:pStyle w:val="DocumentText"/>
      </w:pPr>
      <w:r w:rsidRPr="00393118">
        <w:t>customerservice@csl</w:t>
      </w:r>
      <w:r w:rsidR="00A55E55">
        <w:t>behring</w:t>
      </w:r>
      <w:r w:rsidRPr="00393118">
        <w:t>.com.au</w:t>
      </w:r>
    </w:p>
    <w:p w14:paraId="1B2AC2FC" w14:textId="77777777" w:rsidR="009C0F09" w:rsidRPr="00B1677F" w:rsidRDefault="00A02AEB" w:rsidP="007A7D2D">
      <w:pPr>
        <w:pStyle w:val="DocumentText"/>
      </w:pPr>
      <w:r w:rsidRPr="00393118">
        <w:t>www.cslb</w:t>
      </w:r>
      <w:r w:rsidR="00A55E55">
        <w:t>ehring</w:t>
      </w:r>
      <w:r w:rsidRPr="00393118">
        <w:t>.com.au</w:t>
      </w:r>
    </w:p>
    <w:sectPr w:rsidR="009C0F09" w:rsidRPr="00B1677F" w:rsidSect="00826AE3">
      <w:headerReference w:type="default" r:id="rId22"/>
      <w:footerReference w:type="default" r:id="rId23"/>
      <w:footnotePr>
        <w:numFmt w:val="lowerRoman"/>
      </w:footnotePr>
      <w:endnotePr>
        <w:numFmt w:val="decimal"/>
      </w:endnotePr>
      <w:pgSz w:w="11907" w:h="16840" w:code="9"/>
      <w:pgMar w:top="1440" w:right="1440" w:bottom="2434" w:left="1440" w:header="720" w:footer="1714" w:gutter="0"/>
      <w:pgNumType w:start="1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64971" w14:textId="77777777" w:rsidR="00F821C0" w:rsidRDefault="00F821C0" w:rsidP="00137C30">
      <w:r>
        <w:separator/>
      </w:r>
    </w:p>
  </w:endnote>
  <w:endnote w:type="continuationSeparator" w:id="0">
    <w:p w14:paraId="136C604B" w14:textId="77777777" w:rsidR="00F821C0" w:rsidRDefault="00F821C0" w:rsidP="00137C30">
      <w:r>
        <w:continuationSeparator/>
      </w:r>
    </w:p>
  </w:endnote>
  <w:endnote w:type="continuationNotice" w:id="1">
    <w:p w14:paraId="6594424E" w14:textId="77777777" w:rsidR="00F821C0" w:rsidRDefault="00F821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3" w:usb1="09070000" w:usb2="00000010" w:usb3="00000000" w:csb0="000A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CFBE8" w14:textId="49D782E1" w:rsidR="001D043D" w:rsidRPr="003D2F43" w:rsidRDefault="001D043D" w:rsidP="003D2F43">
    <w:pPr>
      <w:pStyle w:val="Footer"/>
      <w:pBdr>
        <w:top w:val="single" w:sz="6" w:space="1" w:color="auto"/>
      </w:pBdr>
      <w:tabs>
        <w:tab w:val="clear" w:pos="4478"/>
        <w:tab w:val="clear" w:pos="8957"/>
        <w:tab w:val="left" w:pos="7920"/>
      </w:tabs>
    </w:pPr>
    <w:r>
      <w:t xml:space="preserve">AFSTYLA AU PI </w:t>
    </w:r>
    <w:r w:rsidR="0094315A">
      <w:t>1.00</w:t>
    </w:r>
    <w:r w:rsidRPr="003D2F43">
      <w:tab/>
      <w:t xml:space="preserve">Page </w:t>
    </w:r>
    <w:r w:rsidRPr="003D2F43">
      <w:fldChar w:fldCharType="begin"/>
    </w:r>
    <w:r w:rsidRPr="003D2F43">
      <w:instrText xml:space="preserve"> PAGE   \* MERGEFORMAT </w:instrText>
    </w:r>
    <w:r w:rsidRPr="003D2F43">
      <w:fldChar w:fldCharType="separate"/>
    </w:r>
    <w:r w:rsidR="009A3D5A">
      <w:rPr>
        <w:noProof/>
      </w:rPr>
      <w:t>1</w:t>
    </w:r>
    <w:r w:rsidRPr="003D2F43">
      <w:fldChar w:fldCharType="end"/>
    </w:r>
    <w:r w:rsidRPr="003D2F43">
      <w:t xml:space="preserve"> of </w:t>
    </w:r>
    <w:fldSimple w:instr=" NUMPAGES   \* MERGEFORMAT ">
      <w:r w:rsidR="009A3D5A">
        <w:rPr>
          <w:noProof/>
        </w:rPr>
        <w:t>22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FF0F1" w14:textId="77777777" w:rsidR="00F821C0" w:rsidRDefault="00F821C0" w:rsidP="00137C30">
      <w:r>
        <w:separator/>
      </w:r>
    </w:p>
  </w:footnote>
  <w:footnote w:type="continuationSeparator" w:id="0">
    <w:p w14:paraId="3661DF36" w14:textId="77777777" w:rsidR="00F821C0" w:rsidRDefault="00F821C0" w:rsidP="00137C30">
      <w:r>
        <w:continuationSeparator/>
      </w:r>
    </w:p>
  </w:footnote>
  <w:footnote w:type="continuationNotice" w:id="1">
    <w:p w14:paraId="612F12DE" w14:textId="77777777" w:rsidR="00F821C0" w:rsidRDefault="00F821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shd w:val="clear" w:color="auto" w:fill="E4F2E0"/>
      <w:tblLook w:val="04A0" w:firstRow="1" w:lastRow="0" w:firstColumn="1" w:lastColumn="0" w:noHBand="0" w:noVBand="1"/>
    </w:tblPr>
    <w:tblGrid>
      <w:gridCol w:w="8720"/>
    </w:tblGrid>
    <w:tr w:rsidR="009A3D5A" w:rsidRPr="005C4ECC" w14:paraId="02F6D838" w14:textId="77777777" w:rsidTr="00585FEA">
      <w:tc>
        <w:tcPr>
          <w:tcW w:w="8720" w:type="dxa"/>
          <w:shd w:val="clear" w:color="auto" w:fill="E4F2E0"/>
        </w:tcPr>
        <w:p w14:paraId="514C9B83" w14:textId="77777777" w:rsidR="009A3D5A" w:rsidRPr="005C4ECC" w:rsidRDefault="009A3D5A" w:rsidP="00585FEA">
          <w:pPr>
            <w:spacing w:before="40" w:after="40"/>
            <w:rPr>
              <w:b/>
              <w:sz w:val="18"/>
              <w:szCs w:val="18"/>
            </w:rPr>
          </w:pPr>
          <w:r w:rsidRPr="005C4ECC">
            <w:rPr>
              <w:b/>
              <w:sz w:val="18"/>
              <w:szCs w:val="18"/>
            </w:rPr>
            <w:t xml:space="preserve">Attachment 1: Product information for AusPAR </w:t>
          </w:r>
          <w:proofErr w:type="spellStart"/>
          <w:r w:rsidRPr="005C4ECC">
            <w:rPr>
              <w:b/>
              <w:sz w:val="18"/>
              <w:szCs w:val="18"/>
            </w:rPr>
            <w:t>Afstyla</w:t>
          </w:r>
          <w:proofErr w:type="spellEnd"/>
          <w:r w:rsidRPr="005C4ECC">
            <w:rPr>
              <w:b/>
              <w:sz w:val="18"/>
              <w:szCs w:val="18"/>
            </w:rPr>
            <w:t xml:space="preserve"> </w:t>
          </w:r>
          <w:proofErr w:type="spellStart"/>
          <w:r w:rsidRPr="005C4ECC">
            <w:rPr>
              <w:b/>
              <w:sz w:val="18"/>
              <w:szCs w:val="18"/>
            </w:rPr>
            <w:t>Lonoctocog</w:t>
          </w:r>
          <w:proofErr w:type="spellEnd"/>
          <w:r w:rsidRPr="005C4ECC">
            <w:rPr>
              <w:b/>
              <w:sz w:val="18"/>
              <w:szCs w:val="18"/>
            </w:rPr>
            <w:t xml:space="preserve"> alfa CSR Behring Australia Pty Ltd PM-2015-04357-1-4 Final 23 January 2018. This Product information was approved at the time this AusPAR was published.</w:t>
          </w:r>
        </w:p>
      </w:tc>
    </w:tr>
  </w:tbl>
  <w:p w14:paraId="09C6D9F7" w14:textId="77777777" w:rsidR="009A3D5A" w:rsidRDefault="009A3D5A" w:rsidP="009A3D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17C"/>
    <w:multiLevelType w:val="hybridMultilevel"/>
    <w:tmpl w:val="78CC9470"/>
    <w:lvl w:ilvl="0" w:tplc="A99C6726">
      <w:start w:val="15"/>
      <w:numFmt w:val="bullet"/>
      <w:lvlText w:val=""/>
      <w:lvlJc w:val="left"/>
      <w:pPr>
        <w:ind w:left="720" w:hanging="360"/>
      </w:pPr>
      <w:rPr>
        <w:rFonts w:ascii="Symbol" w:eastAsia="TimesNew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03E63"/>
    <w:multiLevelType w:val="hybridMultilevel"/>
    <w:tmpl w:val="30AA4F4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A4ADB"/>
    <w:multiLevelType w:val="hybridMultilevel"/>
    <w:tmpl w:val="F0F80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D53604"/>
    <w:multiLevelType w:val="hybridMultilevel"/>
    <w:tmpl w:val="B754C73A"/>
    <w:lvl w:ilvl="0" w:tplc="705E27B6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61F2745"/>
    <w:multiLevelType w:val="hybridMultilevel"/>
    <w:tmpl w:val="B81A2D46"/>
    <w:lvl w:ilvl="0" w:tplc="01824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914FE"/>
    <w:multiLevelType w:val="multilevel"/>
    <w:tmpl w:val="FA9C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6D415D6"/>
    <w:multiLevelType w:val="hybridMultilevel"/>
    <w:tmpl w:val="F320A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3552BB"/>
    <w:multiLevelType w:val="hybridMultilevel"/>
    <w:tmpl w:val="18A01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E3D6A"/>
    <w:multiLevelType w:val="hybridMultilevel"/>
    <w:tmpl w:val="EABCB226"/>
    <w:lvl w:ilvl="0" w:tplc="D9D41DFE">
      <w:start w:val="1"/>
      <w:numFmt w:val="decimal"/>
      <w:lvlRestart w:val="0"/>
      <w:pStyle w:val="ListNumbered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DC417D"/>
    <w:multiLevelType w:val="hybridMultilevel"/>
    <w:tmpl w:val="3DAEB5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5B657F"/>
    <w:multiLevelType w:val="hybridMultilevel"/>
    <w:tmpl w:val="C3F42122"/>
    <w:lvl w:ilvl="0" w:tplc="8BA6F5A2">
      <w:start w:val="1"/>
      <w:numFmt w:val="bullet"/>
      <w:pStyle w:val="List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0BA0527"/>
    <w:multiLevelType w:val="hybridMultilevel"/>
    <w:tmpl w:val="6330A270"/>
    <w:lvl w:ilvl="0" w:tplc="3D985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97863"/>
    <w:multiLevelType w:val="multilevel"/>
    <w:tmpl w:val="C172EDA4"/>
    <w:lvl w:ilvl="0">
      <w:start w:val="1"/>
      <w:numFmt w:val="decimal"/>
      <w:lvlRestart w:val="0"/>
      <w:pStyle w:val="Heading1"/>
      <w:lvlText w:val="%1"/>
      <w:lvlJc w:val="left"/>
      <w:pPr>
        <w:ind w:left="1649" w:hanging="164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901" w:hanging="190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2138" w:hanging="2138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362" w:hanging="23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2570" w:hanging="257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765" w:hanging="2765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945" w:hanging="2945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820" w:hanging="311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3262" w:hanging="3262"/>
      </w:pPr>
      <w:rPr>
        <w:rFonts w:hint="default"/>
      </w:rPr>
    </w:lvl>
  </w:abstractNum>
  <w:abstractNum w:abstractNumId="13">
    <w:nsid w:val="73943B06"/>
    <w:multiLevelType w:val="hybridMultilevel"/>
    <w:tmpl w:val="12A8F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1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</w:num>
  <w:num w:numId="15">
    <w:abstractNumId w:val="0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3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7"/>
  </w:num>
  <w:num w:numId="33">
    <w:abstractNumId w:val="11"/>
  </w:num>
  <w:num w:numId="34">
    <w:abstractNumId w:val="4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221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numFmt w:val="lowerRoman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03"/>
    <w:rsid w:val="000003A2"/>
    <w:rsid w:val="00002178"/>
    <w:rsid w:val="00002458"/>
    <w:rsid w:val="00002EB3"/>
    <w:rsid w:val="00006CE6"/>
    <w:rsid w:val="00006E81"/>
    <w:rsid w:val="00007E13"/>
    <w:rsid w:val="00010047"/>
    <w:rsid w:val="00013034"/>
    <w:rsid w:val="0001409C"/>
    <w:rsid w:val="00014568"/>
    <w:rsid w:val="00014FD1"/>
    <w:rsid w:val="000151B9"/>
    <w:rsid w:val="00015DE4"/>
    <w:rsid w:val="00017017"/>
    <w:rsid w:val="00017AC1"/>
    <w:rsid w:val="000210D5"/>
    <w:rsid w:val="00021359"/>
    <w:rsid w:val="0002405C"/>
    <w:rsid w:val="000242FD"/>
    <w:rsid w:val="000261A5"/>
    <w:rsid w:val="00032506"/>
    <w:rsid w:val="00032987"/>
    <w:rsid w:val="00033097"/>
    <w:rsid w:val="00034496"/>
    <w:rsid w:val="00035005"/>
    <w:rsid w:val="00035F31"/>
    <w:rsid w:val="0004064E"/>
    <w:rsid w:val="00040B0A"/>
    <w:rsid w:val="000417CF"/>
    <w:rsid w:val="00042601"/>
    <w:rsid w:val="00047042"/>
    <w:rsid w:val="00050C75"/>
    <w:rsid w:val="00051067"/>
    <w:rsid w:val="00051562"/>
    <w:rsid w:val="00052497"/>
    <w:rsid w:val="000530C6"/>
    <w:rsid w:val="00054304"/>
    <w:rsid w:val="00054752"/>
    <w:rsid w:val="00061827"/>
    <w:rsid w:val="000627FE"/>
    <w:rsid w:val="0006430F"/>
    <w:rsid w:val="000653E1"/>
    <w:rsid w:val="000672B7"/>
    <w:rsid w:val="00071BA2"/>
    <w:rsid w:val="000728AD"/>
    <w:rsid w:val="0007296A"/>
    <w:rsid w:val="0007356B"/>
    <w:rsid w:val="000765D2"/>
    <w:rsid w:val="00076D2F"/>
    <w:rsid w:val="0008097A"/>
    <w:rsid w:val="000824DE"/>
    <w:rsid w:val="00085871"/>
    <w:rsid w:val="00093AA2"/>
    <w:rsid w:val="0009431D"/>
    <w:rsid w:val="00096DF7"/>
    <w:rsid w:val="000A2132"/>
    <w:rsid w:val="000A2625"/>
    <w:rsid w:val="000A3ED5"/>
    <w:rsid w:val="000A6A94"/>
    <w:rsid w:val="000B2A71"/>
    <w:rsid w:val="000B2B34"/>
    <w:rsid w:val="000B3DA3"/>
    <w:rsid w:val="000B42BE"/>
    <w:rsid w:val="000B43C0"/>
    <w:rsid w:val="000B44A6"/>
    <w:rsid w:val="000B78DF"/>
    <w:rsid w:val="000C2431"/>
    <w:rsid w:val="000C4075"/>
    <w:rsid w:val="000C4EB3"/>
    <w:rsid w:val="000C6ADD"/>
    <w:rsid w:val="000C7585"/>
    <w:rsid w:val="000D32C9"/>
    <w:rsid w:val="000D45AC"/>
    <w:rsid w:val="000D4D59"/>
    <w:rsid w:val="000D5113"/>
    <w:rsid w:val="000F265E"/>
    <w:rsid w:val="000F31BF"/>
    <w:rsid w:val="000F4068"/>
    <w:rsid w:val="000F52A3"/>
    <w:rsid w:val="000F5928"/>
    <w:rsid w:val="000F5D25"/>
    <w:rsid w:val="000F769C"/>
    <w:rsid w:val="000F76AF"/>
    <w:rsid w:val="00100249"/>
    <w:rsid w:val="00100F49"/>
    <w:rsid w:val="001059C2"/>
    <w:rsid w:val="00105A30"/>
    <w:rsid w:val="001060C1"/>
    <w:rsid w:val="00107F0B"/>
    <w:rsid w:val="001102F7"/>
    <w:rsid w:val="00111CA0"/>
    <w:rsid w:val="00113BD8"/>
    <w:rsid w:val="00121E90"/>
    <w:rsid w:val="001245D9"/>
    <w:rsid w:val="001256B2"/>
    <w:rsid w:val="00127AF6"/>
    <w:rsid w:val="00130752"/>
    <w:rsid w:val="0013221D"/>
    <w:rsid w:val="001332D9"/>
    <w:rsid w:val="001335BB"/>
    <w:rsid w:val="001345BC"/>
    <w:rsid w:val="00136ED5"/>
    <w:rsid w:val="00137C30"/>
    <w:rsid w:val="00137CB3"/>
    <w:rsid w:val="001429F4"/>
    <w:rsid w:val="00143F58"/>
    <w:rsid w:val="00146641"/>
    <w:rsid w:val="00147F6F"/>
    <w:rsid w:val="001512FA"/>
    <w:rsid w:val="00151E18"/>
    <w:rsid w:val="00152C59"/>
    <w:rsid w:val="0015325E"/>
    <w:rsid w:val="00155182"/>
    <w:rsid w:val="0015542E"/>
    <w:rsid w:val="00156683"/>
    <w:rsid w:val="00156CA1"/>
    <w:rsid w:val="00163EAC"/>
    <w:rsid w:val="00167D64"/>
    <w:rsid w:val="0017007C"/>
    <w:rsid w:val="0017039A"/>
    <w:rsid w:val="00170D4C"/>
    <w:rsid w:val="001730F5"/>
    <w:rsid w:val="0017667E"/>
    <w:rsid w:val="001766AA"/>
    <w:rsid w:val="00177F44"/>
    <w:rsid w:val="001852D4"/>
    <w:rsid w:val="001871BF"/>
    <w:rsid w:val="00187D7F"/>
    <w:rsid w:val="00190029"/>
    <w:rsid w:val="0019180F"/>
    <w:rsid w:val="0019345A"/>
    <w:rsid w:val="001960A1"/>
    <w:rsid w:val="001977A6"/>
    <w:rsid w:val="00197841"/>
    <w:rsid w:val="00197CD9"/>
    <w:rsid w:val="001B1584"/>
    <w:rsid w:val="001B1694"/>
    <w:rsid w:val="001B20C4"/>
    <w:rsid w:val="001B6BC2"/>
    <w:rsid w:val="001B73D3"/>
    <w:rsid w:val="001B7CD7"/>
    <w:rsid w:val="001C0BCB"/>
    <w:rsid w:val="001C3632"/>
    <w:rsid w:val="001C3CB5"/>
    <w:rsid w:val="001C46DE"/>
    <w:rsid w:val="001C4923"/>
    <w:rsid w:val="001C6103"/>
    <w:rsid w:val="001C6EAD"/>
    <w:rsid w:val="001D043D"/>
    <w:rsid w:val="001D36D4"/>
    <w:rsid w:val="001D4007"/>
    <w:rsid w:val="001D4821"/>
    <w:rsid w:val="001D49AF"/>
    <w:rsid w:val="001D4EC0"/>
    <w:rsid w:val="001D5E79"/>
    <w:rsid w:val="001D6AE4"/>
    <w:rsid w:val="001D733F"/>
    <w:rsid w:val="001D7C45"/>
    <w:rsid w:val="001E1EAB"/>
    <w:rsid w:val="001E21AE"/>
    <w:rsid w:val="001E2709"/>
    <w:rsid w:val="001E2D84"/>
    <w:rsid w:val="001E3AC9"/>
    <w:rsid w:val="001F1087"/>
    <w:rsid w:val="001F1BFD"/>
    <w:rsid w:val="001F1FEA"/>
    <w:rsid w:val="001F2350"/>
    <w:rsid w:val="001F316E"/>
    <w:rsid w:val="001F3EB9"/>
    <w:rsid w:val="001F6982"/>
    <w:rsid w:val="001F6D2D"/>
    <w:rsid w:val="001F7195"/>
    <w:rsid w:val="001F7B1F"/>
    <w:rsid w:val="002008CB"/>
    <w:rsid w:val="00201694"/>
    <w:rsid w:val="00202220"/>
    <w:rsid w:val="00204954"/>
    <w:rsid w:val="0020523B"/>
    <w:rsid w:val="002077BB"/>
    <w:rsid w:val="00207E62"/>
    <w:rsid w:val="00211BBF"/>
    <w:rsid w:val="00214AB0"/>
    <w:rsid w:val="002159F4"/>
    <w:rsid w:val="002165CF"/>
    <w:rsid w:val="00221A0E"/>
    <w:rsid w:val="0022287E"/>
    <w:rsid w:val="00224203"/>
    <w:rsid w:val="0022426A"/>
    <w:rsid w:val="00224B01"/>
    <w:rsid w:val="0022616C"/>
    <w:rsid w:val="002273C7"/>
    <w:rsid w:val="00227A27"/>
    <w:rsid w:val="00230BB3"/>
    <w:rsid w:val="0023282E"/>
    <w:rsid w:val="0023303C"/>
    <w:rsid w:val="0023548B"/>
    <w:rsid w:val="0023582F"/>
    <w:rsid w:val="00236697"/>
    <w:rsid w:val="00237755"/>
    <w:rsid w:val="00241294"/>
    <w:rsid w:val="002416C1"/>
    <w:rsid w:val="00243876"/>
    <w:rsid w:val="00244527"/>
    <w:rsid w:val="00250521"/>
    <w:rsid w:val="00250D6F"/>
    <w:rsid w:val="002527C8"/>
    <w:rsid w:val="002535F0"/>
    <w:rsid w:val="00257442"/>
    <w:rsid w:val="0026116F"/>
    <w:rsid w:val="002637F4"/>
    <w:rsid w:val="00271E75"/>
    <w:rsid w:val="002758A0"/>
    <w:rsid w:val="00276FDF"/>
    <w:rsid w:val="0028436A"/>
    <w:rsid w:val="002863FF"/>
    <w:rsid w:val="00286A55"/>
    <w:rsid w:val="00291451"/>
    <w:rsid w:val="00297462"/>
    <w:rsid w:val="00297538"/>
    <w:rsid w:val="00297E8D"/>
    <w:rsid w:val="002A3970"/>
    <w:rsid w:val="002A5C72"/>
    <w:rsid w:val="002A5C7D"/>
    <w:rsid w:val="002A5DD1"/>
    <w:rsid w:val="002A77D0"/>
    <w:rsid w:val="002B4512"/>
    <w:rsid w:val="002B6CE3"/>
    <w:rsid w:val="002B74C7"/>
    <w:rsid w:val="002C08A3"/>
    <w:rsid w:val="002C3C02"/>
    <w:rsid w:val="002C468A"/>
    <w:rsid w:val="002C4A72"/>
    <w:rsid w:val="002C4D61"/>
    <w:rsid w:val="002C5420"/>
    <w:rsid w:val="002C6DC1"/>
    <w:rsid w:val="002D2934"/>
    <w:rsid w:val="002D326D"/>
    <w:rsid w:val="002D34EA"/>
    <w:rsid w:val="002D4568"/>
    <w:rsid w:val="002D59FD"/>
    <w:rsid w:val="002D63D9"/>
    <w:rsid w:val="002D6924"/>
    <w:rsid w:val="002D710B"/>
    <w:rsid w:val="002D753F"/>
    <w:rsid w:val="002E0601"/>
    <w:rsid w:val="002E09FB"/>
    <w:rsid w:val="002E18C2"/>
    <w:rsid w:val="002E215C"/>
    <w:rsid w:val="002E44D9"/>
    <w:rsid w:val="002E48CB"/>
    <w:rsid w:val="002F1B92"/>
    <w:rsid w:val="002F1DB1"/>
    <w:rsid w:val="002F4F19"/>
    <w:rsid w:val="002F7A29"/>
    <w:rsid w:val="002F7DC2"/>
    <w:rsid w:val="003039BC"/>
    <w:rsid w:val="00304D8F"/>
    <w:rsid w:val="00307A7D"/>
    <w:rsid w:val="00307BEE"/>
    <w:rsid w:val="00313AF7"/>
    <w:rsid w:val="00315008"/>
    <w:rsid w:val="00315DF9"/>
    <w:rsid w:val="003161EC"/>
    <w:rsid w:val="00317A10"/>
    <w:rsid w:val="0032008E"/>
    <w:rsid w:val="0032084B"/>
    <w:rsid w:val="003232C5"/>
    <w:rsid w:val="003243B1"/>
    <w:rsid w:val="00326D49"/>
    <w:rsid w:val="00326EA1"/>
    <w:rsid w:val="0032791F"/>
    <w:rsid w:val="00331DFB"/>
    <w:rsid w:val="00333CBF"/>
    <w:rsid w:val="0033730A"/>
    <w:rsid w:val="003373A7"/>
    <w:rsid w:val="003402D8"/>
    <w:rsid w:val="00347F1B"/>
    <w:rsid w:val="00350368"/>
    <w:rsid w:val="00350E4F"/>
    <w:rsid w:val="00350EF6"/>
    <w:rsid w:val="00351688"/>
    <w:rsid w:val="00351F5C"/>
    <w:rsid w:val="00352281"/>
    <w:rsid w:val="003538EB"/>
    <w:rsid w:val="0035399C"/>
    <w:rsid w:val="0035417C"/>
    <w:rsid w:val="00354CBF"/>
    <w:rsid w:val="00355C2B"/>
    <w:rsid w:val="00355F44"/>
    <w:rsid w:val="003574E0"/>
    <w:rsid w:val="00361B49"/>
    <w:rsid w:val="00361DC3"/>
    <w:rsid w:val="00362686"/>
    <w:rsid w:val="00362EBE"/>
    <w:rsid w:val="003633A0"/>
    <w:rsid w:val="0036458F"/>
    <w:rsid w:val="0036486A"/>
    <w:rsid w:val="003652D9"/>
    <w:rsid w:val="0036567F"/>
    <w:rsid w:val="003658D1"/>
    <w:rsid w:val="0037041C"/>
    <w:rsid w:val="003709B1"/>
    <w:rsid w:val="00371815"/>
    <w:rsid w:val="00374272"/>
    <w:rsid w:val="003753DE"/>
    <w:rsid w:val="003754AB"/>
    <w:rsid w:val="00375B60"/>
    <w:rsid w:val="003837C1"/>
    <w:rsid w:val="0038487B"/>
    <w:rsid w:val="0038508B"/>
    <w:rsid w:val="003862A6"/>
    <w:rsid w:val="00387BAE"/>
    <w:rsid w:val="00387C75"/>
    <w:rsid w:val="00387E79"/>
    <w:rsid w:val="0039009E"/>
    <w:rsid w:val="00391EE2"/>
    <w:rsid w:val="00393118"/>
    <w:rsid w:val="00393B94"/>
    <w:rsid w:val="003A0085"/>
    <w:rsid w:val="003A33D9"/>
    <w:rsid w:val="003A4189"/>
    <w:rsid w:val="003B01E3"/>
    <w:rsid w:val="003B0456"/>
    <w:rsid w:val="003B421D"/>
    <w:rsid w:val="003B423E"/>
    <w:rsid w:val="003B526D"/>
    <w:rsid w:val="003B6CE6"/>
    <w:rsid w:val="003C1288"/>
    <w:rsid w:val="003C41C1"/>
    <w:rsid w:val="003C480C"/>
    <w:rsid w:val="003C4DAC"/>
    <w:rsid w:val="003C74A1"/>
    <w:rsid w:val="003D0679"/>
    <w:rsid w:val="003D2F43"/>
    <w:rsid w:val="003D384F"/>
    <w:rsid w:val="003D48CE"/>
    <w:rsid w:val="003E06DC"/>
    <w:rsid w:val="003E37AB"/>
    <w:rsid w:val="003E5A70"/>
    <w:rsid w:val="003E5EB3"/>
    <w:rsid w:val="003E67B6"/>
    <w:rsid w:val="003E720D"/>
    <w:rsid w:val="003F10BD"/>
    <w:rsid w:val="003F11FA"/>
    <w:rsid w:val="003F1A2E"/>
    <w:rsid w:val="003F1C78"/>
    <w:rsid w:val="003F3C73"/>
    <w:rsid w:val="003F7C2A"/>
    <w:rsid w:val="0040649A"/>
    <w:rsid w:val="0040743C"/>
    <w:rsid w:val="004079B4"/>
    <w:rsid w:val="004125DC"/>
    <w:rsid w:val="00412F03"/>
    <w:rsid w:val="00413036"/>
    <w:rsid w:val="00413429"/>
    <w:rsid w:val="0041767D"/>
    <w:rsid w:val="004240C3"/>
    <w:rsid w:val="004241B5"/>
    <w:rsid w:val="0043187B"/>
    <w:rsid w:val="004322B1"/>
    <w:rsid w:val="00434E23"/>
    <w:rsid w:val="00436EAB"/>
    <w:rsid w:val="004418FD"/>
    <w:rsid w:val="00441B14"/>
    <w:rsid w:val="00441D90"/>
    <w:rsid w:val="00452B41"/>
    <w:rsid w:val="00455C33"/>
    <w:rsid w:val="00456A0E"/>
    <w:rsid w:val="00457838"/>
    <w:rsid w:val="00461212"/>
    <w:rsid w:val="004649B9"/>
    <w:rsid w:val="00471D4C"/>
    <w:rsid w:val="00471E8F"/>
    <w:rsid w:val="00473CC4"/>
    <w:rsid w:val="0047736A"/>
    <w:rsid w:val="0048263A"/>
    <w:rsid w:val="00486171"/>
    <w:rsid w:val="00486D87"/>
    <w:rsid w:val="004874B7"/>
    <w:rsid w:val="00492D87"/>
    <w:rsid w:val="00492FC8"/>
    <w:rsid w:val="0049657B"/>
    <w:rsid w:val="00496A6B"/>
    <w:rsid w:val="00496F35"/>
    <w:rsid w:val="004A21A2"/>
    <w:rsid w:val="004A2364"/>
    <w:rsid w:val="004A35DB"/>
    <w:rsid w:val="004A4600"/>
    <w:rsid w:val="004A4B19"/>
    <w:rsid w:val="004B071F"/>
    <w:rsid w:val="004B0756"/>
    <w:rsid w:val="004B5F70"/>
    <w:rsid w:val="004B71D3"/>
    <w:rsid w:val="004B773A"/>
    <w:rsid w:val="004C0919"/>
    <w:rsid w:val="004C0F6E"/>
    <w:rsid w:val="004C49FB"/>
    <w:rsid w:val="004D0260"/>
    <w:rsid w:val="004D24F7"/>
    <w:rsid w:val="004D2B15"/>
    <w:rsid w:val="004D5798"/>
    <w:rsid w:val="004D6BEF"/>
    <w:rsid w:val="004E245B"/>
    <w:rsid w:val="004E2FB3"/>
    <w:rsid w:val="004E478F"/>
    <w:rsid w:val="004E7D22"/>
    <w:rsid w:val="004F1504"/>
    <w:rsid w:val="004F441C"/>
    <w:rsid w:val="0050213F"/>
    <w:rsid w:val="00502B86"/>
    <w:rsid w:val="00503D5D"/>
    <w:rsid w:val="005046EF"/>
    <w:rsid w:val="00505623"/>
    <w:rsid w:val="00505721"/>
    <w:rsid w:val="00506806"/>
    <w:rsid w:val="0051117D"/>
    <w:rsid w:val="0051199D"/>
    <w:rsid w:val="00513A96"/>
    <w:rsid w:val="00516A24"/>
    <w:rsid w:val="00520285"/>
    <w:rsid w:val="005227EB"/>
    <w:rsid w:val="0052356F"/>
    <w:rsid w:val="00523BC2"/>
    <w:rsid w:val="005320BA"/>
    <w:rsid w:val="00532972"/>
    <w:rsid w:val="0053475E"/>
    <w:rsid w:val="00536320"/>
    <w:rsid w:val="005363B1"/>
    <w:rsid w:val="005368BE"/>
    <w:rsid w:val="00537228"/>
    <w:rsid w:val="005373E2"/>
    <w:rsid w:val="0054000F"/>
    <w:rsid w:val="005409DF"/>
    <w:rsid w:val="00541BAB"/>
    <w:rsid w:val="00543DA5"/>
    <w:rsid w:val="00543DD3"/>
    <w:rsid w:val="0054657C"/>
    <w:rsid w:val="00547536"/>
    <w:rsid w:val="0054763E"/>
    <w:rsid w:val="00547710"/>
    <w:rsid w:val="00550A4D"/>
    <w:rsid w:val="005533CE"/>
    <w:rsid w:val="00554567"/>
    <w:rsid w:val="0055473D"/>
    <w:rsid w:val="005548F3"/>
    <w:rsid w:val="0055535B"/>
    <w:rsid w:val="00555907"/>
    <w:rsid w:val="00563F74"/>
    <w:rsid w:val="0056668A"/>
    <w:rsid w:val="00566DBA"/>
    <w:rsid w:val="005724D1"/>
    <w:rsid w:val="00573657"/>
    <w:rsid w:val="00574647"/>
    <w:rsid w:val="0057569E"/>
    <w:rsid w:val="005771DC"/>
    <w:rsid w:val="00577498"/>
    <w:rsid w:val="005800D5"/>
    <w:rsid w:val="0058073D"/>
    <w:rsid w:val="00581207"/>
    <w:rsid w:val="005848D9"/>
    <w:rsid w:val="00585FCE"/>
    <w:rsid w:val="0058658B"/>
    <w:rsid w:val="00586B30"/>
    <w:rsid w:val="00590D61"/>
    <w:rsid w:val="00594F52"/>
    <w:rsid w:val="0059642B"/>
    <w:rsid w:val="005A1251"/>
    <w:rsid w:val="005A1300"/>
    <w:rsid w:val="005A1AA5"/>
    <w:rsid w:val="005A2D2F"/>
    <w:rsid w:val="005A3867"/>
    <w:rsid w:val="005A7370"/>
    <w:rsid w:val="005A7D4F"/>
    <w:rsid w:val="005A7F6D"/>
    <w:rsid w:val="005B02E5"/>
    <w:rsid w:val="005B1A51"/>
    <w:rsid w:val="005B269B"/>
    <w:rsid w:val="005B2EE5"/>
    <w:rsid w:val="005B39D4"/>
    <w:rsid w:val="005B5BFC"/>
    <w:rsid w:val="005B6C8F"/>
    <w:rsid w:val="005B6E07"/>
    <w:rsid w:val="005C1611"/>
    <w:rsid w:val="005C17E6"/>
    <w:rsid w:val="005C2BA3"/>
    <w:rsid w:val="005C4E3A"/>
    <w:rsid w:val="005D04E3"/>
    <w:rsid w:val="005D0ECF"/>
    <w:rsid w:val="005D1726"/>
    <w:rsid w:val="005D485F"/>
    <w:rsid w:val="005D617A"/>
    <w:rsid w:val="005D6A7E"/>
    <w:rsid w:val="005D7622"/>
    <w:rsid w:val="005E16A6"/>
    <w:rsid w:val="005E2A0C"/>
    <w:rsid w:val="005E4AD7"/>
    <w:rsid w:val="005E68F5"/>
    <w:rsid w:val="005E6F79"/>
    <w:rsid w:val="005E71C8"/>
    <w:rsid w:val="005F1DE7"/>
    <w:rsid w:val="005F2088"/>
    <w:rsid w:val="005F3F8F"/>
    <w:rsid w:val="005F49BD"/>
    <w:rsid w:val="005F5A5A"/>
    <w:rsid w:val="005F73F7"/>
    <w:rsid w:val="005F7EED"/>
    <w:rsid w:val="006011E5"/>
    <w:rsid w:val="00601671"/>
    <w:rsid w:val="0060217B"/>
    <w:rsid w:val="00602323"/>
    <w:rsid w:val="00602A11"/>
    <w:rsid w:val="00603715"/>
    <w:rsid w:val="0060535F"/>
    <w:rsid w:val="00605D6C"/>
    <w:rsid w:val="0060663C"/>
    <w:rsid w:val="00606E6A"/>
    <w:rsid w:val="00607086"/>
    <w:rsid w:val="0061208D"/>
    <w:rsid w:val="00613F80"/>
    <w:rsid w:val="006159FB"/>
    <w:rsid w:val="006168BD"/>
    <w:rsid w:val="00616B40"/>
    <w:rsid w:val="00617637"/>
    <w:rsid w:val="00617CEC"/>
    <w:rsid w:val="00625918"/>
    <w:rsid w:val="00625A03"/>
    <w:rsid w:val="0063079B"/>
    <w:rsid w:val="00631384"/>
    <w:rsid w:val="00631465"/>
    <w:rsid w:val="00631640"/>
    <w:rsid w:val="00632301"/>
    <w:rsid w:val="00633C82"/>
    <w:rsid w:val="00633ED2"/>
    <w:rsid w:val="00634501"/>
    <w:rsid w:val="00634525"/>
    <w:rsid w:val="00635162"/>
    <w:rsid w:val="00636BE1"/>
    <w:rsid w:val="006374D3"/>
    <w:rsid w:val="00643846"/>
    <w:rsid w:val="00643B9D"/>
    <w:rsid w:val="006441A6"/>
    <w:rsid w:val="00645A47"/>
    <w:rsid w:val="00645A9B"/>
    <w:rsid w:val="006468E0"/>
    <w:rsid w:val="00651799"/>
    <w:rsid w:val="00653CC7"/>
    <w:rsid w:val="0065540F"/>
    <w:rsid w:val="00656ECD"/>
    <w:rsid w:val="006576CA"/>
    <w:rsid w:val="00664B32"/>
    <w:rsid w:val="00664E94"/>
    <w:rsid w:val="00666435"/>
    <w:rsid w:val="00666D50"/>
    <w:rsid w:val="00672014"/>
    <w:rsid w:val="0067381E"/>
    <w:rsid w:val="0068065E"/>
    <w:rsid w:val="00681733"/>
    <w:rsid w:val="0068253D"/>
    <w:rsid w:val="00683D94"/>
    <w:rsid w:val="00683EB8"/>
    <w:rsid w:val="006845F0"/>
    <w:rsid w:val="00690161"/>
    <w:rsid w:val="006949A8"/>
    <w:rsid w:val="00696C10"/>
    <w:rsid w:val="006A0439"/>
    <w:rsid w:val="006A05F6"/>
    <w:rsid w:val="006A33FA"/>
    <w:rsid w:val="006A4D68"/>
    <w:rsid w:val="006A69FB"/>
    <w:rsid w:val="006B092C"/>
    <w:rsid w:val="006B298C"/>
    <w:rsid w:val="006B2C8F"/>
    <w:rsid w:val="006B55C7"/>
    <w:rsid w:val="006B592D"/>
    <w:rsid w:val="006C13EE"/>
    <w:rsid w:val="006C2136"/>
    <w:rsid w:val="006C4F31"/>
    <w:rsid w:val="006C7BB1"/>
    <w:rsid w:val="006D2F42"/>
    <w:rsid w:val="006D3BC3"/>
    <w:rsid w:val="006D4CCA"/>
    <w:rsid w:val="006D60C4"/>
    <w:rsid w:val="006D7717"/>
    <w:rsid w:val="006E100E"/>
    <w:rsid w:val="006E1406"/>
    <w:rsid w:val="006E1AA1"/>
    <w:rsid w:val="006E34FA"/>
    <w:rsid w:val="006E54A5"/>
    <w:rsid w:val="006E6783"/>
    <w:rsid w:val="006E7DB1"/>
    <w:rsid w:val="006F0AE8"/>
    <w:rsid w:val="006F0C2C"/>
    <w:rsid w:val="006F1C9D"/>
    <w:rsid w:val="006F24F6"/>
    <w:rsid w:val="006F3889"/>
    <w:rsid w:val="0070198B"/>
    <w:rsid w:val="00702FD7"/>
    <w:rsid w:val="0070582D"/>
    <w:rsid w:val="00705AA9"/>
    <w:rsid w:val="00706354"/>
    <w:rsid w:val="00712E50"/>
    <w:rsid w:val="00713EB6"/>
    <w:rsid w:val="00721C7E"/>
    <w:rsid w:val="00724A5E"/>
    <w:rsid w:val="00730314"/>
    <w:rsid w:val="007304A2"/>
    <w:rsid w:val="00732FC4"/>
    <w:rsid w:val="0073307E"/>
    <w:rsid w:val="007341FD"/>
    <w:rsid w:val="00735B4A"/>
    <w:rsid w:val="007364B3"/>
    <w:rsid w:val="00736A75"/>
    <w:rsid w:val="00740573"/>
    <w:rsid w:val="00741024"/>
    <w:rsid w:val="007454F9"/>
    <w:rsid w:val="007457F4"/>
    <w:rsid w:val="00745E5B"/>
    <w:rsid w:val="007468EA"/>
    <w:rsid w:val="00747C23"/>
    <w:rsid w:val="00750211"/>
    <w:rsid w:val="00751AE9"/>
    <w:rsid w:val="007552D6"/>
    <w:rsid w:val="0075635C"/>
    <w:rsid w:val="00763A43"/>
    <w:rsid w:val="00765832"/>
    <w:rsid w:val="007665A3"/>
    <w:rsid w:val="007703E4"/>
    <w:rsid w:val="00777A54"/>
    <w:rsid w:val="0078054B"/>
    <w:rsid w:val="00785181"/>
    <w:rsid w:val="0078783B"/>
    <w:rsid w:val="00794C4C"/>
    <w:rsid w:val="00796E32"/>
    <w:rsid w:val="00797D9B"/>
    <w:rsid w:val="007A02E8"/>
    <w:rsid w:val="007A14D1"/>
    <w:rsid w:val="007A2AC1"/>
    <w:rsid w:val="007A3AC1"/>
    <w:rsid w:val="007A5B90"/>
    <w:rsid w:val="007A7D2D"/>
    <w:rsid w:val="007B05E9"/>
    <w:rsid w:val="007B0DA1"/>
    <w:rsid w:val="007B0F3E"/>
    <w:rsid w:val="007B4B88"/>
    <w:rsid w:val="007B584A"/>
    <w:rsid w:val="007B7554"/>
    <w:rsid w:val="007B769A"/>
    <w:rsid w:val="007B7E8C"/>
    <w:rsid w:val="007C00A3"/>
    <w:rsid w:val="007C0822"/>
    <w:rsid w:val="007C0E09"/>
    <w:rsid w:val="007C1C08"/>
    <w:rsid w:val="007C4B9F"/>
    <w:rsid w:val="007C5070"/>
    <w:rsid w:val="007C76EE"/>
    <w:rsid w:val="007C7BEE"/>
    <w:rsid w:val="007D06E5"/>
    <w:rsid w:val="007D0A2B"/>
    <w:rsid w:val="007D0FAB"/>
    <w:rsid w:val="007D1E53"/>
    <w:rsid w:val="007D5722"/>
    <w:rsid w:val="007D7B16"/>
    <w:rsid w:val="007E1FE6"/>
    <w:rsid w:val="007E4E04"/>
    <w:rsid w:val="007E4F53"/>
    <w:rsid w:val="007E7607"/>
    <w:rsid w:val="007E7738"/>
    <w:rsid w:val="007E7AD4"/>
    <w:rsid w:val="007F09EA"/>
    <w:rsid w:val="007F0D75"/>
    <w:rsid w:val="007F2AE6"/>
    <w:rsid w:val="007F43FE"/>
    <w:rsid w:val="007F7D0E"/>
    <w:rsid w:val="00800EE9"/>
    <w:rsid w:val="00803AC9"/>
    <w:rsid w:val="00805654"/>
    <w:rsid w:val="008107C5"/>
    <w:rsid w:val="00810C13"/>
    <w:rsid w:val="0081494F"/>
    <w:rsid w:val="00816B95"/>
    <w:rsid w:val="00816E4E"/>
    <w:rsid w:val="00817699"/>
    <w:rsid w:val="008177A4"/>
    <w:rsid w:val="00820B2C"/>
    <w:rsid w:val="00820B3E"/>
    <w:rsid w:val="00820E72"/>
    <w:rsid w:val="0082193A"/>
    <w:rsid w:val="00823E13"/>
    <w:rsid w:val="008244B2"/>
    <w:rsid w:val="00825D55"/>
    <w:rsid w:val="00826AE3"/>
    <w:rsid w:val="00827681"/>
    <w:rsid w:val="00831E02"/>
    <w:rsid w:val="00831FCE"/>
    <w:rsid w:val="00832906"/>
    <w:rsid w:val="00834D17"/>
    <w:rsid w:val="0083626B"/>
    <w:rsid w:val="00843E32"/>
    <w:rsid w:val="008451D2"/>
    <w:rsid w:val="0084588E"/>
    <w:rsid w:val="008467D4"/>
    <w:rsid w:val="0085253C"/>
    <w:rsid w:val="00856F0C"/>
    <w:rsid w:val="008602AE"/>
    <w:rsid w:val="008611BA"/>
    <w:rsid w:val="00863E13"/>
    <w:rsid w:val="008640B7"/>
    <w:rsid w:val="00866DA1"/>
    <w:rsid w:val="008717E2"/>
    <w:rsid w:val="0087254F"/>
    <w:rsid w:val="00882223"/>
    <w:rsid w:val="00882584"/>
    <w:rsid w:val="00883214"/>
    <w:rsid w:val="0088439A"/>
    <w:rsid w:val="00884798"/>
    <w:rsid w:val="0088641F"/>
    <w:rsid w:val="00890042"/>
    <w:rsid w:val="00891B63"/>
    <w:rsid w:val="00892955"/>
    <w:rsid w:val="00892C77"/>
    <w:rsid w:val="00893345"/>
    <w:rsid w:val="0089350A"/>
    <w:rsid w:val="0089361E"/>
    <w:rsid w:val="00893D51"/>
    <w:rsid w:val="0089491C"/>
    <w:rsid w:val="00896A49"/>
    <w:rsid w:val="008A1082"/>
    <w:rsid w:val="008A10D9"/>
    <w:rsid w:val="008A2BAC"/>
    <w:rsid w:val="008A30F5"/>
    <w:rsid w:val="008A3A0B"/>
    <w:rsid w:val="008A3B5F"/>
    <w:rsid w:val="008A46C9"/>
    <w:rsid w:val="008A57E0"/>
    <w:rsid w:val="008A73D1"/>
    <w:rsid w:val="008A7CE8"/>
    <w:rsid w:val="008B112D"/>
    <w:rsid w:val="008B13F5"/>
    <w:rsid w:val="008B2437"/>
    <w:rsid w:val="008B2AD9"/>
    <w:rsid w:val="008B2ECA"/>
    <w:rsid w:val="008B61C0"/>
    <w:rsid w:val="008C0DD6"/>
    <w:rsid w:val="008C0F4A"/>
    <w:rsid w:val="008C302C"/>
    <w:rsid w:val="008C72FF"/>
    <w:rsid w:val="008C7B52"/>
    <w:rsid w:val="008C7CD5"/>
    <w:rsid w:val="008D1CC6"/>
    <w:rsid w:val="008D2C16"/>
    <w:rsid w:val="008D3BBB"/>
    <w:rsid w:val="008D3D71"/>
    <w:rsid w:val="008E01A9"/>
    <w:rsid w:val="008E0714"/>
    <w:rsid w:val="008E0E26"/>
    <w:rsid w:val="008E4110"/>
    <w:rsid w:val="008E539B"/>
    <w:rsid w:val="008E7A3A"/>
    <w:rsid w:val="008F1786"/>
    <w:rsid w:val="008F2333"/>
    <w:rsid w:val="008F2B3B"/>
    <w:rsid w:val="008F30B5"/>
    <w:rsid w:val="008F4924"/>
    <w:rsid w:val="008F50F9"/>
    <w:rsid w:val="00900DC5"/>
    <w:rsid w:val="00903066"/>
    <w:rsid w:val="00903781"/>
    <w:rsid w:val="0090395C"/>
    <w:rsid w:val="00903FE4"/>
    <w:rsid w:val="00904100"/>
    <w:rsid w:val="00905738"/>
    <w:rsid w:val="00907443"/>
    <w:rsid w:val="00911353"/>
    <w:rsid w:val="00911B50"/>
    <w:rsid w:val="0091331F"/>
    <w:rsid w:val="009155F8"/>
    <w:rsid w:val="00915986"/>
    <w:rsid w:val="00917227"/>
    <w:rsid w:val="00917B0C"/>
    <w:rsid w:val="0092201A"/>
    <w:rsid w:val="00922683"/>
    <w:rsid w:val="00922A14"/>
    <w:rsid w:val="00923C68"/>
    <w:rsid w:val="00925E0C"/>
    <w:rsid w:val="009263B8"/>
    <w:rsid w:val="009267D3"/>
    <w:rsid w:val="009317B3"/>
    <w:rsid w:val="0093225A"/>
    <w:rsid w:val="00933093"/>
    <w:rsid w:val="00937797"/>
    <w:rsid w:val="0094080C"/>
    <w:rsid w:val="00941B7B"/>
    <w:rsid w:val="00942F5D"/>
    <w:rsid w:val="0094315A"/>
    <w:rsid w:val="00945DEA"/>
    <w:rsid w:val="00946173"/>
    <w:rsid w:val="00950129"/>
    <w:rsid w:val="0095207B"/>
    <w:rsid w:val="00956E16"/>
    <w:rsid w:val="00957E7B"/>
    <w:rsid w:val="009620F8"/>
    <w:rsid w:val="009650A0"/>
    <w:rsid w:val="00965258"/>
    <w:rsid w:val="0096578C"/>
    <w:rsid w:val="00965C70"/>
    <w:rsid w:val="00965CF1"/>
    <w:rsid w:val="009672CC"/>
    <w:rsid w:val="00967DB2"/>
    <w:rsid w:val="00976445"/>
    <w:rsid w:val="00977932"/>
    <w:rsid w:val="00980EBE"/>
    <w:rsid w:val="00981FE5"/>
    <w:rsid w:val="00982162"/>
    <w:rsid w:val="00982A75"/>
    <w:rsid w:val="00982EC1"/>
    <w:rsid w:val="0098474B"/>
    <w:rsid w:val="009850B0"/>
    <w:rsid w:val="00985419"/>
    <w:rsid w:val="009862BA"/>
    <w:rsid w:val="00986958"/>
    <w:rsid w:val="00987EAA"/>
    <w:rsid w:val="009915CD"/>
    <w:rsid w:val="00991E42"/>
    <w:rsid w:val="00992990"/>
    <w:rsid w:val="00994AEE"/>
    <w:rsid w:val="00994CF6"/>
    <w:rsid w:val="00995645"/>
    <w:rsid w:val="00995EDD"/>
    <w:rsid w:val="009976F5"/>
    <w:rsid w:val="009A1795"/>
    <w:rsid w:val="009A2C70"/>
    <w:rsid w:val="009A3180"/>
    <w:rsid w:val="009A35F9"/>
    <w:rsid w:val="009A36A5"/>
    <w:rsid w:val="009A3D5A"/>
    <w:rsid w:val="009A5A56"/>
    <w:rsid w:val="009B1211"/>
    <w:rsid w:val="009B25FC"/>
    <w:rsid w:val="009B4322"/>
    <w:rsid w:val="009B6E0C"/>
    <w:rsid w:val="009C0F09"/>
    <w:rsid w:val="009C2373"/>
    <w:rsid w:val="009C24F8"/>
    <w:rsid w:val="009C2BED"/>
    <w:rsid w:val="009C6414"/>
    <w:rsid w:val="009D03D3"/>
    <w:rsid w:val="009D075B"/>
    <w:rsid w:val="009D16B1"/>
    <w:rsid w:val="009D289F"/>
    <w:rsid w:val="009D2C25"/>
    <w:rsid w:val="009D2D37"/>
    <w:rsid w:val="009D3156"/>
    <w:rsid w:val="009D6286"/>
    <w:rsid w:val="009D6601"/>
    <w:rsid w:val="009E1521"/>
    <w:rsid w:val="009E32CA"/>
    <w:rsid w:val="009E5DE8"/>
    <w:rsid w:val="009F2EE3"/>
    <w:rsid w:val="009F3F6A"/>
    <w:rsid w:val="009F43CF"/>
    <w:rsid w:val="009F4DC8"/>
    <w:rsid w:val="009F5D50"/>
    <w:rsid w:val="009F6550"/>
    <w:rsid w:val="009F67E6"/>
    <w:rsid w:val="00A00AD0"/>
    <w:rsid w:val="00A00C4F"/>
    <w:rsid w:val="00A00CBF"/>
    <w:rsid w:val="00A01E0A"/>
    <w:rsid w:val="00A02AEB"/>
    <w:rsid w:val="00A06C44"/>
    <w:rsid w:val="00A07270"/>
    <w:rsid w:val="00A07B1E"/>
    <w:rsid w:val="00A1159D"/>
    <w:rsid w:val="00A13031"/>
    <w:rsid w:val="00A14604"/>
    <w:rsid w:val="00A14626"/>
    <w:rsid w:val="00A17926"/>
    <w:rsid w:val="00A20E3C"/>
    <w:rsid w:val="00A22F3F"/>
    <w:rsid w:val="00A23A08"/>
    <w:rsid w:val="00A23ED7"/>
    <w:rsid w:val="00A24C60"/>
    <w:rsid w:val="00A24DEE"/>
    <w:rsid w:val="00A25721"/>
    <w:rsid w:val="00A25F01"/>
    <w:rsid w:val="00A269B3"/>
    <w:rsid w:val="00A3040E"/>
    <w:rsid w:val="00A31F36"/>
    <w:rsid w:val="00A32314"/>
    <w:rsid w:val="00A33B33"/>
    <w:rsid w:val="00A33C72"/>
    <w:rsid w:val="00A35F28"/>
    <w:rsid w:val="00A37523"/>
    <w:rsid w:val="00A4178D"/>
    <w:rsid w:val="00A4563C"/>
    <w:rsid w:val="00A45EEC"/>
    <w:rsid w:val="00A55A11"/>
    <w:rsid w:val="00A55BDB"/>
    <w:rsid w:val="00A55E55"/>
    <w:rsid w:val="00A56192"/>
    <w:rsid w:val="00A56DD5"/>
    <w:rsid w:val="00A57806"/>
    <w:rsid w:val="00A60CE0"/>
    <w:rsid w:val="00A621D1"/>
    <w:rsid w:val="00A63165"/>
    <w:rsid w:val="00A64555"/>
    <w:rsid w:val="00A656AB"/>
    <w:rsid w:val="00A65CC5"/>
    <w:rsid w:val="00A66D28"/>
    <w:rsid w:val="00A674EE"/>
    <w:rsid w:val="00A717DA"/>
    <w:rsid w:val="00A71CB4"/>
    <w:rsid w:val="00A73401"/>
    <w:rsid w:val="00A763E7"/>
    <w:rsid w:val="00A763F2"/>
    <w:rsid w:val="00A772FB"/>
    <w:rsid w:val="00A77C13"/>
    <w:rsid w:val="00A77F28"/>
    <w:rsid w:val="00A83618"/>
    <w:rsid w:val="00A92551"/>
    <w:rsid w:val="00A92C2E"/>
    <w:rsid w:val="00A93341"/>
    <w:rsid w:val="00A94F08"/>
    <w:rsid w:val="00A963B2"/>
    <w:rsid w:val="00A973BE"/>
    <w:rsid w:val="00A97F0F"/>
    <w:rsid w:val="00AA0C1F"/>
    <w:rsid w:val="00AA2393"/>
    <w:rsid w:val="00AA5488"/>
    <w:rsid w:val="00AB0441"/>
    <w:rsid w:val="00AB55B4"/>
    <w:rsid w:val="00AB5F45"/>
    <w:rsid w:val="00AB6526"/>
    <w:rsid w:val="00AC0FA9"/>
    <w:rsid w:val="00AC363A"/>
    <w:rsid w:val="00AC56B1"/>
    <w:rsid w:val="00AC5A11"/>
    <w:rsid w:val="00AC5EEF"/>
    <w:rsid w:val="00AD1530"/>
    <w:rsid w:val="00AD2FEC"/>
    <w:rsid w:val="00AD3C5E"/>
    <w:rsid w:val="00AD4A76"/>
    <w:rsid w:val="00AD4DCC"/>
    <w:rsid w:val="00AE0226"/>
    <w:rsid w:val="00AE1A50"/>
    <w:rsid w:val="00AE7FD9"/>
    <w:rsid w:val="00AF045E"/>
    <w:rsid w:val="00AF056F"/>
    <w:rsid w:val="00AF0DCE"/>
    <w:rsid w:val="00AF43F1"/>
    <w:rsid w:val="00AF6D91"/>
    <w:rsid w:val="00AF73F2"/>
    <w:rsid w:val="00B01D2B"/>
    <w:rsid w:val="00B028ED"/>
    <w:rsid w:val="00B04D81"/>
    <w:rsid w:val="00B0568A"/>
    <w:rsid w:val="00B10BB5"/>
    <w:rsid w:val="00B1341A"/>
    <w:rsid w:val="00B15622"/>
    <w:rsid w:val="00B15B33"/>
    <w:rsid w:val="00B15CE6"/>
    <w:rsid w:val="00B163C7"/>
    <w:rsid w:val="00B1677F"/>
    <w:rsid w:val="00B167BD"/>
    <w:rsid w:val="00B17359"/>
    <w:rsid w:val="00B17476"/>
    <w:rsid w:val="00B1756A"/>
    <w:rsid w:val="00B21EE9"/>
    <w:rsid w:val="00B21F23"/>
    <w:rsid w:val="00B25A91"/>
    <w:rsid w:val="00B25EA3"/>
    <w:rsid w:val="00B274FF"/>
    <w:rsid w:val="00B27625"/>
    <w:rsid w:val="00B3072A"/>
    <w:rsid w:val="00B3360A"/>
    <w:rsid w:val="00B343DD"/>
    <w:rsid w:val="00B349E4"/>
    <w:rsid w:val="00B41CD2"/>
    <w:rsid w:val="00B43762"/>
    <w:rsid w:val="00B443B0"/>
    <w:rsid w:val="00B50261"/>
    <w:rsid w:val="00B50BDD"/>
    <w:rsid w:val="00B52319"/>
    <w:rsid w:val="00B55AF6"/>
    <w:rsid w:val="00B55FFA"/>
    <w:rsid w:val="00B566A1"/>
    <w:rsid w:val="00B56E93"/>
    <w:rsid w:val="00B61449"/>
    <w:rsid w:val="00B6270B"/>
    <w:rsid w:val="00B62947"/>
    <w:rsid w:val="00B62BA6"/>
    <w:rsid w:val="00B63687"/>
    <w:rsid w:val="00B6482E"/>
    <w:rsid w:val="00B713F0"/>
    <w:rsid w:val="00B74AD3"/>
    <w:rsid w:val="00B82BE5"/>
    <w:rsid w:val="00B9125F"/>
    <w:rsid w:val="00B932A3"/>
    <w:rsid w:val="00B93411"/>
    <w:rsid w:val="00B93A4C"/>
    <w:rsid w:val="00B93DA7"/>
    <w:rsid w:val="00B95557"/>
    <w:rsid w:val="00B97E0D"/>
    <w:rsid w:val="00BA01C9"/>
    <w:rsid w:val="00BA09DE"/>
    <w:rsid w:val="00BA274D"/>
    <w:rsid w:val="00BA3554"/>
    <w:rsid w:val="00BA3C0E"/>
    <w:rsid w:val="00BA3F15"/>
    <w:rsid w:val="00BA4559"/>
    <w:rsid w:val="00BA4F9E"/>
    <w:rsid w:val="00BA7651"/>
    <w:rsid w:val="00BB09AE"/>
    <w:rsid w:val="00BB265C"/>
    <w:rsid w:val="00BB3390"/>
    <w:rsid w:val="00BB3DA7"/>
    <w:rsid w:val="00BB53D3"/>
    <w:rsid w:val="00BB589B"/>
    <w:rsid w:val="00BB59DF"/>
    <w:rsid w:val="00BC2148"/>
    <w:rsid w:val="00BC37D7"/>
    <w:rsid w:val="00BC5A01"/>
    <w:rsid w:val="00BC6CAE"/>
    <w:rsid w:val="00BD06F2"/>
    <w:rsid w:val="00BD0EE3"/>
    <w:rsid w:val="00BD1EA5"/>
    <w:rsid w:val="00BD2D1F"/>
    <w:rsid w:val="00BD443E"/>
    <w:rsid w:val="00BD479C"/>
    <w:rsid w:val="00BD507A"/>
    <w:rsid w:val="00BD6D8C"/>
    <w:rsid w:val="00BD792E"/>
    <w:rsid w:val="00BD7B34"/>
    <w:rsid w:val="00BD7B35"/>
    <w:rsid w:val="00BE1541"/>
    <w:rsid w:val="00BE1AC6"/>
    <w:rsid w:val="00BE1CB2"/>
    <w:rsid w:val="00BE65C0"/>
    <w:rsid w:val="00BE6F38"/>
    <w:rsid w:val="00BE761A"/>
    <w:rsid w:val="00BF1284"/>
    <w:rsid w:val="00BF1E37"/>
    <w:rsid w:val="00BF22EC"/>
    <w:rsid w:val="00BF35F9"/>
    <w:rsid w:val="00BF5774"/>
    <w:rsid w:val="00C01399"/>
    <w:rsid w:val="00C014CE"/>
    <w:rsid w:val="00C0253B"/>
    <w:rsid w:val="00C02A7A"/>
    <w:rsid w:val="00C065CA"/>
    <w:rsid w:val="00C06955"/>
    <w:rsid w:val="00C113DD"/>
    <w:rsid w:val="00C124A2"/>
    <w:rsid w:val="00C17C05"/>
    <w:rsid w:val="00C2232F"/>
    <w:rsid w:val="00C247E1"/>
    <w:rsid w:val="00C26C99"/>
    <w:rsid w:val="00C27CED"/>
    <w:rsid w:val="00C30982"/>
    <w:rsid w:val="00C30CB6"/>
    <w:rsid w:val="00C34711"/>
    <w:rsid w:val="00C34B52"/>
    <w:rsid w:val="00C36A58"/>
    <w:rsid w:val="00C36F37"/>
    <w:rsid w:val="00C41C7D"/>
    <w:rsid w:val="00C44993"/>
    <w:rsid w:val="00C46A13"/>
    <w:rsid w:val="00C474A7"/>
    <w:rsid w:val="00C50A60"/>
    <w:rsid w:val="00C520A6"/>
    <w:rsid w:val="00C5312A"/>
    <w:rsid w:val="00C5487E"/>
    <w:rsid w:val="00C54A98"/>
    <w:rsid w:val="00C55E56"/>
    <w:rsid w:val="00C5659F"/>
    <w:rsid w:val="00C5754C"/>
    <w:rsid w:val="00C62CBB"/>
    <w:rsid w:val="00C63F62"/>
    <w:rsid w:val="00C643ED"/>
    <w:rsid w:val="00C65C62"/>
    <w:rsid w:val="00C678A3"/>
    <w:rsid w:val="00C67BF1"/>
    <w:rsid w:val="00C711E2"/>
    <w:rsid w:val="00C7191A"/>
    <w:rsid w:val="00C750C0"/>
    <w:rsid w:val="00C760CF"/>
    <w:rsid w:val="00C80EAD"/>
    <w:rsid w:val="00C82B51"/>
    <w:rsid w:val="00C8368C"/>
    <w:rsid w:val="00C8387C"/>
    <w:rsid w:val="00C856FF"/>
    <w:rsid w:val="00C91EF8"/>
    <w:rsid w:val="00C93C5B"/>
    <w:rsid w:val="00C9497C"/>
    <w:rsid w:val="00C94BCB"/>
    <w:rsid w:val="00C94FF2"/>
    <w:rsid w:val="00C97EA6"/>
    <w:rsid w:val="00CA24D1"/>
    <w:rsid w:val="00CA2B8D"/>
    <w:rsid w:val="00CA2C29"/>
    <w:rsid w:val="00CA336D"/>
    <w:rsid w:val="00CA55CE"/>
    <w:rsid w:val="00CA5C7A"/>
    <w:rsid w:val="00CA679D"/>
    <w:rsid w:val="00CB4A8C"/>
    <w:rsid w:val="00CB605C"/>
    <w:rsid w:val="00CC0ABA"/>
    <w:rsid w:val="00CC1CFF"/>
    <w:rsid w:val="00CC2B19"/>
    <w:rsid w:val="00CC4B27"/>
    <w:rsid w:val="00CC6F05"/>
    <w:rsid w:val="00CC7F95"/>
    <w:rsid w:val="00CD27EC"/>
    <w:rsid w:val="00CD2E70"/>
    <w:rsid w:val="00CD66BA"/>
    <w:rsid w:val="00CD7474"/>
    <w:rsid w:val="00CE01D1"/>
    <w:rsid w:val="00CE60DC"/>
    <w:rsid w:val="00CE7E90"/>
    <w:rsid w:val="00CF070B"/>
    <w:rsid w:val="00CF2ECF"/>
    <w:rsid w:val="00CF4287"/>
    <w:rsid w:val="00CF4826"/>
    <w:rsid w:val="00CF5FFF"/>
    <w:rsid w:val="00CF65F7"/>
    <w:rsid w:val="00CF689E"/>
    <w:rsid w:val="00CF6C63"/>
    <w:rsid w:val="00CF79E7"/>
    <w:rsid w:val="00CF7AC0"/>
    <w:rsid w:val="00D00834"/>
    <w:rsid w:val="00D016AE"/>
    <w:rsid w:val="00D01B5A"/>
    <w:rsid w:val="00D0507B"/>
    <w:rsid w:val="00D12884"/>
    <w:rsid w:val="00D1473E"/>
    <w:rsid w:val="00D162F6"/>
    <w:rsid w:val="00D21958"/>
    <w:rsid w:val="00D21C73"/>
    <w:rsid w:val="00D239EE"/>
    <w:rsid w:val="00D240BC"/>
    <w:rsid w:val="00D2513D"/>
    <w:rsid w:val="00D31721"/>
    <w:rsid w:val="00D350EE"/>
    <w:rsid w:val="00D36576"/>
    <w:rsid w:val="00D36C4E"/>
    <w:rsid w:val="00D43A71"/>
    <w:rsid w:val="00D43F3C"/>
    <w:rsid w:val="00D4640D"/>
    <w:rsid w:val="00D46DEF"/>
    <w:rsid w:val="00D46EA3"/>
    <w:rsid w:val="00D55044"/>
    <w:rsid w:val="00D561C2"/>
    <w:rsid w:val="00D56BFD"/>
    <w:rsid w:val="00D575C8"/>
    <w:rsid w:val="00D6226E"/>
    <w:rsid w:val="00D6268A"/>
    <w:rsid w:val="00D62A72"/>
    <w:rsid w:val="00D65D48"/>
    <w:rsid w:val="00D66F11"/>
    <w:rsid w:val="00D71473"/>
    <w:rsid w:val="00D72F86"/>
    <w:rsid w:val="00D80698"/>
    <w:rsid w:val="00D839A3"/>
    <w:rsid w:val="00D9026A"/>
    <w:rsid w:val="00D90778"/>
    <w:rsid w:val="00D90FF3"/>
    <w:rsid w:val="00D91A16"/>
    <w:rsid w:val="00D9301F"/>
    <w:rsid w:val="00D93568"/>
    <w:rsid w:val="00D9448B"/>
    <w:rsid w:val="00D955C0"/>
    <w:rsid w:val="00D9655A"/>
    <w:rsid w:val="00D96C02"/>
    <w:rsid w:val="00DA0F27"/>
    <w:rsid w:val="00DA3207"/>
    <w:rsid w:val="00DA3662"/>
    <w:rsid w:val="00DA3FF9"/>
    <w:rsid w:val="00DA433A"/>
    <w:rsid w:val="00DA60C8"/>
    <w:rsid w:val="00DA6971"/>
    <w:rsid w:val="00DB16EE"/>
    <w:rsid w:val="00DB2A1F"/>
    <w:rsid w:val="00DB311B"/>
    <w:rsid w:val="00DB387F"/>
    <w:rsid w:val="00DB595B"/>
    <w:rsid w:val="00DB7B08"/>
    <w:rsid w:val="00DC2DA2"/>
    <w:rsid w:val="00DC3273"/>
    <w:rsid w:val="00DC3564"/>
    <w:rsid w:val="00DC412B"/>
    <w:rsid w:val="00DD085D"/>
    <w:rsid w:val="00DD0A37"/>
    <w:rsid w:val="00DD0A89"/>
    <w:rsid w:val="00DD1780"/>
    <w:rsid w:val="00DD1817"/>
    <w:rsid w:val="00DD4EBB"/>
    <w:rsid w:val="00DD5831"/>
    <w:rsid w:val="00DE0903"/>
    <w:rsid w:val="00DE0DA5"/>
    <w:rsid w:val="00DE11C0"/>
    <w:rsid w:val="00DE1972"/>
    <w:rsid w:val="00DE4F6A"/>
    <w:rsid w:val="00DE6429"/>
    <w:rsid w:val="00DF0B8F"/>
    <w:rsid w:val="00DF16D7"/>
    <w:rsid w:val="00DF1D8F"/>
    <w:rsid w:val="00DF3364"/>
    <w:rsid w:val="00DF43FA"/>
    <w:rsid w:val="00DF4B8A"/>
    <w:rsid w:val="00DF5412"/>
    <w:rsid w:val="00DF6500"/>
    <w:rsid w:val="00E0479E"/>
    <w:rsid w:val="00E0660A"/>
    <w:rsid w:val="00E06E38"/>
    <w:rsid w:val="00E06FE1"/>
    <w:rsid w:val="00E07329"/>
    <w:rsid w:val="00E0758B"/>
    <w:rsid w:val="00E10BA0"/>
    <w:rsid w:val="00E13C75"/>
    <w:rsid w:val="00E163A0"/>
    <w:rsid w:val="00E178B1"/>
    <w:rsid w:val="00E20BFE"/>
    <w:rsid w:val="00E2157A"/>
    <w:rsid w:val="00E2257D"/>
    <w:rsid w:val="00E22799"/>
    <w:rsid w:val="00E23529"/>
    <w:rsid w:val="00E24F82"/>
    <w:rsid w:val="00E309FC"/>
    <w:rsid w:val="00E30A6A"/>
    <w:rsid w:val="00E35B66"/>
    <w:rsid w:val="00E372AF"/>
    <w:rsid w:val="00E37773"/>
    <w:rsid w:val="00E40447"/>
    <w:rsid w:val="00E42509"/>
    <w:rsid w:val="00E42677"/>
    <w:rsid w:val="00E443A0"/>
    <w:rsid w:val="00E469CD"/>
    <w:rsid w:val="00E47B38"/>
    <w:rsid w:val="00E5355A"/>
    <w:rsid w:val="00E5700C"/>
    <w:rsid w:val="00E601BB"/>
    <w:rsid w:val="00E60D64"/>
    <w:rsid w:val="00E611D9"/>
    <w:rsid w:val="00E6139D"/>
    <w:rsid w:val="00E61F7A"/>
    <w:rsid w:val="00E63F8F"/>
    <w:rsid w:val="00E7365E"/>
    <w:rsid w:val="00E74187"/>
    <w:rsid w:val="00E76EF1"/>
    <w:rsid w:val="00E76F64"/>
    <w:rsid w:val="00E805F9"/>
    <w:rsid w:val="00E809EE"/>
    <w:rsid w:val="00E8188C"/>
    <w:rsid w:val="00E82AB9"/>
    <w:rsid w:val="00E85379"/>
    <w:rsid w:val="00E85687"/>
    <w:rsid w:val="00E85CEA"/>
    <w:rsid w:val="00E86801"/>
    <w:rsid w:val="00E86C90"/>
    <w:rsid w:val="00E90381"/>
    <w:rsid w:val="00E95071"/>
    <w:rsid w:val="00EA1192"/>
    <w:rsid w:val="00EA2860"/>
    <w:rsid w:val="00EA2B97"/>
    <w:rsid w:val="00EA4BC9"/>
    <w:rsid w:val="00EA5F99"/>
    <w:rsid w:val="00EA6472"/>
    <w:rsid w:val="00EB3141"/>
    <w:rsid w:val="00EB5900"/>
    <w:rsid w:val="00EB77C6"/>
    <w:rsid w:val="00EC1953"/>
    <w:rsid w:val="00EC1EBA"/>
    <w:rsid w:val="00EC2CBC"/>
    <w:rsid w:val="00EC3CAC"/>
    <w:rsid w:val="00EC5017"/>
    <w:rsid w:val="00EC7BA8"/>
    <w:rsid w:val="00ED03EF"/>
    <w:rsid w:val="00ED0C92"/>
    <w:rsid w:val="00ED209A"/>
    <w:rsid w:val="00ED2B46"/>
    <w:rsid w:val="00ED31A9"/>
    <w:rsid w:val="00ED3915"/>
    <w:rsid w:val="00ED46AE"/>
    <w:rsid w:val="00ED6120"/>
    <w:rsid w:val="00ED74C4"/>
    <w:rsid w:val="00EE0D6B"/>
    <w:rsid w:val="00EE0E31"/>
    <w:rsid w:val="00EE1C91"/>
    <w:rsid w:val="00EE2B2B"/>
    <w:rsid w:val="00EE4904"/>
    <w:rsid w:val="00EE4D51"/>
    <w:rsid w:val="00EE68F1"/>
    <w:rsid w:val="00EE729C"/>
    <w:rsid w:val="00EF28C4"/>
    <w:rsid w:val="00EF4598"/>
    <w:rsid w:val="00EF7B1A"/>
    <w:rsid w:val="00EF7EA6"/>
    <w:rsid w:val="00F00320"/>
    <w:rsid w:val="00F0059A"/>
    <w:rsid w:val="00F0120C"/>
    <w:rsid w:val="00F02ADD"/>
    <w:rsid w:val="00F07573"/>
    <w:rsid w:val="00F10A11"/>
    <w:rsid w:val="00F11F13"/>
    <w:rsid w:val="00F12442"/>
    <w:rsid w:val="00F14EF7"/>
    <w:rsid w:val="00F2128D"/>
    <w:rsid w:val="00F215DB"/>
    <w:rsid w:val="00F21DD8"/>
    <w:rsid w:val="00F22EA5"/>
    <w:rsid w:val="00F2372B"/>
    <w:rsid w:val="00F23DCB"/>
    <w:rsid w:val="00F30451"/>
    <w:rsid w:val="00F30EF3"/>
    <w:rsid w:val="00F3107B"/>
    <w:rsid w:val="00F35926"/>
    <w:rsid w:val="00F35B3E"/>
    <w:rsid w:val="00F400EB"/>
    <w:rsid w:val="00F40998"/>
    <w:rsid w:val="00F412EA"/>
    <w:rsid w:val="00F44928"/>
    <w:rsid w:val="00F45A3C"/>
    <w:rsid w:val="00F45BBE"/>
    <w:rsid w:val="00F47013"/>
    <w:rsid w:val="00F513D4"/>
    <w:rsid w:val="00F57DAE"/>
    <w:rsid w:val="00F6041A"/>
    <w:rsid w:val="00F607B2"/>
    <w:rsid w:val="00F6088B"/>
    <w:rsid w:val="00F61C02"/>
    <w:rsid w:val="00F61F22"/>
    <w:rsid w:val="00F62ACB"/>
    <w:rsid w:val="00F63931"/>
    <w:rsid w:val="00F639B8"/>
    <w:rsid w:val="00F660C2"/>
    <w:rsid w:val="00F66E89"/>
    <w:rsid w:val="00F66EEF"/>
    <w:rsid w:val="00F724C6"/>
    <w:rsid w:val="00F75571"/>
    <w:rsid w:val="00F77873"/>
    <w:rsid w:val="00F821C0"/>
    <w:rsid w:val="00F829E8"/>
    <w:rsid w:val="00F839FC"/>
    <w:rsid w:val="00F8410B"/>
    <w:rsid w:val="00F84455"/>
    <w:rsid w:val="00F86636"/>
    <w:rsid w:val="00F87504"/>
    <w:rsid w:val="00F921CB"/>
    <w:rsid w:val="00F92B6A"/>
    <w:rsid w:val="00F9578D"/>
    <w:rsid w:val="00F95846"/>
    <w:rsid w:val="00F97016"/>
    <w:rsid w:val="00FA2660"/>
    <w:rsid w:val="00FA3689"/>
    <w:rsid w:val="00FA58C1"/>
    <w:rsid w:val="00FA644A"/>
    <w:rsid w:val="00FA72C3"/>
    <w:rsid w:val="00FA751C"/>
    <w:rsid w:val="00FB0F5C"/>
    <w:rsid w:val="00FB1DC7"/>
    <w:rsid w:val="00FB49C5"/>
    <w:rsid w:val="00FB4C2A"/>
    <w:rsid w:val="00FC0CA1"/>
    <w:rsid w:val="00FC1805"/>
    <w:rsid w:val="00FC2360"/>
    <w:rsid w:val="00FC38B0"/>
    <w:rsid w:val="00FD0F68"/>
    <w:rsid w:val="00FD20F8"/>
    <w:rsid w:val="00FD286B"/>
    <w:rsid w:val="00FD2B90"/>
    <w:rsid w:val="00FE281E"/>
    <w:rsid w:val="00FE2B68"/>
    <w:rsid w:val="00FE2E53"/>
    <w:rsid w:val="00FE37A1"/>
    <w:rsid w:val="00FE3FE8"/>
    <w:rsid w:val="00FE4836"/>
    <w:rsid w:val="00FE4955"/>
    <w:rsid w:val="00FE5B15"/>
    <w:rsid w:val="00FE6742"/>
    <w:rsid w:val="00FF0286"/>
    <w:rsid w:val="00FF4725"/>
    <w:rsid w:val="00FF544D"/>
    <w:rsid w:val="00FF57F6"/>
    <w:rsid w:val="00FF5FB1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677F"/>
    <w:pPr>
      <w:spacing w:after="240" w:line="300" w:lineRule="auto"/>
    </w:pPr>
    <w:rPr>
      <w:kern w:val="24"/>
      <w:sz w:val="24"/>
      <w:szCs w:val="24"/>
      <w:lang w:val="en-US" w:eastAsia="en-US"/>
    </w:rPr>
  </w:style>
  <w:style w:type="paragraph" w:styleId="Heading1">
    <w:name w:val="heading 1"/>
    <w:basedOn w:val="DocumentText"/>
    <w:next w:val="DocumentText"/>
    <w:qFormat/>
    <w:rsid w:val="00B1677F"/>
    <w:pPr>
      <w:keepNext/>
      <w:keepLines/>
      <w:numPr>
        <w:numId w:val="2"/>
      </w:numPr>
      <w:tabs>
        <w:tab w:val="left" w:pos="1649"/>
      </w:tabs>
      <w:spacing w:before="120" w:after="120"/>
      <w:outlineLvl w:val="0"/>
    </w:pPr>
    <w:rPr>
      <w:b/>
      <w:kern w:val="28"/>
      <w:sz w:val="28"/>
      <w:szCs w:val="28"/>
    </w:rPr>
  </w:style>
  <w:style w:type="paragraph" w:styleId="Heading2">
    <w:name w:val="heading 2"/>
    <w:basedOn w:val="Heading1"/>
    <w:next w:val="DocumentText"/>
    <w:link w:val="Heading2Char"/>
    <w:qFormat/>
    <w:rsid w:val="00B1677F"/>
    <w:pPr>
      <w:numPr>
        <w:ilvl w:val="1"/>
      </w:numPr>
      <w:tabs>
        <w:tab w:val="clear" w:pos="1649"/>
        <w:tab w:val="left" w:pos="1901"/>
      </w:tabs>
      <w:outlineLvl w:val="1"/>
    </w:pPr>
  </w:style>
  <w:style w:type="paragraph" w:styleId="Heading3">
    <w:name w:val="heading 3"/>
    <w:basedOn w:val="Heading1"/>
    <w:next w:val="DocumentText"/>
    <w:link w:val="Heading3Char"/>
    <w:qFormat/>
    <w:rsid w:val="00B1677F"/>
    <w:pPr>
      <w:numPr>
        <w:ilvl w:val="2"/>
      </w:numPr>
      <w:tabs>
        <w:tab w:val="clear" w:pos="1649"/>
        <w:tab w:val="left" w:pos="2138"/>
      </w:tabs>
      <w:outlineLvl w:val="2"/>
    </w:pPr>
  </w:style>
  <w:style w:type="paragraph" w:styleId="Heading4">
    <w:name w:val="heading 4"/>
    <w:basedOn w:val="Heading1"/>
    <w:next w:val="DocumentText"/>
    <w:qFormat/>
    <w:rsid w:val="00B1677F"/>
    <w:pPr>
      <w:numPr>
        <w:ilvl w:val="3"/>
      </w:numPr>
      <w:tabs>
        <w:tab w:val="clear" w:pos="1649"/>
        <w:tab w:val="left" w:pos="2362"/>
      </w:tabs>
      <w:outlineLvl w:val="3"/>
    </w:pPr>
  </w:style>
  <w:style w:type="paragraph" w:styleId="Heading5">
    <w:name w:val="heading 5"/>
    <w:basedOn w:val="Heading1"/>
    <w:next w:val="DocumentText"/>
    <w:qFormat/>
    <w:rsid w:val="00B1677F"/>
    <w:pPr>
      <w:numPr>
        <w:ilvl w:val="4"/>
      </w:numPr>
      <w:tabs>
        <w:tab w:val="clear" w:pos="1649"/>
        <w:tab w:val="left" w:pos="2570"/>
      </w:tabs>
      <w:outlineLvl w:val="4"/>
    </w:pPr>
  </w:style>
  <w:style w:type="paragraph" w:styleId="Heading6">
    <w:name w:val="heading 6"/>
    <w:basedOn w:val="Heading1"/>
    <w:next w:val="DocumentText"/>
    <w:qFormat/>
    <w:rsid w:val="00B1677F"/>
    <w:pPr>
      <w:numPr>
        <w:ilvl w:val="5"/>
      </w:numPr>
      <w:tabs>
        <w:tab w:val="clear" w:pos="1649"/>
        <w:tab w:val="left" w:pos="2765"/>
      </w:tabs>
      <w:outlineLvl w:val="5"/>
    </w:pPr>
  </w:style>
  <w:style w:type="paragraph" w:styleId="Heading7">
    <w:name w:val="heading 7"/>
    <w:basedOn w:val="Heading1"/>
    <w:next w:val="DocumentText"/>
    <w:qFormat/>
    <w:rsid w:val="00B1677F"/>
    <w:pPr>
      <w:numPr>
        <w:ilvl w:val="6"/>
      </w:numPr>
      <w:tabs>
        <w:tab w:val="clear" w:pos="1649"/>
        <w:tab w:val="left" w:pos="2945"/>
      </w:tabs>
      <w:outlineLvl w:val="6"/>
    </w:pPr>
  </w:style>
  <w:style w:type="paragraph" w:styleId="Heading8">
    <w:name w:val="heading 8"/>
    <w:basedOn w:val="Heading1"/>
    <w:next w:val="DocumentText"/>
    <w:qFormat/>
    <w:rsid w:val="00B1677F"/>
    <w:pPr>
      <w:numPr>
        <w:ilvl w:val="7"/>
      </w:numPr>
      <w:tabs>
        <w:tab w:val="clear" w:pos="1649"/>
        <w:tab w:val="left" w:pos="3110"/>
      </w:tabs>
      <w:ind w:left="3110"/>
      <w:outlineLvl w:val="7"/>
    </w:pPr>
  </w:style>
  <w:style w:type="paragraph" w:styleId="Heading9">
    <w:name w:val="heading 9"/>
    <w:basedOn w:val="Heading1"/>
    <w:next w:val="DocumentText"/>
    <w:qFormat/>
    <w:rsid w:val="00B1677F"/>
    <w:pPr>
      <w:numPr>
        <w:ilvl w:val="8"/>
      </w:numPr>
      <w:tabs>
        <w:tab w:val="clear" w:pos="1649"/>
        <w:tab w:val="left" w:pos="3262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rsid w:val="00B1677F"/>
    <w:pPr>
      <w:spacing w:after="0" w:line="240" w:lineRule="auto"/>
      <w:ind w:left="240" w:hanging="240"/>
    </w:pPr>
  </w:style>
  <w:style w:type="paragraph" w:styleId="TOC3">
    <w:name w:val="toc 3"/>
    <w:basedOn w:val="Normal"/>
    <w:next w:val="Normal"/>
    <w:autoRedefine/>
    <w:semiHidden/>
    <w:rsid w:val="00B1677F"/>
    <w:pPr>
      <w:spacing w:after="60" w:line="240" w:lineRule="auto"/>
      <w:ind w:left="2138" w:hanging="2138"/>
    </w:pPr>
  </w:style>
  <w:style w:type="paragraph" w:styleId="TOC2">
    <w:name w:val="toc 2"/>
    <w:basedOn w:val="Normal"/>
    <w:next w:val="Normal"/>
    <w:autoRedefine/>
    <w:semiHidden/>
    <w:rsid w:val="00B1677F"/>
    <w:pPr>
      <w:spacing w:after="120" w:line="240" w:lineRule="auto"/>
      <w:ind w:left="1901" w:hanging="1901"/>
    </w:pPr>
  </w:style>
  <w:style w:type="paragraph" w:styleId="TOC1">
    <w:name w:val="toc 1"/>
    <w:basedOn w:val="Normal"/>
    <w:next w:val="Normal"/>
    <w:autoRedefine/>
    <w:semiHidden/>
    <w:rsid w:val="00B1677F"/>
    <w:pPr>
      <w:spacing w:after="180" w:line="240" w:lineRule="auto"/>
      <w:ind w:left="1649" w:hanging="1649"/>
    </w:pPr>
  </w:style>
  <w:style w:type="table" w:styleId="LightGrid">
    <w:name w:val="Light Grid"/>
    <w:basedOn w:val="TableNormal"/>
    <w:uiPriority w:val="62"/>
    <w:rsid w:val="00B1677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1677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167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Footer">
    <w:name w:val="footer"/>
    <w:basedOn w:val="DocumentText"/>
    <w:rsid w:val="00B1677F"/>
    <w:pPr>
      <w:tabs>
        <w:tab w:val="center" w:pos="4478"/>
        <w:tab w:val="right" w:pos="8957"/>
      </w:tabs>
      <w:spacing w:before="120" w:after="0" w:line="240" w:lineRule="auto"/>
    </w:pPr>
    <w:rPr>
      <w:kern w:val="18"/>
      <w:sz w:val="20"/>
    </w:rPr>
  </w:style>
  <w:style w:type="paragraph" w:styleId="Header">
    <w:name w:val="header"/>
    <w:basedOn w:val="DocumentText"/>
    <w:link w:val="HeaderChar"/>
    <w:uiPriority w:val="99"/>
    <w:rsid w:val="00B1677F"/>
    <w:pPr>
      <w:tabs>
        <w:tab w:val="right" w:pos="8957"/>
      </w:tabs>
      <w:spacing w:after="120" w:line="240" w:lineRule="auto"/>
    </w:pPr>
    <w:rPr>
      <w:kern w:val="18"/>
      <w:sz w:val="20"/>
    </w:rPr>
  </w:style>
  <w:style w:type="paragraph" w:styleId="Title">
    <w:name w:val="Title"/>
    <w:basedOn w:val="DocumentText"/>
    <w:next w:val="DocumentText"/>
    <w:link w:val="TitleChar"/>
    <w:qFormat/>
    <w:rsid w:val="00B1677F"/>
    <w:pPr>
      <w:keepNext/>
      <w:keepLines/>
      <w:spacing w:after="0"/>
      <w:jc w:val="center"/>
    </w:pPr>
    <w:rPr>
      <w:rFonts w:cs="Arial"/>
      <w:b/>
      <w:bCs/>
      <w:kern w:val="28"/>
      <w:sz w:val="28"/>
      <w:szCs w:val="28"/>
    </w:rPr>
  </w:style>
  <w:style w:type="table" w:styleId="Table3Deffects1">
    <w:name w:val="Table 3D effects 1"/>
    <w:basedOn w:val="TableNormal"/>
    <w:rsid w:val="00B1677F"/>
    <w:pPr>
      <w:spacing w:after="240"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1677F"/>
    <w:pPr>
      <w:spacing w:after="240"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ption1">
    <w:name w:val="Caption1"/>
    <w:basedOn w:val="Normal"/>
    <w:rsid w:val="003D48CE"/>
    <w:rPr>
      <w:rFonts w:ascii="Arial" w:hAnsi="Arial"/>
      <w:sz w:val="20"/>
    </w:rPr>
  </w:style>
  <w:style w:type="character" w:customStyle="1" w:styleId="TitleChar">
    <w:name w:val="Title Char"/>
    <w:basedOn w:val="DefaultParagraphFont"/>
    <w:link w:val="Title"/>
    <w:rsid w:val="00B1677F"/>
    <w:rPr>
      <w:rFonts w:cs="Arial"/>
      <w:b/>
      <w:bCs/>
      <w:kern w:val="28"/>
      <w:sz w:val="28"/>
      <w:szCs w:val="28"/>
      <w:lang w:val="en-US" w:eastAsia="en-US"/>
    </w:rPr>
  </w:style>
  <w:style w:type="table" w:styleId="LightGrid-Accent3">
    <w:name w:val="Light Grid Accent 3"/>
    <w:basedOn w:val="TableNormal"/>
    <w:uiPriority w:val="62"/>
    <w:rsid w:val="00B1677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olorfulGrid">
    <w:name w:val="Colorful Grid"/>
    <w:basedOn w:val="TableNormal"/>
    <w:uiPriority w:val="73"/>
    <w:rsid w:val="00B167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167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167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ghtGrid-Accent4">
    <w:name w:val="Light Grid Accent 4"/>
    <w:basedOn w:val="TableNormal"/>
    <w:uiPriority w:val="62"/>
    <w:rsid w:val="00B1677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leClassic1">
    <w:name w:val="Table Classic 1"/>
    <w:basedOn w:val="TableNormal"/>
    <w:rsid w:val="00B1677F"/>
    <w:pPr>
      <w:spacing w:after="240"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1677F"/>
    <w:pPr>
      <w:spacing w:after="240"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Grid-Accent3">
    <w:name w:val="Colorful Grid Accent 3"/>
    <w:basedOn w:val="TableNormal"/>
    <w:uiPriority w:val="73"/>
    <w:rsid w:val="00B167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le3Deffects3">
    <w:name w:val="Table 3D effects 3"/>
    <w:basedOn w:val="TableNormal"/>
    <w:rsid w:val="00B1677F"/>
    <w:pPr>
      <w:spacing w:after="240"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rkList">
    <w:name w:val="Dark List"/>
    <w:basedOn w:val="TableNormal"/>
    <w:uiPriority w:val="70"/>
    <w:rsid w:val="00B1677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1677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1677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1677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bleClassic2">
    <w:name w:val="Table Classic 2"/>
    <w:basedOn w:val="TableNormal"/>
    <w:rsid w:val="00B1677F"/>
    <w:pPr>
      <w:spacing w:after="240"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Footnote">
    <w:name w:val="Table Footnote"/>
    <w:basedOn w:val="DocumentText"/>
    <w:next w:val="DocumentText"/>
    <w:link w:val="TableFootnoteChar"/>
    <w:rsid w:val="00B1677F"/>
    <w:pPr>
      <w:keepNext/>
      <w:keepLines/>
      <w:spacing w:before="40" w:after="0" w:line="240" w:lineRule="auto"/>
      <w:ind w:left="360" w:hanging="360"/>
    </w:pPr>
    <w:rPr>
      <w:kern w:val="20"/>
      <w:sz w:val="20"/>
      <w:szCs w:val="20"/>
    </w:rPr>
  </w:style>
  <w:style w:type="paragraph" w:styleId="BodyText">
    <w:name w:val="Body Text"/>
    <w:basedOn w:val="Normal"/>
    <w:link w:val="BodyTextChar"/>
    <w:rsid w:val="00B167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677F"/>
    <w:rPr>
      <w:kern w:val="24"/>
      <w:sz w:val="24"/>
      <w:szCs w:val="24"/>
      <w:lang w:val="en-US" w:eastAsia="en-US"/>
    </w:rPr>
  </w:style>
  <w:style w:type="table" w:styleId="TableClassic3">
    <w:name w:val="Table Classic 3"/>
    <w:basedOn w:val="TableNormal"/>
    <w:rsid w:val="00B1677F"/>
    <w:pPr>
      <w:spacing w:after="240"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B1677F"/>
    <w:rPr>
      <w:color w:val="0000FF"/>
      <w:u w:val="none"/>
    </w:rPr>
  </w:style>
  <w:style w:type="table" w:styleId="LightGrid-Accent5">
    <w:name w:val="Light Grid Accent 5"/>
    <w:basedOn w:val="TableNormal"/>
    <w:uiPriority w:val="62"/>
    <w:rsid w:val="00B1677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Caption">
    <w:name w:val="caption"/>
    <w:basedOn w:val="Normal"/>
    <w:next w:val="Normal"/>
    <w:qFormat/>
    <w:rsid w:val="00B1677F"/>
    <w:pPr>
      <w:keepNext/>
      <w:spacing w:before="240" w:after="120" w:line="240" w:lineRule="auto"/>
      <w:ind w:left="2160" w:hanging="2160"/>
    </w:pPr>
    <w:rPr>
      <w:b/>
      <w:bCs/>
      <w:szCs w:val="20"/>
    </w:rPr>
  </w:style>
  <w:style w:type="paragraph" w:customStyle="1" w:styleId="Guidance">
    <w:name w:val="Guidance"/>
    <w:basedOn w:val="DocumentText"/>
    <w:link w:val="GuidanceChar"/>
    <w:qFormat/>
    <w:rsid w:val="00B1677F"/>
  </w:style>
  <w:style w:type="table" w:styleId="DarkList-Accent4">
    <w:name w:val="Dark List Accent 4"/>
    <w:basedOn w:val="TableNormal"/>
    <w:uiPriority w:val="70"/>
    <w:rsid w:val="00B1677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character" w:customStyle="1" w:styleId="TableFootnoteChar">
    <w:name w:val="Table Footnote Char"/>
    <w:basedOn w:val="DefaultParagraphFont"/>
    <w:link w:val="TableFootnote"/>
    <w:rsid w:val="00B1677F"/>
    <w:rPr>
      <w:kern w:val="20"/>
      <w:lang w:val="en-US" w:eastAsia="en-US"/>
    </w:rPr>
  </w:style>
  <w:style w:type="paragraph" w:customStyle="1" w:styleId="CTDTable10">
    <w:name w:val="CTD Table 10"/>
    <w:basedOn w:val="Normal"/>
    <w:rsid w:val="00E24F82"/>
    <w:rPr>
      <w:sz w:val="20"/>
    </w:rPr>
  </w:style>
  <w:style w:type="table" w:styleId="ColorfulGrid-Accent4">
    <w:name w:val="Colorful Grid Accent 4"/>
    <w:basedOn w:val="TableNormal"/>
    <w:uiPriority w:val="73"/>
    <w:rsid w:val="00B167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167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Revision">
    <w:name w:val="Revision"/>
    <w:hidden/>
    <w:uiPriority w:val="99"/>
    <w:semiHidden/>
    <w:rsid w:val="00DF4B8A"/>
    <w:rPr>
      <w:b/>
      <w:sz w:val="22"/>
      <w:lang w:eastAsia="en-US"/>
    </w:rPr>
  </w:style>
  <w:style w:type="paragraph" w:customStyle="1" w:styleId="DocumentText">
    <w:name w:val="Document Text"/>
    <w:basedOn w:val="Normal"/>
    <w:link w:val="DocumentTextChar"/>
    <w:rsid w:val="00B1677F"/>
  </w:style>
  <w:style w:type="character" w:customStyle="1" w:styleId="GuidanceChar">
    <w:name w:val="Guidance Char"/>
    <w:basedOn w:val="DefaultParagraphFont"/>
    <w:link w:val="Guidance"/>
    <w:rsid w:val="00B1677F"/>
    <w:rPr>
      <w:kern w:val="24"/>
      <w:sz w:val="24"/>
      <w:szCs w:val="24"/>
      <w:lang w:val="en-US" w:eastAsia="en-US"/>
    </w:rPr>
  </w:style>
  <w:style w:type="paragraph" w:customStyle="1" w:styleId="ListBulleted">
    <w:name w:val="List Bulleted"/>
    <w:basedOn w:val="DocumentText"/>
    <w:rsid w:val="00B1677F"/>
    <w:pPr>
      <w:keepLines/>
      <w:numPr>
        <w:numId w:val="1"/>
      </w:numPr>
      <w:adjustRightInd w:val="0"/>
      <w:spacing w:before="120" w:after="120"/>
      <w:ind w:left="648"/>
    </w:pPr>
  </w:style>
  <w:style w:type="paragraph" w:customStyle="1" w:styleId="ListNumbered">
    <w:name w:val="List Numbered"/>
    <w:basedOn w:val="DocumentText"/>
    <w:rsid w:val="00B1677F"/>
    <w:pPr>
      <w:keepLines/>
      <w:numPr>
        <w:numId w:val="3"/>
      </w:numPr>
      <w:snapToGrid w:val="0"/>
      <w:spacing w:before="120" w:after="120"/>
    </w:pPr>
  </w:style>
  <w:style w:type="paragraph" w:customStyle="1" w:styleId="TableTitleContinued">
    <w:name w:val="Table Title Continued"/>
    <w:basedOn w:val="DocumentText"/>
    <w:next w:val="DocumentText"/>
    <w:rsid w:val="00B1677F"/>
    <w:pPr>
      <w:keepNext/>
      <w:spacing w:before="240" w:after="120" w:line="240" w:lineRule="auto"/>
      <w:ind w:left="2160" w:hanging="2160"/>
    </w:pPr>
    <w:rPr>
      <w:b/>
      <w:bCs/>
    </w:rPr>
  </w:style>
  <w:style w:type="table" w:styleId="TableGrid">
    <w:name w:val="Table Grid"/>
    <w:basedOn w:val="TableNormal"/>
    <w:uiPriority w:val="59"/>
    <w:rsid w:val="00B1677F"/>
    <w:pPr>
      <w:spacing w:after="240" w:line="30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ellHeading12pt">
    <w:name w:val="Table Cell Heading 12pt"/>
    <w:basedOn w:val="DocumentText"/>
    <w:rsid w:val="00B1677F"/>
    <w:pPr>
      <w:keepNext/>
      <w:spacing w:before="40" w:after="40" w:line="240" w:lineRule="auto"/>
      <w:jc w:val="center"/>
    </w:pPr>
    <w:rPr>
      <w:b/>
    </w:rPr>
  </w:style>
  <w:style w:type="paragraph" w:customStyle="1" w:styleId="TableCellHeading10pt">
    <w:name w:val="Table Cell Heading 10pt"/>
    <w:basedOn w:val="TableCellHeading12pt"/>
    <w:rsid w:val="00B1677F"/>
    <w:rPr>
      <w:kern w:val="20"/>
      <w:sz w:val="20"/>
    </w:rPr>
  </w:style>
  <w:style w:type="paragraph" w:styleId="TableofFigures">
    <w:name w:val="table of figures"/>
    <w:basedOn w:val="Normal"/>
    <w:next w:val="Normal"/>
    <w:rsid w:val="00B1677F"/>
    <w:pPr>
      <w:spacing w:line="240" w:lineRule="auto"/>
      <w:ind w:left="1440" w:hanging="1440"/>
    </w:pPr>
  </w:style>
  <w:style w:type="paragraph" w:customStyle="1" w:styleId="TableCellText12pt">
    <w:name w:val="Table Cell Text 12pt"/>
    <w:basedOn w:val="DocumentText"/>
    <w:rsid w:val="00B1677F"/>
    <w:pPr>
      <w:keepNext/>
      <w:spacing w:before="40" w:after="40" w:line="240" w:lineRule="auto"/>
    </w:pPr>
  </w:style>
  <w:style w:type="paragraph" w:customStyle="1" w:styleId="TableCellText10pt">
    <w:name w:val="Table Cell Text 10pt"/>
    <w:basedOn w:val="TableCellText12pt"/>
    <w:rsid w:val="00B1677F"/>
    <w:rPr>
      <w:sz w:val="20"/>
    </w:rPr>
  </w:style>
  <w:style w:type="paragraph" w:customStyle="1" w:styleId="TableCellText09pt">
    <w:name w:val="Table Cell Text 09pt"/>
    <w:basedOn w:val="TableCellText10pt"/>
    <w:rsid w:val="00B1677F"/>
    <w:rPr>
      <w:sz w:val="18"/>
    </w:rPr>
  </w:style>
  <w:style w:type="paragraph" w:customStyle="1" w:styleId="TOCTitle">
    <w:name w:val="TOC Title"/>
    <w:basedOn w:val="Title"/>
    <w:next w:val="DocumentText"/>
    <w:rsid w:val="00B1677F"/>
    <w:pPr>
      <w:outlineLvl w:val="0"/>
    </w:pPr>
  </w:style>
  <w:style w:type="paragraph" w:styleId="TOC4">
    <w:name w:val="toc 4"/>
    <w:basedOn w:val="Normal"/>
    <w:next w:val="Normal"/>
    <w:autoRedefine/>
    <w:rsid w:val="00B1677F"/>
    <w:pPr>
      <w:spacing w:after="60" w:line="240" w:lineRule="auto"/>
      <w:ind w:left="2362" w:hanging="2362"/>
    </w:pPr>
  </w:style>
  <w:style w:type="paragraph" w:styleId="TOC5">
    <w:name w:val="toc 5"/>
    <w:basedOn w:val="Normal"/>
    <w:next w:val="Normal"/>
    <w:autoRedefine/>
    <w:rsid w:val="00B1677F"/>
    <w:pPr>
      <w:spacing w:after="60" w:line="240" w:lineRule="auto"/>
      <w:ind w:left="2570" w:hanging="2570"/>
    </w:pPr>
  </w:style>
  <w:style w:type="paragraph" w:styleId="TOC6">
    <w:name w:val="toc 6"/>
    <w:basedOn w:val="Normal"/>
    <w:next w:val="Normal"/>
    <w:autoRedefine/>
    <w:rsid w:val="00B1677F"/>
    <w:pPr>
      <w:spacing w:after="60" w:line="240" w:lineRule="auto"/>
      <w:ind w:left="2765" w:hanging="2765"/>
    </w:pPr>
  </w:style>
  <w:style w:type="paragraph" w:styleId="TOC7">
    <w:name w:val="toc 7"/>
    <w:basedOn w:val="Normal"/>
    <w:next w:val="Normal"/>
    <w:autoRedefine/>
    <w:rsid w:val="00B1677F"/>
    <w:pPr>
      <w:spacing w:after="60" w:line="240" w:lineRule="auto"/>
      <w:ind w:left="2945" w:hanging="2945"/>
      <w:contextualSpacing/>
    </w:pPr>
  </w:style>
  <w:style w:type="paragraph" w:styleId="TOC8">
    <w:name w:val="toc 8"/>
    <w:basedOn w:val="Normal"/>
    <w:next w:val="Normal"/>
    <w:autoRedefine/>
    <w:rsid w:val="00B1677F"/>
    <w:pPr>
      <w:spacing w:after="60" w:line="240" w:lineRule="auto"/>
      <w:ind w:left="3110" w:hanging="3110"/>
    </w:pPr>
  </w:style>
  <w:style w:type="paragraph" w:styleId="TOC9">
    <w:name w:val="toc 9"/>
    <w:basedOn w:val="Normal"/>
    <w:next w:val="Normal"/>
    <w:autoRedefine/>
    <w:rsid w:val="00B1677F"/>
    <w:pPr>
      <w:spacing w:after="60" w:line="240" w:lineRule="auto"/>
      <w:ind w:left="3262" w:hanging="3262"/>
    </w:pPr>
  </w:style>
  <w:style w:type="table" w:styleId="ColorfulGrid-Accent6">
    <w:name w:val="Colorful Grid Accent 6"/>
    <w:basedOn w:val="TableNormal"/>
    <w:uiPriority w:val="73"/>
    <w:rsid w:val="00B167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1677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1677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1677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1677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1677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1677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1677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1677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1677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1677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1677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1677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1677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1677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5">
    <w:name w:val="Dark List Accent 5"/>
    <w:basedOn w:val="TableNormal"/>
    <w:uiPriority w:val="70"/>
    <w:rsid w:val="00B1677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1677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-Accent6">
    <w:name w:val="Light Grid Accent 6"/>
    <w:basedOn w:val="TableNormal"/>
    <w:uiPriority w:val="62"/>
    <w:rsid w:val="00B1677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1677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1677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167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1677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1677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1677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1677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1677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1677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1677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1677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1677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1677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1677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B1677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1677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1677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1677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1677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1677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1677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16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16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16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16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16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16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16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1677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1677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1677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1677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1677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1677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1677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1677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1677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1677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1677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1677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1677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1677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167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167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167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167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167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167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167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Classic4">
    <w:name w:val="Table Classic 4"/>
    <w:basedOn w:val="TableNormal"/>
    <w:rsid w:val="00B1677F"/>
    <w:pPr>
      <w:spacing w:after="240"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1677F"/>
    <w:pPr>
      <w:spacing w:after="240"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1677F"/>
    <w:pPr>
      <w:spacing w:after="240"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1677F"/>
    <w:pPr>
      <w:spacing w:after="240"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1677F"/>
    <w:pPr>
      <w:spacing w:after="240"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1677F"/>
    <w:pPr>
      <w:spacing w:after="240"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1677F"/>
    <w:pPr>
      <w:spacing w:after="240"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1677F"/>
    <w:pPr>
      <w:spacing w:after="240"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1677F"/>
    <w:pPr>
      <w:spacing w:after="240"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B1677F"/>
    <w:pPr>
      <w:spacing w:after="240"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1677F"/>
    <w:pPr>
      <w:spacing w:after="240"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B1677F"/>
    <w:pPr>
      <w:spacing w:after="240"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1677F"/>
    <w:pPr>
      <w:spacing w:after="240"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1677F"/>
    <w:pPr>
      <w:spacing w:after="240"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1677F"/>
    <w:pPr>
      <w:spacing w:after="240"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1677F"/>
    <w:pPr>
      <w:spacing w:after="240"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1677F"/>
    <w:pPr>
      <w:spacing w:after="240"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1677F"/>
    <w:pPr>
      <w:spacing w:after="240"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1677F"/>
    <w:pPr>
      <w:spacing w:after="240"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1677F"/>
    <w:pPr>
      <w:spacing w:after="240"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1677F"/>
    <w:pPr>
      <w:spacing w:after="240"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1677F"/>
    <w:pPr>
      <w:spacing w:after="240"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1677F"/>
    <w:pPr>
      <w:spacing w:after="240"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1677F"/>
    <w:pPr>
      <w:spacing w:after="240"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1677F"/>
    <w:pPr>
      <w:spacing w:after="240"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1677F"/>
    <w:pPr>
      <w:spacing w:after="240"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B1677F"/>
    <w:pPr>
      <w:spacing w:after="240"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B1677F"/>
    <w:pPr>
      <w:spacing w:after="240"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1677F"/>
    <w:pPr>
      <w:spacing w:after="240"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1677F"/>
    <w:pPr>
      <w:spacing w:after="240"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1677F"/>
    <w:pPr>
      <w:spacing w:after="240"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1677F"/>
    <w:pPr>
      <w:spacing w:after="240"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1677F"/>
    <w:pPr>
      <w:spacing w:after="240"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B1677F"/>
    <w:pPr>
      <w:spacing w:after="240"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1677F"/>
    <w:pPr>
      <w:spacing w:after="240"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1677F"/>
    <w:pPr>
      <w:spacing w:after="240"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635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62"/>
    <w:rPr>
      <w:rFonts w:ascii="Tahoma" w:hAnsi="Tahoma" w:cs="Tahoma"/>
      <w:kern w:val="24"/>
      <w:sz w:val="16"/>
      <w:szCs w:val="16"/>
      <w:lang w:val="en-US" w:eastAsia="en-US"/>
    </w:rPr>
  </w:style>
  <w:style w:type="character" w:styleId="CommentReference">
    <w:name w:val="annotation reference"/>
    <w:uiPriority w:val="99"/>
    <w:unhideWhenUsed/>
    <w:rsid w:val="00F40998"/>
    <w:rPr>
      <w:sz w:val="16"/>
      <w:szCs w:val="16"/>
    </w:rPr>
  </w:style>
  <w:style w:type="paragraph" w:customStyle="1" w:styleId="LAFISPCNormal">
    <w:name w:val="LA_FI_SPC_Normal"/>
    <w:basedOn w:val="BodyText"/>
    <w:rsid w:val="00856F0C"/>
    <w:pPr>
      <w:tabs>
        <w:tab w:val="left" w:pos="567"/>
      </w:tabs>
      <w:spacing w:after="0" w:line="240" w:lineRule="auto"/>
      <w:ind w:left="567"/>
    </w:pPr>
    <w:rPr>
      <w:kern w:val="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56F0C"/>
    <w:pPr>
      <w:ind w:left="720"/>
      <w:contextualSpacing/>
    </w:pPr>
  </w:style>
  <w:style w:type="paragraph" w:customStyle="1" w:styleId="Default">
    <w:name w:val="Default"/>
    <w:rsid w:val="0075635C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rsid w:val="00AF0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0DCE"/>
    <w:rPr>
      <w:kern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F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0DCE"/>
    <w:rPr>
      <w:b/>
      <w:bCs/>
      <w:kern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4F1504"/>
    <w:rPr>
      <w:b/>
      <w:kern w:val="28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F1504"/>
    <w:rPr>
      <w:b/>
      <w:kern w:val="28"/>
      <w:sz w:val="28"/>
      <w:szCs w:val="28"/>
      <w:lang w:val="en-US" w:eastAsia="en-US"/>
    </w:rPr>
  </w:style>
  <w:style w:type="character" w:customStyle="1" w:styleId="DocumentTextChar">
    <w:name w:val="Document Text Char"/>
    <w:link w:val="DocumentText"/>
    <w:rsid w:val="009A35F9"/>
    <w:rPr>
      <w:kern w:val="24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A3D5A"/>
    <w:rPr>
      <w:kern w:val="1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677F"/>
    <w:pPr>
      <w:spacing w:after="240" w:line="300" w:lineRule="auto"/>
    </w:pPr>
    <w:rPr>
      <w:kern w:val="24"/>
      <w:sz w:val="24"/>
      <w:szCs w:val="24"/>
      <w:lang w:val="en-US" w:eastAsia="en-US"/>
    </w:rPr>
  </w:style>
  <w:style w:type="paragraph" w:styleId="Heading1">
    <w:name w:val="heading 1"/>
    <w:basedOn w:val="DocumentText"/>
    <w:next w:val="DocumentText"/>
    <w:qFormat/>
    <w:rsid w:val="00B1677F"/>
    <w:pPr>
      <w:keepNext/>
      <w:keepLines/>
      <w:numPr>
        <w:numId w:val="2"/>
      </w:numPr>
      <w:tabs>
        <w:tab w:val="left" w:pos="1649"/>
      </w:tabs>
      <w:spacing w:before="120" w:after="120"/>
      <w:outlineLvl w:val="0"/>
    </w:pPr>
    <w:rPr>
      <w:b/>
      <w:kern w:val="28"/>
      <w:sz w:val="28"/>
      <w:szCs w:val="28"/>
    </w:rPr>
  </w:style>
  <w:style w:type="paragraph" w:styleId="Heading2">
    <w:name w:val="heading 2"/>
    <w:basedOn w:val="Heading1"/>
    <w:next w:val="DocumentText"/>
    <w:link w:val="Heading2Char"/>
    <w:qFormat/>
    <w:rsid w:val="00B1677F"/>
    <w:pPr>
      <w:numPr>
        <w:ilvl w:val="1"/>
      </w:numPr>
      <w:tabs>
        <w:tab w:val="clear" w:pos="1649"/>
        <w:tab w:val="left" w:pos="1901"/>
      </w:tabs>
      <w:outlineLvl w:val="1"/>
    </w:pPr>
  </w:style>
  <w:style w:type="paragraph" w:styleId="Heading3">
    <w:name w:val="heading 3"/>
    <w:basedOn w:val="Heading1"/>
    <w:next w:val="DocumentText"/>
    <w:link w:val="Heading3Char"/>
    <w:qFormat/>
    <w:rsid w:val="00B1677F"/>
    <w:pPr>
      <w:numPr>
        <w:ilvl w:val="2"/>
      </w:numPr>
      <w:tabs>
        <w:tab w:val="clear" w:pos="1649"/>
        <w:tab w:val="left" w:pos="2138"/>
      </w:tabs>
      <w:outlineLvl w:val="2"/>
    </w:pPr>
  </w:style>
  <w:style w:type="paragraph" w:styleId="Heading4">
    <w:name w:val="heading 4"/>
    <w:basedOn w:val="Heading1"/>
    <w:next w:val="DocumentText"/>
    <w:qFormat/>
    <w:rsid w:val="00B1677F"/>
    <w:pPr>
      <w:numPr>
        <w:ilvl w:val="3"/>
      </w:numPr>
      <w:tabs>
        <w:tab w:val="clear" w:pos="1649"/>
        <w:tab w:val="left" w:pos="2362"/>
      </w:tabs>
      <w:outlineLvl w:val="3"/>
    </w:pPr>
  </w:style>
  <w:style w:type="paragraph" w:styleId="Heading5">
    <w:name w:val="heading 5"/>
    <w:basedOn w:val="Heading1"/>
    <w:next w:val="DocumentText"/>
    <w:qFormat/>
    <w:rsid w:val="00B1677F"/>
    <w:pPr>
      <w:numPr>
        <w:ilvl w:val="4"/>
      </w:numPr>
      <w:tabs>
        <w:tab w:val="clear" w:pos="1649"/>
        <w:tab w:val="left" w:pos="2570"/>
      </w:tabs>
      <w:outlineLvl w:val="4"/>
    </w:pPr>
  </w:style>
  <w:style w:type="paragraph" w:styleId="Heading6">
    <w:name w:val="heading 6"/>
    <w:basedOn w:val="Heading1"/>
    <w:next w:val="DocumentText"/>
    <w:qFormat/>
    <w:rsid w:val="00B1677F"/>
    <w:pPr>
      <w:numPr>
        <w:ilvl w:val="5"/>
      </w:numPr>
      <w:tabs>
        <w:tab w:val="clear" w:pos="1649"/>
        <w:tab w:val="left" w:pos="2765"/>
      </w:tabs>
      <w:outlineLvl w:val="5"/>
    </w:pPr>
  </w:style>
  <w:style w:type="paragraph" w:styleId="Heading7">
    <w:name w:val="heading 7"/>
    <w:basedOn w:val="Heading1"/>
    <w:next w:val="DocumentText"/>
    <w:qFormat/>
    <w:rsid w:val="00B1677F"/>
    <w:pPr>
      <w:numPr>
        <w:ilvl w:val="6"/>
      </w:numPr>
      <w:tabs>
        <w:tab w:val="clear" w:pos="1649"/>
        <w:tab w:val="left" w:pos="2945"/>
      </w:tabs>
      <w:outlineLvl w:val="6"/>
    </w:pPr>
  </w:style>
  <w:style w:type="paragraph" w:styleId="Heading8">
    <w:name w:val="heading 8"/>
    <w:basedOn w:val="Heading1"/>
    <w:next w:val="DocumentText"/>
    <w:qFormat/>
    <w:rsid w:val="00B1677F"/>
    <w:pPr>
      <w:numPr>
        <w:ilvl w:val="7"/>
      </w:numPr>
      <w:tabs>
        <w:tab w:val="clear" w:pos="1649"/>
        <w:tab w:val="left" w:pos="3110"/>
      </w:tabs>
      <w:ind w:left="3110"/>
      <w:outlineLvl w:val="7"/>
    </w:pPr>
  </w:style>
  <w:style w:type="paragraph" w:styleId="Heading9">
    <w:name w:val="heading 9"/>
    <w:basedOn w:val="Heading1"/>
    <w:next w:val="DocumentText"/>
    <w:qFormat/>
    <w:rsid w:val="00B1677F"/>
    <w:pPr>
      <w:numPr>
        <w:ilvl w:val="8"/>
      </w:numPr>
      <w:tabs>
        <w:tab w:val="clear" w:pos="1649"/>
        <w:tab w:val="left" w:pos="3262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rsid w:val="00B1677F"/>
    <w:pPr>
      <w:spacing w:after="0" w:line="240" w:lineRule="auto"/>
      <w:ind w:left="240" w:hanging="240"/>
    </w:pPr>
  </w:style>
  <w:style w:type="paragraph" w:styleId="TOC3">
    <w:name w:val="toc 3"/>
    <w:basedOn w:val="Normal"/>
    <w:next w:val="Normal"/>
    <w:autoRedefine/>
    <w:semiHidden/>
    <w:rsid w:val="00B1677F"/>
    <w:pPr>
      <w:spacing w:after="60" w:line="240" w:lineRule="auto"/>
      <w:ind w:left="2138" w:hanging="2138"/>
    </w:pPr>
  </w:style>
  <w:style w:type="paragraph" w:styleId="TOC2">
    <w:name w:val="toc 2"/>
    <w:basedOn w:val="Normal"/>
    <w:next w:val="Normal"/>
    <w:autoRedefine/>
    <w:semiHidden/>
    <w:rsid w:val="00B1677F"/>
    <w:pPr>
      <w:spacing w:after="120" w:line="240" w:lineRule="auto"/>
      <w:ind w:left="1901" w:hanging="1901"/>
    </w:pPr>
  </w:style>
  <w:style w:type="paragraph" w:styleId="TOC1">
    <w:name w:val="toc 1"/>
    <w:basedOn w:val="Normal"/>
    <w:next w:val="Normal"/>
    <w:autoRedefine/>
    <w:semiHidden/>
    <w:rsid w:val="00B1677F"/>
    <w:pPr>
      <w:spacing w:after="180" w:line="240" w:lineRule="auto"/>
      <w:ind w:left="1649" w:hanging="1649"/>
    </w:pPr>
  </w:style>
  <w:style w:type="table" w:styleId="LightGrid">
    <w:name w:val="Light Grid"/>
    <w:basedOn w:val="TableNormal"/>
    <w:uiPriority w:val="62"/>
    <w:rsid w:val="00B1677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1677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167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Footer">
    <w:name w:val="footer"/>
    <w:basedOn w:val="DocumentText"/>
    <w:rsid w:val="00B1677F"/>
    <w:pPr>
      <w:tabs>
        <w:tab w:val="center" w:pos="4478"/>
        <w:tab w:val="right" w:pos="8957"/>
      </w:tabs>
      <w:spacing w:before="120" w:after="0" w:line="240" w:lineRule="auto"/>
    </w:pPr>
    <w:rPr>
      <w:kern w:val="18"/>
      <w:sz w:val="20"/>
    </w:rPr>
  </w:style>
  <w:style w:type="paragraph" w:styleId="Header">
    <w:name w:val="header"/>
    <w:basedOn w:val="DocumentText"/>
    <w:link w:val="HeaderChar"/>
    <w:uiPriority w:val="99"/>
    <w:rsid w:val="00B1677F"/>
    <w:pPr>
      <w:tabs>
        <w:tab w:val="right" w:pos="8957"/>
      </w:tabs>
      <w:spacing w:after="120" w:line="240" w:lineRule="auto"/>
    </w:pPr>
    <w:rPr>
      <w:kern w:val="18"/>
      <w:sz w:val="20"/>
    </w:rPr>
  </w:style>
  <w:style w:type="paragraph" w:styleId="Title">
    <w:name w:val="Title"/>
    <w:basedOn w:val="DocumentText"/>
    <w:next w:val="DocumentText"/>
    <w:link w:val="TitleChar"/>
    <w:qFormat/>
    <w:rsid w:val="00B1677F"/>
    <w:pPr>
      <w:keepNext/>
      <w:keepLines/>
      <w:spacing w:after="0"/>
      <w:jc w:val="center"/>
    </w:pPr>
    <w:rPr>
      <w:rFonts w:cs="Arial"/>
      <w:b/>
      <w:bCs/>
      <w:kern w:val="28"/>
      <w:sz w:val="28"/>
      <w:szCs w:val="28"/>
    </w:rPr>
  </w:style>
  <w:style w:type="table" w:styleId="Table3Deffects1">
    <w:name w:val="Table 3D effects 1"/>
    <w:basedOn w:val="TableNormal"/>
    <w:rsid w:val="00B1677F"/>
    <w:pPr>
      <w:spacing w:after="240"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1677F"/>
    <w:pPr>
      <w:spacing w:after="240"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ption1">
    <w:name w:val="Caption1"/>
    <w:basedOn w:val="Normal"/>
    <w:rsid w:val="003D48CE"/>
    <w:rPr>
      <w:rFonts w:ascii="Arial" w:hAnsi="Arial"/>
      <w:sz w:val="20"/>
    </w:rPr>
  </w:style>
  <w:style w:type="character" w:customStyle="1" w:styleId="TitleChar">
    <w:name w:val="Title Char"/>
    <w:basedOn w:val="DefaultParagraphFont"/>
    <w:link w:val="Title"/>
    <w:rsid w:val="00B1677F"/>
    <w:rPr>
      <w:rFonts w:cs="Arial"/>
      <w:b/>
      <w:bCs/>
      <w:kern w:val="28"/>
      <w:sz w:val="28"/>
      <w:szCs w:val="28"/>
      <w:lang w:val="en-US" w:eastAsia="en-US"/>
    </w:rPr>
  </w:style>
  <w:style w:type="table" w:styleId="LightGrid-Accent3">
    <w:name w:val="Light Grid Accent 3"/>
    <w:basedOn w:val="TableNormal"/>
    <w:uiPriority w:val="62"/>
    <w:rsid w:val="00B1677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olorfulGrid">
    <w:name w:val="Colorful Grid"/>
    <w:basedOn w:val="TableNormal"/>
    <w:uiPriority w:val="73"/>
    <w:rsid w:val="00B167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167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167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ghtGrid-Accent4">
    <w:name w:val="Light Grid Accent 4"/>
    <w:basedOn w:val="TableNormal"/>
    <w:uiPriority w:val="62"/>
    <w:rsid w:val="00B1677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leClassic1">
    <w:name w:val="Table Classic 1"/>
    <w:basedOn w:val="TableNormal"/>
    <w:rsid w:val="00B1677F"/>
    <w:pPr>
      <w:spacing w:after="240"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1677F"/>
    <w:pPr>
      <w:spacing w:after="240"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Grid-Accent3">
    <w:name w:val="Colorful Grid Accent 3"/>
    <w:basedOn w:val="TableNormal"/>
    <w:uiPriority w:val="73"/>
    <w:rsid w:val="00B167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le3Deffects3">
    <w:name w:val="Table 3D effects 3"/>
    <w:basedOn w:val="TableNormal"/>
    <w:rsid w:val="00B1677F"/>
    <w:pPr>
      <w:spacing w:after="240"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rkList">
    <w:name w:val="Dark List"/>
    <w:basedOn w:val="TableNormal"/>
    <w:uiPriority w:val="70"/>
    <w:rsid w:val="00B1677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1677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1677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1677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bleClassic2">
    <w:name w:val="Table Classic 2"/>
    <w:basedOn w:val="TableNormal"/>
    <w:rsid w:val="00B1677F"/>
    <w:pPr>
      <w:spacing w:after="240"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Footnote">
    <w:name w:val="Table Footnote"/>
    <w:basedOn w:val="DocumentText"/>
    <w:next w:val="DocumentText"/>
    <w:link w:val="TableFootnoteChar"/>
    <w:rsid w:val="00B1677F"/>
    <w:pPr>
      <w:keepNext/>
      <w:keepLines/>
      <w:spacing w:before="40" w:after="0" w:line="240" w:lineRule="auto"/>
      <w:ind w:left="360" w:hanging="360"/>
    </w:pPr>
    <w:rPr>
      <w:kern w:val="20"/>
      <w:sz w:val="20"/>
      <w:szCs w:val="20"/>
    </w:rPr>
  </w:style>
  <w:style w:type="paragraph" w:styleId="BodyText">
    <w:name w:val="Body Text"/>
    <w:basedOn w:val="Normal"/>
    <w:link w:val="BodyTextChar"/>
    <w:rsid w:val="00B167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677F"/>
    <w:rPr>
      <w:kern w:val="24"/>
      <w:sz w:val="24"/>
      <w:szCs w:val="24"/>
      <w:lang w:val="en-US" w:eastAsia="en-US"/>
    </w:rPr>
  </w:style>
  <w:style w:type="table" w:styleId="TableClassic3">
    <w:name w:val="Table Classic 3"/>
    <w:basedOn w:val="TableNormal"/>
    <w:rsid w:val="00B1677F"/>
    <w:pPr>
      <w:spacing w:after="240"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B1677F"/>
    <w:rPr>
      <w:color w:val="0000FF"/>
      <w:u w:val="none"/>
    </w:rPr>
  </w:style>
  <w:style w:type="table" w:styleId="LightGrid-Accent5">
    <w:name w:val="Light Grid Accent 5"/>
    <w:basedOn w:val="TableNormal"/>
    <w:uiPriority w:val="62"/>
    <w:rsid w:val="00B1677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Caption">
    <w:name w:val="caption"/>
    <w:basedOn w:val="Normal"/>
    <w:next w:val="Normal"/>
    <w:qFormat/>
    <w:rsid w:val="00B1677F"/>
    <w:pPr>
      <w:keepNext/>
      <w:spacing w:before="240" w:after="120" w:line="240" w:lineRule="auto"/>
      <w:ind w:left="2160" w:hanging="2160"/>
    </w:pPr>
    <w:rPr>
      <w:b/>
      <w:bCs/>
      <w:szCs w:val="20"/>
    </w:rPr>
  </w:style>
  <w:style w:type="paragraph" w:customStyle="1" w:styleId="Guidance">
    <w:name w:val="Guidance"/>
    <w:basedOn w:val="DocumentText"/>
    <w:link w:val="GuidanceChar"/>
    <w:qFormat/>
    <w:rsid w:val="00B1677F"/>
  </w:style>
  <w:style w:type="table" w:styleId="DarkList-Accent4">
    <w:name w:val="Dark List Accent 4"/>
    <w:basedOn w:val="TableNormal"/>
    <w:uiPriority w:val="70"/>
    <w:rsid w:val="00B1677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character" w:customStyle="1" w:styleId="TableFootnoteChar">
    <w:name w:val="Table Footnote Char"/>
    <w:basedOn w:val="DefaultParagraphFont"/>
    <w:link w:val="TableFootnote"/>
    <w:rsid w:val="00B1677F"/>
    <w:rPr>
      <w:kern w:val="20"/>
      <w:lang w:val="en-US" w:eastAsia="en-US"/>
    </w:rPr>
  </w:style>
  <w:style w:type="paragraph" w:customStyle="1" w:styleId="CTDTable10">
    <w:name w:val="CTD Table 10"/>
    <w:basedOn w:val="Normal"/>
    <w:rsid w:val="00E24F82"/>
    <w:rPr>
      <w:sz w:val="20"/>
    </w:rPr>
  </w:style>
  <w:style w:type="table" w:styleId="ColorfulGrid-Accent4">
    <w:name w:val="Colorful Grid Accent 4"/>
    <w:basedOn w:val="TableNormal"/>
    <w:uiPriority w:val="73"/>
    <w:rsid w:val="00B167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167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Revision">
    <w:name w:val="Revision"/>
    <w:hidden/>
    <w:uiPriority w:val="99"/>
    <w:semiHidden/>
    <w:rsid w:val="00DF4B8A"/>
    <w:rPr>
      <w:b/>
      <w:sz w:val="22"/>
      <w:lang w:eastAsia="en-US"/>
    </w:rPr>
  </w:style>
  <w:style w:type="paragraph" w:customStyle="1" w:styleId="DocumentText">
    <w:name w:val="Document Text"/>
    <w:basedOn w:val="Normal"/>
    <w:link w:val="DocumentTextChar"/>
    <w:rsid w:val="00B1677F"/>
  </w:style>
  <w:style w:type="character" w:customStyle="1" w:styleId="GuidanceChar">
    <w:name w:val="Guidance Char"/>
    <w:basedOn w:val="DefaultParagraphFont"/>
    <w:link w:val="Guidance"/>
    <w:rsid w:val="00B1677F"/>
    <w:rPr>
      <w:kern w:val="24"/>
      <w:sz w:val="24"/>
      <w:szCs w:val="24"/>
      <w:lang w:val="en-US" w:eastAsia="en-US"/>
    </w:rPr>
  </w:style>
  <w:style w:type="paragraph" w:customStyle="1" w:styleId="ListBulleted">
    <w:name w:val="List Bulleted"/>
    <w:basedOn w:val="DocumentText"/>
    <w:rsid w:val="00B1677F"/>
    <w:pPr>
      <w:keepLines/>
      <w:numPr>
        <w:numId w:val="1"/>
      </w:numPr>
      <w:adjustRightInd w:val="0"/>
      <w:spacing w:before="120" w:after="120"/>
      <w:ind w:left="648"/>
    </w:pPr>
  </w:style>
  <w:style w:type="paragraph" w:customStyle="1" w:styleId="ListNumbered">
    <w:name w:val="List Numbered"/>
    <w:basedOn w:val="DocumentText"/>
    <w:rsid w:val="00B1677F"/>
    <w:pPr>
      <w:keepLines/>
      <w:numPr>
        <w:numId w:val="3"/>
      </w:numPr>
      <w:snapToGrid w:val="0"/>
      <w:spacing w:before="120" w:after="120"/>
    </w:pPr>
  </w:style>
  <w:style w:type="paragraph" w:customStyle="1" w:styleId="TableTitleContinued">
    <w:name w:val="Table Title Continued"/>
    <w:basedOn w:val="DocumentText"/>
    <w:next w:val="DocumentText"/>
    <w:rsid w:val="00B1677F"/>
    <w:pPr>
      <w:keepNext/>
      <w:spacing w:before="240" w:after="120" w:line="240" w:lineRule="auto"/>
      <w:ind w:left="2160" w:hanging="2160"/>
    </w:pPr>
    <w:rPr>
      <w:b/>
      <w:bCs/>
    </w:rPr>
  </w:style>
  <w:style w:type="table" w:styleId="TableGrid">
    <w:name w:val="Table Grid"/>
    <w:basedOn w:val="TableNormal"/>
    <w:uiPriority w:val="59"/>
    <w:rsid w:val="00B1677F"/>
    <w:pPr>
      <w:spacing w:after="240" w:line="30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ellHeading12pt">
    <w:name w:val="Table Cell Heading 12pt"/>
    <w:basedOn w:val="DocumentText"/>
    <w:rsid w:val="00B1677F"/>
    <w:pPr>
      <w:keepNext/>
      <w:spacing w:before="40" w:after="40" w:line="240" w:lineRule="auto"/>
      <w:jc w:val="center"/>
    </w:pPr>
    <w:rPr>
      <w:b/>
    </w:rPr>
  </w:style>
  <w:style w:type="paragraph" w:customStyle="1" w:styleId="TableCellHeading10pt">
    <w:name w:val="Table Cell Heading 10pt"/>
    <w:basedOn w:val="TableCellHeading12pt"/>
    <w:rsid w:val="00B1677F"/>
    <w:rPr>
      <w:kern w:val="20"/>
      <w:sz w:val="20"/>
    </w:rPr>
  </w:style>
  <w:style w:type="paragraph" w:styleId="TableofFigures">
    <w:name w:val="table of figures"/>
    <w:basedOn w:val="Normal"/>
    <w:next w:val="Normal"/>
    <w:rsid w:val="00B1677F"/>
    <w:pPr>
      <w:spacing w:line="240" w:lineRule="auto"/>
      <w:ind w:left="1440" w:hanging="1440"/>
    </w:pPr>
  </w:style>
  <w:style w:type="paragraph" w:customStyle="1" w:styleId="TableCellText12pt">
    <w:name w:val="Table Cell Text 12pt"/>
    <w:basedOn w:val="DocumentText"/>
    <w:rsid w:val="00B1677F"/>
    <w:pPr>
      <w:keepNext/>
      <w:spacing w:before="40" w:after="40" w:line="240" w:lineRule="auto"/>
    </w:pPr>
  </w:style>
  <w:style w:type="paragraph" w:customStyle="1" w:styleId="TableCellText10pt">
    <w:name w:val="Table Cell Text 10pt"/>
    <w:basedOn w:val="TableCellText12pt"/>
    <w:rsid w:val="00B1677F"/>
    <w:rPr>
      <w:sz w:val="20"/>
    </w:rPr>
  </w:style>
  <w:style w:type="paragraph" w:customStyle="1" w:styleId="TableCellText09pt">
    <w:name w:val="Table Cell Text 09pt"/>
    <w:basedOn w:val="TableCellText10pt"/>
    <w:rsid w:val="00B1677F"/>
    <w:rPr>
      <w:sz w:val="18"/>
    </w:rPr>
  </w:style>
  <w:style w:type="paragraph" w:customStyle="1" w:styleId="TOCTitle">
    <w:name w:val="TOC Title"/>
    <w:basedOn w:val="Title"/>
    <w:next w:val="DocumentText"/>
    <w:rsid w:val="00B1677F"/>
    <w:pPr>
      <w:outlineLvl w:val="0"/>
    </w:pPr>
  </w:style>
  <w:style w:type="paragraph" w:styleId="TOC4">
    <w:name w:val="toc 4"/>
    <w:basedOn w:val="Normal"/>
    <w:next w:val="Normal"/>
    <w:autoRedefine/>
    <w:rsid w:val="00B1677F"/>
    <w:pPr>
      <w:spacing w:after="60" w:line="240" w:lineRule="auto"/>
      <w:ind w:left="2362" w:hanging="2362"/>
    </w:pPr>
  </w:style>
  <w:style w:type="paragraph" w:styleId="TOC5">
    <w:name w:val="toc 5"/>
    <w:basedOn w:val="Normal"/>
    <w:next w:val="Normal"/>
    <w:autoRedefine/>
    <w:rsid w:val="00B1677F"/>
    <w:pPr>
      <w:spacing w:after="60" w:line="240" w:lineRule="auto"/>
      <w:ind w:left="2570" w:hanging="2570"/>
    </w:pPr>
  </w:style>
  <w:style w:type="paragraph" w:styleId="TOC6">
    <w:name w:val="toc 6"/>
    <w:basedOn w:val="Normal"/>
    <w:next w:val="Normal"/>
    <w:autoRedefine/>
    <w:rsid w:val="00B1677F"/>
    <w:pPr>
      <w:spacing w:after="60" w:line="240" w:lineRule="auto"/>
      <w:ind w:left="2765" w:hanging="2765"/>
    </w:pPr>
  </w:style>
  <w:style w:type="paragraph" w:styleId="TOC7">
    <w:name w:val="toc 7"/>
    <w:basedOn w:val="Normal"/>
    <w:next w:val="Normal"/>
    <w:autoRedefine/>
    <w:rsid w:val="00B1677F"/>
    <w:pPr>
      <w:spacing w:after="60" w:line="240" w:lineRule="auto"/>
      <w:ind w:left="2945" w:hanging="2945"/>
      <w:contextualSpacing/>
    </w:pPr>
  </w:style>
  <w:style w:type="paragraph" w:styleId="TOC8">
    <w:name w:val="toc 8"/>
    <w:basedOn w:val="Normal"/>
    <w:next w:val="Normal"/>
    <w:autoRedefine/>
    <w:rsid w:val="00B1677F"/>
    <w:pPr>
      <w:spacing w:after="60" w:line="240" w:lineRule="auto"/>
      <w:ind w:left="3110" w:hanging="3110"/>
    </w:pPr>
  </w:style>
  <w:style w:type="paragraph" w:styleId="TOC9">
    <w:name w:val="toc 9"/>
    <w:basedOn w:val="Normal"/>
    <w:next w:val="Normal"/>
    <w:autoRedefine/>
    <w:rsid w:val="00B1677F"/>
    <w:pPr>
      <w:spacing w:after="60" w:line="240" w:lineRule="auto"/>
      <w:ind w:left="3262" w:hanging="3262"/>
    </w:pPr>
  </w:style>
  <w:style w:type="table" w:styleId="ColorfulGrid-Accent6">
    <w:name w:val="Colorful Grid Accent 6"/>
    <w:basedOn w:val="TableNormal"/>
    <w:uiPriority w:val="73"/>
    <w:rsid w:val="00B167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1677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1677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1677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1677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1677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1677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1677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1677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1677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1677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1677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1677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1677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1677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5">
    <w:name w:val="Dark List Accent 5"/>
    <w:basedOn w:val="TableNormal"/>
    <w:uiPriority w:val="70"/>
    <w:rsid w:val="00B1677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1677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-Accent6">
    <w:name w:val="Light Grid Accent 6"/>
    <w:basedOn w:val="TableNormal"/>
    <w:uiPriority w:val="62"/>
    <w:rsid w:val="00B1677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1677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1677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167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1677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1677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1677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1677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1677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1677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1677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1677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1677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1677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1677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B1677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1677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1677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1677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1677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1677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1677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16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16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16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16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16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16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16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1677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1677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1677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1677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1677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1677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1677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16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1677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1677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1677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1677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1677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1677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1677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167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167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167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167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167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167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167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Classic4">
    <w:name w:val="Table Classic 4"/>
    <w:basedOn w:val="TableNormal"/>
    <w:rsid w:val="00B1677F"/>
    <w:pPr>
      <w:spacing w:after="240"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1677F"/>
    <w:pPr>
      <w:spacing w:after="240"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1677F"/>
    <w:pPr>
      <w:spacing w:after="240"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1677F"/>
    <w:pPr>
      <w:spacing w:after="240"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1677F"/>
    <w:pPr>
      <w:spacing w:after="240"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1677F"/>
    <w:pPr>
      <w:spacing w:after="240"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1677F"/>
    <w:pPr>
      <w:spacing w:after="240"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1677F"/>
    <w:pPr>
      <w:spacing w:after="240"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1677F"/>
    <w:pPr>
      <w:spacing w:after="240"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B1677F"/>
    <w:pPr>
      <w:spacing w:after="240"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1677F"/>
    <w:pPr>
      <w:spacing w:after="240"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B1677F"/>
    <w:pPr>
      <w:spacing w:after="240"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1677F"/>
    <w:pPr>
      <w:spacing w:after="240"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1677F"/>
    <w:pPr>
      <w:spacing w:after="240"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1677F"/>
    <w:pPr>
      <w:spacing w:after="240"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1677F"/>
    <w:pPr>
      <w:spacing w:after="240"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1677F"/>
    <w:pPr>
      <w:spacing w:after="240"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1677F"/>
    <w:pPr>
      <w:spacing w:after="240"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1677F"/>
    <w:pPr>
      <w:spacing w:after="240"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1677F"/>
    <w:pPr>
      <w:spacing w:after="240"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1677F"/>
    <w:pPr>
      <w:spacing w:after="240"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1677F"/>
    <w:pPr>
      <w:spacing w:after="240"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1677F"/>
    <w:pPr>
      <w:spacing w:after="240"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1677F"/>
    <w:pPr>
      <w:spacing w:after="240"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1677F"/>
    <w:pPr>
      <w:spacing w:after="240"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1677F"/>
    <w:pPr>
      <w:spacing w:after="240"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B1677F"/>
    <w:pPr>
      <w:spacing w:after="240"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B1677F"/>
    <w:pPr>
      <w:spacing w:after="240"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1677F"/>
    <w:pPr>
      <w:spacing w:after="240"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1677F"/>
    <w:pPr>
      <w:spacing w:after="240"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1677F"/>
    <w:pPr>
      <w:spacing w:after="240"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1677F"/>
    <w:pPr>
      <w:spacing w:after="240"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1677F"/>
    <w:pPr>
      <w:spacing w:after="240"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B1677F"/>
    <w:pPr>
      <w:spacing w:after="240"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1677F"/>
    <w:pPr>
      <w:spacing w:after="240"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1677F"/>
    <w:pPr>
      <w:spacing w:after="240"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635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62"/>
    <w:rPr>
      <w:rFonts w:ascii="Tahoma" w:hAnsi="Tahoma" w:cs="Tahoma"/>
      <w:kern w:val="24"/>
      <w:sz w:val="16"/>
      <w:szCs w:val="16"/>
      <w:lang w:val="en-US" w:eastAsia="en-US"/>
    </w:rPr>
  </w:style>
  <w:style w:type="character" w:styleId="CommentReference">
    <w:name w:val="annotation reference"/>
    <w:uiPriority w:val="99"/>
    <w:unhideWhenUsed/>
    <w:rsid w:val="00F40998"/>
    <w:rPr>
      <w:sz w:val="16"/>
      <w:szCs w:val="16"/>
    </w:rPr>
  </w:style>
  <w:style w:type="paragraph" w:customStyle="1" w:styleId="LAFISPCNormal">
    <w:name w:val="LA_FI_SPC_Normal"/>
    <w:basedOn w:val="BodyText"/>
    <w:rsid w:val="00856F0C"/>
    <w:pPr>
      <w:tabs>
        <w:tab w:val="left" w:pos="567"/>
      </w:tabs>
      <w:spacing w:after="0" w:line="240" w:lineRule="auto"/>
      <w:ind w:left="567"/>
    </w:pPr>
    <w:rPr>
      <w:kern w:val="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56F0C"/>
    <w:pPr>
      <w:ind w:left="720"/>
      <w:contextualSpacing/>
    </w:pPr>
  </w:style>
  <w:style w:type="paragraph" w:customStyle="1" w:styleId="Default">
    <w:name w:val="Default"/>
    <w:rsid w:val="0075635C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rsid w:val="00AF0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0DCE"/>
    <w:rPr>
      <w:kern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F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0DCE"/>
    <w:rPr>
      <w:b/>
      <w:bCs/>
      <w:kern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4F1504"/>
    <w:rPr>
      <w:b/>
      <w:kern w:val="28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F1504"/>
    <w:rPr>
      <w:b/>
      <w:kern w:val="28"/>
      <w:sz w:val="28"/>
      <w:szCs w:val="28"/>
      <w:lang w:val="en-US" w:eastAsia="en-US"/>
    </w:rPr>
  </w:style>
  <w:style w:type="character" w:customStyle="1" w:styleId="DocumentTextChar">
    <w:name w:val="Document Text Char"/>
    <w:link w:val="DocumentText"/>
    <w:rsid w:val="009A35F9"/>
    <w:rPr>
      <w:kern w:val="24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A3D5A"/>
    <w:rPr>
      <w:kern w:val="1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5AA1-5BE2-47E6-A88B-6960D07D7B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1D431B-DD4B-43AE-B55C-BF5B5341AA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93F49D-2BA0-456D-9CA0-8934CCF59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15357B-BFED-4E56-BE85-07A2E266EC2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58BFDC-6A79-4EC8-9A62-57B0F772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5444</Words>
  <Characters>29762</Characters>
  <Application>Microsoft Office Word</Application>
  <DocSecurity>0</DocSecurity>
  <Lines>561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MonoFIX-VF PI</vt:lpstr>
    </vt:vector>
  </TitlesOfParts>
  <Company>CSL Limited</Company>
  <LinksUpToDate>false</LinksUpToDate>
  <CharactersWithSpaces>34865</CharactersWithSpaces>
  <SharedDoc>false</SharedDoc>
  <HLinks>
    <vt:vector size="12" baseType="variant"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http://www.cslbiotherapies.com.au/</vt:lpwstr>
      </vt:variant>
      <vt:variant>
        <vt:lpwstr/>
      </vt:variant>
      <vt:variant>
        <vt:i4>196647</vt:i4>
      </vt:variant>
      <vt:variant>
        <vt:i4>0</vt:i4>
      </vt:variant>
      <vt:variant>
        <vt:i4>0</vt:i4>
      </vt:variant>
      <vt:variant>
        <vt:i4>5</vt:i4>
      </vt:variant>
      <vt:variant>
        <vt:lpwstr>mailto:customerservice.plasmatherapies@csl.com.au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Product Information: Lonoctocog alfa (rch)</dc:title>
  <dc:subject>prescription medicines</dc:subject>
  <dc:creator>Nadia La Greca</dc:creator>
  <cp:keywords>AusPARs</cp:keywords>
  <cp:lastModifiedBy>LACK, Janet</cp:lastModifiedBy>
  <cp:revision>3</cp:revision>
  <cp:lastPrinted>2017-03-08T00:25:00Z</cp:lastPrinted>
  <dcterms:created xsi:type="dcterms:W3CDTF">2018-02-07T23:02:00Z</dcterms:created>
  <dcterms:modified xsi:type="dcterms:W3CDTF">2018-02-08T05:01:00Z</dcterms:modified>
  <cp:category/>
</cp:coreProperties>
</file>