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F76AE" w:rsidP="00096AA7">
            <w:pPr>
              <w:rPr>
                <w:rFonts w:ascii="Arial" w:hAnsi="Arial" w:cs="Arial"/>
                <w:b/>
                <w:color w:val="002C47"/>
                <w:sz w:val="36"/>
                <w:szCs w:val="36"/>
              </w:rPr>
            </w:pPr>
            <w:r>
              <w:rPr>
                <w:rFonts w:ascii="Arial" w:hAnsi="Arial" w:cs="Arial"/>
                <w:b/>
                <w:color w:val="002C47"/>
                <w:sz w:val="36"/>
                <w:szCs w:val="36"/>
              </w:rPr>
              <w:t>June 20</w:t>
            </w:r>
            <w:r w:rsidR="00FF3F01">
              <w:rPr>
                <w:rFonts w:ascii="Arial" w:hAnsi="Arial" w:cs="Arial"/>
                <w:b/>
                <w:color w:val="002C47"/>
                <w:sz w:val="36"/>
                <w:szCs w:val="36"/>
              </w:rPr>
              <w:t>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A964D1">
            <w:pPr>
              <w:pStyle w:val="Title"/>
              <w:rPr>
                <w:color w:val="FFFFFF"/>
              </w:rPr>
            </w:pPr>
            <w:r w:rsidRPr="00AC305C">
              <w:rPr>
                <w:color w:val="FFFFFF"/>
              </w:rPr>
              <w:t>Australian Pu</w:t>
            </w:r>
            <w:r w:rsidR="007517BE">
              <w:rPr>
                <w:color w:val="FFFFFF"/>
              </w:rPr>
              <w:t>blic Assessment Report for l</w:t>
            </w:r>
            <w:r w:rsidR="007517BE" w:rsidRPr="007517BE">
              <w:rPr>
                <w:color w:val="FFFFFF"/>
              </w:rPr>
              <w:t>urasidone hydrochloride</w:t>
            </w:r>
          </w:p>
        </w:tc>
      </w:tr>
      <w:tr w:rsidR="0032583B" w:rsidRPr="00B64760" w:rsidTr="0032583B">
        <w:tc>
          <w:tcPr>
            <w:tcW w:w="9079" w:type="dxa"/>
          </w:tcPr>
          <w:p w:rsidR="0032583B" w:rsidRPr="00AC305C" w:rsidRDefault="00F75557" w:rsidP="0032583B">
            <w:pPr>
              <w:pStyle w:val="Subtitle"/>
              <w:rPr>
                <w:color w:val="FFFFFF"/>
              </w:rPr>
            </w:pPr>
            <w:r>
              <w:rPr>
                <w:color w:val="FFFFFF"/>
              </w:rPr>
              <w:t>Proprietary Product Name: Latuda</w:t>
            </w:r>
          </w:p>
        </w:tc>
      </w:tr>
      <w:tr w:rsidR="0032583B" w:rsidRPr="00B64760" w:rsidTr="0032583B">
        <w:trPr>
          <w:trHeight w:val="486"/>
        </w:trPr>
        <w:tc>
          <w:tcPr>
            <w:tcW w:w="9079" w:type="dxa"/>
          </w:tcPr>
          <w:p w:rsidR="0032583B" w:rsidRPr="00AC305C" w:rsidRDefault="007517BE" w:rsidP="0032583B">
            <w:pPr>
              <w:pStyle w:val="Subtitle"/>
              <w:rPr>
                <w:color w:val="FFFFFF"/>
              </w:rPr>
            </w:pPr>
            <w:r>
              <w:rPr>
                <w:color w:val="FFFFFF"/>
              </w:rPr>
              <w:t xml:space="preserve">Sponsor: </w:t>
            </w:r>
            <w:r w:rsidRPr="007517BE">
              <w:rPr>
                <w:color w:val="FFFFFF"/>
              </w:rPr>
              <w:t>Commercial</w:t>
            </w:r>
            <w:r>
              <w:rPr>
                <w:color w:val="FFFFFF"/>
              </w:rPr>
              <w:t xml:space="preserve"> </w:t>
            </w:r>
            <w:r w:rsidRPr="007517BE">
              <w:rPr>
                <w:color w:val="FFFFFF"/>
              </w:rPr>
              <w:t>Eyes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CD2FB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CD2FB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D2FB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D2FB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D2FB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CD2FB2">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CD2FB2">
      <w:pPr>
        <w:pStyle w:val="ListBullet"/>
        <w:numPr>
          <w:ilvl w:val="0"/>
          <w:numId w:val="1"/>
        </w:numPr>
        <w:ind w:left="357" w:hanging="357"/>
      </w:pPr>
      <w:r>
        <w:t>AusPARs are prepared and published by the TGA.</w:t>
      </w:r>
    </w:p>
    <w:p w:rsidR="008E7846" w:rsidRDefault="008E7846" w:rsidP="00CD2FB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CD2FB2">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CD2FB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0C776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2682430" w:history="1">
        <w:r w:rsidR="000C7767" w:rsidRPr="005F073B">
          <w:rPr>
            <w:rStyle w:val="Hyperlink"/>
            <w:noProof/>
          </w:rPr>
          <w:t>List of abbreviations</w:t>
        </w:r>
        <w:r w:rsidR="000C7767">
          <w:rPr>
            <w:noProof/>
            <w:webHidden/>
          </w:rPr>
          <w:tab/>
        </w:r>
        <w:r w:rsidR="000C7767">
          <w:rPr>
            <w:noProof/>
            <w:webHidden/>
          </w:rPr>
          <w:fldChar w:fldCharType="begin"/>
        </w:r>
        <w:r w:rsidR="000C7767">
          <w:rPr>
            <w:noProof/>
            <w:webHidden/>
          </w:rPr>
          <w:instrText xml:space="preserve"> PAGEREF _Toc392682430 \h </w:instrText>
        </w:r>
        <w:r w:rsidR="000C7767">
          <w:rPr>
            <w:noProof/>
            <w:webHidden/>
          </w:rPr>
        </w:r>
        <w:r w:rsidR="000C7767">
          <w:rPr>
            <w:noProof/>
            <w:webHidden/>
          </w:rPr>
          <w:fldChar w:fldCharType="separate"/>
        </w:r>
        <w:r w:rsidR="000C7767">
          <w:rPr>
            <w:noProof/>
            <w:webHidden/>
          </w:rPr>
          <w:t>5</w:t>
        </w:r>
        <w:r w:rsidR="000C7767">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31" w:history="1">
        <w:r w:rsidRPr="005F073B">
          <w:rPr>
            <w:rStyle w:val="Hyperlink"/>
            <w:noProof/>
          </w:rPr>
          <w:t>I. Introduction to product submission</w:t>
        </w:r>
        <w:r>
          <w:rPr>
            <w:noProof/>
            <w:webHidden/>
          </w:rPr>
          <w:tab/>
        </w:r>
        <w:r>
          <w:rPr>
            <w:noProof/>
            <w:webHidden/>
          </w:rPr>
          <w:fldChar w:fldCharType="begin"/>
        </w:r>
        <w:r>
          <w:rPr>
            <w:noProof/>
            <w:webHidden/>
          </w:rPr>
          <w:instrText xml:space="preserve"> PAGEREF _Toc392682431 \h </w:instrText>
        </w:r>
        <w:r>
          <w:rPr>
            <w:noProof/>
            <w:webHidden/>
          </w:rPr>
        </w:r>
        <w:r>
          <w:rPr>
            <w:noProof/>
            <w:webHidden/>
          </w:rPr>
          <w:fldChar w:fldCharType="separate"/>
        </w:r>
        <w:r>
          <w:rPr>
            <w:noProof/>
            <w:webHidden/>
          </w:rPr>
          <w:t>9</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2" w:history="1">
        <w:r w:rsidRPr="005F073B">
          <w:rPr>
            <w:rStyle w:val="Hyperlink"/>
            <w:noProof/>
            <w:lang w:eastAsia="en-AU"/>
          </w:rPr>
          <w:t>Submission details</w:t>
        </w:r>
        <w:r>
          <w:rPr>
            <w:noProof/>
            <w:webHidden/>
          </w:rPr>
          <w:tab/>
        </w:r>
        <w:r>
          <w:rPr>
            <w:noProof/>
            <w:webHidden/>
          </w:rPr>
          <w:fldChar w:fldCharType="begin"/>
        </w:r>
        <w:r>
          <w:rPr>
            <w:noProof/>
            <w:webHidden/>
          </w:rPr>
          <w:instrText xml:space="preserve"> PAGEREF _Toc392682432 \h </w:instrText>
        </w:r>
        <w:r>
          <w:rPr>
            <w:noProof/>
            <w:webHidden/>
          </w:rPr>
        </w:r>
        <w:r>
          <w:rPr>
            <w:noProof/>
            <w:webHidden/>
          </w:rPr>
          <w:fldChar w:fldCharType="separate"/>
        </w:r>
        <w:r>
          <w:rPr>
            <w:noProof/>
            <w:webHidden/>
          </w:rPr>
          <w:t>9</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3" w:history="1">
        <w:r w:rsidRPr="005F073B">
          <w:rPr>
            <w:rStyle w:val="Hyperlink"/>
            <w:noProof/>
          </w:rPr>
          <w:t>Product background</w:t>
        </w:r>
        <w:r>
          <w:rPr>
            <w:noProof/>
            <w:webHidden/>
          </w:rPr>
          <w:tab/>
        </w:r>
        <w:r>
          <w:rPr>
            <w:noProof/>
            <w:webHidden/>
          </w:rPr>
          <w:fldChar w:fldCharType="begin"/>
        </w:r>
        <w:r>
          <w:rPr>
            <w:noProof/>
            <w:webHidden/>
          </w:rPr>
          <w:instrText xml:space="preserve"> PAGEREF _Toc392682433 \h </w:instrText>
        </w:r>
        <w:r>
          <w:rPr>
            <w:noProof/>
            <w:webHidden/>
          </w:rPr>
        </w:r>
        <w:r>
          <w:rPr>
            <w:noProof/>
            <w:webHidden/>
          </w:rPr>
          <w:fldChar w:fldCharType="separate"/>
        </w:r>
        <w:r>
          <w:rPr>
            <w:noProof/>
            <w:webHidden/>
          </w:rPr>
          <w:t>9</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4" w:history="1">
        <w:r w:rsidRPr="005F073B">
          <w:rPr>
            <w:rStyle w:val="Hyperlink"/>
            <w:noProof/>
          </w:rPr>
          <w:t>Regulatory status</w:t>
        </w:r>
        <w:r>
          <w:rPr>
            <w:noProof/>
            <w:webHidden/>
          </w:rPr>
          <w:tab/>
        </w:r>
        <w:r>
          <w:rPr>
            <w:noProof/>
            <w:webHidden/>
          </w:rPr>
          <w:fldChar w:fldCharType="begin"/>
        </w:r>
        <w:r>
          <w:rPr>
            <w:noProof/>
            <w:webHidden/>
          </w:rPr>
          <w:instrText xml:space="preserve"> PAGEREF _Toc392682434 \h </w:instrText>
        </w:r>
        <w:r>
          <w:rPr>
            <w:noProof/>
            <w:webHidden/>
          </w:rPr>
        </w:r>
        <w:r>
          <w:rPr>
            <w:noProof/>
            <w:webHidden/>
          </w:rPr>
          <w:fldChar w:fldCharType="separate"/>
        </w:r>
        <w:r>
          <w:rPr>
            <w:noProof/>
            <w:webHidden/>
          </w:rPr>
          <w:t>10</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5" w:history="1">
        <w:r w:rsidRPr="005F073B">
          <w:rPr>
            <w:rStyle w:val="Hyperlink"/>
            <w:noProof/>
          </w:rPr>
          <w:t>Product Information</w:t>
        </w:r>
        <w:r>
          <w:rPr>
            <w:noProof/>
            <w:webHidden/>
          </w:rPr>
          <w:tab/>
        </w:r>
        <w:r>
          <w:rPr>
            <w:noProof/>
            <w:webHidden/>
          </w:rPr>
          <w:fldChar w:fldCharType="begin"/>
        </w:r>
        <w:r>
          <w:rPr>
            <w:noProof/>
            <w:webHidden/>
          </w:rPr>
          <w:instrText xml:space="preserve"> PAGEREF _Toc392682435 \h </w:instrText>
        </w:r>
        <w:r>
          <w:rPr>
            <w:noProof/>
            <w:webHidden/>
          </w:rPr>
        </w:r>
        <w:r>
          <w:rPr>
            <w:noProof/>
            <w:webHidden/>
          </w:rPr>
          <w:fldChar w:fldCharType="separate"/>
        </w:r>
        <w:r>
          <w:rPr>
            <w:noProof/>
            <w:webHidden/>
          </w:rPr>
          <w:t>10</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36" w:history="1">
        <w:r w:rsidRPr="005F073B">
          <w:rPr>
            <w:rStyle w:val="Hyperlink"/>
            <w:noProof/>
          </w:rPr>
          <w:t>II. Quality findings</w:t>
        </w:r>
        <w:r>
          <w:rPr>
            <w:noProof/>
            <w:webHidden/>
          </w:rPr>
          <w:tab/>
        </w:r>
        <w:r>
          <w:rPr>
            <w:noProof/>
            <w:webHidden/>
          </w:rPr>
          <w:fldChar w:fldCharType="begin"/>
        </w:r>
        <w:r>
          <w:rPr>
            <w:noProof/>
            <w:webHidden/>
          </w:rPr>
          <w:instrText xml:space="preserve"> PAGEREF _Toc392682436 \h </w:instrText>
        </w:r>
        <w:r>
          <w:rPr>
            <w:noProof/>
            <w:webHidden/>
          </w:rPr>
        </w:r>
        <w:r>
          <w:rPr>
            <w:noProof/>
            <w:webHidden/>
          </w:rPr>
          <w:fldChar w:fldCharType="separate"/>
        </w:r>
        <w:r>
          <w:rPr>
            <w:noProof/>
            <w:webHidden/>
          </w:rPr>
          <w:t>11</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7" w:history="1">
        <w:r w:rsidRPr="005F073B">
          <w:rPr>
            <w:rStyle w:val="Hyperlink"/>
            <w:noProof/>
          </w:rPr>
          <w:t>Introduction</w:t>
        </w:r>
        <w:r>
          <w:rPr>
            <w:noProof/>
            <w:webHidden/>
          </w:rPr>
          <w:tab/>
        </w:r>
        <w:r>
          <w:rPr>
            <w:noProof/>
            <w:webHidden/>
          </w:rPr>
          <w:fldChar w:fldCharType="begin"/>
        </w:r>
        <w:r>
          <w:rPr>
            <w:noProof/>
            <w:webHidden/>
          </w:rPr>
          <w:instrText xml:space="preserve"> PAGEREF _Toc392682437 \h </w:instrText>
        </w:r>
        <w:r>
          <w:rPr>
            <w:noProof/>
            <w:webHidden/>
          </w:rPr>
        </w:r>
        <w:r>
          <w:rPr>
            <w:noProof/>
            <w:webHidden/>
          </w:rPr>
          <w:fldChar w:fldCharType="separate"/>
        </w:r>
        <w:r>
          <w:rPr>
            <w:noProof/>
            <w:webHidden/>
          </w:rPr>
          <w:t>11</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8" w:history="1">
        <w:r w:rsidRPr="005F073B">
          <w:rPr>
            <w:rStyle w:val="Hyperlink"/>
            <w:noProof/>
          </w:rPr>
          <w:t>Drug substance (active Ingredient)</w:t>
        </w:r>
        <w:r>
          <w:rPr>
            <w:noProof/>
            <w:webHidden/>
          </w:rPr>
          <w:tab/>
        </w:r>
        <w:r>
          <w:rPr>
            <w:noProof/>
            <w:webHidden/>
          </w:rPr>
          <w:fldChar w:fldCharType="begin"/>
        </w:r>
        <w:r>
          <w:rPr>
            <w:noProof/>
            <w:webHidden/>
          </w:rPr>
          <w:instrText xml:space="preserve"> PAGEREF _Toc392682438 \h </w:instrText>
        </w:r>
        <w:r>
          <w:rPr>
            <w:noProof/>
            <w:webHidden/>
          </w:rPr>
        </w:r>
        <w:r>
          <w:rPr>
            <w:noProof/>
            <w:webHidden/>
          </w:rPr>
          <w:fldChar w:fldCharType="separate"/>
        </w:r>
        <w:r>
          <w:rPr>
            <w:noProof/>
            <w:webHidden/>
          </w:rPr>
          <w:t>11</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39" w:history="1">
        <w:r w:rsidRPr="005F073B">
          <w:rPr>
            <w:rStyle w:val="Hyperlink"/>
            <w:noProof/>
          </w:rPr>
          <w:t>Drug product</w:t>
        </w:r>
        <w:r>
          <w:rPr>
            <w:noProof/>
            <w:webHidden/>
          </w:rPr>
          <w:tab/>
        </w:r>
        <w:r>
          <w:rPr>
            <w:noProof/>
            <w:webHidden/>
          </w:rPr>
          <w:fldChar w:fldCharType="begin"/>
        </w:r>
        <w:r>
          <w:rPr>
            <w:noProof/>
            <w:webHidden/>
          </w:rPr>
          <w:instrText xml:space="preserve"> PAGEREF _Toc392682439 \h </w:instrText>
        </w:r>
        <w:r>
          <w:rPr>
            <w:noProof/>
            <w:webHidden/>
          </w:rPr>
        </w:r>
        <w:r>
          <w:rPr>
            <w:noProof/>
            <w:webHidden/>
          </w:rPr>
          <w:fldChar w:fldCharType="separate"/>
        </w:r>
        <w:r>
          <w:rPr>
            <w:noProof/>
            <w:webHidden/>
          </w:rPr>
          <w:t>12</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0" w:history="1">
        <w:r w:rsidRPr="005F073B">
          <w:rPr>
            <w:rStyle w:val="Hyperlink"/>
            <w:noProof/>
          </w:rPr>
          <w:t>Advisory committee considerations</w:t>
        </w:r>
        <w:r>
          <w:rPr>
            <w:noProof/>
            <w:webHidden/>
          </w:rPr>
          <w:tab/>
        </w:r>
        <w:r>
          <w:rPr>
            <w:noProof/>
            <w:webHidden/>
          </w:rPr>
          <w:fldChar w:fldCharType="begin"/>
        </w:r>
        <w:r>
          <w:rPr>
            <w:noProof/>
            <w:webHidden/>
          </w:rPr>
          <w:instrText xml:space="preserve"> PAGEREF _Toc392682440 \h </w:instrText>
        </w:r>
        <w:r>
          <w:rPr>
            <w:noProof/>
            <w:webHidden/>
          </w:rPr>
        </w:r>
        <w:r>
          <w:rPr>
            <w:noProof/>
            <w:webHidden/>
          </w:rPr>
          <w:fldChar w:fldCharType="separate"/>
        </w:r>
        <w:r>
          <w:rPr>
            <w:noProof/>
            <w:webHidden/>
          </w:rPr>
          <w:t>13</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1" w:history="1">
        <w:r w:rsidRPr="005F073B">
          <w:rPr>
            <w:rStyle w:val="Hyperlink"/>
            <w:noProof/>
          </w:rPr>
          <w:t>Quality summary and conclusions</w:t>
        </w:r>
        <w:r>
          <w:rPr>
            <w:noProof/>
            <w:webHidden/>
          </w:rPr>
          <w:tab/>
        </w:r>
        <w:r>
          <w:rPr>
            <w:noProof/>
            <w:webHidden/>
          </w:rPr>
          <w:fldChar w:fldCharType="begin"/>
        </w:r>
        <w:r>
          <w:rPr>
            <w:noProof/>
            <w:webHidden/>
          </w:rPr>
          <w:instrText xml:space="preserve"> PAGEREF _Toc392682441 \h </w:instrText>
        </w:r>
        <w:r>
          <w:rPr>
            <w:noProof/>
            <w:webHidden/>
          </w:rPr>
        </w:r>
        <w:r>
          <w:rPr>
            <w:noProof/>
            <w:webHidden/>
          </w:rPr>
          <w:fldChar w:fldCharType="separate"/>
        </w:r>
        <w:r>
          <w:rPr>
            <w:noProof/>
            <w:webHidden/>
          </w:rPr>
          <w:t>15</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42" w:history="1">
        <w:r w:rsidRPr="005F073B">
          <w:rPr>
            <w:rStyle w:val="Hyperlink"/>
            <w:noProof/>
          </w:rPr>
          <w:t>III. Nonclinical findings</w:t>
        </w:r>
        <w:r>
          <w:rPr>
            <w:noProof/>
            <w:webHidden/>
          </w:rPr>
          <w:tab/>
        </w:r>
        <w:r>
          <w:rPr>
            <w:noProof/>
            <w:webHidden/>
          </w:rPr>
          <w:fldChar w:fldCharType="begin"/>
        </w:r>
        <w:r>
          <w:rPr>
            <w:noProof/>
            <w:webHidden/>
          </w:rPr>
          <w:instrText xml:space="preserve"> PAGEREF _Toc392682442 \h </w:instrText>
        </w:r>
        <w:r>
          <w:rPr>
            <w:noProof/>
            <w:webHidden/>
          </w:rPr>
        </w:r>
        <w:r>
          <w:rPr>
            <w:noProof/>
            <w:webHidden/>
          </w:rPr>
          <w:fldChar w:fldCharType="separate"/>
        </w:r>
        <w:r>
          <w:rPr>
            <w:noProof/>
            <w:webHidden/>
          </w:rPr>
          <w:t>15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3" w:history="1">
        <w:r w:rsidRPr="005F073B">
          <w:rPr>
            <w:rStyle w:val="Hyperlink"/>
            <w:noProof/>
          </w:rPr>
          <w:t>Introduction</w:t>
        </w:r>
        <w:r>
          <w:rPr>
            <w:noProof/>
            <w:webHidden/>
          </w:rPr>
          <w:tab/>
        </w:r>
        <w:r>
          <w:rPr>
            <w:noProof/>
            <w:webHidden/>
          </w:rPr>
          <w:fldChar w:fldCharType="begin"/>
        </w:r>
        <w:r>
          <w:rPr>
            <w:noProof/>
            <w:webHidden/>
          </w:rPr>
          <w:instrText xml:space="preserve"> PAGEREF _Toc392682443 \h </w:instrText>
        </w:r>
        <w:r>
          <w:rPr>
            <w:noProof/>
            <w:webHidden/>
          </w:rPr>
        </w:r>
        <w:r>
          <w:rPr>
            <w:noProof/>
            <w:webHidden/>
          </w:rPr>
          <w:fldChar w:fldCharType="separate"/>
        </w:r>
        <w:r>
          <w:rPr>
            <w:noProof/>
            <w:webHidden/>
          </w:rPr>
          <w:t>15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4" w:history="1">
        <w:r w:rsidRPr="005F073B">
          <w:rPr>
            <w:rStyle w:val="Hyperlink"/>
            <w:noProof/>
          </w:rPr>
          <w:t>Pharmacology</w:t>
        </w:r>
        <w:r>
          <w:rPr>
            <w:noProof/>
            <w:webHidden/>
          </w:rPr>
          <w:tab/>
        </w:r>
        <w:r>
          <w:rPr>
            <w:noProof/>
            <w:webHidden/>
          </w:rPr>
          <w:fldChar w:fldCharType="begin"/>
        </w:r>
        <w:r>
          <w:rPr>
            <w:noProof/>
            <w:webHidden/>
          </w:rPr>
          <w:instrText xml:space="preserve"> PAGEREF _Toc392682444 \h </w:instrText>
        </w:r>
        <w:r>
          <w:rPr>
            <w:noProof/>
            <w:webHidden/>
          </w:rPr>
        </w:r>
        <w:r>
          <w:rPr>
            <w:noProof/>
            <w:webHidden/>
          </w:rPr>
          <w:fldChar w:fldCharType="separate"/>
        </w:r>
        <w:r>
          <w:rPr>
            <w:noProof/>
            <w:webHidden/>
          </w:rPr>
          <w:t>16</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5" w:history="1">
        <w:r w:rsidRPr="005F073B">
          <w:rPr>
            <w:rStyle w:val="Hyperlink"/>
            <w:noProof/>
          </w:rPr>
          <w:t>Pharmacokinetics</w:t>
        </w:r>
        <w:r>
          <w:rPr>
            <w:noProof/>
            <w:webHidden/>
          </w:rPr>
          <w:tab/>
        </w:r>
        <w:r>
          <w:rPr>
            <w:noProof/>
            <w:webHidden/>
          </w:rPr>
          <w:fldChar w:fldCharType="begin"/>
        </w:r>
        <w:r>
          <w:rPr>
            <w:noProof/>
            <w:webHidden/>
          </w:rPr>
          <w:instrText xml:space="preserve"> PAGEREF _Toc392682445 \h </w:instrText>
        </w:r>
        <w:r>
          <w:rPr>
            <w:noProof/>
            <w:webHidden/>
          </w:rPr>
        </w:r>
        <w:r>
          <w:rPr>
            <w:noProof/>
            <w:webHidden/>
          </w:rPr>
          <w:fldChar w:fldCharType="separate"/>
        </w:r>
        <w:r>
          <w:rPr>
            <w:noProof/>
            <w:webHidden/>
          </w:rPr>
          <w:t>21</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6" w:history="1">
        <w:r w:rsidRPr="005F073B">
          <w:rPr>
            <w:rStyle w:val="Hyperlink"/>
            <w:noProof/>
          </w:rPr>
          <w:t>Toxicology</w:t>
        </w:r>
        <w:r>
          <w:rPr>
            <w:noProof/>
            <w:webHidden/>
          </w:rPr>
          <w:tab/>
        </w:r>
        <w:r>
          <w:rPr>
            <w:noProof/>
            <w:webHidden/>
          </w:rPr>
          <w:fldChar w:fldCharType="begin"/>
        </w:r>
        <w:r>
          <w:rPr>
            <w:noProof/>
            <w:webHidden/>
          </w:rPr>
          <w:instrText xml:space="preserve"> PAGEREF _Toc392682446 \h </w:instrText>
        </w:r>
        <w:r>
          <w:rPr>
            <w:noProof/>
            <w:webHidden/>
          </w:rPr>
        </w:r>
        <w:r>
          <w:rPr>
            <w:noProof/>
            <w:webHidden/>
          </w:rPr>
          <w:fldChar w:fldCharType="separate"/>
        </w:r>
        <w:r>
          <w:rPr>
            <w:noProof/>
            <w:webHidden/>
          </w:rPr>
          <w:t>28</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7" w:history="1">
        <w:r w:rsidRPr="005F073B">
          <w:rPr>
            <w:rStyle w:val="Hyperlink"/>
            <w:noProof/>
          </w:rPr>
          <w:t>Nonclinical summary and conclusions</w:t>
        </w:r>
        <w:r>
          <w:rPr>
            <w:noProof/>
            <w:webHidden/>
          </w:rPr>
          <w:tab/>
        </w:r>
        <w:r>
          <w:rPr>
            <w:noProof/>
            <w:webHidden/>
          </w:rPr>
          <w:fldChar w:fldCharType="begin"/>
        </w:r>
        <w:r>
          <w:rPr>
            <w:noProof/>
            <w:webHidden/>
          </w:rPr>
          <w:instrText xml:space="preserve"> PAGEREF _Toc392682447 \h </w:instrText>
        </w:r>
        <w:r>
          <w:rPr>
            <w:noProof/>
            <w:webHidden/>
          </w:rPr>
        </w:r>
        <w:r>
          <w:rPr>
            <w:noProof/>
            <w:webHidden/>
          </w:rPr>
          <w:fldChar w:fldCharType="separate"/>
        </w:r>
        <w:r>
          <w:rPr>
            <w:noProof/>
            <w:webHidden/>
          </w:rPr>
          <w:t>42</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48" w:history="1">
        <w:r w:rsidRPr="005F073B">
          <w:rPr>
            <w:rStyle w:val="Hyperlink"/>
            <w:noProof/>
          </w:rPr>
          <w:t>IV. Clinical findings</w:t>
        </w:r>
        <w:r>
          <w:rPr>
            <w:noProof/>
            <w:webHidden/>
          </w:rPr>
          <w:tab/>
        </w:r>
        <w:r>
          <w:rPr>
            <w:noProof/>
            <w:webHidden/>
          </w:rPr>
          <w:fldChar w:fldCharType="begin"/>
        </w:r>
        <w:r>
          <w:rPr>
            <w:noProof/>
            <w:webHidden/>
          </w:rPr>
          <w:instrText xml:space="preserve"> PAGEREF _Toc392682448 \h </w:instrText>
        </w:r>
        <w:r>
          <w:rPr>
            <w:noProof/>
            <w:webHidden/>
          </w:rPr>
        </w:r>
        <w:r>
          <w:rPr>
            <w:noProof/>
            <w:webHidden/>
          </w:rPr>
          <w:fldChar w:fldCharType="separate"/>
        </w:r>
        <w:r>
          <w:rPr>
            <w:noProof/>
            <w:webHidden/>
          </w:rPr>
          <w:t>44</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49" w:history="1">
        <w:r w:rsidRPr="005F073B">
          <w:rPr>
            <w:rStyle w:val="Hyperlink"/>
            <w:noProof/>
          </w:rPr>
          <w:t>Introduction</w:t>
        </w:r>
        <w:r>
          <w:rPr>
            <w:noProof/>
            <w:webHidden/>
          </w:rPr>
          <w:tab/>
        </w:r>
        <w:r>
          <w:rPr>
            <w:noProof/>
            <w:webHidden/>
          </w:rPr>
          <w:fldChar w:fldCharType="begin"/>
        </w:r>
        <w:r>
          <w:rPr>
            <w:noProof/>
            <w:webHidden/>
          </w:rPr>
          <w:instrText xml:space="preserve"> PAGEREF _Toc392682449 \h </w:instrText>
        </w:r>
        <w:r>
          <w:rPr>
            <w:noProof/>
            <w:webHidden/>
          </w:rPr>
        </w:r>
        <w:r>
          <w:rPr>
            <w:noProof/>
            <w:webHidden/>
          </w:rPr>
          <w:fldChar w:fldCharType="separate"/>
        </w:r>
        <w:r>
          <w:rPr>
            <w:noProof/>
            <w:webHidden/>
          </w:rPr>
          <w:t>45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0" w:history="1">
        <w:r w:rsidRPr="005F073B">
          <w:rPr>
            <w:rStyle w:val="Hyperlink"/>
            <w:noProof/>
          </w:rPr>
          <w:t>Pharmacokinetics</w:t>
        </w:r>
        <w:r>
          <w:rPr>
            <w:noProof/>
            <w:webHidden/>
          </w:rPr>
          <w:tab/>
        </w:r>
        <w:r>
          <w:rPr>
            <w:noProof/>
            <w:webHidden/>
          </w:rPr>
          <w:fldChar w:fldCharType="begin"/>
        </w:r>
        <w:r>
          <w:rPr>
            <w:noProof/>
            <w:webHidden/>
          </w:rPr>
          <w:instrText xml:space="preserve"> PAGEREF _Toc392682450 \h </w:instrText>
        </w:r>
        <w:r>
          <w:rPr>
            <w:noProof/>
            <w:webHidden/>
          </w:rPr>
        </w:r>
        <w:r>
          <w:rPr>
            <w:noProof/>
            <w:webHidden/>
          </w:rPr>
          <w:fldChar w:fldCharType="separate"/>
        </w:r>
        <w:r>
          <w:rPr>
            <w:noProof/>
            <w:webHidden/>
          </w:rPr>
          <w:t>46</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1" w:history="1">
        <w:r w:rsidRPr="005F073B">
          <w:rPr>
            <w:rStyle w:val="Hyperlink"/>
            <w:noProof/>
          </w:rPr>
          <w:t>Pharmacodynamics</w:t>
        </w:r>
        <w:r>
          <w:rPr>
            <w:noProof/>
            <w:webHidden/>
          </w:rPr>
          <w:tab/>
        </w:r>
        <w:r>
          <w:rPr>
            <w:noProof/>
            <w:webHidden/>
          </w:rPr>
          <w:fldChar w:fldCharType="begin"/>
        </w:r>
        <w:r>
          <w:rPr>
            <w:noProof/>
            <w:webHidden/>
          </w:rPr>
          <w:instrText xml:space="preserve"> PAGEREF _Toc392682451 \h </w:instrText>
        </w:r>
        <w:r>
          <w:rPr>
            <w:noProof/>
            <w:webHidden/>
          </w:rPr>
        </w:r>
        <w:r>
          <w:rPr>
            <w:noProof/>
            <w:webHidden/>
          </w:rPr>
          <w:fldChar w:fldCharType="separate"/>
        </w:r>
        <w:r>
          <w:rPr>
            <w:noProof/>
            <w:webHidden/>
          </w:rPr>
          <w:t>48</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2" w:history="1">
        <w:r w:rsidRPr="005F073B">
          <w:rPr>
            <w:rStyle w:val="Hyperlink"/>
            <w:noProof/>
          </w:rPr>
          <w:t>Dosage selection for the pivotal studies</w:t>
        </w:r>
        <w:r>
          <w:rPr>
            <w:noProof/>
            <w:webHidden/>
          </w:rPr>
          <w:tab/>
        </w:r>
        <w:r>
          <w:rPr>
            <w:noProof/>
            <w:webHidden/>
          </w:rPr>
          <w:fldChar w:fldCharType="begin"/>
        </w:r>
        <w:r>
          <w:rPr>
            <w:noProof/>
            <w:webHidden/>
          </w:rPr>
          <w:instrText xml:space="preserve"> PAGEREF _Toc392682452 \h </w:instrText>
        </w:r>
        <w:r>
          <w:rPr>
            <w:noProof/>
            <w:webHidden/>
          </w:rPr>
        </w:r>
        <w:r>
          <w:rPr>
            <w:noProof/>
            <w:webHidden/>
          </w:rPr>
          <w:fldChar w:fldCharType="separate"/>
        </w:r>
        <w:r>
          <w:rPr>
            <w:noProof/>
            <w:webHidden/>
          </w:rPr>
          <w:t>49</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3" w:history="1">
        <w:r w:rsidRPr="005F073B">
          <w:rPr>
            <w:rStyle w:val="Hyperlink"/>
            <w:noProof/>
          </w:rPr>
          <w:t>Efficacy</w:t>
        </w:r>
        <w:r>
          <w:rPr>
            <w:noProof/>
            <w:webHidden/>
          </w:rPr>
          <w:tab/>
        </w:r>
        <w:r>
          <w:rPr>
            <w:noProof/>
            <w:webHidden/>
          </w:rPr>
          <w:fldChar w:fldCharType="begin"/>
        </w:r>
        <w:r>
          <w:rPr>
            <w:noProof/>
            <w:webHidden/>
          </w:rPr>
          <w:instrText xml:space="preserve"> PAGEREF _Toc392682453 \h </w:instrText>
        </w:r>
        <w:r>
          <w:rPr>
            <w:noProof/>
            <w:webHidden/>
          </w:rPr>
        </w:r>
        <w:r>
          <w:rPr>
            <w:noProof/>
            <w:webHidden/>
          </w:rPr>
          <w:fldChar w:fldCharType="separate"/>
        </w:r>
        <w:r>
          <w:rPr>
            <w:noProof/>
            <w:webHidden/>
          </w:rPr>
          <w:t>50</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4" w:history="1">
        <w:r w:rsidRPr="005F073B">
          <w:rPr>
            <w:rStyle w:val="Hyperlink"/>
            <w:noProof/>
          </w:rPr>
          <w:t>Safety</w:t>
        </w:r>
        <w:r>
          <w:rPr>
            <w:noProof/>
            <w:webHidden/>
          </w:rPr>
          <w:tab/>
        </w:r>
        <w:r>
          <w:rPr>
            <w:noProof/>
            <w:webHidden/>
          </w:rPr>
          <w:fldChar w:fldCharType="begin"/>
        </w:r>
        <w:r>
          <w:rPr>
            <w:noProof/>
            <w:webHidden/>
          </w:rPr>
          <w:instrText xml:space="preserve"> PAGEREF _Toc392682454 \h </w:instrText>
        </w:r>
        <w:r>
          <w:rPr>
            <w:noProof/>
            <w:webHidden/>
          </w:rPr>
        </w:r>
        <w:r>
          <w:rPr>
            <w:noProof/>
            <w:webHidden/>
          </w:rPr>
          <w:fldChar w:fldCharType="separate"/>
        </w:r>
        <w:r>
          <w:rPr>
            <w:noProof/>
            <w:webHidden/>
          </w:rPr>
          <w:t>53</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5" w:history="1">
        <w:r w:rsidRPr="005F073B">
          <w:rPr>
            <w:rStyle w:val="Hyperlink"/>
            <w:noProof/>
          </w:rPr>
          <w:t>First round benefit-risk assessment</w:t>
        </w:r>
        <w:r>
          <w:rPr>
            <w:noProof/>
            <w:webHidden/>
          </w:rPr>
          <w:tab/>
        </w:r>
        <w:r>
          <w:rPr>
            <w:noProof/>
            <w:webHidden/>
          </w:rPr>
          <w:fldChar w:fldCharType="begin"/>
        </w:r>
        <w:r>
          <w:rPr>
            <w:noProof/>
            <w:webHidden/>
          </w:rPr>
          <w:instrText xml:space="preserve"> PAGEREF _Toc392682455 \h </w:instrText>
        </w:r>
        <w:r>
          <w:rPr>
            <w:noProof/>
            <w:webHidden/>
          </w:rPr>
        </w:r>
        <w:r>
          <w:rPr>
            <w:noProof/>
            <w:webHidden/>
          </w:rPr>
          <w:fldChar w:fldCharType="separate"/>
        </w:r>
        <w:r>
          <w:rPr>
            <w:noProof/>
            <w:webHidden/>
          </w:rPr>
          <w:t>59</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6" w:history="1">
        <w:r w:rsidRPr="005F073B">
          <w:rPr>
            <w:rStyle w:val="Hyperlink"/>
            <w:noProof/>
          </w:rPr>
          <w:t>First round recommendation regarding authorisation</w:t>
        </w:r>
        <w:r>
          <w:rPr>
            <w:noProof/>
            <w:webHidden/>
          </w:rPr>
          <w:tab/>
        </w:r>
        <w:r>
          <w:rPr>
            <w:noProof/>
            <w:webHidden/>
          </w:rPr>
          <w:fldChar w:fldCharType="begin"/>
        </w:r>
        <w:r>
          <w:rPr>
            <w:noProof/>
            <w:webHidden/>
          </w:rPr>
          <w:instrText xml:space="preserve"> PAGEREF _Toc392682456 \h </w:instrText>
        </w:r>
        <w:r>
          <w:rPr>
            <w:noProof/>
            <w:webHidden/>
          </w:rPr>
        </w:r>
        <w:r>
          <w:rPr>
            <w:noProof/>
            <w:webHidden/>
          </w:rPr>
          <w:fldChar w:fldCharType="separate"/>
        </w:r>
        <w:r>
          <w:rPr>
            <w:noProof/>
            <w:webHidden/>
          </w:rPr>
          <w:t>64</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7" w:history="1">
        <w:r w:rsidRPr="005F073B">
          <w:rPr>
            <w:rStyle w:val="Hyperlink"/>
            <w:noProof/>
          </w:rPr>
          <w:t>Clinical questions</w:t>
        </w:r>
        <w:r>
          <w:rPr>
            <w:noProof/>
            <w:webHidden/>
          </w:rPr>
          <w:tab/>
        </w:r>
        <w:r>
          <w:rPr>
            <w:noProof/>
            <w:webHidden/>
          </w:rPr>
          <w:fldChar w:fldCharType="begin"/>
        </w:r>
        <w:r>
          <w:rPr>
            <w:noProof/>
            <w:webHidden/>
          </w:rPr>
          <w:instrText xml:space="preserve"> PAGEREF _Toc392682457 \h </w:instrText>
        </w:r>
        <w:r>
          <w:rPr>
            <w:noProof/>
            <w:webHidden/>
          </w:rPr>
        </w:r>
        <w:r>
          <w:rPr>
            <w:noProof/>
            <w:webHidden/>
          </w:rPr>
          <w:fldChar w:fldCharType="separate"/>
        </w:r>
        <w:r>
          <w:rPr>
            <w:noProof/>
            <w:webHidden/>
          </w:rPr>
          <w:t>64</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8" w:history="1">
        <w:r w:rsidRPr="005F073B">
          <w:rPr>
            <w:rStyle w:val="Hyperlink"/>
            <w:noProof/>
          </w:rPr>
          <w:t>Second round evaluation of clinical data in response to questions</w:t>
        </w:r>
        <w:r>
          <w:rPr>
            <w:noProof/>
            <w:webHidden/>
          </w:rPr>
          <w:tab/>
        </w:r>
        <w:r>
          <w:rPr>
            <w:noProof/>
            <w:webHidden/>
          </w:rPr>
          <w:fldChar w:fldCharType="begin"/>
        </w:r>
        <w:r>
          <w:rPr>
            <w:noProof/>
            <w:webHidden/>
          </w:rPr>
          <w:instrText xml:space="preserve"> PAGEREF _Toc392682458 \h </w:instrText>
        </w:r>
        <w:r>
          <w:rPr>
            <w:noProof/>
            <w:webHidden/>
          </w:rPr>
        </w:r>
        <w:r>
          <w:rPr>
            <w:noProof/>
            <w:webHidden/>
          </w:rPr>
          <w:fldChar w:fldCharType="separate"/>
        </w:r>
        <w:r>
          <w:rPr>
            <w:noProof/>
            <w:webHidden/>
          </w:rPr>
          <w:t>65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59" w:history="1">
        <w:r w:rsidRPr="005F073B">
          <w:rPr>
            <w:rStyle w:val="Hyperlink"/>
            <w:noProof/>
          </w:rPr>
          <w:t>Second round benefit-risk assessment</w:t>
        </w:r>
        <w:r>
          <w:rPr>
            <w:noProof/>
            <w:webHidden/>
          </w:rPr>
          <w:tab/>
        </w:r>
        <w:r>
          <w:rPr>
            <w:noProof/>
            <w:webHidden/>
          </w:rPr>
          <w:fldChar w:fldCharType="begin"/>
        </w:r>
        <w:r>
          <w:rPr>
            <w:noProof/>
            <w:webHidden/>
          </w:rPr>
          <w:instrText xml:space="preserve"> PAGEREF _Toc392682459 \h </w:instrText>
        </w:r>
        <w:r>
          <w:rPr>
            <w:noProof/>
            <w:webHidden/>
          </w:rPr>
        </w:r>
        <w:r>
          <w:rPr>
            <w:noProof/>
            <w:webHidden/>
          </w:rPr>
          <w:fldChar w:fldCharType="separate"/>
        </w:r>
        <w:r>
          <w:rPr>
            <w:noProof/>
            <w:webHidden/>
          </w:rPr>
          <w:t>67</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0" w:history="1">
        <w:r w:rsidRPr="005F073B">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_Toc392682460 \h </w:instrText>
        </w:r>
        <w:r>
          <w:rPr>
            <w:noProof/>
            <w:webHidden/>
          </w:rPr>
        </w:r>
        <w:r>
          <w:rPr>
            <w:noProof/>
            <w:webHidden/>
          </w:rPr>
          <w:fldChar w:fldCharType="separate"/>
        </w:r>
        <w:r>
          <w:rPr>
            <w:noProof/>
            <w:webHidden/>
          </w:rPr>
          <w:t>68</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61" w:history="1">
        <w:r w:rsidRPr="005F073B">
          <w:rPr>
            <w:rStyle w:val="Hyperlink"/>
            <w:noProof/>
          </w:rPr>
          <w:t>V. Pharmacovigilance findings</w:t>
        </w:r>
        <w:r>
          <w:rPr>
            <w:noProof/>
            <w:webHidden/>
          </w:rPr>
          <w:tab/>
        </w:r>
        <w:r>
          <w:rPr>
            <w:noProof/>
            <w:webHidden/>
          </w:rPr>
          <w:fldChar w:fldCharType="begin"/>
        </w:r>
        <w:r>
          <w:rPr>
            <w:noProof/>
            <w:webHidden/>
          </w:rPr>
          <w:instrText xml:space="preserve"> PAGEREF _Toc392682461 \h </w:instrText>
        </w:r>
        <w:r>
          <w:rPr>
            <w:noProof/>
            <w:webHidden/>
          </w:rPr>
        </w:r>
        <w:r>
          <w:rPr>
            <w:noProof/>
            <w:webHidden/>
          </w:rPr>
          <w:fldChar w:fldCharType="separate"/>
        </w:r>
        <w:r>
          <w:rPr>
            <w:noProof/>
            <w:webHidden/>
          </w:rPr>
          <w:t>68</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2" w:history="1">
        <w:r w:rsidRPr="005F073B">
          <w:rPr>
            <w:rStyle w:val="Hyperlink"/>
            <w:noProof/>
            <w:lang w:eastAsia="en-AU"/>
          </w:rPr>
          <w:t xml:space="preserve">Risk management </w:t>
        </w:r>
        <w:r w:rsidRPr="005F073B">
          <w:rPr>
            <w:rStyle w:val="Hyperlink"/>
            <w:noProof/>
          </w:rPr>
          <w:t>plan</w:t>
        </w:r>
        <w:r>
          <w:rPr>
            <w:noProof/>
            <w:webHidden/>
          </w:rPr>
          <w:tab/>
        </w:r>
        <w:r>
          <w:rPr>
            <w:noProof/>
            <w:webHidden/>
          </w:rPr>
          <w:fldChar w:fldCharType="begin"/>
        </w:r>
        <w:r>
          <w:rPr>
            <w:noProof/>
            <w:webHidden/>
          </w:rPr>
          <w:instrText xml:space="preserve"> PAGEREF _Toc392682462 \h </w:instrText>
        </w:r>
        <w:r>
          <w:rPr>
            <w:noProof/>
            <w:webHidden/>
          </w:rPr>
        </w:r>
        <w:r>
          <w:rPr>
            <w:noProof/>
            <w:webHidden/>
          </w:rPr>
          <w:fldChar w:fldCharType="separate"/>
        </w:r>
        <w:r>
          <w:rPr>
            <w:noProof/>
            <w:webHidden/>
          </w:rPr>
          <w:t>68</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63" w:history="1">
        <w:r w:rsidRPr="005F073B">
          <w:rPr>
            <w:rStyle w:val="Hyperlink"/>
            <w:noProof/>
          </w:rPr>
          <w:t>VI. Overall conclusion and risk/benefit assessment</w:t>
        </w:r>
        <w:r>
          <w:rPr>
            <w:noProof/>
            <w:webHidden/>
          </w:rPr>
          <w:tab/>
        </w:r>
        <w:r>
          <w:rPr>
            <w:noProof/>
            <w:webHidden/>
          </w:rPr>
          <w:fldChar w:fldCharType="begin"/>
        </w:r>
        <w:r>
          <w:rPr>
            <w:noProof/>
            <w:webHidden/>
          </w:rPr>
          <w:instrText xml:space="preserve"> PAGEREF _Toc392682463 \h </w:instrText>
        </w:r>
        <w:r>
          <w:rPr>
            <w:noProof/>
            <w:webHidden/>
          </w:rPr>
        </w:r>
        <w:r>
          <w:rPr>
            <w:noProof/>
            <w:webHidden/>
          </w:rPr>
          <w:fldChar w:fldCharType="separate"/>
        </w:r>
        <w:r>
          <w:rPr>
            <w:noProof/>
            <w:webHidden/>
          </w:rPr>
          <w:t>85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4" w:history="1">
        <w:r w:rsidRPr="005F073B">
          <w:rPr>
            <w:rStyle w:val="Hyperlink"/>
            <w:noProof/>
          </w:rPr>
          <w:t>Quality</w:t>
        </w:r>
        <w:r>
          <w:rPr>
            <w:noProof/>
            <w:webHidden/>
          </w:rPr>
          <w:tab/>
        </w:r>
        <w:r>
          <w:rPr>
            <w:noProof/>
            <w:webHidden/>
          </w:rPr>
          <w:fldChar w:fldCharType="begin"/>
        </w:r>
        <w:r>
          <w:rPr>
            <w:noProof/>
            <w:webHidden/>
          </w:rPr>
          <w:instrText xml:space="preserve"> PAGEREF _Toc392682464 \h </w:instrText>
        </w:r>
        <w:r>
          <w:rPr>
            <w:noProof/>
            <w:webHidden/>
          </w:rPr>
        </w:r>
        <w:r>
          <w:rPr>
            <w:noProof/>
            <w:webHidden/>
          </w:rPr>
          <w:fldChar w:fldCharType="separate"/>
        </w:r>
        <w:r>
          <w:rPr>
            <w:noProof/>
            <w:webHidden/>
          </w:rPr>
          <w:t>85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5" w:history="1">
        <w:r w:rsidRPr="005F073B">
          <w:rPr>
            <w:rStyle w:val="Hyperlink"/>
            <w:noProof/>
          </w:rPr>
          <w:t>Nonclinical</w:t>
        </w:r>
        <w:r>
          <w:rPr>
            <w:noProof/>
            <w:webHidden/>
          </w:rPr>
          <w:tab/>
        </w:r>
        <w:r>
          <w:rPr>
            <w:noProof/>
            <w:webHidden/>
          </w:rPr>
          <w:fldChar w:fldCharType="begin"/>
        </w:r>
        <w:r>
          <w:rPr>
            <w:noProof/>
            <w:webHidden/>
          </w:rPr>
          <w:instrText xml:space="preserve"> PAGEREF _Toc392682465 \h </w:instrText>
        </w:r>
        <w:r>
          <w:rPr>
            <w:noProof/>
            <w:webHidden/>
          </w:rPr>
        </w:r>
        <w:r>
          <w:rPr>
            <w:noProof/>
            <w:webHidden/>
          </w:rPr>
          <w:fldChar w:fldCharType="separate"/>
        </w:r>
        <w:r>
          <w:rPr>
            <w:noProof/>
            <w:webHidden/>
          </w:rPr>
          <w:t>85</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6" w:history="1">
        <w:r w:rsidRPr="005F073B">
          <w:rPr>
            <w:rStyle w:val="Hyperlink"/>
            <w:noProof/>
          </w:rPr>
          <w:t>Clinical</w:t>
        </w:r>
        <w:r>
          <w:rPr>
            <w:noProof/>
            <w:webHidden/>
          </w:rPr>
          <w:tab/>
        </w:r>
        <w:r>
          <w:rPr>
            <w:noProof/>
            <w:webHidden/>
          </w:rPr>
          <w:fldChar w:fldCharType="begin"/>
        </w:r>
        <w:r>
          <w:rPr>
            <w:noProof/>
            <w:webHidden/>
          </w:rPr>
          <w:instrText xml:space="preserve"> PAGEREF _Toc392682466 \h </w:instrText>
        </w:r>
        <w:r>
          <w:rPr>
            <w:noProof/>
            <w:webHidden/>
          </w:rPr>
        </w:r>
        <w:r>
          <w:rPr>
            <w:noProof/>
            <w:webHidden/>
          </w:rPr>
          <w:fldChar w:fldCharType="separate"/>
        </w:r>
        <w:r>
          <w:rPr>
            <w:noProof/>
            <w:webHidden/>
          </w:rPr>
          <w:t>86</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7" w:history="1">
        <w:r w:rsidRPr="005F073B">
          <w:rPr>
            <w:rStyle w:val="Hyperlink"/>
            <w:noProof/>
            <w:lang w:eastAsia="en-AU"/>
          </w:rPr>
          <w:t xml:space="preserve">Risk management </w:t>
        </w:r>
        <w:r w:rsidRPr="005F073B">
          <w:rPr>
            <w:rStyle w:val="Hyperlink"/>
            <w:noProof/>
          </w:rPr>
          <w:t>plan</w:t>
        </w:r>
        <w:r>
          <w:rPr>
            <w:noProof/>
            <w:webHidden/>
          </w:rPr>
          <w:tab/>
        </w:r>
        <w:r>
          <w:rPr>
            <w:noProof/>
            <w:webHidden/>
          </w:rPr>
          <w:fldChar w:fldCharType="begin"/>
        </w:r>
        <w:r>
          <w:rPr>
            <w:noProof/>
            <w:webHidden/>
          </w:rPr>
          <w:instrText xml:space="preserve"> PAGEREF _Toc392682467 \h </w:instrText>
        </w:r>
        <w:r>
          <w:rPr>
            <w:noProof/>
            <w:webHidden/>
          </w:rPr>
        </w:r>
        <w:r>
          <w:rPr>
            <w:noProof/>
            <w:webHidden/>
          </w:rPr>
          <w:fldChar w:fldCharType="separate"/>
        </w:r>
        <w:r>
          <w:rPr>
            <w:noProof/>
            <w:webHidden/>
          </w:rPr>
          <w:t>90</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8" w:history="1">
        <w:r w:rsidRPr="005F073B">
          <w:rPr>
            <w:rStyle w:val="Hyperlink"/>
            <w:noProof/>
          </w:rPr>
          <w:t>Risk-benefit analysis</w:t>
        </w:r>
        <w:r>
          <w:rPr>
            <w:noProof/>
            <w:webHidden/>
          </w:rPr>
          <w:tab/>
        </w:r>
        <w:r>
          <w:rPr>
            <w:noProof/>
            <w:webHidden/>
          </w:rPr>
          <w:fldChar w:fldCharType="begin"/>
        </w:r>
        <w:r>
          <w:rPr>
            <w:noProof/>
            <w:webHidden/>
          </w:rPr>
          <w:instrText xml:space="preserve"> PAGEREF _Toc392682468 \h </w:instrText>
        </w:r>
        <w:r>
          <w:rPr>
            <w:noProof/>
            <w:webHidden/>
          </w:rPr>
        </w:r>
        <w:r>
          <w:rPr>
            <w:noProof/>
            <w:webHidden/>
          </w:rPr>
          <w:fldChar w:fldCharType="separate"/>
        </w:r>
        <w:r>
          <w:rPr>
            <w:noProof/>
            <w:webHidden/>
          </w:rPr>
          <w:t>90</w:t>
        </w:r>
        <w:r>
          <w:rPr>
            <w:noProof/>
            <w:webHidden/>
          </w:rPr>
          <w:fldChar w:fldCharType="end"/>
        </w:r>
      </w:hyperlink>
    </w:p>
    <w:p w:rsidR="000C7767" w:rsidRDefault="000C7767">
      <w:pPr>
        <w:pStyle w:val="TOC3"/>
        <w:rPr>
          <w:rFonts w:asciiTheme="minorHAnsi" w:eastAsiaTheme="minorEastAsia" w:hAnsiTheme="minorHAnsi" w:cstheme="minorBidi"/>
          <w:noProof/>
          <w:lang w:eastAsia="en-AU"/>
        </w:rPr>
      </w:pPr>
      <w:hyperlink w:anchor="_Toc392682469" w:history="1">
        <w:r w:rsidRPr="005F073B">
          <w:rPr>
            <w:rStyle w:val="Hyperlink"/>
            <w:noProof/>
          </w:rPr>
          <w:t>Outcome</w:t>
        </w:r>
        <w:r>
          <w:rPr>
            <w:noProof/>
            <w:webHidden/>
          </w:rPr>
          <w:tab/>
        </w:r>
        <w:r>
          <w:rPr>
            <w:noProof/>
            <w:webHidden/>
          </w:rPr>
          <w:fldChar w:fldCharType="begin"/>
        </w:r>
        <w:r>
          <w:rPr>
            <w:noProof/>
            <w:webHidden/>
          </w:rPr>
          <w:instrText xml:space="preserve"> PAGEREF _Toc392682469 \h </w:instrText>
        </w:r>
        <w:r>
          <w:rPr>
            <w:noProof/>
            <w:webHidden/>
          </w:rPr>
        </w:r>
        <w:r>
          <w:rPr>
            <w:noProof/>
            <w:webHidden/>
          </w:rPr>
          <w:fldChar w:fldCharType="separate"/>
        </w:r>
        <w:r>
          <w:rPr>
            <w:noProof/>
            <w:webHidden/>
          </w:rPr>
          <w:t>94</w:t>
        </w:r>
        <w:r>
          <w:rPr>
            <w:noProof/>
            <w:webHidden/>
          </w:rPr>
          <w:fldChar w:fldCharType="end"/>
        </w:r>
      </w:hyperlink>
    </w:p>
    <w:p w:rsidR="000C7767" w:rsidRDefault="000C7767">
      <w:pPr>
        <w:pStyle w:val="TOC2"/>
        <w:rPr>
          <w:rFonts w:asciiTheme="minorHAnsi" w:eastAsiaTheme="minorEastAsia" w:hAnsiTheme="minorHAnsi" w:cstheme="minorBidi"/>
          <w:b w:val="0"/>
          <w:noProof/>
          <w:sz w:val="22"/>
          <w:lang w:eastAsia="en-AU"/>
        </w:rPr>
      </w:pPr>
      <w:hyperlink w:anchor="_Toc392682470" w:history="1">
        <w:r w:rsidRPr="005F073B">
          <w:rPr>
            <w:rStyle w:val="Hyperlink"/>
            <w:noProof/>
          </w:rPr>
          <w:t>Attachment 1. Product Information</w:t>
        </w:r>
        <w:r>
          <w:rPr>
            <w:noProof/>
            <w:webHidden/>
          </w:rPr>
          <w:tab/>
        </w:r>
        <w:r>
          <w:rPr>
            <w:noProof/>
            <w:webHidden/>
          </w:rPr>
          <w:fldChar w:fldCharType="begin"/>
        </w:r>
        <w:r>
          <w:rPr>
            <w:noProof/>
            <w:webHidden/>
          </w:rPr>
          <w:instrText xml:space="preserve"> PAGEREF _Toc392682470 \h </w:instrText>
        </w:r>
        <w:r>
          <w:rPr>
            <w:noProof/>
            <w:webHidden/>
          </w:rPr>
        </w:r>
        <w:r>
          <w:rPr>
            <w:noProof/>
            <w:webHidden/>
          </w:rPr>
          <w:fldChar w:fldCharType="separate"/>
        </w:r>
        <w:r>
          <w:rPr>
            <w:noProof/>
            <w:webHidden/>
          </w:rPr>
          <w:t>94</w:t>
        </w:r>
        <w:r>
          <w:rPr>
            <w:noProof/>
            <w:webHidden/>
          </w:rPr>
          <w:fldChar w:fldCharType="end"/>
        </w:r>
      </w:hyperlink>
    </w:p>
    <w:p w:rsidR="003A7F6C" w:rsidRPr="00B811C6" w:rsidRDefault="000C7767" w:rsidP="00B811C6">
      <w:pPr>
        <w:pStyle w:val="TOC2"/>
      </w:pPr>
      <w:hyperlink w:anchor="_Toc392682471" w:history="1">
        <w:r w:rsidRPr="005F073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_Toc392682471 \h </w:instrText>
        </w:r>
        <w:r>
          <w:rPr>
            <w:noProof/>
            <w:webHidden/>
          </w:rPr>
        </w:r>
        <w:r>
          <w:rPr>
            <w:noProof/>
            <w:webHidden/>
          </w:rPr>
          <w:fldChar w:fldCharType="separate"/>
        </w:r>
        <w:r>
          <w:rPr>
            <w:noProof/>
            <w:webHidden/>
          </w:rPr>
          <w:t>95</w:t>
        </w:r>
        <w:r>
          <w:rPr>
            <w:noProof/>
            <w:webHidden/>
          </w:rPr>
          <w:fldChar w:fldCharType="end"/>
        </w:r>
      </w:hyperlink>
      <w:r w:rsidR="00DB6124">
        <w:fldChar w:fldCharType="end"/>
      </w:r>
      <w:bookmarkStart w:id="2" w:name="_Toc314842482"/>
      <w:bookmarkStart w:id="3" w:name="_GoBack"/>
      <w:bookmarkEnd w:id="3"/>
    </w:p>
    <w:p w:rsidR="00FD119B" w:rsidRDefault="00FD119B">
      <w:pPr>
        <w:spacing w:before="0" w:after="200" w:line="0" w:lineRule="auto"/>
      </w:pPr>
      <w:r>
        <w:br w:type="page"/>
      </w:r>
    </w:p>
    <w:p w:rsidR="00FD119B" w:rsidRPr="009024C7" w:rsidRDefault="009D49BB" w:rsidP="009024C7">
      <w:pPr>
        <w:pStyle w:val="Heading2"/>
      </w:pPr>
      <w:bookmarkStart w:id="4" w:name="_Toc351716269"/>
      <w:bookmarkStart w:id="5" w:name="_Toc351718881"/>
      <w:bookmarkStart w:id="6" w:name="_Toc355338616"/>
      <w:bookmarkStart w:id="7" w:name="_Toc356306144"/>
      <w:bookmarkStart w:id="8" w:name="_Toc392682430"/>
      <w:r>
        <w:lastRenderedPageBreak/>
        <w:t xml:space="preserve">List of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9024C7">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AC305C" w:rsidRDefault="00FD119B" w:rsidP="009024C7">
            <w:pPr>
              <w:ind w:left="0" w:right="33"/>
            </w:pPr>
            <w:r w:rsidRPr="00AC305C">
              <w:t>Abbreviation</w:t>
            </w:r>
          </w:p>
        </w:tc>
        <w:tc>
          <w:tcPr>
            <w:tcW w:w="6911" w:type="dxa"/>
          </w:tcPr>
          <w:p w:rsidR="00FD119B" w:rsidRPr="00AC305C" w:rsidRDefault="00FD119B" w:rsidP="009024C7">
            <w:pPr>
              <w:ind w:left="34" w:right="0"/>
            </w:pPr>
            <w:r w:rsidRPr="00AC305C">
              <w:t>Meaning</w:t>
            </w:r>
          </w:p>
        </w:tc>
      </w:tr>
      <w:tr w:rsidR="000F3AD5" w:rsidRPr="00FD119B" w:rsidTr="009024C7">
        <w:tc>
          <w:tcPr>
            <w:tcW w:w="1809" w:type="dxa"/>
          </w:tcPr>
          <w:p w:rsidR="000F3AD5" w:rsidRPr="00FD119B" w:rsidRDefault="000F3AD5" w:rsidP="009024C7">
            <w:pPr>
              <w:ind w:left="0" w:right="33"/>
            </w:pPr>
            <w:r>
              <w:t>5-HT</w:t>
            </w:r>
          </w:p>
        </w:tc>
        <w:tc>
          <w:tcPr>
            <w:tcW w:w="6911" w:type="dxa"/>
          </w:tcPr>
          <w:p w:rsidR="000F3AD5" w:rsidRPr="00FD119B" w:rsidRDefault="000F3AD5" w:rsidP="009024C7">
            <w:pPr>
              <w:ind w:left="34" w:right="0"/>
            </w:pPr>
            <w:r w:rsidRPr="009E0449">
              <w:t>5-hydroxytryptamine</w:t>
            </w:r>
            <w:r>
              <w:t xml:space="preserve"> (serotonin)</w:t>
            </w:r>
          </w:p>
        </w:tc>
      </w:tr>
      <w:tr w:rsidR="000F3AD5" w:rsidRPr="00FD119B" w:rsidTr="009024C7">
        <w:tc>
          <w:tcPr>
            <w:tcW w:w="1809" w:type="dxa"/>
          </w:tcPr>
          <w:p w:rsidR="000F3AD5" w:rsidRPr="00FD119B" w:rsidRDefault="000F3AD5" w:rsidP="009024C7">
            <w:pPr>
              <w:ind w:left="0" w:right="33"/>
            </w:pPr>
            <w:r>
              <w:t>ACPM</w:t>
            </w:r>
          </w:p>
        </w:tc>
        <w:tc>
          <w:tcPr>
            <w:tcW w:w="6911" w:type="dxa"/>
          </w:tcPr>
          <w:p w:rsidR="000F3AD5" w:rsidRPr="00FD119B" w:rsidRDefault="000F3AD5" w:rsidP="009024C7">
            <w:pPr>
              <w:ind w:left="34" w:right="0"/>
            </w:pPr>
            <w:r w:rsidRPr="0094272A">
              <w:t>Advisory Committee on Prescription Medicines</w:t>
            </w:r>
          </w:p>
        </w:tc>
      </w:tr>
      <w:tr w:rsidR="001645DC" w:rsidRPr="00FD119B" w:rsidTr="009024C7">
        <w:tc>
          <w:tcPr>
            <w:tcW w:w="1809" w:type="dxa"/>
          </w:tcPr>
          <w:p w:rsidR="001645DC" w:rsidRPr="00FD119B" w:rsidRDefault="001645DC" w:rsidP="009024C7">
            <w:pPr>
              <w:ind w:left="0" w:right="33"/>
            </w:pPr>
            <w:r>
              <w:t>ACSOM</w:t>
            </w:r>
          </w:p>
        </w:tc>
        <w:tc>
          <w:tcPr>
            <w:tcW w:w="6911" w:type="dxa"/>
          </w:tcPr>
          <w:p w:rsidR="001645DC" w:rsidRPr="00FD119B" w:rsidRDefault="001645DC" w:rsidP="009024C7">
            <w:pPr>
              <w:ind w:left="34" w:right="0"/>
            </w:pPr>
            <w:r>
              <w:t>A</w:t>
            </w:r>
            <w:r w:rsidRPr="009F3402">
              <w:t>dvisory Committee on the Safety of Medicines</w:t>
            </w:r>
          </w:p>
        </w:tc>
      </w:tr>
      <w:tr w:rsidR="000F3AD5" w:rsidRPr="00FD119B" w:rsidTr="009024C7">
        <w:tc>
          <w:tcPr>
            <w:tcW w:w="1809" w:type="dxa"/>
          </w:tcPr>
          <w:p w:rsidR="000F3AD5" w:rsidRPr="00FD119B" w:rsidRDefault="000F3AD5" w:rsidP="009024C7">
            <w:pPr>
              <w:ind w:left="0" w:right="33"/>
            </w:pPr>
            <w:r>
              <w:t>ACTH</w:t>
            </w:r>
          </w:p>
        </w:tc>
        <w:tc>
          <w:tcPr>
            <w:tcW w:w="6911" w:type="dxa"/>
          </w:tcPr>
          <w:p w:rsidR="000F3AD5" w:rsidRPr="00FD119B" w:rsidRDefault="000F3AD5" w:rsidP="009024C7">
            <w:pPr>
              <w:ind w:left="34" w:right="0"/>
            </w:pPr>
            <w:r>
              <w:t>a</w:t>
            </w:r>
            <w:r w:rsidRPr="00434514">
              <w:t>drenocorticotropic hormone</w:t>
            </w:r>
          </w:p>
        </w:tc>
      </w:tr>
      <w:tr w:rsidR="00F944E3" w:rsidRPr="00FD119B" w:rsidTr="009024C7">
        <w:tc>
          <w:tcPr>
            <w:tcW w:w="1809" w:type="dxa"/>
          </w:tcPr>
          <w:p w:rsidR="00F944E3" w:rsidRPr="00FD119B" w:rsidRDefault="00F944E3" w:rsidP="009024C7">
            <w:pPr>
              <w:ind w:left="0" w:right="33"/>
            </w:pPr>
            <w:r>
              <w:t>AE</w:t>
            </w:r>
          </w:p>
        </w:tc>
        <w:tc>
          <w:tcPr>
            <w:tcW w:w="6911" w:type="dxa"/>
          </w:tcPr>
          <w:p w:rsidR="00F944E3" w:rsidRPr="00FD119B" w:rsidRDefault="00F944E3" w:rsidP="009024C7">
            <w:pPr>
              <w:ind w:left="34" w:right="0"/>
            </w:pPr>
            <w:r>
              <w:t>adverse event</w:t>
            </w:r>
          </w:p>
        </w:tc>
      </w:tr>
      <w:tr w:rsidR="00F944E3" w:rsidRPr="00FD119B" w:rsidTr="009024C7">
        <w:tc>
          <w:tcPr>
            <w:tcW w:w="1809" w:type="dxa"/>
          </w:tcPr>
          <w:p w:rsidR="00F944E3" w:rsidRPr="00FD119B" w:rsidRDefault="00F944E3" w:rsidP="009024C7">
            <w:pPr>
              <w:ind w:left="0" w:right="33"/>
            </w:pPr>
            <w:r>
              <w:t>AIMS</w:t>
            </w:r>
          </w:p>
        </w:tc>
        <w:tc>
          <w:tcPr>
            <w:tcW w:w="6911" w:type="dxa"/>
          </w:tcPr>
          <w:p w:rsidR="00F944E3" w:rsidRPr="00FD119B" w:rsidRDefault="00F944E3" w:rsidP="009024C7">
            <w:pPr>
              <w:ind w:left="34" w:right="0"/>
            </w:pPr>
            <w:r w:rsidRPr="00A961B9">
              <w:t>Abnormal Involuntary Movement Scale</w:t>
            </w:r>
          </w:p>
        </w:tc>
      </w:tr>
      <w:tr w:rsidR="00BC2053" w:rsidRPr="00FD119B" w:rsidTr="009024C7">
        <w:tc>
          <w:tcPr>
            <w:tcW w:w="1809" w:type="dxa"/>
          </w:tcPr>
          <w:p w:rsidR="00BC2053" w:rsidRPr="00FD119B" w:rsidRDefault="00BC2053" w:rsidP="009024C7">
            <w:pPr>
              <w:ind w:left="0" w:right="33"/>
            </w:pPr>
            <w:r w:rsidRPr="00FB0F05">
              <w:t>ANCOVA</w:t>
            </w:r>
          </w:p>
        </w:tc>
        <w:tc>
          <w:tcPr>
            <w:tcW w:w="6911" w:type="dxa"/>
          </w:tcPr>
          <w:p w:rsidR="00BC2053" w:rsidRPr="00FD119B" w:rsidRDefault="00BC2053" w:rsidP="009024C7">
            <w:pPr>
              <w:ind w:left="34" w:right="0"/>
            </w:pPr>
            <w:r>
              <w:t>analysis of covariance</w:t>
            </w:r>
          </w:p>
        </w:tc>
      </w:tr>
      <w:tr w:rsidR="000F3AD5" w:rsidRPr="00FD119B" w:rsidTr="009024C7">
        <w:tc>
          <w:tcPr>
            <w:tcW w:w="1809" w:type="dxa"/>
          </w:tcPr>
          <w:p w:rsidR="000F3AD5" w:rsidRPr="00FD119B" w:rsidRDefault="000F3AD5" w:rsidP="009024C7">
            <w:pPr>
              <w:ind w:left="0" w:right="33"/>
            </w:pPr>
            <w:r>
              <w:t>APD50</w:t>
            </w:r>
          </w:p>
        </w:tc>
        <w:tc>
          <w:tcPr>
            <w:tcW w:w="6911" w:type="dxa"/>
          </w:tcPr>
          <w:p w:rsidR="000F3AD5" w:rsidRPr="00FD119B" w:rsidRDefault="000F3AD5" w:rsidP="009024C7">
            <w:pPr>
              <w:ind w:left="34" w:right="0"/>
            </w:pPr>
            <w:r w:rsidRPr="003906F5">
              <w:t>action potential duratio</w:t>
            </w:r>
            <w:r>
              <w:t>n at 50</w:t>
            </w:r>
            <w:r w:rsidRPr="003906F5">
              <w:t>% repolari</w:t>
            </w:r>
            <w:r>
              <w:t>s</w:t>
            </w:r>
            <w:r w:rsidRPr="003906F5">
              <w:t>ation</w:t>
            </w:r>
          </w:p>
        </w:tc>
      </w:tr>
      <w:tr w:rsidR="000F3AD5" w:rsidRPr="00FD119B" w:rsidTr="009024C7">
        <w:tc>
          <w:tcPr>
            <w:tcW w:w="1809" w:type="dxa"/>
          </w:tcPr>
          <w:p w:rsidR="000F3AD5" w:rsidRPr="00FD119B" w:rsidRDefault="000F3AD5" w:rsidP="009024C7">
            <w:pPr>
              <w:ind w:left="0" w:right="33"/>
            </w:pPr>
            <w:r>
              <w:t>APD90</w:t>
            </w:r>
          </w:p>
        </w:tc>
        <w:tc>
          <w:tcPr>
            <w:tcW w:w="6911" w:type="dxa"/>
          </w:tcPr>
          <w:p w:rsidR="000F3AD5" w:rsidRPr="00FD119B" w:rsidRDefault="000F3AD5" w:rsidP="009024C7">
            <w:pPr>
              <w:ind w:left="34" w:right="0"/>
            </w:pPr>
            <w:r w:rsidRPr="003906F5">
              <w:t>action potential duration at 90% repolari</w:t>
            </w:r>
            <w:r>
              <w:t>s</w:t>
            </w:r>
            <w:r w:rsidRPr="003906F5">
              <w:t>ation</w:t>
            </w:r>
          </w:p>
        </w:tc>
      </w:tr>
      <w:tr w:rsidR="001645DC" w:rsidRPr="00FD119B" w:rsidTr="009024C7">
        <w:tc>
          <w:tcPr>
            <w:tcW w:w="1809" w:type="dxa"/>
          </w:tcPr>
          <w:p w:rsidR="001645DC" w:rsidRPr="00FD119B" w:rsidRDefault="001645DC" w:rsidP="009024C7">
            <w:pPr>
              <w:ind w:left="0" w:right="33"/>
            </w:pPr>
            <w:r>
              <w:t>ASA</w:t>
            </w:r>
          </w:p>
        </w:tc>
        <w:tc>
          <w:tcPr>
            <w:tcW w:w="6911" w:type="dxa"/>
          </w:tcPr>
          <w:p w:rsidR="001645DC" w:rsidRPr="00FD119B" w:rsidRDefault="001645DC" w:rsidP="009024C7">
            <w:pPr>
              <w:ind w:left="34" w:right="0"/>
            </w:pPr>
            <w:r>
              <w:t>Australian Specific Annex</w:t>
            </w:r>
          </w:p>
        </w:tc>
      </w:tr>
      <w:tr w:rsidR="00643211" w:rsidRPr="00FD119B" w:rsidTr="009024C7">
        <w:tc>
          <w:tcPr>
            <w:tcW w:w="1809" w:type="dxa"/>
          </w:tcPr>
          <w:p w:rsidR="00643211" w:rsidRPr="00FD119B" w:rsidRDefault="00643211" w:rsidP="009024C7">
            <w:pPr>
              <w:ind w:left="0" w:right="33"/>
            </w:pPr>
            <w:r w:rsidRPr="00DB610B">
              <w:t>AUC</w:t>
            </w:r>
          </w:p>
        </w:tc>
        <w:tc>
          <w:tcPr>
            <w:tcW w:w="6911" w:type="dxa"/>
          </w:tcPr>
          <w:p w:rsidR="00643211" w:rsidRPr="00FD119B" w:rsidRDefault="00643211" w:rsidP="009024C7">
            <w:pPr>
              <w:ind w:left="34" w:right="0"/>
            </w:pPr>
            <w:r>
              <w:t>a</w:t>
            </w:r>
            <w:r w:rsidRPr="00D62F9B">
              <w:t xml:space="preserve">rea under the </w:t>
            </w:r>
            <w:r>
              <w:t>plasma concentration-time curve</w:t>
            </w:r>
          </w:p>
        </w:tc>
      </w:tr>
      <w:tr w:rsidR="003D47C3" w:rsidRPr="00FD119B" w:rsidTr="009024C7">
        <w:tc>
          <w:tcPr>
            <w:tcW w:w="1809" w:type="dxa"/>
          </w:tcPr>
          <w:p w:rsidR="003D47C3" w:rsidRPr="00FD119B" w:rsidRDefault="003D47C3" w:rsidP="009024C7">
            <w:pPr>
              <w:ind w:left="0" w:right="33"/>
            </w:pPr>
            <w:proofErr w:type="spellStart"/>
            <w:r w:rsidRPr="00DB610B">
              <w:t>AUC</w:t>
            </w:r>
            <w:r>
              <w:rPr>
                <w:vertAlign w:val="subscript"/>
              </w:rPr>
              <w:t>τ</w:t>
            </w:r>
            <w:proofErr w:type="spellEnd"/>
          </w:p>
        </w:tc>
        <w:tc>
          <w:tcPr>
            <w:tcW w:w="6911" w:type="dxa"/>
          </w:tcPr>
          <w:p w:rsidR="003D47C3" w:rsidRPr="00FD119B" w:rsidRDefault="003D47C3" w:rsidP="009024C7">
            <w:pPr>
              <w:ind w:left="34" w:right="0"/>
            </w:pPr>
            <w:r>
              <w:t>a</w:t>
            </w:r>
            <w:r w:rsidRPr="00D62F9B">
              <w:t xml:space="preserve">rea under the plasma concentration-time curve </w:t>
            </w:r>
            <w:r w:rsidRPr="003D47C3">
              <w:t>over a dosing interval for steady state</w:t>
            </w:r>
          </w:p>
        </w:tc>
      </w:tr>
      <w:tr w:rsidR="000F3AD5" w:rsidRPr="00FD119B" w:rsidTr="009024C7">
        <w:tc>
          <w:tcPr>
            <w:tcW w:w="1809" w:type="dxa"/>
          </w:tcPr>
          <w:p w:rsidR="000F3AD5" w:rsidRPr="00FD119B" w:rsidRDefault="000F3AD5" w:rsidP="009024C7">
            <w:pPr>
              <w:ind w:left="0" w:right="33"/>
            </w:pPr>
            <w:r w:rsidRPr="00DB610B">
              <w:t>AUC</w:t>
            </w:r>
            <w:r>
              <w:rPr>
                <w:vertAlign w:val="subscript"/>
              </w:rPr>
              <w:t>t1</w:t>
            </w:r>
            <w:r w:rsidRPr="007064FD">
              <w:rPr>
                <w:vertAlign w:val="subscript"/>
              </w:rPr>
              <w:t>-t</w:t>
            </w:r>
            <w:r>
              <w:rPr>
                <w:vertAlign w:val="subscript"/>
              </w:rPr>
              <w:t>2</w:t>
            </w:r>
          </w:p>
        </w:tc>
        <w:tc>
          <w:tcPr>
            <w:tcW w:w="6911" w:type="dxa"/>
          </w:tcPr>
          <w:p w:rsidR="000F3AD5" w:rsidRPr="00FD119B" w:rsidRDefault="000F3AD5" w:rsidP="009024C7">
            <w:pPr>
              <w:ind w:left="34" w:right="0"/>
            </w:pPr>
            <w:r>
              <w:t>a</w:t>
            </w:r>
            <w:r w:rsidRPr="00D62F9B">
              <w:t>rea under the plasma concentration-time curve within time span t1 to t2</w:t>
            </w:r>
          </w:p>
        </w:tc>
      </w:tr>
      <w:tr w:rsidR="00BC2053" w:rsidRPr="00FD119B" w:rsidTr="009024C7">
        <w:tc>
          <w:tcPr>
            <w:tcW w:w="1809" w:type="dxa"/>
          </w:tcPr>
          <w:p w:rsidR="00BC2053" w:rsidRPr="00FD119B" w:rsidRDefault="00BC2053" w:rsidP="009024C7">
            <w:pPr>
              <w:ind w:left="0" w:right="33"/>
            </w:pPr>
            <w:r>
              <w:t>BAS</w:t>
            </w:r>
          </w:p>
        </w:tc>
        <w:tc>
          <w:tcPr>
            <w:tcW w:w="6911" w:type="dxa"/>
          </w:tcPr>
          <w:p w:rsidR="00BC2053" w:rsidRPr="00FD119B" w:rsidRDefault="00BC2053" w:rsidP="009024C7">
            <w:pPr>
              <w:ind w:left="34" w:right="0"/>
            </w:pPr>
            <w:r w:rsidRPr="00A961B9">
              <w:t xml:space="preserve">Barnes </w:t>
            </w:r>
            <w:proofErr w:type="spellStart"/>
            <w:r w:rsidRPr="00A961B9">
              <w:t>Akathisia</w:t>
            </w:r>
            <w:proofErr w:type="spellEnd"/>
            <w:r w:rsidRPr="00A961B9">
              <w:t xml:space="preserve"> Scale</w:t>
            </w:r>
          </w:p>
        </w:tc>
      </w:tr>
      <w:tr w:rsidR="003D0F6C" w:rsidRPr="00FD119B" w:rsidTr="009024C7">
        <w:tc>
          <w:tcPr>
            <w:tcW w:w="1809" w:type="dxa"/>
          </w:tcPr>
          <w:p w:rsidR="003D0F6C" w:rsidRPr="00FD119B" w:rsidRDefault="003D0F6C" w:rsidP="009024C7">
            <w:pPr>
              <w:ind w:left="0" w:right="33"/>
            </w:pPr>
            <w:r>
              <w:t>BMD</w:t>
            </w:r>
          </w:p>
        </w:tc>
        <w:tc>
          <w:tcPr>
            <w:tcW w:w="6911" w:type="dxa"/>
          </w:tcPr>
          <w:p w:rsidR="003D0F6C" w:rsidRPr="00FD119B" w:rsidRDefault="003D0F6C" w:rsidP="009024C7">
            <w:pPr>
              <w:ind w:left="34" w:right="0"/>
            </w:pPr>
            <w:r>
              <w:t>bone mineral density</w:t>
            </w:r>
          </w:p>
        </w:tc>
      </w:tr>
      <w:tr w:rsidR="00BC2053" w:rsidRPr="00FD119B" w:rsidTr="009024C7">
        <w:tc>
          <w:tcPr>
            <w:tcW w:w="1809" w:type="dxa"/>
          </w:tcPr>
          <w:p w:rsidR="00BC2053" w:rsidRPr="00FD119B" w:rsidRDefault="00BC2053" w:rsidP="009024C7">
            <w:pPr>
              <w:ind w:left="0" w:right="33"/>
            </w:pPr>
            <w:r>
              <w:t>BMI</w:t>
            </w:r>
          </w:p>
        </w:tc>
        <w:tc>
          <w:tcPr>
            <w:tcW w:w="6911" w:type="dxa"/>
          </w:tcPr>
          <w:p w:rsidR="00BC2053" w:rsidRPr="00FD119B" w:rsidRDefault="00BC2053" w:rsidP="009024C7">
            <w:pPr>
              <w:ind w:left="34" w:right="0"/>
            </w:pPr>
            <w:r>
              <w:t>body mass index</w:t>
            </w:r>
          </w:p>
        </w:tc>
      </w:tr>
      <w:tr w:rsidR="00BC2053" w:rsidRPr="00FD119B" w:rsidTr="009024C7">
        <w:tc>
          <w:tcPr>
            <w:tcW w:w="1809" w:type="dxa"/>
          </w:tcPr>
          <w:p w:rsidR="00BC2053" w:rsidRPr="00FD119B" w:rsidRDefault="00BC2053" w:rsidP="009024C7">
            <w:pPr>
              <w:ind w:left="0" w:right="33"/>
            </w:pPr>
            <w:r w:rsidRPr="001E7479">
              <w:t>BPRS</w:t>
            </w:r>
          </w:p>
        </w:tc>
        <w:tc>
          <w:tcPr>
            <w:tcW w:w="6911" w:type="dxa"/>
          </w:tcPr>
          <w:p w:rsidR="00BC2053" w:rsidRPr="00FD119B" w:rsidRDefault="00BC2053" w:rsidP="009024C7">
            <w:pPr>
              <w:ind w:left="34" w:right="0"/>
            </w:pPr>
            <w:r w:rsidRPr="000D532A">
              <w:t>Brief Psychiatric Rating Scale</w:t>
            </w:r>
          </w:p>
        </w:tc>
      </w:tr>
      <w:tr w:rsidR="003D0F6C" w:rsidRPr="00FD119B" w:rsidTr="009024C7">
        <w:tc>
          <w:tcPr>
            <w:tcW w:w="1809" w:type="dxa"/>
          </w:tcPr>
          <w:p w:rsidR="003D0F6C" w:rsidRPr="00FD119B" w:rsidRDefault="003D0F6C" w:rsidP="009024C7">
            <w:pPr>
              <w:ind w:left="0" w:right="33"/>
            </w:pPr>
            <w:r w:rsidRPr="00A961B9">
              <w:t>C-SSRS</w:t>
            </w:r>
          </w:p>
        </w:tc>
        <w:tc>
          <w:tcPr>
            <w:tcW w:w="6911" w:type="dxa"/>
          </w:tcPr>
          <w:p w:rsidR="003D0F6C" w:rsidRPr="00FD119B" w:rsidRDefault="003D0F6C" w:rsidP="009024C7">
            <w:pPr>
              <w:ind w:left="34" w:right="0"/>
            </w:pPr>
            <w:r w:rsidRPr="00A961B9">
              <w:t>Columbia Suicide Severity Rating Scale</w:t>
            </w:r>
          </w:p>
        </w:tc>
      </w:tr>
      <w:tr w:rsidR="000F3AD5" w:rsidRPr="00FD119B" w:rsidTr="009024C7">
        <w:tc>
          <w:tcPr>
            <w:tcW w:w="1809" w:type="dxa"/>
          </w:tcPr>
          <w:p w:rsidR="000F3AD5" w:rsidRPr="00FD119B" w:rsidRDefault="000F3AD5" w:rsidP="009024C7">
            <w:pPr>
              <w:ind w:left="0" w:right="33"/>
            </w:pPr>
            <w:proofErr w:type="spellStart"/>
            <w:r>
              <w:t>Cmax</w:t>
            </w:r>
            <w:proofErr w:type="spellEnd"/>
          </w:p>
        </w:tc>
        <w:tc>
          <w:tcPr>
            <w:tcW w:w="6911" w:type="dxa"/>
          </w:tcPr>
          <w:p w:rsidR="000F3AD5" w:rsidRPr="00FD119B" w:rsidRDefault="000F3AD5" w:rsidP="009024C7">
            <w:pPr>
              <w:ind w:left="34" w:right="0"/>
            </w:pPr>
            <w:r>
              <w:t xml:space="preserve">maximum </w:t>
            </w:r>
            <w:r w:rsidRPr="00460321">
              <w:t>plasma drug concentration</w:t>
            </w:r>
          </w:p>
        </w:tc>
      </w:tr>
      <w:tr w:rsidR="008B36F8" w:rsidRPr="00FD119B" w:rsidTr="009024C7">
        <w:tc>
          <w:tcPr>
            <w:tcW w:w="1809" w:type="dxa"/>
          </w:tcPr>
          <w:p w:rsidR="008B36F8" w:rsidRPr="00FD119B" w:rsidRDefault="008B36F8" w:rsidP="009024C7">
            <w:pPr>
              <w:ind w:left="0" w:right="33"/>
            </w:pPr>
            <w:r>
              <w:t>CHMP</w:t>
            </w:r>
          </w:p>
        </w:tc>
        <w:tc>
          <w:tcPr>
            <w:tcW w:w="6911" w:type="dxa"/>
          </w:tcPr>
          <w:p w:rsidR="008B36F8" w:rsidRPr="00FD119B" w:rsidRDefault="008B36F8" w:rsidP="009024C7">
            <w:pPr>
              <w:ind w:left="34" w:right="0"/>
            </w:pPr>
            <w:r w:rsidRPr="008646F2">
              <w:t>Committee for Medicinal Products for Human Use</w:t>
            </w:r>
          </w:p>
        </w:tc>
      </w:tr>
      <w:tr w:rsidR="00BC2053" w:rsidRPr="00FD119B" w:rsidTr="009024C7">
        <w:tc>
          <w:tcPr>
            <w:tcW w:w="1809" w:type="dxa"/>
          </w:tcPr>
          <w:p w:rsidR="00BC2053" w:rsidRPr="00FD119B" w:rsidRDefault="00BC2053" w:rsidP="009024C7">
            <w:pPr>
              <w:ind w:left="0" w:right="33"/>
            </w:pPr>
            <w:r>
              <w:t>CGI-S</w:t>
            </w:r>
          </w:p>
        </w:tc>
        <w:tc>
          <w:tcPr>
            <w:tcW w:w="6911" w:type="dxa"/>
          </w:tcPr>
          <w:p w:rsidR="00BC2053" w:rsidRPr="00FD119B" w:rsidRDefault="00BC2053" w:rsidP="009024C7">
            <w:pPr>
              <w:ind w:left="34" w:right="0"/>
            </w:pPr>
            <w:r w:rsidRPr="00082890">
              <w:t>Clinical Global Impression – Severity of Illness</w:t>
            </w:r>
          </w:p>
        </w:tc>
      </w:tr>
      <w:tr w:rsidR="003D0F6C" w:rsidRPr="00FD119B" w:rsidTr="009024C7">
        <w:tc>
          <w:tcPr>
            <w:tcW w:w="1809" w:type="dxa"/>
          </w:tcPr>
          <w:p w:rsidR="003D0F6C" w:rsidRPr="00FD119B" w:rsidRDefault="003D0F6C" w:rsidP="009024C7">
            <w:pPr>
              <w:ind w:left="0" w:right="33"/>
            </w:pPr>
            <w:r>
              <w:t>CMI</w:t>
            </w:r>
          </w:p>
        </w:tc>
        <w:tc>
          <w:tcPr>
            <w:tcW w:w="6911" w:type="dxa"/>
          </w:tcPr>
          <w:p w:rsidR="003D0F6C" w:rsidRPr="00FD119B" w:rsidRDefault="003D0F6C" w:rsidP="009024C7">
            <w:pPr>
              <w:ind w:left="34" w:right="0"/>
            </w:pPr>
            <w:r>
              <w:t>Consumer Medicines Information</w:t>
            </w:r>
          </w:p>
        </w:tc>
      </w:tr>
      <w:tr w:rsidR="00FC6A03" w:rsidRPr="00FD119B" w:rsidTr="009024C7">
        <w:tc>
          <w:tcPr>
            <w:tcW w:w="1809" w:type="dxa"/>
          </w:tcPr>
          <w:p w:rsidR="00FC6A03" w:rsidRPr="00FD119B" w:rsidRDefault="00FC6A03" w:rsidP="009024C7">
            <w:pPr>
              <w:ind w:left="0" w:right="33"/>
            </w:pPr>
            <w:r>
              <w:t>CNS</w:t>
            </w:r>
          </w:p>
        </w:tc>
        <w:tc>
          <w:tcPr>
            <w:tcW w:w="6911" w:type="dxa"/>
          </w:tcPr>
          <w:p w:rsidR="00FC6A03" w:rsidRPr="00FD119B" w:rsidRDefault="00FC6A03" w:rsidP="009024C7">
            <w:pPr>
              <w:ind w:left="34" w:right="0"/>
            </w:pPr>
            <w:r>
              <w:t>central nervous system</w:t>
            </w:r>
          </w:p>
        </w:tc>
      </w:tr>
      <w:tr w:rsidR="008B36F8" w:rsidRPr="00FD119B" w:rsidTr="009024C7">
        <w:tc>
          <w:tcPr>
            <w:tcW w:w="1809" w:type="dxa"/>
          </w:tcPr>
          <w:p w:rsidR="008B36F8" w:rsidRPr="00FD119B" w:rsidRDefault="008B36F8" w:rsidP="009024C7">
            <w:pPr>
              <w:ind w:left="0" w:right="33"/>
            </w:pPr>
            <w:r>
              <w:t>CPRD</w:t>
            </w:r>
          </w:p>
        </w:tc>
        <w:tc>
          <w:tcPr>
            <w:tcW w:w="6911" w:type="dxa"/>
          </w:tcPr>
          <w:p w:rsidR="008B36F8" w:rsidRPr="00FD119B" w:rsidRDefault="008B36F8" w:rsidP="009024C7">
            <w:pPr>
              <w:ind w:left="34" w:right="0"/>
            </w:pPr>
            <w:r w:rsidRPr="000F5C1D">
              <w:t xml:space="preserve">Clinical Practice Research </w:t>
            </w:r>
            <w:proofErr w:type="spellStart"/>
            <w:r w:rsidRPr="000F5C1D">
              <w:t>Datalink</w:t>
            </w:r>
            <w:proofErr w:type="spellEnd"/>
          </w:p>
        </w:tc>
      </w:tr>
      <w:tr w:rsidR="008B36F8" w:rsidRPr="00FD119B" w:rsidTr="009024C7">
        <w:tc>
          <w:tcPr>
            <w:tcW w:w="1809" w:type="dxa"/>
          </w:tcPr>
          <w:p w:rsidR="008B36F8" w:rsidRPr="00FD119B" w:rsidRDefault="008B36F8" w:rsidP="009024C7">
            <w:pPr>
              <w:ind w:left="0" w:right="33"/>
            </w:pPr>
            <w:r>
              <w:lastRenderedPageBreak/>
              <w:t>CVA</w:t>
            </w:r>
          </w:p>
        </w:tc>
        <w:tc>
          <w:tcPr>
            <w:tcW w:w="6911" w:type="dxa"/>
          </w:tcPr>
          <w:p w:rsidR="008B36F8" w:rsidRPr="00FD119B" w:rsidRDefault="008B36F8" w:rsidP="009024C7">
            <w:pPr>
              <w:ind w:left="34" w:right="0"/>
            </w:pPr>
            <w:r>
              <w:t>cerebrov</w:t>
            </w:r>
            <w:r w:rsidRPr="00EB68A6">
              <w:t xml:space="preserve">ascular </w:t>
            </w:r>
            <w:r>
              <w:t>a</w:t>
            </w:r>
            <w:r w:rsidRPr="00EB68A6">
              <w:t>ccident</w:t>
            </w:r>
          </w:p>
        </w:tc>
      </w:tr>
      <w:tr w:rsidR="00FC6A03" w:rsidRPr="00FD119B" w:rsidTr="009024C7">
        <w:tc>
          <w:tcPr>
            <w:tcW w:w="1809" w:type="dxa"/>
          </w:tcPr>
          <w:p w:rsidR="00FC6A03" w:rsidRPr="00FD119B" w:rsidRDefault="00FC6A03" w:rsidP="009024C7">
            <w:pPr>
              <w:ind w:left="0" w:right="33"/>
            </w:pPr>
            <w:r w:rsidRPr="0044364B">
              <w:t>CYP</w:t>
            </w:r>
          </w:p>
        </w:tc>
        <w:tc>
          <w:tcPr>
            <w:tcW w:w="6911" w:type="dxa"/>
          </w:tcPr>
          <w:p w:rsidR="00FC6A03" w:rsidRPr="00FD119B" w:rsidRDefault="00FC6A03" w:rsidP="009024C7">
            <w:pPr>
              <w:ind w:left="34" w:right="0"/>
            </w:pPr>
            <w:r>
              <w:t>cytochrome P450</w:t>
            </w:r>
          </w:p>
        </w:tc>
      </w:tr>
      <w:tr w:rsidR="000F3AD5" w:rsidRPr="00FD119B" w:rsidTr="009024C7">
        <w:tc>
          <w:tcPr>
            <w:tcW w:w="1809" w:type="dxa"/>
          </w:tcPr>
          <w:p w:rsidR="000F3AD5" w:rsidRPr="00FD119B" w:rsidRDefault="000F3AD5" w:rsidP="009024C7">
            <w:pPr>
              <w:ind w:left="0" w:right="33"/>
            </w:pPr>
            <w:r>
              <w:t>D2</w:t>
            </w:r>
          </w:p>
        </w:tc>
        <w:tc>
          <w:tcPr>
            <w:tcW w:w="6911" w:type="dxa"/>
          </w:tcPr>
          <w:p w:rsidR="000F3AD5" w:rsidRPr="00FD119B" w:rsidRDefault="000F3AD5" w:rsidP="009024C7">
            <w:pPr>
              <w:ind w:left="34" w:right="0"/>
            </w:pPr>
            <w:r w:rsidRPr="0065147B">
              <w:t>dopamine 2</w:t>
            </w:r>
          </w:p>
        </w:tc>
      </w:tr>
      <w:tr w:rsidR="008B36F8" w:rsidRPr="00FD119B" w:rsidTr="009024C7">
        <w:tc>
          <w:tcPr>
            <w:tcW w:w="1809" w:type="dxa"/>
          </w:tcPr>
          <w:p w:rsidR="008B36F8" w:rsidRPr="00FD119B" w:rsidRDefault="008B36F8" w:rsidP="009024C7">
            <w:pPr>
              <w:ind w:left="0" w:right="33"/>
            </w:pPr>
            <w:r>
              <w:t>DDI</w:t>
            </w:r>
          </w:p>
        </w:tc>
        <w:tc>
          <w:tcPr>
            <w:tcW w:w="6911" w:type="dxa"/>
          </w:tcPr>
          <w:p w:rsidR="008B36F8" w:rsidRPr="00FD119B" w:rsidRDefault="008B36F8" w:rsidP="009024C7">
            <w:pPr>
              <w:ind w:left="34" w:right="0"/>
            </w:pPr>
            <w:r>
              <w:t>d</w:t>
            </w:r>
            <w:r w:rsidRPr="006B7862">
              <w:t>rug-drug interaction</w:t>
            </w:r>
          </w:p>
        </w:tc>
      </w:tr>
      <w:tr w:rsidR="003D0F6C" w:rsidRPr="00FD119B" w:rsidTr="009024C7">
        <w:tc>
          <w:tcPr>
            <w:tcW w:w="1809" w:type="dxa"/>
          </w:tcPr>
          <w:p w:rsidR="003D0F6C" w:rsidRPr="00FD119B" w:rsidRDefault="003D0F6C" w:rsidP="009024C7">
            <w:pPr>
              <w:ind w:left="0" w:right="33"/>
            </w:pPr>
            <w:r w:rsidRPr="00A961B9">
              <w:t>DEXA</w:t>
            </w:r>
          </w:p>
        </w:tc>
        <w:tc>
          <w:tcPr>
            <w:tcW w:w="6911" w:type="dxa"/>
          </w:tcPr>
          <w:p w:rsidR="003D0F6C" w:rsidRPr="00FD119B" w:rsidRDefault="003D0F6C" w:rsidP="009024C7">
            <w:pPr>
              <w:ind w:left="34" w:right="0"/>
            </w:pPr>
            <w:r>
              <w:t xml:space="preserve">dual energy X </w:t>
            </w:r>
            <w:r w:rsidRPr="00A961B9">
              <w:t>ray absorptiometry</w:t>
            </w:r>
          </w:p>
        </w:tc>
      </w:tr>
      <w:tr w:rsidR="008B36F8" w:rsidRPr="00FD119B" w:rsidTr="009024C7">
        <w:tc>
          <w:tcPr>
            <w:tcW w:w="1809" w:type="dxa"/>
          </w:tcPr>
          <w:p w:rsidR="008B36F8" w:rsidRPr="00FD119B" w:rsidRDefault="008B36F8" w:rsidP="009024C7">
            <w:pPr>
              <w:ind w:left="0" w:right="33"/>
            </w:pPr>
            <w:r>
              <w:t>DUS</w:t>
            </w:r>
          </w:p>
        </w:tc>
        <w:tc>
          <w:tcPr>
            <w:tcW w:w="6911" w:type="dxa"/>
          </w:tcPr>
          <w:p w:rsidR="008B36F8" w:rsidRPr="00FD119B" w:rsidRDefault="008B36F8" w:rsidP="009024C7">
            <w:pPr>
              <w:ind w:left="34" w:right="0"/>
            </w:pPr>
            <w:r w:rsidRPr="000F5C1D">
              <w:t>Drug Utilisation Study</w:t>
            </w:r>
          </w:p>
        </w:tc>
      </w:tr>
      <w:tr w:rsidR="000F3AD5" w:rsidRPr="00FD119B" w:rsidTr="009024C7">
        <w:tc>
          <w:tcPr>
            <w:tcW w:w="1809" w:type="dxa"/>
          </w:tcPr>
          <w:p w:rsidR="000F3AD5" w:rsidRPr="00FD119B" w:rsidRDefault="000F3AD5" w:rsidP="009024C7">
            <w:pPr>
              <w:ind w:left="0" w:right="33"/>
            </w:pPr>
            <w:r>
              <w:t>ED50</w:t>
            </w:r>
          </w:p>
        </w:tc>
        <w:tc>
          <w:tcPr>
            <w:tcW w:w="6911" w:type="dxa"/>
          </w:tcPr>
          <w:p w:rsidR="000F3AD5" w:rsidRPr="00FD119B" w:rsidRDefault="000F3AD5" w:rsidP="009024C7">
            <w:pPr>
              <w:ind w:left="34" w:right="0"/>
            </w:pPr>
            <w:r>
              <w:t>effective dose 50%</w:t>
            </w:r>
          </w:p>
        </w:tc>
      </w:tr>
      <w:tr w:rsidR="00BC2053" w:rsidRPr="00FD119B" w:rsidTr="009024C7">
        <w:tc>
          <w:tcPr>
            <w:tcW w:w="1809" w:type="dxa"/>
          </w:tcPr>
          <w:p w:rsidR="00BC2053" w:rsidRPr="00FD119B" w:rsidRDefault="00BC2053" w:rsidP="009024C7">
            <w:pPr>
              <w:ind w:left="0" w:right="33"/>
            </w:pPr>
            <w:r>
              <w:t>EEG</w:t>
            </w:r>
          </w:p>
        </w:tc>
        <w:tc>
          <w:tcPr>
            <w:tcW w:w="6911" w:type="dxa"/>
          </w:tcPr>
          <w:p w:rsidR="00BC2053" w:rsidRPr="00FD119B" w:rsidRDefault="00BC2053" w:rsidP="009024C7">
            <w:pPr>
              <w:ind w:left="34" w:right="0"/>
            </w:pPr>
            <w:r>
              <w:t>e</w:t>
            </w:r>
            <w:r w:rsidRPr="00D51EEE">
              <w:t>lectroencephalography</w:t>
            </w:r>
          </w:p>
        </w:tc>
      </w:tr>
      <w:tr w:rsidR="000F3AD5" w:rsidRPr="00FD119B" w:rsidTr="009024C7">
        <w:tc>
          <w:tcPr>
            <w:tcW w:w="1809" w:type="dxa"/>
          </w:tcPr>
          <w:p w:rsidR="000F3AD5" w:rsidRPr="00FD119B" w:rsidRDefault="000F3AD5" w:rsidP="009024C7">
            <w:pPr>
              <w:ind w:left="0" w:right="33"/>
            </w:pPr>
            <w:r>
              <w:t>EMA</w:t>
            </w:r>
          </w:p>
        </w:tc>
        <w:tc>
          <w:tcPr>
            <w:tcW w:w="6911" w:type="dxa"/>
          </w:tcPr>
          <w:p w:rsidR="000F3AD5" w:rsidRPr="00FD119B" w:rsidRDefault="000F3AD5" w:rsidP="009024C7">
            <w:pPr>
              <w:ind w:left="34" w:right="0"/>
            </w:pPr>
            <w:r>
              <w:t>European Medicines Agency</w:t>
            </w:r>
          </w:p>
        </w:tc>
      </w:tr>
      <w:tr w:rsidR="008B36F8" w:rsidRPr="00FD119B" w:rsidTr="009024C7">
        <w:tc>
          <w:tcPr>
            <w:tcW w:w="1809" w:type="dxa"/>
          </w:tcPr>
          <w:p w:rsidR="008B36F8" w:rsidRPr="00FD119B" w:rsidRDefault="008B36F8" w:rsidP="009024C7">
            <w:pPr>
              <w:ind w:left="0" w:right="33"/>
            </w:pPr>
            <w:r w:rsidRPr="00A961B9">
              <w:t>EPS</w:t>
            </w:r>
          </w:p>
        </w:tc>
        <w:tc>
          <w:tcPr>
            <w:tcW w:w="6911" w:type="dxa"/>
          </w:tcPr>
          <w:p w:rsidR="008B36F8" w:rsidRPr="00FD119B" w:rsidRDefault="008B36F8" w:rsidP="009024C7">
            <w:pPr>
              <w:ind w:left="34" w:right="0"/>
            </w:pPr>
            <w:r w:rsidRPr="00A961B9">
              <w:t>extrapyramidal symptoms</w:t>
            </w:r>
          </w:p>
        </w:tc>
      </w:tr>
      <w:tr w:rsidR="000F3AD5" w:rsidRPr="00FD119B" w:rsidTr="009024C7">
        <w:tc>
          <w:tcPr>
            <w:tcW w:w="1809" w:type="dxa"/>
          </w:tcPr>
          <w:p w:rsidR="000F3AD5" w:rsidRPr="00FD119B" w:rsidRDefault="000F3AD5" w:rsidP="009024C7">
            <w:pPr>
              <w:ind w:left="0" w:right="33"/>
            </w:pPr>
            <w:r>
              <w:t>ER</w:t>
            </w:r>
          </w:p>
        </w:tc>
        <w:tc>
          <w:tcPr>
            <w:tcW w:w="6911" w:type="dxa"/>
          </w:tcPr>
          <w:p w:rsidR="000F3AD5" w:rsidRPr="00FD119B" w:rsidRDefault="000F3AD5" w:rsidP="009024C7">
            <w:pPr>
              <w:ind w:left="34" w:right="0"/>
            </w:pPr>
            <w:r>
              <w:t>exposure ratio</w:t>
            </w:r>
          </w:p>
        </w:tc>
      </w:tr>
      <w:tr w:rsidR="000F3AD5" w:rsidRPr="00FD119B" w:rsidTr="009024C7">
        <w:tc>
          <w:tcPr>
            <w:tcW w:w="1809" w:type="dxa"/>
          </w:tcPr>
          <w:p w:rsidR="000F3AD5" w:rsidRPr="00FD119B" w:rsidRDefault="000F3AD5" w:rsidP="009024C7">
            <w:pPr>
              <w:ind w:left="0" w:right="33"/>
            </w:pPr>
            <w:r>
              <w:t>FDA</w:t>
            </w:r>
          </w:p>
        </w:tc>
        <w:tc>
          <w:tcPr>
            <w:tcW w:w="6911" w:type="dxa"/>
          </w:tcPr>
          <w:p w:rsidR="000F3AD5" w:rsidRPr="00FD119B" w:rsidRDefault="000F3AD5" w:rsidP="009024C7">
            <w:pPr>
              <w:ind w:left="34" w:right="0"/>
            </w:pPr>
            <w:r>
              <w:t xml:space="preserve">US </w:t>
            </w:r>
            <w:r w:rsidRPr="0065147B">
              <w:t>F</w:t>
            </w:r>
            <w:r>
              <w:t>ood and Drug Administration</w:t>
            </w:r>
          </w:p>
        </w:tc>
      </w:tr>
      <w:tr w:rsidR="000F3AD5" w:rsidRPr="00FD119B" w:rsidTr="009024C7">
        <w:tc>
          <w:tcPr>
            <w:tcW w:w="1809" w:type="dxa"/>
          </w:tcPr>
          <w:p w:rsidR="000F3AD5" w:rsidRPr="00FD119B" w:rsidRDefault="000F3AD5" w:rsidP="009024C7">
            <w:pPr>
              <w:ind w:left="0" w:right="33"/>
            </w:pPr>
            <w:r>
              <w:t>FGA</w:t>
            </w:r>
          </w:p>
        </w:tc>
        <w:tc>
          <w:tcPr>
            <w:tcW w:w="6911" w:type="dxa"/>
          </w:tcPr>
          <w:p w:rsidR="000F3AD5" w:rsidRPr="00FD119B" w:rsidRDefault="000F3AD5" w:rsidP="009024C7">
            <w:pPr>
              <w:ind w:left="34" w:right="0"/>
            </w:pPr>
            <w:r>
              <w:t>first generation antipsychotic</w:t>
            </w:r>
          </w:p>
        </w:tc>
      </w:tr>
      <w:tr w:rsidR="00FC6A03" w:rsidRPr="00FD119B" w:rsidTr="009024C7">
        <w:tc>
          <w:tcPr>
            <w:tcW w:w="1809" w:type="dxa"/>
          </w:tcPr>
          <w:p w:rsidR="00FC6A03" w:rsidRPr="00FD119B" w:rsidRDefault="00FC6A03" w:rsidP="009024C7">
            <w:pPr>
              <w:ind w:left="0" w:right="33"/>
            </w:pPr>
            <w:r>
              <w:t>GCP</w:t>
            </w:r>
          </w:p>
        </w:tc>
        <w:tc>
          <w:tcPr>
            <w:tcW w:w="6911" w:type="dxa"/>
          </w:tcPr>
          <w:p w:rsidR="00FC6A03" w:rsidRPr="00FD119B" w:rsidRDefault="00FC6A03" w:rsidP="009024C7">
            <w:pPr>
              <w:ind w:left="34" w:right="0"/>
            </w:pPr>
            <w:r>
              <w:t>Good Clinical Practice</w:t>
            </w:r>
          </w:p>
        </w:tc>
      </w:tr>
      <w:tr w:rsidR="000F3AD5" w:rsidRPr="00FD119B" w:rsidTr="009024C7">
        <w:tc>
          <w:tcPr>
            <w:tcW w:w="1809" w:type="dxa"/>
          </w:tcPr>
          <w:p w:rsidR="000F3AD5" w:rsidRPr="00FD119B" w:rsidRDefault="000F3AD5" w:rsidP="009024C7">
            <w:pPr>
              <w:ind w:left="0" w:right="33"/>
            </w:pPr>
            <w:r>
              <w:t>GD</w:t>
            </w:r>
          </w:p>
        </w:tc>
        <w:tc>
          <w:tcPr>
            <w:tcW w:w="6911" w:type="dxa"/>
          </w:tcPr>
          <w:p w:rsidR="000F3AD5" w:rsidRPr="00FD119B" w:rsidRDefault="000F3AD5" w:rsidP="009024C7">
            <w:pPr>
              <w:ind w:left="34" w:right="0"/>
            </w:pPr>
            <w:r>
              <w:t>gestational day</w:t>
            </w:r>
          </w:p>
        </w:tc>
      </w:tr>
      <w:tr w:rsidR="000F3AD5" w:rsidRPr="00FD119B" w:rsidTr="009024C7">
        <w:tc>
          <w:tcPr>
            <w:tcW w:w="1809" w:type="dxa"/>
          </w:tcPr>
          <w:p w:rsidR="000F3AD5" w:rsidRPr="00FD119B" w:rsidRDefault="000F3AD5" w:rsidP="009024C7">
            <w:pPr>
              <w:ind w:left="0" w:right="33"/>
            </w:pPr>
            <w:r>
              <w:t>GLP</w:t>
            </w:r>
          </w:p>
        </w:tc>
        <w:tc>
          <w:tcPr>
            <w:tcW w:w="6911" w:type="dxa"/>
          </w:tcPr>
          <w:p w:rsidR="000F3AD5" w:rsidRPr="00FD119B" w:rsidRDefault="000F3AD5" w:rsidP="009024C7">
            <w:pPr>
              <w:ind w:left="34" w:right="0"/>
            </w:pPr>
            <w:r>
              <w:t>Good Laboratory Practice</w:t>
            </w:r>
          </w:p>
        </w:tc>
      </w:tr>
      <w:tr w:rsidR="000F3AD5" w:rsidRPr="00FD119B" w:rsidTr="009024C7">
        <w:tc>
          <w:tcPr>
            <w:tcW w:w="1809" w:type="dxa"/>
          </w:tcPr>
          <w:p w:rsidR="000F3AD5" w:rsidRPr="00FD119B" w:rsidRDefault="000F3AD5" w:rsidP="009024C7">
            <w:pPr>
              <w:ind w:left="0" w:right="33"/>
            </w:pPr>
            <w:r>
              <w:t>HD</w:t>
            </w:r>
          </w:p>
        </w:tc>
        <w:tc>
          <w:tcPr>
            <w:tcW w:w="6911" w:type="dxa"/>
          </w:tcPr>
          <w:p w:rsidR="000F3AD5" w:rsidRPr="00FD119B" w:rsidRDefault="000F3AD5" w:rsidP="009024C7">
            <w:pPr>
              <w:ind w:left="34" w:right="0"/>
            </w:pPr>
            <w:r>
              <w:t>high dose</w:t>
            </w:r>
          </w:p>
        </w:tc>
      </w:tr>
      <w:tr w:rsidR="00BC2053" w:rsidRPr="00FD119B" w:rsidTr="009024C7">
        <w:tc>
          <w:tcPr>
            <w:tcW w:w="1809" w:type="dxa"/>
          </w:tcPr>
          <w:p w:rsidR="00BC2053" w:rsidRPr="00FD119B" w:rsidRDefault="00BC2053" w:rsidP="009024C7">
            <w:pPr>
              <w:ind w:left="0" w:right="33"/>
            </w:pPr>
            <w:r>
              <w:t>HR</w:t>
            </w:r>
          </w:p>
        </w:tc>
        <w:tc>
          <w:tcPr>
            <w:tcW w:w="6911" w:type="dxa"/>
          </w:tcPr>
          <w:p w:rsidR="00BC2053" w:rsidRPr="00FD119B" w:rsidRDefault="00BC2053" w:rsidP="009024C7">
            <w:pPr>
              <w:ind w:left="34" w:right="0"/>
            </w:pPr>
            <w:r>
              <w:t>hazard ratio</w:t>
            </w:r>
          </w:p>
        </w:tc>
      </w:tr>
      <w:tr w:rsidR="000F3AD5" w:rsidRPr="00FD119B" w:rsidTr="009024C7">
        <w:tc>
          <w:tcPr>
            <w:tcW w:w="1809" w:type="dxa"/>
          </w:tcPr>
          <w:p w:rsidR="000F3AD5" w:rsidRPr="00FD119B" w:rsidRDefault="000F3AD5" w:rsidP="009024C7">
            <w:pPr>
              <w:ind w:left="0" w:right="33"/>
            </w:pPr>
            <w:r w:rsidRPr="00FF0F8F">
              <w:t>IC50</w:t>
            </w:r>
          </w:p>
        </w:tc>
        <w:tc>
          <w:tcPr>
            <w:tcW w:w="6911" w:type="dxa"/>
          </w:tcPr>
          <w:p w:rsidR="000F3AD5" w:rsidRPr="00FD119B" w:rsidRDefault="000F3AD5" w:rsidP="009024C7">
            <w:pPr>
              <w:ind w:left="34" w:right="0"/>
            </w:pPr>
            <w:r>
              <w:t>inhibitory concentration 50%</w:t>
            </w:r>
          </w:p>
        </w:tc>
      </w:tr>
      <w:tr w:rsidR="000F3AD5" w:rsidRPr="00FD119B" w:rsidTr="009024C7">
        <w:tc>
          <w:tcPr>
            <w:tcW w:w="1809" w:type="dxa"/>
          </w:tcPr>
          <w:p w:rsidR="000F3AD5" w:rsidRPr="00FD119B" w:rsidRDefault="000F3AD5" w:rsidP="009024C7">
            <w:pPr>
              <w:ind w:left="0" w:right="33"/>
            </w:pPr>
            <w:r>
              <w:t>ICH</w:t>
            </w:r>
          </w:p>
        </w:tc>
        <w:tc>
          <w:tcPr>
            <w:tcW w:w="6911" w:type="dxa"/>
          </w:tcPr>
          <w:p w:rsidR="000F3AD5" w:rsidRPr="00FD119B" w:rsidRDefault="000F3AD5" w:rsidP="009024C7">
            <w:pPr>
              <w:ind w:left="34" w:right="0"/>
            </w:pPr>
            <w:r w:rsidRPr="001073A2">
              <w:t>International Conference on Harmonisation</w:t>
            </w:r>
          </w:p>
        </w:tc>
      </w:tr>
      <w:tr w:rsidR="0064096A" w:rsidRPr="00FD119B" w:rsidTr="009024C7">
        <w:tc>
          <w:tcPr>
            <w:tcW w:w="1809" w:type="dxa"/>
          </w:tcPr>
          <w:p w:rsidR="0064096A" w:rsidRPr="00FD119B" w:rsidRDefault="0064096A" w:rsidP="009024C7">
            <w:pPr>
              <w:ind w:left="0" w:right="33"/>
            </w:pPr>
            <w:r w:rsidRPr="000F5C1D">
              <w:t>ISAC</w:t>
            </w:r>
          </w:p>
        </w:tc>
        <w:tc>
          <w:tcPr>
            <w:tcW w:w="6911" w:type="dxa"/>
          </w:tcPr>
          <w:p w:rsidR="0064096A" w:rsidRPr="00FD119B" w:rsidRDefault="0064096A" w:rsidP="009024C7">
            <w:pPr>
              <w:ind w:left="34" w:right="0"/>
            </w:pPr>
            <w:r w:rsidRPr="000F5C1D">
              <w:t>Independent Scientific Advisory Committee</w:t>
            </w:r>
          </w:p>
        </w:tc>
      </w:tr>
      <w:tr w:rsidR="00BC2053" w:rsidRPr="00FD119B" w:rsidTr="009024C7">
        <w:tc>
          <w:tcPr>
            <w:tcW w:w="1809" w:type="dxa"/>
          </w:tcPr>
          <w:p w:rsidR="00BC2053" w:rsidRPr="00FD119B" w:rsidRDefault="00BC2053" w:rsidP="009024C7">
            <w:pPr>
              <w:ind w:left="0" w:right="33"/>
            </w:pPr>
            <w:r>
              <w:t>ITT</w:t>
            </w:r>
          </w:p>
        </w:tc>
        <w:tc>
          <w:tcPr>
            <w:tcW w:w="6911" w:type="dxa"/>
          </w:tcPr>
          <w:p w:rsidR="00BC2053" w:rsidRPr="00FD119B" w:rsidRDefault="00BC2053" w:rsidP="009024C7">
            <w:pPr>
              <w:ind w:left="34" w:right="0"/>
            </w:pPr>
            <w:r>
              <w:t>Intent to Treat</w:t>
            </w:r>
          </w:p>
        </w:tc>
      </w:tr>
      <w:tr w:rsidR="000F3AD5" w:rsidRPr="00FD119B" w:rsidTr="009024C7">
        <w:tc>
          <w:tcPr>
            <w:tcW w:w="1809" w:type="dxa"/>
          </w:tcPr>
          <w:p w:rsidR="000F3AD5" w:rsidRPr="00FD119B" w:rsidRDefault="000F3AD5" w:rsidP="009024C7">
            <w:pPr>
              <w:ind w:left="0" w:right="33"/>
            </w:pPr>
            <w:r>
              <w:t>IV</w:t>
            </w:r>
          </w:p>
        </w:tc>
        <w:tc>
          <w:tcPr>
            <w:tcW w:w="6911" w:type="dxa"/>
          </w:tcPr>
          <w:p w:rsidR="000F3AD5" w:rsidRPr="00FD119B" w:rsidRDefault="000F3AD5" w:rsidP="009024C7">
            <w:pPr>
              <w:ind w:left="34" w:right="0"/>
            </w:pPr>
            <w:r>
              <w:t>intravenous</w:t>
            </w:r>
          </w:p>
        </w:tc>
      </w:tr>
      <w:tr w:rsidR="000F3AD5" w:rsidRPr="00FD119B" w:rsidTr="009024C7">
        <w:tc>
          <w:tcPr>
            <w:tcW w:w="1809" w:type="dxa"/>
          </w:tcPr>
          <w:p w:rsidR="000F3AD5" w:rsidRPr="00FD119B" w:rsidRDefault="000F3AD5" w:rsidP="009024C7">
            <w:pPr>
              <w:ind w:left="0" w:right="33"/>
            </w:pPr>
            <w:r w:rsidRPr="000A178A">
              <w:t>Ki</w:t>
            </w:r>
          </w:p>
        </w:tc>
        <w:tc>
          <w:tcPr>
            <w:tcW w:w="6911" w:type="dxa"/>
          </w:tcPr>
          <w:p w:rsidR="000F3AD5" w:rsidRPr="00FD119B" w:rsidRDefault="000F3AD5" w:rsidP="009024C7">
            <w:pPr>
              <w:ind w:left="34" w:right="0"/>
            </w:pPr>
            <w:r>
              <w:t>inhibition constant</w:t>
            </w:r>
          </w:p>
        </w:tc>
      </w:tr>
      <w:tr w:rsidR="000F3AD5" w:rsidRPr="00FD119B" w:rsidTr="009024C7">
        <w:tc>
          <w:tcPr>
            <w:tcW w:w="1809" w:type="dxa"/>
          </w:tcPr>
          <w:p w:rsidR="000F3AD5" w:rsidRPr="00FD119B" w:rsidRDefault="000F3AD5" w:rsidP="009024C7">
            <w:pPr>
              <w:ind w:left="0" w:right="33"/>
            </w:pPr>
            <w:r>
              <w:t>LD</w:t>
            </w:r>
          </w:p>
        </w:tc>
        <w:tc>
          <w:tcPr>
            <w:tcW w:w="6911" w:type="dxa"/>
          </w:tcPr>
          <w:p w:rsidR="000F3AD5" w:rsidRPr="00FD119B" w:rsidRDefault="000F3AD5" w:rsidP="009024C7">
            <w:pPr>
              <w:ind w:left="34" w:right="0"/>
            </w:pPr>
            <w:r>
              <w:t>low dose</w:t>
            </w:r>
          </w:p>
        </w:tc>
      </w:tr>
      <w:tr w:rsidR="007E604B" w:rsidRPr="00FD119B" w:rsidTr="009024C7">
        <w:tc>
          <w:tcPr>
            <w:tcW w:w="1809" w:type="dxa"/>
          </w:tcPr>
          <w:p w:rsidR="007E604B" w:rsidRPr="00FD119B" w:rsidRDefault="00DA7291" w:rsidP="009024C7">
            <w:pPr>
              <w:ind w:left="0" w:right="33"/>
            </w:pPr>
            <w:r>
              <w:t>LDH</w:t>
            </w:r>
          </w:p>
        </w:tc>
        <w:tc>
          <w:tcPr>
            <w:tcW w:w="6911" w:type="dxa"/>
          </w:tcPr>
          <w:p w:rsidR="007E604B" w:rsidRPr="00FD119B" w:rsidRDefault="00DA7291" w:rsidP="009024C7">
            <w:pPr>
              <w:ind w:left="34" w:right="0"/>
            </w:pPr>
            <w:r w:rsidRPr="0065147B">
              <w:t>lurasidone hydrochloride</w:t>
            </w:r>
          </w:p>
        </w:tc>
      </w:tr>
      <w:tr w:rsidR="001645DC" w:rsidRPr="00FD119B" w:rsidTr="009024C7">
        <w:tc>
          <w:tcPr>
            <w:tcW w:w="1809" w:type="dxa"/>
          </w:tcPr>
          <w:p w:rsidR="001645DC" w:rsidRPr="00FD119B" w:rsidRDefault="001645DC" w:rsidP="009024C7">
            <w:pPr>
              <w:ind w:left="0" w:right="33"/>
            </w:pPr>
            <w:r>
              <w:lastRenderedPageBreak/>
              <w:t>LFT</w:t>
            </w:r>
          </w:p>
        </w:tc>
        <w:tc>
          <w:tcPr>
            <w:tcW w:w="6911" w:type="dxa"/>
          </w:tcPr>
          <w:p w:rsidR="001645DC" w:rsidRPr="00FD119B" w:rsidRDefault="001645DC" w:rsidP="009024C7">
            <w:pPr>
              <w:ind w:left="34" w:right="0"/>
            </w:pPr>
            <w:r>
              <w:t>liver function test</w:t>
            </w:r>
          </w:p>
        </w:tc>
      </w:tr>
      <w:tr w:rsidR="000F3AD5" w:rsidRPr="00FD119B" w:rsidTr="009024C7">
        <w:tc>
          <w:tcPr>
            <w:tcW w:w="1809" w:type="dxa"/>
          </w:tcPr>
          <w:p w:rsidR="000F3AD5" w:rsidRPr="00FD119B" w:rsidRDefault="000F3AD5" w:rsidP="009024C7">
            <w:pPr>
              <w:ind w:left="0" w:right="33"/>
            </w:pPr>
            <w:r>
              <w:t>LOQ</w:t>
            </w:r>
          </w:p>
        </w:tc>
        <w:tc>
          <w:tcPr>
            <w:tcW w:w="6911" w:type="dxa"/>
          </w:tcPr>
          <w:p w:rsidR="000F3AD5" w:rsidRPr="00FD119B" w:rsidRDefault="000F3AD5" w:rsidP="009024C7">
            <w:pPr>
              <w:ind w:left="34" w:right="0"/>
            </w:pPr>
            <w:r>
              <w:t>limit of quantification</w:t>
            </w:r>
          </w:p>
        </w:tc>
      </w:tr>
      <w:tr w:rsidR="00030516" w:rsidRPr="00FD119B" w:rsidTr="009024C7">
        <w:tc>
          <w:tcPr>
            <w:tcW w:w="1809" w:type="dxa"/>
          </w:tcPr>
          <w:p w:rsidR="00030516" w:rsidRPr="00FD119B" w:rsidRDefault="00030516" w:rsidP="009024C7">
            <w:pPr>
              <w:ind w:left="0" w:right="33"/>
            </w:pPr>
            <w:r>
              <w:t>M1</w:t>
            </w:r>
          </w:p>
        </w:tc>
        <w:tc>
          <w:tcPr>
            <w:tcW w:w="6911" w:type="dxa"/>
          </w:tcPr>
          <w:p w:rsidR="00030516" w:rsidRPr="00FD119B" w:rsidRDefault="00030516" w:rsidP="009024C7">
            <w:pPr>
              <w:ind w:left="34" w:right="0"/>
            </w:pPr>
            <w:r w:rsidRPr="00030516">
              <w:t>acetylcholine receptor</w:t>
            </w:r>
          </w:p>
        </w:tc>
      </w:tr>
      <w:tr w:rsidR="003D0F6C" w:rsidRPr="00FD119B" w:rsidTr="009024C7">
        <w:tc>
          <w:tcPr>
            <w:tcW w:w="1809" w:type="dxa"/>
          </w:tcPr>
          <w:p w:rsidR="003D0F6C" w:rsidRPr="00FD119B" w:rsidRDefault="003D0F6C" w:rsidP="009024C7">
            <w:pPr>
              <w:ind w:left="0" w:right="33"/>
            </w:pPr>
            <w:r>
              <w:t>MACE</w:t>
            </w:r>
          </w:p>
        </w:tc>
        <w:tc>
          <w:tcPr>
            <w:tcW w:w="6911" w:type="dxa"/>
          </w:tcPr>
          <w:p w:rsidR="003D0F6C" w:rsidRPr="00FD119B" w:rsidRDefault="003D0F6C" w:rsidP="009024C7">
            <w:pPr>
              <w:ind w:left="34" w:right="0"/>
            </w:pPr>
            <w:r w:rsidRPr="00500084">
              <w:t>major cardiovascular events</w:t>
            </w:r>
          </w:p>
        </w:tc>
      </w:tr>
      <w:tr w:rsidR="000F3AD5" w:rsidRPr="00FD119B" w:rsidTr="009024C7">
        <w:tc>
          <w:tcPr>
            <w:tcW w:w="1809" w:type="dxa"/>
          </w:tcPr>
          <w:p w:rsidR="000F3AD5" w:rsidRPr="00FD119B" w:rsidRDefault="000F3AD5" w:rsidP="009024C7">
            <w:pPr>
              <w:ind w:left="0" w:right="33"/>
            </w:pPr>
            <w:r>
              <w:t>MD</w:t>
            </w:r>
          </w:p>
        </w:tc>
        <w:tc>
          <w:tcPr>
            <w:tcW w:w="6911" w:type="dxa"/>
          </w:tcPr>
          <w:p w:rsidR="000F3AD5" w:rsidRPr="00FD119B" w:rsidRDefault="000F3AD5" w:rsidP="009024C7">
            <w:pPr>
              <w:ind w:left="34" w:right="0"/>
            </w:pPr>
            <w:r>
              <w:t>medium dose</w:t>
            </w:r>
          </w:p>
        </w:tc>
      </w:tr>
      <w:tr w:rsidR="0064096A" w:rsidRPr="00FD119B" w:rsidTr="009024C7">
        <w:tc>
          <w:tcPr>
            <w:tcW w:w="1809" w:type="dxa"/>
          </w:tcPr>
          <w:p w:rsidR="0064096A" w:rsidRPr="00FD119B" w:rsidRDefault="0064096A" w:rsidP="009024C7">
            <w:pPr>
              <w:ind w:left="0" w:right="33"/>
            </w:pPr>
            <w:r>
              <w:t>MHRA</w:t>
            </w:r>
          </w:p>
        </w:tc>
        <w:tc>
          <w:tcPr>
            <w:tcW w:w="6911" w:type="dxa"/>
          </w:tcPr>
          <w:p w:rsidR="0064096A" w:rsidRPr="00FD119B" w:rsidRDefault="0064096A" w:rsidP="009024C7">
            <w:pPr>
              <w:ind w:left="34" w:right="0"/>
            </w:pPr>
            <w:r w:rsidRPr="000F5C1D">
              <w:t>Medicines and Healthcare Products Regulatory Agency</w:t>
            </w:r>
          </w:p>
        </w:tc>
      </w:tr>
      <w:tr w:rsidR="00F944E3" w:rsidRPr="00FD119B" w:rsidTr="009024C7">
        <w:tc>
          <w:tcPr>
            <w:tcW w:w="1809" w:type="dxa"/>
          </w:tcPr>
          <w:p w:rsidR="00F944E3" w:rsidRPr="00FD119B" w:rsidRDefault="00F944E3" w:rsidP="009024C7">
            <w:pPr>
              <w:ind w:left="0" w:right="33"/>
            </w:pPr>
            <w:r>
              <w:t>MMRM</w:t>
            </w:r>
          </w:p>
        </w:tc>
        <w:tc>
          <w:tcPr>
            <w:tcW w:w="6911" w:type="dxa"/>
          </w:tcPr>
          <w:p w:rsidR="00F944E3" w:rsidRPr="00FD119B" w:rsidRDefault="00F944E3" w:rsidP="009024C7">
            <w:pPr>
              <w:ind w:left="34" w:right="0"/>
            </w:pPr>
            <w:r w:rsidRPr="00CA56D1">
              <w:t>mixed model repeated measures</w:t>
            </w:r>
          </w:p>
        </w:tc>
      </w:tr>
      <w:tr w:rsidR="000F3AD5" w:rsidRPr="00FD119B" w:rsidTr="009024C7">
        <w:tc>
          <w:tcPr>
            <w:tcW w:w="1809" w:type="dxa"/>
          </w:tcPr>
          <w:p w:rsidR="000F3AD5" w:rsidRPr="00FD119B" w:rsidRDefault="000F3AD5" w:rsidP="009024C7">
            <w:pPr>
              <w:ind w:left="0" w:right="33"/>
            </w:pPr>
            <w:r>
              <w:t>MRHD</w:t>
            </w:r>
          </w:p>
        </w:tc>
        <w:tc>
          <w:tcPr>
            <w:tcW w:w="6911" w:type="dxa"/>
          </w:tcPr>
          <w:p w:rsidR="000F3AD5" w:rsidRPr="00FD119B" w:rsidRDefault="000F3AD5" w:rsidP="009024C7">
            <w:pPr>
              <w:ind w:left="34" w:right="0"/>
            </w:pPr>
            <w:r>
              <w:t>maximum recommended human dose</w:t>
            </w:r>
          </w:p>
        </w:tc>
      </w:tr>
      <w:tr w:rsidR="0064096A" w:rsidRPr="00FD119B" w:rsidTr="009024C7">
        <w:tc>
          <w:tcPr>
            <w:tcW w:w="1809" w:type="dxa"/>
          </w:tcPr>
          <w:p w:rsidR="0064096A" w:rsidRPr="00FD119B" w:rsidRDefault="0064096A" w:rsidP="009024C7">
            <w:pPr>
              <w:ind w:left="0" w:right="33"/>
            </w:pPr>
            <w:r>
              <w:t>NNT</w:t>
            </w:r>
          </w:p>
        </w:tc>
        <w:tc>
          <w:tcPr>
            <w:tcW w:w="6911" w:type="dxa"/>
          </w:tcPr>
          <w:p w:rsidR="0064096A" w:rsidRPr="00FD119B" w:rsidRDefault="0064096A" w:rsidP="009024C7">
            <w:pPr>
              <w:ind w:left="34" w:right="0"/>
            </w:pPr>
            <w:r w:rsidRPr="00DC453D">
              <w:t>number needed to treat</w:t>
            </w:r>
          </w:p>
        </w:tc>
      </w:tr>
      <w:tr w:rsidR="000F3AD5" w:rsidRPr="00FD119B" w:rsidTr="009024C7">
        <w:tc>
          <w:tcPr>
            <w:tcW w:w="1809" w:type="dxa"/>
          </w:tcPr>
          <w:p w:rsidR="000F3AD5" w:rsidRPr="00FD119B" w:rsidRDefault="000F3AD5" w:rsidP="009024C7">
            <w:pPr>
              <w:ind w:left="0" w:right="33"/>
            </w:pPr>
            <w:r>
              <w:t>NOAEL</w:t>
            </w:r>
          </w:p>
        </w:tc>
        <w:tc>
          <w:tcPr>
            <w:tcW w:w="6911" w:type="dxa"/>
          </w:tcPr>
          <w:p w:rsidR="000F3AD5" w:rsidRPr="00FD119B" w:rsidRDefault="000F3AD5" w:rsidP="009024C7">
            <w:pPr>
              <w:ind w:left="34" w:right="0"/>
            </w:pPr>
            <w:r w:rsidRPr="006B6B24">
              <w:t>no observed adverse effect level</w:t>
            </w:r>
          </w:p>
        </w:tc>
      </w:tr>
      <w:tr w:rsidR="00F944E3" w:rsidRPr="00FD119B" w:rsidTr="009024C7">
        <w:tc>
          <w:tcPr>
            <w:tcW w:w="1809" w:type="dxa"/>
          </w:tcPr>
          <w:p w:rsidR="00F944E3" w:rsidRPr="00FD119B" w:rsidRDefault="00F944E3" w:rsidP="009024C7">
            <w:pPr>
              <w:ind w:left="0" w:right="33"/>
            </w:pPr>
            <w:r>
              <w:t>PANSS</w:t>
            </w:r>
          </w:p>
        </w:tc>
        <w:tc>
          <w:tcPr>
            <w:tcW w:w="6911" w:type="dxa"/>
          </w:tcPr>
          <w:p w:rsidR="00F944E3" w:rsidRPr="00FD119B" w:rsidRDefault="00F944E3" w:rsidP="009024C7">
            <w:pPr>
              <w:ind w:left="34" w:right="0"/>
            </w:pPr>
            <w:r w:rsidRPr="00016F33">
              <w:t>Positive and Negative Syndrome Scale</w:t>
            </w:r>
          </w:p>
        </w:tc>
      </w:tr>
      <w:tr w:rsidR="000F3AD5" w:rsidRPr="00FD119B" w:rsidTr="009024C7">
        <w:tc>
          <w:tcPr>
            <w:tcW w:w="1809" w:type="dxa"/>
          </w:tcPr>
          <w:p w:rsidR="000F3AD5" w:rsidRPr="00FD119B" w:rsidRDefault="000F3AD5" w:rsidP="009024C7">
            <w:pPr>
              <w:ind w:left="0" w:right="33"/>
            </w:pPr>
            <w:r>
              <w:t>PD</w:t>
            </w:r>
          </w:p>
        </w:tc>
        <w:tc>
          <w:tcPr>
            <w:tcW w:w="6911" w:type="dxa"/>
          </w:tcPr>
          <w:p w:rsidR="000F3AD5" w:rsidRPr="00FD119B" w:rsidRDefault="000F3AD5" w:rsidP="009024C7">
            <w:pPr>
              <w:ind w:left="34" w:right="0"/>
            </w:pPr>
            <w:r>
              <w:t>pharmacodynamics</w:t>
            </w:r>
          </w:p>
        </w:tc>
      </w:tr>
      <w:tr w:rsidR="00F944E3" w:rsidRPr="00FD119B" w:rsidTr="009024C7">
        <w:tc>
          <w:tcPr>
            <w:tcW w:w="1809" w:type="dxa"/>
          </w:tcPr>
          <w:p w:rsidR="00F944E3" w:rsidRPr="00FD119B" w:rsidRDefault="00F944E3" w:rsidP="009024C7">
            <w:pPr>
              <w:ind w:left="0" w:right="33"/>
            </w:pPr>
            <w:r>
              <w:t>PET</w:t>
            </w:r>
          </w:p>
        </w:tc>
        <w:tc>
          <w:tcPr>
            <w:tcW w:w="6911" w:type="dxa"/>
          </w:tcPr>
          <w:p w:rsidR="00F944E3" w:rsidRPr="00FD119B" w:rsidRDefault="00F944E3" w:rsidP="009024C7">
            <w:pPr>
              <w:ind w:left="34" w:right="0"/>
            </w:pPr>
            <w:r>
              <w:t>p</w:t>
            </w:r>
            <w:r w:rsidRPr="00B42333">
              <w:t>ositron emission tomography</w:t>
            </w:r>
          </w:p>
        </w:tc>
      </w:tr>
      <w:tr w:rsidR="008B36F8" w:rsidRPr="00FD119B" w:rsidTr="009024C7">
        <w:tc>
          <w:tcPr>
            <w:tcW w:w="1809" w:type="dxa"/>
          </w:tcPr>
          <w:p w:rsidR="008B36F8" w:rsidRPr="00FD119B" w:rsidRDefault="008B36F8" w:rsidP="009024C7">
            <w:pPr>
              <w:ind w:left="0" w:right="33"/>
            </w:pPr>
            <w:r>
              <w:t>PI</w:t>
            </w:r>
          </w:p>
        </w:tc>
        <w:tc>
          <w:tcPr>
            <w:tcW w:w="6911" w:type="dxa"/>
          </w:tcPr>
          <w:p w:rsidR="008B36F8" w:rsidRPr="00FD119B" w:rsidRDefault="008B36F8" w:rsidP="009024C7">
            <w:pPr>
              <w:ind w:left="34" w:right="0"/>
            </w:pPr>
            <w:r>
              <w:t>Product Information</w:t>
            </w:r>
          </w:p>
        </w:tc>
      </w:tr>
      <w:tr w:rsidR="0064096A" w:rsidRPr="00FD119B" w:rsidTr="009024C7">
        <w:tc>
          <w:tcPr>
            <w:tcW w:w="1809" w:type="dxa"/>
          </w:tcPr>
          <w:p w:rsidR="0064096A" w:rsidRPr="00FD119B" w:rsidRDefault="0064096A" w:rsidP="009024C7">
            <w:pPr>
              <w:ind w:left="0" w:right="33"/>
            </w:pPr>
            <w:r>
              <w:t>PIL</w:t>
            </w:r>
          </w:p>
        </w:tc>
        <w:tc>
          <w:tcPr>
            <w:tcW w:w="6911" w:type="dxa"/>
          </w:tcPr>
          <w:p w:rsidR="0064096A" w:rsidRPr="00FD119B" w:rsidRDefault="0064096A" w:rsidP="009024C7">
            <w:pPr>
              <w:ind w:left="34" w:right="0"/>
            </w:pPr>
            <w:r w:rsidRPr="00016683">
              <w:t>Patient Information Leaflet</w:t>
            </w:r>
          </w:p>
        </w:tc>
      </w:tr>
      <w:tr w:rsidR="001645DC" w:rsidRPr="00FD119B" w:rsidTr="009024C7">
        <w:tc>
          <w:tcPr>
            <w:tcW w:w="1809" w:type="dxa"/>
          </w:tcPr>
          <w:p w:rsidR="001645DC" w:rsidRPr="00FD119B" w:rsidRDefault="001645DC" w:rsidP="009024C7">
            <w:pPr>
              <w:ind w:left="0" w:right="33"/>
            </w:pPr>
            <w:r>
              <w:t>PIP</w:t>
            </w:r>
          </w:p>
        </w:tc>
        <w:tc>
          <w:tcPr>
            <w:tcW w:w="6911" w:type="dxa"/>
          </w:tcPr>
          <w:p w:rsidR="001645DC" w:rsidRPr="00FD119B" w:rsidRDefault="001645DC" w:rsidP="009024C7">
            <w:pPr>
              <w:ind w:left="34" w:right="0"/>
            </w:pPr>
            <w:r w:rsidRPr="00B15047">
              <w:t>Paediatric Investigation Plan</w:t>
            </w:r>
          </w:p>
        </w:tc>
      </w:tr>
      <w:tr w:rsidR="000F3AD5" w:rsidRPr="00FD119B" w:rsidTr="009024C7">
        <w:tc>
          <w:tcPr>
            <w:tcW w:w="1809" w:type="dxa"/>
          </w:tcPr>
          <w:p w:rsidR="000F3AD5" w:rsidRPr="00FD119B" w:rsidRDefault="000F3AD5" w:rsidP="009024C7">
            <w:pPr>
              <w:ind w:left="0" w:right="33"/>
            </w:pPr>
            <w:r>
              <w:t>PK</w:t>
            </w:r>
          </w:p>
        </w:tc>
        <w:tc>
          <w:tcPr>
            <w:tcW w:w="6911" w:type="dxa"/>
          </w:tcPr>
          <w:p w:rsidR="000F3AD5" w:rsidRPr="00FD119B" w:rsidRDefault="000F3AD5" w:rsidP="009024C7">
            <w:pPr>
              <w:ind w:left="34" w:right="0"/>
            </w:pPr>
            <w:r>
              <w:t>pharmacokinetics</w:t>
            </w:r>
          </w:p>
        </w:tc>
      </w:tr>
      <w:tr w:rsidR="000F3AD5" w:rsidRPr="00FD119B" w:rsidTr="009024C7">
        <w:tc>
          <w:tcPr>
            <w:tcW w:w="1809" w:type="dxa"/>
          </w:tcPr>
          <w:p w:rsidR="000F3AD5" w:rsidRPr="00FD119B" w:rsidRDefault="000F3AD5" w:rsidP="009024C7">
            <w:pPr>
              <w:ind w:left="0" w:right="33"/>
            </w:pPr>
            <w:r>
              <w:t>PO</w:t>
            </w:r>
          </w:p>
        </w:tc>
        <w:tc>
          <w:tcPr>
            <w:tcW w:w="6911" w:type="dxa"/>
          </w:tcPr>
          <w:p w:rsidR="000F3AD5" w:rsidRPr="00FD119B" w:rsidRDefault="000F3AD5" w:rsidP="009024C7">
            <w:pPr>
              <w:ind w:left="34" w:right="0"/>
            </w:pPr>
            <w:r>
              <w:t xml:space="preserve">per </w:t>
            </w:r>
            <w:proofErr w:type="spellStart"/>
            <w:r>
              <w:t>os</w:t>
            </w:r>
            <w:proofErr w:type="spellEnd"/>
          </w:p>
        </w:tc>
      </w:tr>
      <w:tr w:rsidR="000F3AD5" w:rsidRPr="00FD119B" w:rsidTr="009024C7">
        <w:tc>
          <w:tcPr>
            <w:tcW w:w="1809" w:type="dxa"/>
          </w:tcPr>
          <w:p w:rsidR="000F3AD5" w:rsidRPr="00FD119B" w:rsidRDefault="000F3AD5" w:rsidP="009024C7">
            <w:pPr>
              <w:ind w:left="0" w:right="33"/>
            </w:pPr>
            <w:r>
              <w:t>PSC</w:t>
            </w:r>
          </w:p>
        </w:tc>
        <w:tc>
          <w:tcPr>
            <w:tcW w:w="6911" w:type="dxa"/>
          </w:tcPr>
          <w:p w:rsidR="000F3AD5" w:rsidRPr="00FD119B" w:rsidRDefault="000F3AD5" w:rsidP="009024C7">
            <w:pPr>
              <w:ind w:left="34" w:right="0"/>
            </w:pPr>
            <w:r>
              <w:t>Pharmaceutical Subcommittee</w:t>
            </w:r>
          </w:p>
        </w:tc>
      </w:tr>
      <w:tr w:rsidR="000F3AD5" w:rsidRPr="00FD119B" w:rsidTr="009024C7">
        <w:tc>
          <w:tcPr>
            <w:tcW w:w="1809" w:type="dxa"/>
          </w:tcPr>
          <w:p w:rsidR="000F3AD5" w:rsidRPr="00FD119B" w:rsidRDefault="000F3AD5" w:rsidP="009024C7">
            <w:pPr>
              <w:ind w:left="0" w:right="33"/>
            </w:pPr>
            <w:r>
              <w:t>QWBA</w:t>
            </w:r>
          </w:p>
        </w:tc>
        <w:tc>
          <w:tcPr>
            <w:tcW w:w="6911" w:type="dxa"/>
          </w:tcPr>
          <w:p w:rsidR="000F3AD5" w:rsidRPr="00FD119B" w:rsidRDefault="000F3AD5" w:rsidP="009024C7">
            <w:pPr>
              <w:ind w:left="34" w:right="0"/>
            </w:pPr>
            <w:r w:rsidRPr="00BF7EB8">
              <w:t>quantitative whole</w:t>
            </w:r>
            <w:r>
              <w:t xml:space="preserve"> </w:t>
            </w:r>
            <w:r w:rsidRPr="00BF7EB8">
              <w:t>body autoradiography</w:t>
            </w:r>
          </w:p>
        </w:tc>
      </w:tr>
      <w:tr w:rsidR="0064096A" w:rsidRPr="00FD119B" w:rsidTr="009024C7">
        <w:tc>
          <w:tcPr>
            <w:tcW w:w="1809" w:type="dxa"/>
          </w:tcPr>
          <w:p w:rsidR="0064096A" w:rsidRPr="00FD119B" w:rsidRDefault="0064096A" w:rsidP="009024C7">
            <w:pPr>
              <w:ind w:left="0" w:right="33"/>
            </w:pPr>
            <w:proofErr w:type="spellStart"/>
            <w:r>
              <w:t>QTcI</w:t>
            </w:r>
            <w:proofErr w:type="spellEnd"/>
          </w:p>
        </w:tc>
        <w:tc>
          <w:tcPr>
            <w:tcW w:w="6911" w:type="dxa"/>
          </w:tcPr>
          <w:p w:rsidR="0064096A" w:rsidRPr="00FD119B" w:rsidRDefault="0064096A" w:rsidP="009024C7">
            <w:pPr>
              <w:ind w:left="34" w:right="0"/>
            </w:pPr>
            <w:r w:rsidRPr="00E63DC5">
              <w:t>corrected QT intervals</w:t>
            </w:r>
          </w:p>
        </w:tc>
      </w:tr>
      <w:tr w:rsidR="008B36F8" w:rsidRPr="00FD119B" w:rsidTr="009024C7">
        <w:tc>
          <w:tcPr>
            <w:tcW w:w="1809" w:type="dxa"/>
          </w:tcPr>
          <w:p w:rsidR="008B36F8" w:rsidRPr="00FD119B" w:rsidRDefault="008B36F8" w:rsidP="009024C7">
            <w:pPr>
              <w:ind w:left="0" w:right="33"/>
            </w:pPr>
            <w:r>
              <w:t>SAE</w:t>
            </w:r>
          </w:p>
        </w:tc>
        <w:tc>
          <w:tcPr>
            <w:tcW w:w="6911" w:type="dxa"/>
          </w:tcPr>
          <w:p w:rsidR="008B36F8" w:rsidRPr="00FD119B" w:rsidRDefault="008B36F8" w:rsidP="009024C7">
            <w:pPr>
              <w:ind w:left="34" w:right="0"/>
            </w:pPr>
            <w:r>
              <w:t>serious adverse event</w:t>
            </w:r>
          </w:p>
        </w:tc>
      </w:tr>
      <w:tr w:rsidR="00BC2053" w:rsidRPr="00FD119B" w:rsidTr="009024C7">
        <w:tc>
          <w:tcPr>
            <w:tcW w:w="1809" w:type="dxa"/>
          </w:tcPr>
          <w:p w:rsidR="00BC2053" w:rsidRPr="00FD119B" w:rsidRDefault="00BC2053" w:rsidP="009024C7">
            <w:pPr>
              <w:ind w:left="0" w:right="33"/>
            </w:pPr>
            <w:r>
              <w:t>SAS</w:t>
            </w:r>
          </w:p>
        </w:tc>
        <w:tc>
          <w:tcPr>
            <w:tcW w:w="6911" w:type="dxa"/>
          </w:tcPr>
          <w:p w:rsidR="00BC2053" w:rsidRPr="00FD119B" w:rsidRDefault="00BC2053" w:rsidP="009024C7">
            <w:pPr>
              <w:ind w:left="34" w:right="0"/>
            </w:pPr>
            <w:r w:rsidRPr="00A961B9">
              <w:t>Simpson-Angus Scale</w:t>
            </w:r>
          </w:p>
        </w:tc>
      </w:tr>
      <w:tr w:rsidR="003A22E1" w:rsidRPr="00FD119B" w:rsidTr="009024C7">
        <w:tc>
          <w:tcPr>
            <w:tcW w:w="1809" w:type="dxa"/>
          </w:tcPr>
          <w:p w:rsidR="003A22E1" w:rsidRPr="00FD119B" w:rsidRDefault="00A25C54" w:rsidP="009024C7">
            <w:pPr>
              <w:ind w:left="0" w:right="33"/>
            </w:pPr>
            <w:r>
              <w:t>SGA</w:t>
            </w:r>
          </w:p>
        </w:tc>
        <w:tc>
          <w:tcPr>
            <w:tcW w:w="6911" w:type="dxa"/>
          </w:tcPr>
          <w:p w:rsidR="003A22E1" w:rsidRPr="00FD119B" w:rsidRDefault="00A25C54" w:rsidP="009024C7">
            <w:pPr>
              <w:ind w:left="34" w:right="0"/>
            </w:pPr>
            <w:r w:rsidRPr="0065147B">
              <w:t>second</w:t>
            </w:r>
            <w:r>
              <w:t xml:space="preserve"> generation antipsychotic</w:t>
            </w:r>
          </w:p>
        </w:tc>
      </w:tr>
      <w:tr w:rsidR="0064096A" w:rsidRPr="00FD119B" w:rsidTr="009024C7">
        <w:tc>
          <w:tcPr>
            <w:tcW w:w="1809" w:type="dxa"/>
          </w:tcPr>
          <w:p w:rsidR="0064096A" w:rsidRPr="00FD119B" w:rsidRDefault="0064096A" w:rsidP="009024C7">
            <w:pPr>
              <w:ind w:left="0" w:right="33"/>
            </w:pPr>
            <w:proofErr w:type="spellStart"/>
            <w:r>
              <w:t>SmPC</w:t>
            </w:r>
            <w:proofErr w:type="spellEnd"/>
          </w:p>
        </w:tc>
        <w:tc>
          <w:tcPr>
            <w:tcW w:w="6911" w:type="dxa"/>
          </w:tcPr>
          <w:p w:rsidR="0064096A" w:rsidRPr="00FD119B" w:rsidRDefault="0064096A" w:rsidP="009024C7">
            <w:pPr>
              <w:ind w:left="34" w:right="0"/>
            </w:pPr>
            <w:r w:rsidRPr="000F126D">
              <w:t>Summary of Product Characteristics</w:t>
            </w:r>
          </w:p>
        </w:tc>
      </w:tr>
      <w:tr w:rsidR="003D0F6C" w:rsidRPr="00FD119B" w:rsidTr="009024C7">
        <w:tc>
          <w:tcPr>
            <w:tcW w:w="1809" w:type="dxa"/>
          </w:tcPr>
          <w:p w:rsidR="003D0F6C" w:rsidRPr="00FD119B" w:rsidRDefault="003D0F6C" w:rsidP="009024C7">
            <w:pPr>
              <w:ind w:left="0" w:right="33"/>
            </w:pPr>
            <w:r>
              <w:t>SOC</w:t>
            </w:r>
          </w:p>
        </w:tc>
        <w:tc>
          <w:tcPr>
            <w:tcW w:w="6911" w:type="dxa"/>
          </w:tcPr>
          <w:p w:rsidR="003D0F6C" w:rsidRPr="00FD119B" w:rsidRDefault="003D0F6C" w:rsidP="009024C7">
            <w:pPr>
              <w:ind w:left="34" w:right="0"/>
            </w:pPr>
            <w:r>
              <w:t>System Organ Class</w:t>
            </w:r>
          </w:p>
        </w:tc>
      </w:tr>
      <w:tr w:rsidR="000F3AD5" w:rsidRPr="00FD119B" w:rsidTr="009024C7">
        <w:tc>
          <w:tcPr>
            <w:tcW w:w="1809" w:type="dxa"/>
          </w:tcPr>
          <w:p w:rsidR="000F3AD5" w:rsidRPr="00FD119B" w:rsidRDefault="000F3AD5" w:rsidP="009024C7">
            <w:pPr>
              <w:ind w:left="0" w:right="33"/>
            </w:pPr>
            <w:proofErr w:type="spellStart"/>
            <w:r>
              <w:lastRenderedPageBreak/>
              <w:t>Tmax</w:t>
            </w:r>
            <w:proofErr w:type="spellEnd"/>
          </w:p>
        </w:tc>
        <w:tc>
          <w:tcPr>
            <w:tcW w:w="6911" w:type="dxa"/>
          </w:tcPr>
          <w:p w:rsidR="000F3AD5" w:rsidRPr="00FD119B" w:rsidRDefault="000F3AD5" w:rsidP="009024C7">
            <w:pPr>
              <w:ind w:left="34" w:right="0"/>
            </w:pPr>
            <w:r>
              <w:t xml:space="preserve">time to reach maximum </w:t>
            </w:r>
            <w:r w:rsidRPr="00460321">
              <w:t>plasma drug concentration</w:t>
            </w:r>
          </w:p>
        </w:tc>
      </w:tr>
      <w:tr w:rsidR="008B36F8" w:rsidRPr="00FD119B" w:rsidTr="009024C7">
        <w:tc>
          <w:tcPr>
            <w:tcW w:w="1809" w:type="dxa"/>
          </w:tcPr>
          <w:p w:rsidR="008B36F8" w:rsidRPr="00FD119B" w:rsidRDefault="008B36F8" w:rsidP="009024C7">
            <w:pPr>
              <w:ind w:left="0" w:right="33"/>
            </w:pPr>
            <w:r>
              <w:t>TEAE</w:t>
            </w:r>
          </w:p>
        </w:tc>
        <w:tc>
          <w:tcPr>
            <w:tcW w:w="6911" w:type="dxa"/>
          </w:tcPr>
          <w:p w:rsidR="008B36F8" w:rsidRPr="00FD119B" w:rsidRDefault="008B36F8" w:rsidP="009024C7">
            <w:pPr>
              <w:ind w:left="34" w:right="0"/>
            </w:pPr>
            <w:r>
              <w:t>treatment emergent adverse event</w:t>
            </w:r>
          </w:p>
        </w:tc>
      </w:tr>
      <w:tr w:rsidR="00FD119B" w:rsidRPr="00FD119B" w:rsidTr="009024C7">
        <w:tc>
          <w:tcPr>
            <w:tcW w:w="1809" w:type="dxa"/>
          </w:tcPr>
          <w:p w:rsidR="00FD119B" w:rsidRPr="00FD119B" w:rsidRDefault="00A32730" w:rsidP="009024C7">
            <w:pPr>
              <w:ind w:left="0" w:right="33"/>
            </w:pPr>
            <w:r>
              <w:t>TLC</w:t>
            </w:r>
          </w:p>
        </w:tc>
        <w:tc>
          <w:tcPr>
            <w:tcW w:w="6911" w:type="dxa"/>
          </w:tcPr>
          <w:p w:rsidR="00FD119B" w:rsidRPr="00FD119B" w:rsidRDefault="00A32730" w:rsidP="009024C7">
            <w:pPr>
              <w:ind w:left="34" w:right="0"/>
            </w:pPr>
            <w:r>
              <w:t>thin layer c</w:t>
            </w:r>
            <w:r w:rsidRPr="00A32730">
              <w:t>hromatography</w:t>
            </w:r>
          </w:p>
        </w:tc>
      </w:tr>
      <w:tr w:rsidR="008B36F8" w:rsidRPr="00FD119B" w:rsidTr="009024C7">
        <w:tc>
          <w:tcPr>
            <w:tcW w:w="1809" w:type="dxa"/>
          </w:tcPr>
          <w:p w:rsidR="008B36F8" w:rsidRPr="00FD119B" w:rsidRDefault="008B36F8" w:rsidP="009024C7">
            <w:pPr>
              <w:ind w:left="0" w:right="33"/>
            </w:pPr>
            <w:r>
              <w:t>ULN</w:t>
            </w:r>
          </w:p>
        </w:tc>
        <w:tc>
          <w:tcPr>
            <w:tcW w:w="6911" w:type="dxa"/>
          </w:tcPr>
          <w:p w:rsidR="008B36F8" w:rsidRPr="00FD119B" w:rsidRDefault="008B36F8" w:rsidP="009024C7">
            <w:pPr>
              <w:ind w:left="34" w:right="0"/>
            </w:pPr>
            <w:r>
              <w:t>Upper Limit of Normal</w:t>
            </w:r>
          </w:p>
        </w:tc>
      </w:tr>
      <w:tr w:rsidR="003D0F6C" w:rsidRPr="00FD119B" w:rsidTr="009024C7">
        <w:tc>
          <w:tcPr>
            <w:tcW w:w="1809" w:type="dxa"/>
          </w:tcPr>
          <w:p w:rsidR="003D0F6C" w:rsidRPr="00FD119B" w:rsidRDefault="003D0F6C" w:rsidP="009024C7">
            <w:pPr>
              <w:ind w:left="0" w:right="33"/>
            </w:pPr>
            <w:r>
              <w:t>UTS</w:t>
            </w:r>
          </w:p>
        </w:tc>
        <w:tc>
          <w:tcPr>
            <w:tcW w:w="6911" w:type="dxa"/>
          </w:tcPr>
          <w:p w:rsidR="003D0F6C" w:rsidRPr="00FD119B" w:rsidRDefault="003D0F6C" w:rsidP="009024C7">
            <w:pPr>
              <w:ind w:left="34" w:right="0"/>
            </w:pPr>
            <w:r w:rsidRPr="000F5C1D">
              <w:t>up</w:t>
            </w:r>
            <w:r>
              <w:t xml:space="preserve"> </w:t>
            </w:r>
            <w:r w:rsidRPr="000F5C1D">
              <w:t>to</w:t>
            </w:r>
            <w:r>
              <w:t xml:space="preserve"> </w:t>
            </w:r>
            <w:r w:rsidRPr="000F5C1D">
              <w:t>standard</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9024C7">
      <w:pPr>
        <w:pStyle w:val="Heading2"/>
      </w:pPr>
      <w:bookmarkStart w:id="9" w:name="_Toc392682431"/>
      <w:r>
        <w:lastRenderedPageBreak/>
        <w:t>I.</w:t>
      </w:r>
      <w:r w:rsidR="008E7846">
        <w:t xml:space="preserve"> Introduction to product </w:t>
      </w:r>
      <w:r w:rsidR="008E7846" w:rsidRPr="009024C7">
        <w:t>submission</w:t>
      </w:r>
      <w:bookmarkEnd w:id="1"/>
      <w:bookmarkEnd w:id="2"/>
      <w:bookmarkEnd w:id="9"/>
    </w:p>
    <w:p w:rsidR="008E7846" w:rsidRPr="009024C7" w:rsidRDefault="008E7846" w:rsidP="009024C7">
      <w:pPr>
        <w:pStyle w:val="Heading3"/>
      </w:pPr>
      <w:bookmarkStart w:id="10" w:name="_Toc247691502"/>
      <w:bookmarkStart w:id="11" w:name="_Toc314842483"/>
      <w:bookmarkStart w:id="12" w:name="_Toc392682432"/>
      <w:r>
        <w:rPr>
          <w:lang w:eastAsia="en-AU"/>
        </w:rPr>
        <w:t xml:space="preserve">Submission </w:t>
      </w:r>
      <w:r w:rsidR="009024C7">
        <w:rPr>
          <w:lang w:eastAsia="en-AU"/>
        </w:rPr>
        <w:t>d</w:t>
      </w:r>
      <w:r>
        <w:rPr>
          <w:lang w:eastAsia="en-AU"/>
        </w:rPr>
        <w:t>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9024C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A50912">
            <w:r w:rsidRPr="003D1E62">
              <w:t xml:space="preserve">New </w:t>
            </w:r>
            <w:r w:rsidR="001B5C90">
              <w:t>c</w:t>
            </w:r>
            <w:r w:rsidRPr="003D1E62">
              <w:t xml:space="preserve">hemical </w:t>
            </w:r>
            <w:r w:rsidR="001B5C90">
              <w:t>e</w:t>
            </w:r>
            <w:r w:rsidR="00A50912">
              <w:t>ntity</w:t>
            </w:r>
          </w:p>
        </w:tc>
      </w:tr>
      <w:tr w:rsidR="008E7846" w:rsidRPr="003D1E62" w:rsidTr="009024C7">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1A44C4" w:rsidP="001A44C4">
            <w:r>
              <w:t>Approved</w:t>
            </w:r>
          </w:p>
        </w:tc>
      </w:tr>
      <w:tr w:rsidR="008E7846" w:rsidRPr="003D1E62" w:rsidTr="009024C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6B787C" w:rsidP="001B5C90">
            <w:r>
              <w:t>19 March 2014</w:t>
            </w:r>
          </w:p>
        </w:tc>
      </w:tr>
      <w:tr w:rsidR="008E7846" w:rsidRPr="00487162" w:rsidTr="009024C7">
        <w:trPr>
          <w:gridAfter w:val="1"/>
          <w:wAfter w:w="283" w:type="dxa"/>
        </w:trPr>
        <w:tc>
          <w:tcPr>
            <w:tcW w:w="2907" w:type="dxa"/>
          </w:tcPr>
          <w:p w:rsidR="008E7846" w:rsidRPr="00487162" w:rsidRDefault="00513705" w:rsidP="00E45619">
            <w:pPr>
              <w:rPr>
                <w:i/>
              </w:rPr>
            </w:pPr>
            <w:r>
              <w:rPr>
                <w:i/>
              </w:rPr>
              <w:t>Active ingredient</w:t>
            </w:r>
            <w:r w:rsidR="001B5C90">
              <w:rPr>
                <w:i/>
              </w:rPr>
              <w:t>:</w:t>
            </w:r>
          </w:p>
        </w:tc>
        <w:tc>
          <w:tcPr>
            <w:tcW w:w="6307" w:type="dxa"/>
          </w:tcPr>
          <w:p w:rsidR="008E7846" w:rsidRPr="00487162" w:rsidRDefault="00513705" w:rsidP="00E45619">
            <w:r w:rsidRPr="00513705">
              <w:t>Lurasidone hydrochloride</w:t>
            </w:r>
          </w:p>
        </w:tc>
      </w:tr>
      <w:tr w:rsidR="008E7846" w:rsidRPr="00487162" w:rsidTr="009024C7">
        <w:trPr>
          <w:gridAfter w:val="1"/>
          <w:wAfter w:w="283" w:type="dxa"/>
        </w:trPr>
        <w:tc>
          <w:tcPr>
            <w:tcW w:w="2907" w:type="dxa"/>
          </w:tcPr>
          <w:p w:rsidR="008E7846" w:rsidRPr="00487162" w:rsidRDefault="008E7846" w:rsidP="001B5C90">
            <w:pPr>
              <w:rPr>
                <w:i/>
              </w:rPr>
            </w:pPr>
            <w:r w:rsidRPr="00487162">
              <w:rPr>
                <w:i/>
              </w:rPr>
              <w:t>Product</w:t>
            </w:r>
            <w:r w:rsidR="00513705">
              <w:rPr>
                <w:i/>
              </w:rPr>
              <w:t xml:space="preserve"> name</w:t>
            </w:r>
            <w:r w:rsidR="001B5C90">
              <w:rPr>
                <w:i/>
              </w:rPr>
              <w:t>:</w:t>
            </w:r>
          </w:p>
        </w:tc>
        <w:tc>
          <w:tcPr>
            <w:tcW w:w="6307" w:type="dxa"/>
          </w:tcPr>
          <w:p w:rsidR="008E7846" w:rsidRPr="00487162" w:rsidRDefault="00513705" w:rsidP="00E45619">
            <w:r>
              <w:t>Latuda</w:t>
            </w:r>
          </w:p>
        </w:tc>
      </w:tr>
      <w:tr w:rsidR="008E7846" w:rsidRPr="00487162" w:rsidTr="009024C7">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14317B" w:rsidRPr="00487162" w:rsidRDefault="0014317B" w:rsidP="009024C7">
            <w:r>
              <w:t>Commercial Eyes Pty Ltd</w:t>
            </w:r>
            <w:r w:rsidR="009024C7">
              <w:br/>
            </w:r>
            <w:r w:rsidR="000B40E2">
              <w:t>Level 11</w:t>
            </w:r>
            <w:r w:rsidR="003D18A1">
              <w:t>,</w:t>
            </w:r>
            <w:r w:rsidR="000B40E2">
              <w:t xml:space="preserve"> 500 Collins Street</w:t>
            </w:r>
            <w:r w:rsidR="009024C7">
              <w:br/>
            </w:r>
            <w:r w:rsidR="000B40E2" w:rsidRPr="000B40E2">
              <w:t>Melbourne VIC 3000</w:t>
            </w:r>
          </w:p>
        </w:tc>
      </w:tr>
      <w:tr w:rsidR="008E7846" w:rsidRPr="00487162" w:rsidTr="009024C7">
        <w:trPr>
          <w:gridAfter w:val="1"/>
          <w:wAfter w:w="283" w:type="dxa"/>
        </w:trPr>
        <w:tc>
          <w:tcPr>
            <w:tcW w:w="2907" w:type="dxa"/>
          </w:tcPr>
          <w:p w:rsidR="008E7846" w:rsidRPr="00487162" w:rsidRDefault="001B5C90" w:rsidP="009024C7">
            <w:pPr>
              <w:rPr>
                <w:i/>
              </w:rPr>
            </w:pPr>
            <w:r>
              <w:rPr>
                <w:i/>
              </w:rPr>
              <w:t>Dose form:</w:t>
            </w:r>
          </w:p>
        </w:tc>
        <w:tc>
          <w:tcPr>
            <w:tcW w:w="6307" w:type="dxa"/>
          </w:tcPr>
          <w:p w:rsidR="008E7846" w:rsidRPr="00487162" w:rsidRDefault="00A50912" w:rsidP="00E45619">
            <w:r w:rsidRPr="00D25F19">
              <w:t>Immediate release film coated tablets</w:t>
            </w:r>
          </w:p>
        </w:tc>
      </w:tr>
      <w:tr w:rsidR="008E7846" w:rsidRPr="00487162" w:rsidTr="009024C7">
        <w:trPr>
          <w:gridAfter w:val="1"/>
          <w:wAfter w:w="283" w:type="dxa"/>
        </w:trPr>
        <w:tc>
          <w:tcPr>
            <w:tcW w:w="2907" w:type="dxa"/>
          </w:tcPr>
          <w:p w:rsidR="008E7846" w:rsidRPr="00487162" w:rsidRDefault="008E7846" w:rsidP="009024C7">
            <w:pPr>
              <w:rPr>
                <w:i/>
              </w:rPr>
            </w:pPr>
            <w:r w:rsidRPr="00487162">
              <w:rPr>
                <w:i/>
              </w:rPr>
              <w:t>Strengths</w:t>
            </w:r>
            <w:r w:rsidR="009024C7">
              <w:rPr>
                <w:i/>
              </w:rPr>
              <w:t>:</w:t>
            </w:r>
          </w:p>
        </w:tc>
        <w:tc>
          <w:tcPr>
            <w:tcW w:w="6307" w:type="dxa"/>
          </w:tcPr>
          <w:p w:rsidR="008E7846" w:rsidRPr="00487162" w:rsidRDefault="00A50912" w:rsidP="00E45619">
            <w:r w:rsidRPr="00D25F19">
              <w:t>20 mg, 40 mg and 80 mg</w:t>
            </w:r>
          </w:p>
        </w:tc>
      </w:tr>
      <w:tr w:rsidR="008E7846" w:rsidRPr="00487162" w:rsidTr="009024C7">
        <w:trPr>
          <w:gridAfter w:val="1"/>
          <w:wAfter w:w="283" w:type="dxa"/>
        </w:trPr>
        <w:tc>
          <w:tcPr>
            <w:tcW w:w="2907" w:type="dxa"/>
          </w:tcPr>
          <w:p w:rsidR="008E7846" w:rsidRPr="00487162" w:rsidRDefault="008E7846" w:rsidP="009024C7">
            <w:pPr>
              <w:rPr>
                <w:i/>
              </w:rPr>
            </w:pPr>
            <w:r w:rsidRPr="00487162">
              <w:rPr>
                <w:i/>
              </w:rPr>
              <w:t>Container:</w:t>
            </w:r>
          </w:p>
        </w:tc>
        <w:tc>
          <w:tcPr>
            <w:tcW w:w="6307" w:type="dxa"/>
          </w:tcPr>
          <w:p w:rsidR="008E7846" w:rsidRPr="00487162" w:rsidRDefault="00A50912" w:rsidP="00E45619">
            <w:r w:rsidRPr="00D25F19">
              <w:t>Aluminium/Aluminium foil blister strips</w:t>
            </w:r>
          </w:p>
        </w:tc>
      </w:tr>
      <w:tr w:rsidR="008E7846" w:rsidRPr="00487162" w:rsidTr="009024C7">
        <w:trPr>
          <w:gridAfter w:val="1"/>
          <w:wAfter w:w="283" w:type="dxa"/>
        </w:trPr>
        <w:tc>
          <w:tcPr>
            <w:tcW w:w="2907" w:type="dxa"/>
          </w:tcPr>
          <w:p w:rsidR="008E7846" w:rsidRPr="00487162" w:rsidRDefault="008E7846" w:rsidP="009024C7">
            <w:pPr>
              <w:rPr>
                <w:i/>
              </w:rPr>
            </w:pPr>
            <w:r w:rsidRPr="00487162">
              <w:rPr>
                <w:i/>
              </w:rPr>
              <w:t>Pack sizes:</w:t>
            </w:r>
          </w:p>
        </w:tc>
        <w:tc>
          <w:tcPr>
            <w:tcW w:w="6307" w:type="dxa"/>
          </w:tcPr>
          <w:p w:rsidR="008E7846" w:rsidRPr="00487162" w:rsidRDefault="00A50912" w:rsidP="00E45619">
            <w:r w:rsidRPr="00D25F19">
              <w:t>7, 10, 14, 28, 30, 56, 60, 90, 98 and 100 tablets</w:t>
            </w:r>
          </w:p>
        </w:tc>
      </w:tr>
      <w:tr w:rsidR="008E7846" w:rsidRPr="00487162" w:rsidTr="009024C7">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2626F4" w:rsidP="00E45619">
            <w:pPr>
              <w:rPr>
                <w:rFonts w:eastAsia="MS Mincho"/>
                <w:lang w:eastAsia="ja-JP"/>
              </w:rPr>
            </w:pPr>
            <w:r>
              <w:t>Latuda is indicated for the treatment of adults with schizophrenia.</w:t>
            </w:r>
          </w:p>
        </w:tc>
      </w:tr>
      <w:tr w:rsidR="008E7846" w:rsidRPr="00487162" w:rsidTr="009024C7">
        <w:trPr>
          <w:gridAfter w:val="1"/>
          <w:wAfter w:w="283" w:type="dxa"/>
        </w:trPr>
        <w:tc>
          <w:tcPr>
            <w:tcW w:w="2907" w:type="dxa"/>
          </w:tcPr>
          <w:p w:rsidR="008E7846" w:rsidRPr="00487162" w:rsidRDefault="009024C7" w:rsidP="009024C7">
            <w:pPr>
              <w:rPr>
                <w:i/>
              </w:rPr>
            </w:pPr>
            <w:r>
              <w:rPr>
                <w:i/>
              </w:rPr>
              <w:t>Route</w:t>
            </w:r>
            <w:r w:rsidR="008E7846" w:rsidRPr="00487162">
              <w:rPr>
                <w:i/>
              </w:rPr>
              <w:t xml:space="preserve"> of administration:</w:t>
            </w:r>
          </w:p>
        </w:tc>
        <w:tc>
          <w:tcPr>
            <w:tcW w:w="6307" w:type="dxa"/>
          </w:tcPr>
          <w:p w:rsidR="008E7846" w:rsidRPr="00487162" w:rsidRDefault="00A50912" w:rsidP="00E45619">
            <w:r>
              <w:t>Oral</w:t>
            </w:r>
          </w:p>
        </w:tc>
      </w:tr>
      <w:tr w:rsidR="008E7846" w:rsidRPr="00487162" w:rsidTr="009024C7">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0B40E2" w:rsidP="000B40E2">
            <w:r>
              <w:t xml:space="preserve">Maximum recommended dose </w:t>
            </w:r>
            <w:r w:rsidR="00A50912" w:rsidRPr="00A50912">
              <w:t>is 160 mg once daily. L</w:t>
            </w:r>
            <w:r w:rsidR="00A50912">
              <w:t>atuda</w:t>
            </w:r>
            <w:r w:rsidR="00A50912" w:rsidRPr="00A50912">
              <w:t xml:space="preserve"> should be taken with food</w:t>
            </w:r>
            <w:r w:rsidR="00A50912">
              <w:t>.</w:t>
            </w:r>
          </w:p>
        </w:tc>
      </w:tr>
      <w:tr w:rsidR="008E7846" w:rsidRPr="00487162" w:rsidTr="009024C7">
        <w:trPr>
          <w:gridAfter w:val="1"/>
          <w:wAfter w:w="283" w:type="dxa"/>
        </w:trPr>
        <w:tc>
          <w:tcPr>
            <w:tcW w:w="2907" w:type="dxa"/>
          </w:tcPr>
          <w:p w:rsidR="008E7846" w:rsidRPr="00487162" w:rsidRDefault="008E7846" w:rsidP="009024C7">
            <w:pPr>
              <w:rPr>
                <w:i/>
              </w:rPr>
            </w:pPr>
            <w:r w:rsidRPr="00487162">
              <w:rPr>
                <w:i/>
              </w:rPr>
              <w:t xml:space="preserve">ARTG </w:t>
            </w:r>
            <w:r w:rsidR="001B5C90">
              <w:rPr>
                <w:i/>
              </w:rPr>
              <w:t>n</w:t>
            </w:r>
            <w:r w:rsidRPr="00487162">
              <w:rPr>
                <w:i/>
              </w:rPr>
              <w:t>umbe</w:t>
            </w:r>
            <w:r w:rsidR="009024C7">
              <w:rPr>
                <w:i/>
              </w:rPr>
              <w:t>r</w:t>
            </w:r>
            <w:r w:rsidR="001B5C90">
              <w:rPr>
                <w:i/>
              </w:rPr>
              <w:t>:</w:t>
            </w:r>
          </w:p>
        </w:tc>
        <w:tc>
          <w:tcPr>
            <w:tcW w:w="6307" w:type="dxa"/>
          </w:tcPr>
          <w:p w:rsidR="008E7846" w:rsidRPr="00487162" w:rsidRDefault="00D34ADB" w:rsidP="00E45619">
            <w:r>
              <w:t>206654</w:t>
            </w:r>
            <w:r w:rsidR="001A44C4">
              <w:t xml:space="preserve"> (20 mg), </w:t>
            </w:r>
            <w:r>
              <w:t>206650</w:t>
            </w:r>
            <w:r w:rsidR="001A44C4">
              <w:t xml:space="preserve"> (40 mg), </w:t>
            </w:r>
            <w:r>
              <w:t>206651</w:t>
            </w:r>
            <w:r w:rsidR="001A44C4">
              <w:t xml:space="preserve"> (80 mg)</w:t>
            </w:r>
          </w:p>
        </w:tc>
      </w:tr>
    </w:tbl>
    <w:p w:rsidR="008E7846" w:rsidRDefault="008E7846" w:rsidP="009024C7">
      <w:pPr>
        <w:pStyle w:val="Heading3"/>
      </w:pPr>
      <w:bookmarkStart w:id="13" w:name="_Toc247691503"/>
      <w:bookmarkStart w:id="14" w:name="_Toc314842484"/>
      <w:bookmarkStart w:id="15" w:name="_Toc392682433"/>
      <w:r>
        <w:t xml:space="preserve">Product </w:t>
      </w:r>
      <w:r w:rsidR="009024C7" w:rsidRPr="009024C7">
        <w:t>b</w:t>
      </w:r>
      <w:r w:rsidRPr="009024C7">
        <w:t>ackground</w:t>
      </w:r>
      <w:bookmarkEnd w:id="13"/>
      <w:bookmarkEnd w:id="14"/>
      <w:bookmarkEnd w:id="15"/>
    </w:p>
    <w:p w:rsidR="0065147B" w:rsidRPr="0065147B" w:rsidRDefault="00BC08D1" w:rsidP="009024C7">
      <w:r w:rsidRPr="0065147B">
        <w:t>This AusPAR describes a submission by the sponsor, Commercial Eyes Pty Ltd, to register a new chemical entity, lurasidone hydrochloride</w:t>
      </w:r>
      <w:r w:rsidR="000A178A">
        <w:t xml:space="preserve"> (LDH)</w:t>
      </w:r>
      <w:r w:rsidRPr="0065147B">
        <w:t>, with the trade name Latuda.</w:t>
      </w:r>
      <w:r w:rsidR="0065147B">
        <w:t xml:space="preserve"> Lurasidone is an atypical anti</w:t>
      </w:r>
      <w:r w:rsidR="0065147B" w:rsidRPr="0065147B">
        <w:t xml:space="preserve">psychotic belonging to the chemical class of </w:t>
      </w:r>
      <w:proofErr w:type="spellStart"/>
      <w:r w:rsidR="0065147B" w:rsidRPr="0065147B">
        <w:t>benzisothiazole</w:t>
      </w:r>
      <w:proofErr w:type="spellEnd"/>
      <w:r w:rsidR="0065147B" w:rsidRPr="0065147B">
        <w:t xml:space="preserve"> derivatives. It has antagonist activity on the dopamine 2 (D2) and serotonin (5-HT)</w:t>
      </w:r>
      <w:r w:rsidR="00DF6F61">
        <w:t xml:space="preserve"> </w:t>
      </w:r>
      <w:r w:rsidR="0065147B" w:rsidRPr="0065147B">
        <w:t>2A receptors. The proposed indication is:</w:t>
      </w:r>
    </w:p>
    <w:p w:rsidR="0065147B" w:rsidRPr="009024C7" w:rsidRDefault="0065147B" w:rsidP="009024C7">
      <w:pPr>
        <w:ind w:left="720"/>
        <w:rPr>
          <w:i/>
        </w:rPr>
      </w:pPr>
      <w:r w:rsidRPr="009024C7">
        <w:rPr>
          <w:i/>
        </w:rPr>
        <w:t>Latuda is indicated for the treatment of schizophrenia.</w:t>
      </w:r>
    </w:p>
    <w:p w:rsidR="0065147B" w:rsidRPr="00535117" w:rsidRDefault="0065147B" w:rsidP="009024C7">
      <w:r w:rsidRPr="0065147B">
        <w:t xml:space="preserve">Lurasidone was approved in the US in 2010 and in Canada in 2012. The approved indication in the US is </w:t>
      </w:r>
      <w:r w:rsidRPr="00197645">
        <w:rPr>
          <w:i/>
        </w:rPr>
        <w:t>treatment of patients with schizophrenia</w:t>
      </w:r>
      <w:r w:rsidRPr="0065147B">
        <w:t xml:space="preserve">. The approved indication in Canada is </w:t>
      </w:r>
      <w:r w:rsidRPr="00197645">
        <w:rPr>
          <w:i/>
        </w:rPr>
        <w:t>acute treatment of patients with schizophrenia</w:t>
      </w:r>
      <w:r w:rsidRPr="0065147B">
        <w:t>. In both countries there are boxed warnings relating to increased mortality in elderly patients with dementia</w:t>
      </w:r>
      <w:r w:rsidR="00370FF7">
        <w:t xml:space="preserve"> </w:t>
      </w:r>
      <w:r w:rsidRPr="0065147B">
        <w:t>related psychosis. In addition, due to the lack of long term controlled data in these submissions</w:t>
      </w:r>
      <w:r w:rsidR="00370FF7">
        <w:t>,</w:t>
      </w:r>
      <w:r w:rsidRPr="0065147B">
        <w:t xml:space="preserve"> the indication in these countries also includes that </w:t>
      </w:r>
      <w:r w:rsidRPr="00197645">
        <w:rPr>
          <w:i/>
        </w:rPr>
        <w:t xml:space="preserve">the efficacy of </w:t>
      </w:r>
      <w:r w:rsidR="00370FF7" w:rsidRPr="00197645">
        <w:rPr>
          <w:i/>
        </w:rPr>
        <w:t>Latuda</w:t>
      </w:r>
      <w:r w:rsidRPr="00197645">
        <w:rPr>
          <w:i/>
        </w:rPr>
        <w:t xml:space="preserve"> for long</w:t>
      </w:r>
      <w:r w:rsidR="00370FF7" w:rsidRPr="00197645">
        <w:rPr>
          <w:i/>
        </w:rPr>
        <w:t xml:space="preserve"> </w:t>
      </w:r>
      <w:r w:rsidRPr="00197645">
        <w:rPr>
          <w:i/>
        </w:rPr>
        <w:t>term use, that is, for more than 6 weeks, has not been systematically evaluated in controlled studies</w:t>
      </w:r>
      <w:r w:rsidRPr="0065147B">
        <w:t>.</w:t>
      </w:r>
      <w:r w:rsidR="00535117">
        <w:t xml:space="preserve"> </w:t>
      </w:r>
      <w:r w:rsidR="00535117" w:rsidRPr="00535117">
        <w:t>In S</w:t>
      </w:r>
      <w:r w:rsidR="00535117">
        <w:t>witzerland, lurasidone</w:t>
      </w:r>
      <w:r w:rsidR="00535117" w:rsidRPr="00535117">
        <w:t xml:space="preserve"> is indicated for the </w:t>
      </w:r>
      <w:r w:rsidR="00535117" w:rsidRPr="00535117">
        <w:rPr>
          <w:i/>
        </w:rPr>
        <w:t>treatment of patients with schizophrenia</w:t>
      </w:r>
      <w:r w:rsidR="00535117">
        <w:t>.</w:t>
      </w:r>
    </w:p>
    <w:p w:rsidR="0065147B" w:rsidRPr="0065147B" w:rsidRDefault="0065147B" w:rsidP="009024C7">
      <w:r w:rsidRPr="0065147B">
        <w:lastRenderedPageBreak/>
        <w:t>In July 2013</w:t>
      </w:r>
      <w:r w:rsidR="00370FF7">
        <w:t>,</w:t>
      </w:r>
      <w:r w:rsidRPr="0065147B">
        <w:t xml:space="preserve"> an extension to the </w:t>
      </w:r>
      <w:r w:rsidR="00370FF7">
        <w:t>indications for Lurasidone was approved by the US</w:t>
      </w:r>
      <w:r w:rsidRPr="0065147B">
        <w:t xml:space="preserve"> F</w:t>
      </w:r>
      <w:r w:rsidR="00370FF7">
        <w:t>ood and Drug Administration (F</w:t>
      </w:r>
      <w:r w:rsidRPr="0065147B">
        <w:t>DA</w:t>
      </w:r>
      <w:r w:rsidR="00370FF7">
        <w:t>)</w:t>
      </w:r>
      <w:r w:rsidRPr="0065147B">
        <w:t xml:space="preserve"> to include </w:t>
      </w:r>
      <w:r w:rsidRPr="00197645">
        <w:rPr>
          <w:i/>
        </w:rPr>
        <w:t>treatment of depressive episodes associated with Bipolar I Disorder (Bipolar Depression) in adults when used alone or in combination with lithium or valproate</w:t>
      </w:r>
      <w:r w:rsidRPr="0065147B">
        <w:t>. An application for marketing authorisation was lodged with the E</w:t>
      </w:r>
      <w:r w:rsidR="00370FF7">
        <w:t>uropean Medicines Agency (EMA)</w:t>
      </w:r>
      <w:r w:rsidR="009024C7">
        <w:t xml:space="preserve"> in September 2012.</w:t>
      </w:r>
    </w:p>
    <w:p w:rsidR="0065147B" w:rsidRPr="0065147B" w:rsidRDefault="0065147B" w:rsidP="009024C7">
      <w:r w:rsidRPr="0065147B">
        <w:t xml:space="preserve">As noted in </w:t>
      </w:r>
      <w:r w:rsidR="00904828">
        <w:rPr>
          <w:i/>
        </w:rPr>
        <w:t>Therapeutic Guidelines: p</w:t>
      </w:r>
      <w:r w:rsidRPr="00370FF7">
        <w:rPr>
          <w:i/>
        </w:rPr>
        <w:t>sychotropic</w:t>
      </w:r>
      <w:r w:rsidRPr="0065147B">
        <w:t xml:space="preserve"> in patients with schizophrenia or related psychoses,</w:t>
      </w:r>
      <w:r w:rsidR="00370FF7">
        <w:rPr>
          <w:rStyle w:val="FootnoteReference"/>
        </w:rPr>
        <w:footnoteReference w:id="1"/>
      </w:r>
      <w:r w:rsidRPr="0065147B">
        <w:t xml:space="preserve"> antipsychotic drugs diminish positive symptoms such as hallucinations, delusions and thought disorder. They also decrease symptoms of excitement, including hostility. They have limited impact on cognitive impairment, negative symptoms and mood disturbance, all of which require additional treatment. Antipsychotics are also im</w:t>
      </w:r>
      <w:r w:rsidR="009024C7">
        <w:t>portant for preventing relapse.</w:t>
      </w:r>
    </w:p>
    <w:p w:rsidR="0065147B" w:rsidRPr="0065147B" w:rsidRDefault="0065147B" w:rsidP="009024C7">
      <w:r w:rsidRPr="0065147B">
        <w:t xml:space="preserve">A number of different terms are used to classify antipsychotic drugs. </w:t>
      </w:r>
      <w:proofErr w:type="spellStart"/>
      <w:r w:rsidRPr="0065147B">
        <w:t>Amisulpride</w:t>
      </w:r>
      <w:proofErr w:type="spellEnd"/>
      <w:r w:rsidRPr="0065147B">
        <w:t xml:space="preserve">, </w:t>
      </w:r>
      <w:proofErr w:type="spellStart"/>
      <w:r w:rsidRPr="0065147B">
        <w:t>aripiprazole</w:t>
      </w:r>
      <w:proofErr w:type="spellEnd"/>
      <w:r w:rsidRPr="0065147B">
        <w:t xml:space="preserve">, </w:t>
      </w:r>
      <w:proofErr w:type="spellStart"/>
      <w:r w:rsidRPr="0065147B">
        <w:t>asenapine</w:t>
      </w:r>
      <w:proofErr w:type="spellEnd"/>
      <w:r w:rsidRPr="0065147B">
        <w:t xml:space="preserve">, clozapine, olanzapine, </w:t>
      </w:r>
      <w:proofErr w:type="spellStart"/>
      <w:r w:rsidRPr="0065147B">
        <w:t>paliperidone</w:t>
      </w:r>
      <w:proofErr w:type="spellEnd"/>
      <w:r w:rsidRPr="0065147B">
        <w:t xml:space="preserve">, </w:t>
      </w:r>
      <w:proofErr w:type="spellStart"/>
      <w:r w:rsidRPr="0065147B">
        <w:t>quetiapine</w:t>
      </w:r>
      <w:proofErr w:type="spellEnd"/>
      <w:r w:rsidRPr="0065147B">
        <w:t xml:space="preserve">, </w:t>
      </w:r>
      <w:proofErr w:type="spellStart"/>
      <w:r w:rsidRPr="0065147B">
        <w:t>risperidone</w:t>
      </w:r>
      <w:proofErr w:type="spellEnd"/>
      <w:r w:rsidRPr="0065147B">
        <w:t xml:space="preserve">, </w:t>
      </w:r>
      <w:proofErr w:type="spellStart"/>
      <w:r w:rsidRPr="0065147B">
        <w:t>sertindole</w:t>
      </w:r>
      <w:proofErr w:type="spellEnd"/>
      <w:r w:rsidRPr="0065147B">
        <w:t xml:space="preserve"> and </w:t>
      </w:r>
      <w:proofErr w:type="spellStart"/>
      <w:r w:rsidRPr="0065147B">
        <w:t>ziprasidone</w:t>
      </w:r>
      <w:proofErr w:type="spellEnd"/>
      <w:r w:rsidRPr="0065147B">
        <w:t xml:space="preserve"> are referred to as second</w:t>
      </w:r>
      <w:r w:rsidR="00C621CE">
        <w:t xml:space="preserve"> </w:t>
      </w:r>
      <w:r w:rsidRPr="0065147B">
        <w:t xml:space="preserve">generation antipsychotics (SGAs), and chlorpromazine, </w:t>
      </w:r>
      <w:proofErr w:type="spellStart"/>
      <w:r w:rsidRPr="0065147B">
        <w:t>flupenthixol</w:t>
      </w:r>
      <w:proofErr w:type="spellEnd"/>
      <w:r w:rsidRPr="0065147B">
        <w:t xml:space="preserve">, </w:t>
      </w:r>
      <w:proofErr w:type="spellStart"/>
      <w:r w:rsidRPr="0065147B">
        <w:t>fluphenazine</w:t>
      </w:r>
      <w:proofErr w:type="spellEnd"/>
      <w:r w:rsidRPr="0065147B">
        <w:t xml:space="preserve">, haloperidol, </w:t>
      </w:r>
      <w:proofErr w:type="spellStart"/>
      <w:r w:rsidRPr="0065147B">
        <w:t>pericyazine</w:t>
      </w:r>
      <w:proofErr w:type="spellEnd"/>
      <w:r w:rsidRPr="0065147B">
        <w:t xml:space="preserve">, </w:t>
      </w:r>
      <w:proofErr w:type="spellStart"/>
      <w:r w:rsidRPr="0065147B">
        <w:t>trifluoperazine</w:t>
      </w:r>
      <w:proofErr w:type="spellEnd"/>
      <w:r w:rsidRPr="0065147B">
        <w:t xml:space="preserve"> and </w:t>
      </w:r>
      <w:proofErr w:type="spellStart"/>
      <w:r w:rsidRPr="0065147B">
        <w:t>zuclopenthixol</w:t>
      </w:r>
      <w:proofErr w:type="spellEnd"/>
      <w:r w:rsidRPr="0065147B">
        <w:t xml:space="preserve"> are referred to as first</w:t>
      </w:r>
      <w:r w:rsidR="00C621CE">
        <w:t xml:space="preserve"> </w:t>
      </w:r>
      <w:r w:rsidRPr="0065147B">
        <w:t>generation antipsychotics (FGAs). This distinction originally related to the propensity of SGAs to cause fewer extrapyramidal adverse effects and other movement disorders than FGAs. However, this differentiation is now less important as the SGAs also have</w:t>
      </w:r>
      <w:r w:rsidR="00C621CE">
        <w:t xml:space="preserve"> significant adverse effects (for example,</w:t>
      </w:r>
      <w:r w:rsidRPr="0065147B">
        <w:t xml:space="preserve"> </w:t>
      </w:r>
      <w:proofErr w:type="spellStart"/>
      <w:r w:rsidRPr="0065147B">
        <w:t>cardiometabolic</w:t>
      </w:r>
      <w:proofErr w:type="spellEnd"/>
      <w:r w:rsidRPr="0065147B">
        <w:t xml:space="preserve"> effects), and neither group acts as a single class of drugs. Therefore</w:t>
      </w:r>
      <w:r w:rsidR="00197645">
        <w:t>,</w:t>
      </w:r>
      <w:r w:rsidRPr="0065147B">
        <w:t xml:space="preserve"> the terminology now reflects, if anything, the length of time the drugs have been available.</w:t>
      </w:r>
    </w:p>
    <w:p w:rsidR="008E7846" w:rsidRPr="009024C7" w:rsidRDefault="00386150" w:rsidP="009024C7">
      <w:pPr>
        <w:pStyle w:val="Heading3"/>
      </w:pPr>
      <w:bookmarkStart w:id="16" w:name="_Toc314842485"/>
      <w:bookmarkStart w:id="17" w:name="_Toc247691504"/>
      <w:bookmarkStart w:id="18" w:name="_Toc392682434"/>
      <w:r>
        <w:t xml:space="preserve">Regulatory </w:t>
      </w:r>
      <w:r w:rsidR="009024C7">
        <w:t>s</w:t>
      </w:r>
      <w:r w:rsidR="008E7846">
        <w:t>tatus</w:t>
      </w:r>
      <w:bookmarkEnd w:id="16"/>
      <w:bookmarkEnd w:id="17"/>
      <w:bookmarkEnd w:id="18"/>
    </w:p>
    <w:p w:rsidR="00322582" w:rsidRDefault="00322582" w:rsidP="009024C7">
      <w:bookmarkStart w:id="19" w:name="_Toc247691505"/>
      <w:bookmarkStart w:id="20" w:name="_Toc314842486"/>
      <w:r>
        <w:t>The international regulatory status for Latuda at the time of the Australian submission to the TGA is shown in Table 1.</w:t>
      </w:r>
    </w:p>
    <w:p w:rsidR="003B084A" w:rsidRDefault="003B084A" w:rsidP="009024C7">
      <w:pPr>
        <w:pStyle w:val="TableTitle"/>
      </w:pPr>
      <w:proofErr w:type="gramStart"/>
      <w:r>
        <w:t>Table 1:</w:t>
      </w:r>
      <w:r w:rsidRPr="004C5C28">
        <w:t xml:space="preserve"> </w:t>
      </w:r>
      <w:r w:rsidRPr="009024C7">
        <w:t>International</w:t>
      </w:r>
      <w:r w:rsidRPr="006C6277">
        <w:t xml:space="preserve"> </w:t>
      </w:r>
      <w:r>
        <w:t>r</w:t>
      </w:r>
      <w:r w:rsidRPr="006C6277">
        <w:t xml:space="preserve">egulatory </w:t>
      </w:r>
      <w:r>
        <w:t>status for</w:t>
      </w:r>
      <w:r w:rsidRPr="006C6277">
        <w:t xml:space="preserve"> </w:t>
      </w:r>
      <w:r>
        <w:t>Latuda.</w:t>
      </w:r>
      <w:proofErr w:type="gramEnd"/>
    </w:p>
    <w:p w:rsidR="00940A89" w:rsidRDefault="00C85C44" w:rsidP="009024C7">
      <w:r>
        <w:rPr>
          <w:noProof/>
          <w:lang w:eastAsia="en-AU"/>
        </w:rPr>
        <w:drawing>
          <wp:inline distT="0" distB="0" distL="0" distR="0" wp14:anchorId="49CDEB13" wp14:editId="7BC00FB7">
            <wp:extent cx="5391150" cy="1559560"/>
            <wp:effectExtent l="0" t="0" r="0" b="2540"/>
            <wp:docPr id="27" name="Picture 1" descr="Table 1: International regulatory status for Lat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for Latu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1559560"/>
                    </a:xfrm>
                    <a:prstGeom prst="rect">
                      <a:avLst/>
                    </a:prstGeom>
                    <a:noFill/>
                    <a:ln>
                      <a:noFill/>
                    </a:ln>
                  </pic:spPr>
                </pic:pic>
              </a:graphicData>
            </a:graphic>
          </wp:inline>
        </w:drawing>
      </w:r>
    </w:p>
    <w:p w:rsidR="008E7846" w:rsidRDefault="008E7846" w:rsidP="009024C7">
      <w:pPr>
        <w:pStyle w:val="Heading3"/>
      </w:pPr>
      <w:bookmarkStart w:id="21" w:name="_Toc392682435"/>
      <w:r>
        <w:t xml:space="preserve">Product </w:t>
      </w:r>
      <w:r w:rsidRPr="009024C7">
        <w:t>Information</w:t>
      </w:r>
      <w:bookmarkEnd w:id="19"/>
      <w:bookmarkEnd w:id="20"/>
      <w:bookmarkEnd w:id="21"/>
    </w:p>
    <w:p w:rsidR="00940A89" w:rsidRDefault="00940A89" w:rsidP="009024C7">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3C189A">
        <w:t>PI</w:t>
      </w:r>
      <w:r w:rsidR="000A178A">
        <w:t>,</w:t>
      </w:r>
      <w:r w:rsidRPr="00940A89">
        <w:t xml:space="preserve"> please refer to the TGA website at &lt;</w:t>
      </w:r>
      <w:hyperlink r:id="rId18" w:history="1">
        <w:r w:rsidRPr="00940A89">
          <w:rPr>
            <w:rStyle w:val="Hyperlink"/>
          </w:rPr>
          <w:t>http://www.tga.gov.au/hp/information-medicines-pi.htm</w:t>
        </w:r>
      </w:hyperlink>
      <w:r w:rsidRPr="00940A89">
        <w:t>&gt;.</w:t>
      </w:r>
    </w:p>
    <w:p w:rsidR="008E7846" w:rsidRPr="003602A9" w:rsidRDefault="008E7846" w:rsidP="009024C7">
      <w:pPr>
        <w:pStyle w:val="Heading2"/>
      </w:pPr>
      <w:bookmarkStart w:id="24" w:name="_Toc392682436"/>
      <w:r>
        <w:lastRenderedPageBreak/>
        <w:t>II. Quality</w:t>
      </w:r>
      <w:bookmarkEnd w:id="0"/>
      <w:r>
        <w:t xml:space="preserve"> </w:t>
      </w:r>
      <w:r w:rsidRPr="009024C7">
        <w:t>findings</w:t>
      </w:r>
      <w:bookmarkEnd w:id="22"/>
      <w:bookmarkEnd w:id="23"/>
      <w:bookmarkEnd w:id="24"/>
    </w:p>
    <w:p w:rsidR="00940A89" w:rsidRPr="009024C7" w:rsidRDefault="006D6A1E" w:rsidP="009024C7">
      <w:pPr>
        <w:pStyle w:val="Heading3"/>
        <w:rPr>
          <w:rFonts w:eastAsia="Cambria"/>
        </w:rPr>
      </w:pPr>
      <w:bookmarkStart w:id="25" w:name="_Toc247691507"/>
      <w:bookmarkStart w:id="26" w:name="_Toc314842488"/>
      <w:bookmarkStart w:id="27" w:name="_Toc392682437"/>
      <w:r>
        <w:t>Introduction</w:t>
      </w:r>
      <w:bookmarkEnd w:id="27"/>
    </w:p>
    <w:p w:rsidR="000A178A" w:rsidRPr="000A178A" w:rsidRDefault="000A178A" w:rsidP="009024C7">
      <w:r w:rsidRPr="000A178A">
        <w:t xml:space="preserve">The new chemical entity </w:t>
      </w:r>
      <w:r>
        <w:t>LDH binds</w:t>
      </w:r>
      <w:r w:rsidR="009E0449">
        <w:t xml:space="preserve"> with high affinity to D2</w:t>
      </w:r>
      <w:r w:rsidRPr="000A178A">
        <w:t xml:space="preserve"> (Ki = 0.994 </w:t>
      </w:r>
      <w:proofErr w:type="spellStart"/>
      <w:r w:rsidRPr="000A178A">
        <w:t>nM</w:t>
      </w:r>
      <w:proofErr w:type="spellEnd"/>
      <w:r w:rsidRPr="000A178A">
        <w:t>), 5-HT2A (Ki = 0.47 </w:t>
      </w:r>
      <w:proofErr w:type="spellStart"/>
      <w:r w:rsidRPr="000A178A">
        <w:t>nM</w:t>
      </w:r>
      <w:proofErr w:type="spellEnd"/>
      <w:r w:rsidRPr="000A178A">
        <w:t xml:space="preserve">) receptors, and 5-HT7 receptors (Ki = 0.495 </w:t>
      </w:r>
      <w:proofErr w:type="spellStart"/>
      <w:r w:rsidRPr="000A178A">
        <w:t>nM</w:t>
      </w:r>
      <w:proofErr w:type="spellEnd"/>
      <w:r w:rsidRPr="000A178A">
        <w:t xml:space="preserve">) and also with moderate affinity to alpha-2C adrenergic receptors (Ki = 10.8 </w:t>
      </w:r>
      <w:proofErr w:type="spellStart"/>
      <w:r w:rsidRPr="000A178A">
        <w:t>nM</w:t>
      </w:r>
      <w:proofErr w:type="spellEnd"/>
      <w:r w:rsidRPr="000A178A">
        <w:t xml:space="preserve">). It is a partial agonist at 5-HT1A receptors (Ki = 6.38 </w:t>
      </w:r>
      <w:proofErr w:type="spellStart"/>
      <w:r w:rsidRPr="000A178A">
        <w:t>nM</w:t>
      </w:r>
      <w:proofErr w:type="spellEnd"/>
      <w:r w:rsidRPr="000A178A">
        <w:t xml:space="preserve">). Its actions on </w:t>
      </w:r>
      <w:proofErr w:type="spellStart"/>
      <w:r w:rsidRPr="000A178A">
        <w:t>histaminergic</w:t>
      </w:r>
      <w:proofErr w:type="spellEnd"/>
      <w:r w:rsidRPr="000A178A">
        <w:t xml:space="preserve"> and muscarinic receptors are negligible</w:t>
      </w:r>
      <w:r>
        <w:t>.</w:t>
      </w:r>
    </w:p>
    <w:p w:rsidR="000A178A" w:rsidRDefault="000A178A" w:rsidP="009024C7">
      <w:r w:rsidRPr="000A178A">
        <w:t>The present submission seeks to register three strengths of immediate release film coated tablets containing LDH 20 mg, 40 mg and 80 mg under the trade name “L</w:t>
      </w:r>
      <w:r>
        <w:t>atuda</w:t>
      </w:r>
      <w:r w:rsidRPr="000A178A">
        <w:t>”, to be administered once daily with food at a recommended starting dose of 40 mg, and a maximum dose of 160 mg. L</w:t>
      </w:r>
      <w:r>
        <w:t>atuda</w:t>
      </w:r>
      <w:r w:rsidRPr="000A178A">
        <w:t xml:space="preserve"> is indicated for the treatment of schizophrenia in adults. The safety and efficacy of L</w:t>
      </w:r>
      <w:r>
        <w:t>atuda</w:t>
      </w:r>
      <w:r w:rsidRPr="000A178A">
        <w:t xml:space="preserve"> in patients younger than 18 years has not been established</w:t>
      </w:r>
      <w:r w:rsidR="00633668">
        <w:t>.</w:t>
      </w:r>
    </w:p>
    <w:p w:rsidR="008E7846" w:rsidRDefault="008E7846" w:rsidP="009024C7">
      <w:pPr>
        <w:pStyle w:val="Heading3"/>
      </w:pPr>
      <w:bookmarkStart w:id="28" w:name="_Toc392682438"/>
      <w:r w:rsidRPr="008751DC">
        <w:t xml:space="preserve">Drug </w:t>
      </w:r>
      <w:r w:rsidR="009024C7">
        <w:t>s</w:t>
      </w:r>
      <w:r w:rsidRPr="008751DC">
        <w:t>ubstance</w:t>
      </w:r>
      <w:r>
        <w:t xml:space="preserve"> (</w:t>
      </w:r>
      <w:r w:rsidR="009024C7" w:rsidRPr="009024C7">
        <w:t>a</w:t>
      </w:r>
      <w:r w:rsidRPr="009024C7">
        <w:t>ctive</w:t>
      </w:r>
      <w:r>
        <w:t xml:space="preserve"> </w:t>
      </w:r>
      <w:r w:rsidR="000E55BF">
        <w:t>I</w:t>
      </w:r>
      <w:r>
        <w:t>ngredient)</w:t>
      </w:r>
      <w:bookmarkEnd w:id="25"/>
      <w:bookmarkEnd w:id="26"/>
      <w:bookmarkEnd w:id="28"/>
    </w:p>
    <w:p w:rsidR="001E0754" w:rsidRPr="001E0754" w:rsidRDefault="001E0754" w:rsidP="009024C7">
      <w:r w:rsidRPr="001E0754">
        <w:t>The substance (</w:t>
      </w:r>
      <w:r>
        <w:t>Figure 1</w:t>
      </w:r>
      <w:r w:rsidRPr="001E0754">
        <w:t xml:space="preserve">), which is manufactured by chemical synthesis, has six chiral centres, the absolute configuration of which are defined by the chirality of two of the functionalised </w:t>
      </w:r>
      <w:proofErr w:type="spellStart"/>
      <w:r w:rsidRPr="001E0754">
        <w:t>synthons</w:t>
      </w:r>
      <w:proofErr w:type="spellEnd"/>
      <w:r w:rsidRPr="001E0754">
        <w:t xml:space="preserve">, and were confirmed by single crystal </w:t>
      </w:r>
      <w:proofErr w:type="gramStart"/>
      <w:r w:rsidRPr="001E0754">
        <w:t>X</w:t>
      </w:r>
      <w:proofErr w:type="gramEnd"/>
      <w:r w:rsidR="00633668">
        <w:t xml:space="preserve"> </w:t>
      </w:r>
      <w:r w:rsidRPr="001E0754">
        <w:t>ray diffraction data.</w:t>
      </w:r>
    </w:p>
    <w:p w:rsidR="00BF19E5" w:rsidRDefault="00BF19E5" w:rsidP="009024C7">
      <w:pPr>
        <w:pStyle w:val="FigureTitle"/>
      </w:pPr>
      <w:r>
        <w:t>Figure 1:</w:t>
      </w:r>
      <w:r w:rsidRPr="004C5C28">
        <w:t xml:space="preserve"> </w:t>
      </w:r>
      <w:r>
        <w:t xml:space="preserve">Chemical structure of </w:t>
      </w:r>
      <w:r w:rsidR="00552818">
        <w:t>lurasidone</w:t>
      </w:r>
      <w:r>
        <w:t>.</w:t>
      </w:r>
    </w:p>
    <w:p w:rsidR="00552818" w:rsidRDefault="00C85C44" w:rsidP="009024C7">
      <w:r>
        <w:rPr>
          <w:noProof/>
          <w:lang w:eastAsia="en-AU"/>
        </w:rPr>
        <w:drawing>
          <wp:inline distT="0" distB="0" distL="0" distR="0" wp14:anchorId="3362F0F0" wp14:editId="75C20691">
            <wp:extent cx="1677035" cy="1447165"/>
            <wp:effectExtent l="0" t="0" r="0" b="635"/>
            <wp:docPr id="2" name="Picture 2" descr="Figure 1: Chemical structure of luras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Chemical structure of lurasid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035" cy="1447165"/>
                    </a:xfrm>
                    <a:prstGeom prst="rect">
                      <a:avLst/>
                    </a:prstGeom>
                    <a:noFill/>
                    <a:ln>
                      <a:noFill/>
                    </a:ln>
                  </pic:spPr>
                </pic:pic>
              </a:graphicData>
            </a:graphic>
          </wp:inline>
        </w:drawing>
      </w:r>
    </w:p>
    <w:p w:rsidR="00581C3F" w:rsidRPr="00C02430" w:rsidRDefault="00C02430" w:rsidP="009024C7">
      <w:r w:rsidRPr="00C02430">
        <w:t xml:space="preserve">Although only a single crystal form was described in the dossier and is produced under manufacturing conditions, (at least) four polymorphic forms of LDH are described in the literature </w:t>
      </w:r>
      <w:r>
        <w:t>(denoted Forms 1</w:t>
      </w:r>
      <w:r w:rsidR="0006681B">
        <w:t>-</w:t>
      </w:r>
      <w:r w:rsidRPr="00C02430">
        <w:t>4</w:t>
      </w:r>
      <w:r>
        <w:t>)</w:t>
      </w:r>
      <w:r w:rsidRPr="00C02430">
        <w:t>,</w:t>
      </w:r>
      <w:r>
        <w:rPr>
          <w:rStyle w:val="FootnoteReference"/>
        </w:rPr>
        <w:footnoteReference w:id="2"/>
      </w:r>
      <w:r w:rsidR="00823985">
        <w:t xml:space="preserve"> as well as an amorp</w:t>
      </w:r>
      <w:r w:rsidRPr="00C02430">
        <w:t>hous form.</w:t>
      </w:r>
      <w:r>
        <w:rPr>
          <w:rStyle w:val="FootnoteReference"/>
        </w:rPr>
        <w:footnoteReference w:id="3"/>
      </w:r>
    </w:p>
    <w:p w:rsidR="0035793D" w:rsidRDefault="00C02430" w:rsidP="009024C7">
      <w:r w:rsidRPr="00C02430">
        <w:t xml:space="preserve">The </w:t>
      </w:r>
      <w:proofErr w:type="spellStart"/>
      <w:r w:rsidR="0006681B" w:rsidRPr="0006681B">
        <w:t>Biopharmaceutics</w:t>
      </w:r>
      <w:proofErr w:type="spellEnd"/>
      <w:r w:rsidR="0006681B" w:rsidRPr="0006681B">
        <w:t xml:space="preserve"> Classification System </w:t>
      </w:r>
      <w:r w:rsidR="0006681B">
        <w:t>(</w:t>
      </w:r>
      <w:r w:rsidRPr="00C02430">
        <w:t>BCS</w:t>
      </w:r>
      <w:r w:rsidR="0006681B">
        <w:t>)</w:t>
      </w:r>
      <w:r w:rsidRPr="00C02430">
        <w:t xml:space="preserve"> Class does not appear to have been established. However, in response to a query from the FDA during its Question Based Clinical Pharmacology and </w:t>
      </w:r>
      <w:proofErr w:type="spellStart"/>
      <w:r w:rsidRPr="00C02430">
        <w:t>Biopharmaceutics</w:t>
      </w:r>
      <w:proofErr w:type="spellEnd"/>
      <w:r w:rsidRPr="00C02430">
        <w:t xml:space="preserve"> Review,</w:t>
      </w:r>
      <w:r w:rsidR="0035793D">
        <w:t xml:space="preserve"> the US sponsor replied that:</w:t>
      </w:r>
    </w:p>
    <w:p w:rsidR="00C02430" w:rsidRPr="009024C7" w:rsidRDefault="00C02430" w:rsidP="009024C7">
      <w:pPr>
        <w:ind w:left="720"/>
        <w:rPr>
          <w:i/>
        </w:rPr>
      </w:pPr>
      <w:r w:rsidRPr="009024C7">
        <w:rPr>
          <w:i/>
        </w:rPr>
        <w:t>BCS classification was not sought and determined. But lurasidone has very low aqueous solubility (water: 0.224 mg/mL) and the bioavailability is estimated to be about 9% to 19%, therefore Lurasidone is not expected to be BCS1</w:t>
      </w:r>
      <w:r w:rsidR="0035793D" w:rsidRPr="009024C7">
        <w:rPr>
          <w:i/>
        </w:rPr>
        <w:t>.</w:t>
      </w:r>
    </w:p>
    <w:p w:rsidR="00C02430" w:rsidRPr="00C02430" w:rsidRDefault="00C02430" w:rsidP="009024C7">
      <w:r w:rsidRPr="00C02430">
        <w:t xml:space="preserve">The </w:t>
      </w:r>
      <w:proofErr w:type="spellStart"/>
      <w:r w:rsidRPr="00C02430">
        <w:t>pKa</w:t>
      </w:r>
      <w:proofErr w:type="spellEnd"/>
      <w:r w:rsidRPr="00C02430">
        <w:t xml:space="preserve"> = 7.6, and </w:t>
      </w:r>
      <w:proofErr w:type="spellStart"/>
      <w:r w:rsidRPr="00C02430">
        <w:t>LogP</w:t>
      </w:r>
      <w:proofErr w:type="spellEnd"/>
      <w:r w:rsidRPr="00C02430">
        <w:t xml:space="preserve"> = 5.6 in </w:t>
      </w:r>
      <w:proofErr w:type="spellStart"/>
      <w:r w:rsidRPr="00C02430">
        <w:t>octanol</w:t>
      </w:r>
      <w:proofErr w:type="spellEnd"/>
      <w:r w:rsidRPr="00C02430">
        <w:t>/water.</w:t>
      </w:r>
    </w:p>
    <w:p w:rsidR="00C02430" w:rsidRDefault="00C02430" w:rsidP="009024C7">
      <w:r w:rsidRPr="00C02430">
        <w:t>The solubility of LDH in water at ambient temperature is 0.224 mg/mL, with the pH of the saturated solution being 3.6. In buffers, the solubility at 20°C ± 1°C is</w:t>
      </w:r>
      <w:r w:rsidR="00C779A0">
        <w:t xml:space="preserve"> shown in Table 2.</w:t>
      </w:r>
    </w:p>
    <w:p w:rsidR="00B03DB3" w:rsidRDefault="00B03DB3" w:rsidP="009024C7">
      <w:pPr>
        <w:pStyle w:val="TableTitle"/>
      </w:pPr>
      <w:r>
        <w:lastRenderedPageBreak/>
        <w:t>Table 2:</w:t>
      </w:r>
      <w:r w:rsidRPr="004C5C28">
        <w:t xml:space="preserve"> </w:t>
      </w:r>
      <w:r>
        <w:t xml:space="preserve">Solubility of LDH and </w:t>
      </w:r>
      <w:r w:rsidRPr="009024C7">
        <w:t>concentration</w:t>
      </w:r>
      <w:r>
        <w:t xml:space="preserve"> multiples for four tablet strengths.</w:t>
      </w:r>
    </w:p>
    <w:p w:rsidR="00C779A0" w:rsidRDefault="00C85C44" w:rsidP="009024C7">
      <w:r>
        <w:rPr>
          <w:noProof/>
          <w:lang w:eastAsia="en-AU"/>
        </w:rPr>
        <w:drawing>
          <wp:inline distT="0" distB="0" distL="0" distR="0" wp14:anchorId="00127931" wp14:editId="5FBFEBE5">
            <wp:extent cx="4785360" cy="2153920"/>
            <wp:effectExtent l="0" t="0" r="0" b="0"/>
            <wp:docPr id="3" name="Picture 3" descr="Table 2: Solubility of LDH and concentration multiples for four tablet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olubility of LDH and concentration multiples for four tablet strengt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360" cy="2153920"/>
                    </a:xfrm>
                    <a:prstGeom prst="rect">
                      <a:avLst/>
                    </a:prstGeom>
                    <a:noFill/>
                    <a:ln>
                      <a:noFill/>
                    </a:ln>
                  </pic:spPr>
                </pic:pic>
              </a:graphicData>
            </a:graphic>
          </wp:inline>
        </w:drawing>
      </w:r>
    </w:p>
    <w:p w:rsidR="00B03DB3" w:rsidRPr="00B03DB3" w:rsidRDefault="00B03DB3" w:rsidP="009024C7">
      <w:r w:rsidRPr="00B03DB3">
        <w:t xml:space="preserve">The </w:t>
      </w:r>
      <w:r>
        <w:t>sponsor</w:t>
      </w:r>
      <w:r w:rsidRPr="00B03DB3">
        <w:t xml:space="preserve"> has provided an acceptable justification for a single</w:t>
      </w:r>
      <w:r w:rsidR="007D5F1C">
        <w:t xml:space="preserve"> </w:t>
      </w:r>
      <w:r w:rsidRPr="00B03DB3">
        <w:t>tier particle size li</w:t>
      </w:r>
      <w:r w:rsidR="009024C7">
        <w:t>mit.</w:t>
      </w:r>
    </w:p>
    <w:p w:rsidR="00B03DB3" w:rsidRPr="00B03DB3" w:rsidRDefault="00B03DB3" w:rsidP="009024C7">
      <w:r w:rsidRPr="00B03DB3">
        <w:t>The specification applied to the drug substance is satisfactory. Although a large number of potential synthetic impurities were identified by the applicant, only one (the enantiomer) is sp</w:t>
      </w:r>
      <w:r w:rsidR="003E45EA">
        <w:t xml:space="preserve">ecifically controlled in the </w:t>
      </w:r>
      <w:r w:rsidR="003E45EA" w:rsidRPr="003E45EA">
        <w:t>A</w:t>
      </w:r>
      <w:r w:rsidR="003E45EA">
        <w:t>ctive Pharmaceutical Ingredient (API)</w:t>
      </w:r>
      <w:r w:rsidRPr="00B03DB3">
        <w:t xml:space="preserve"> specification. No degradants were identified.</w:t>
      </w:r>
    </w:p>
    <w:p w:rsidR="008E7846" w:rsidRDefault="008E7846" w:rsidP="00F0794A">
      <w:pPr>
        <w:pStyle w:val="Heading3"/>
      </w:pPr>
      <w:bookmarkStart w:id="29" w:name="_Toc247691508"/>
      <w:bookmarkStart w:id="30" w:name="_Toc314842490"/>
      <w:bookmarkStart w:id="31" w:name="_Toc392682439"/>
      <w:r w:rsidRPr="008751DC">
        <w:t xml:space="preserve">Drug </w:t>
      </w:r>
      <w:r w:rsidR="00F0794A" w:rsidRPr="00F0794A">
        <w:t>p</w:t>
      </w:r>
      <w:r w:rsidRPr="00F0794A">
        <w:t>roduct</w:t>
      </w:r>
      <w:bookmarkEnd w:id="29"/>
      <w:bookmarkEnd w:id="30"/>
      <w:bookmarkEnd w:id="31"/>
    </w:p>
    <w:p w:rsidR="00DB610B" w:rsidRPr="00DB610B" w:rsidRDefault="00DB610B" w:rsidP="00F0794A">
      <w:r w:rsidRPr="00DB610B">
        <w:t>The proposed 20 mg and</w:t>
      </w:r>
      <w:r w:rsidR="007955DF">
        <w:t xml:space="preserve"> 40 mg tablets are white to off </w:t>
      </w:r>
      <w:r w:rsidRPr="00DB610B">
        <w:t>white, round film</w:t>
      </w:r>
      <w:r w:rsidR="007955DF">
        <w:t xml:space="preserve"> </w:t>
      </w:r>
      <w:r w:rsidRPr="00DB610B">
        <w:t xml:space="preserve">coated tablets, </w:t>
      </w:r>
      <w:proofErr w:type="spellStart"/>
      <w:r w:rsidRPr="00DB610B">
        <w:t>debossed</w:t>
      </w:r>
      <w:proofErr w:type="spellEnd"/>
      <w:r w:rsidRPr="00DB610B">
        <w:t xml:space="preserve"> with “L 20” or “L 40” (respectively).</w:t>
      </w:r>
      <w:r w:rsidR="00431E88">
        <w:t xml:space="preserve"> </w:t>
      </w:r>
      <w:r w:rsidRPr="00DB610B">
        <w:t>The proposed 80 mg tablet is a pale green, oval film</w:t>
      </w:r>
      <w:r w:rsidR="002F410C">
        <w:t xml:space="preserve"> </w:t>
      </w:r>
      <w:r w:rsidRPr="00DB610B">
        <w:t xml:space="preserve">coated tablet, similarly </w:t>
      </w:r>
      <w:proofErr w:type="spellStart"/>
      <w:r w:rsidRPr="00DB610B">
        <w:t>debossed</w:t>
      </w:r>
      <w:proofErr w:type="spellEnd"/>
      <w:r w:rsidRPr="00DB610B">
        <w:t xml:space="preserve"> with “L 80”.</w:t>
      </w:r>
    </w:p>
    <w:p w:rsidR="00DB610B" w:rsidRPr="00DB610B" w:rsidRDefault="00DB610B" w:rsidP="00F0794A">
      <w:r w:rsidRPr="00DB610B">
        <w:t xml:space="preserve">The tablets are direct scales except for the 80 mg tablet, which also contains a small quantity of iron oxide, yellow and indigo carmine as </w:t>
      </w:r>
      <w:proofErr w:type="spellStart"/>
      <w:r w:rsidRPr="00DB610B">
        <w:t>colourants</w:t>
      </w:r>
      <w:proofErr w:type="spellEnd"/>
      <w:r w:rsidRPr="00DB610B">
        <w:t>. No overage is employed.</w:t>
      </w:r>
    </w:p>
    <w:p w:rsidR="00DB610B" w:rsidRPr="00DB610B" w:rsidRDefault="00DB610B" w:rsidP="00F0794A">
      <w:r w:rsidRPr="00DB610B">
        <w:t>A single packaging configuration is proposed: aluminium/aluminium blister strips</w:t>
      </w:r>
      <w:bookmarkStart w:id="32" w:name="ge211643f-90cf-4f15-8ab9-46b7456f7b29"/>
      <w:bookmarkEnd w:id="32"/>
      <w:r w:rsidRPr="00DB610B">
        <w:t>, in pack sizes of 7, 10, 14, 28, 30, 56, 60, 90, 98 and 100 tablets.</w:t>
      </w:r>
    </w:p>
    <w:p w:rsidR="00DB610B" w:rsidRPr="00DB610B" w:rsidRDefault="00DB610B" w:rsidP="00F0794A">
      <w:r w:rsidRPr="00DB610B">
        <w:t>A shelf life of 36 months stored below 25°C has</w:t>
      </w:r>
      <w:r w:rsidR="00F0794A">
        <w:t xml:space="preserve"> been allocated to the tablets.</w:t>
      </w:r>
    </w:p>
    <w:p w:rsidR="00DB610B" w:rsidRPr="00DB610B" w:rsidRDefault="00DB610B" w:rsidP="00F0794A">
      <w:r w:rsidRPr="00DB610B">
        <w:t xml:space="preserve">A number of </w:t>
      </w:r>
      <w:proofErr w:type="spellStart"/>
      <w:r w:rsidRPr="00DB610B">
        <w:t>biopharmaceutic</w:t>
      </w:r>
      <w:proofErr w:type="spellEnd"/>
      <w:r w:rsidRPr="00DB610B">
        <w:t xml:space="preserve"> studies were conducted in support of the proposed film coated tablets using either the formulation proposed for registration or a variant thereof for which bioequivalence has been established with the formulation proposed for registration. The outcomes included:</w:t>
      </w:r>
    </w:p>
    <w:p w:rsidR="00DB610B" w:rsidRPr="00DB610B" w:rsidRDefault="00DB610B" w:rsidP="00F0794A">
      <w:pPr>
        <w:pStyle w:val="ListBullet"/>
      </w:pPr>
      <w:r w:rsidRPr="00DB610B">
        <w:t>The data from multi</w:t>
      </w:r>
      <w:r w:rsidR="00052220">
        <w:t xml:space="preserve"> </w:t>
      </w:r>
      <w:r w:rsidRPr="00DB610B">
        <w:t>dose Study D1050263 indicate that the commercial formul</w:t>
      </w:r>
      <w:r w:rsidR="00552818">
        <w:t>ation (DSP C, 1 x 120 mg tablet</w:t>
      </w:r>
      <w:r w:rsidRPr="00DB610B">
        <w:t>)</w:t>
      </w:r>
      <w:r w:rsidR="00552818">
        <w:rPr>
          <w:rStyle w:val="FootnoteReference"/>
        </w:rPr>
        <w:footnoteReference w:id="4"/>
      </w:r>
      <w:r w:rsidRPr="00DB610B">
        <w:t xml:space="preserve"> is bioequivalent to the clinical trial formulati</w:t>
      </w:r>
      <w:r w:rsidR="00552818">
        <w:t>on (DSP B, 3 x 40 mg tablets</w:t>
      </w:r>
      <w:r w:rsidRPr="00DB610B">
        <w:t xml:space="preserve">) in the tested patient group under fed conditions. However, </w:t>
      </w:r>
      <w:r w:rsidR="001073A2" w:rsidRPr="001073A2">
        <w:t xml:space="preserve">International Conference on Harmonisation </w:t>
      </w:r>
      <w:r w:rsidR="001073A2">
        <w:t>(</w:t>
      </w:r>
      <w:r w:rsidRPr="00DB610B">
        <w:t>ICH</w:t>
      </w:r>
      <w:r w:rsidR="001073A2">
        <w:t>)</w:t>
      </w:r>
      <w:r w:rsidRPr="00DB610B">
        <w:t xml:space="preserve"> guidelines</w:t>
      </w:r>
      <w:r>
        <w:rPr>
          <w:rStyle w:val="FootnoteReference"/>
        </w:rPr>
        <w:footnoteReference w:id="5"/>
      </w:r>
      <w:r w:rsidRPr="00DB610B">
        <w:t xml:space="preserve"> indicate that multiple dose studies are generally less sensitive in detecting differences in </w:t>
      </w:r>
      <w:proofErr w:type="spellStart"/>
      <w:r w:rsidRPr="00DB610B">
        <w:t>Cmax</w:t>
      </w:r>
      <w:proofErr w:type="spellEnd"/>
      <w:r w:rsidRPr="00DB610B">
        <w:t>.</w:t>
      </w:r>
    </w:p>
    <w:p w:rsidR="00DB610B" w:rsidRPr="00DB610B" w:rsidRDefault="00DB610B" w:rsidP="00F0794A">
      <w:pPr>
        <w:pStyle w:val="ListBullet"/>
      </w:pPr>
      <w:r w:rsidRPr="00DB610B">
        <w:t xml:space="preserve">Study D1001053 (conducted in Japanese subjects) concluded that the </w:t>
      </w:r>
      <w:r w:rsidRPr="00F0794A">
        <w:t>commercial</w:t>
      </w:r>
      <w:r w:rsidRPr="00DB610B">
        <w:t xml:space="preserve"> formulation (DSP C; 1 x 40 mg tablet) is bioequivalent to the lurasidone formulation used in the clinical studies (DSP B, 2 x 20 mg tablets) with respect to both </w:t>
      </w:r>
      <w:proofErr w:type="spellStart"/>
      <w:r w:rsidRPr="00DB610B">
        <w:t>Cmax</w:t>
      </w:r>
      <w:proofErr w:type="spellEnd"/>
      <w:r w:rsidRPr="00DB610B">
        <w:t xml:space="preserve"> and AUC</w:t>
      </w:r>
      <w:r w:rsidRPr="007064FD">
        <w:rPr>
          <w:vertAlign w:val="subscript"/>
        </w:rPr>
        <w:t xml:space="preserve">0-t </w:t>
      </w:r>
      <w:r w:rsidRPr="00DB610B">
        <w:t xml:space="preserve">if administered after a low fat (≤ 20% fat energy), &lt; 700 kcal breakfast. Median </w:t>
      </w:r>
      <w:proofErr w:type="spellStart"/>
      <w:r w:rsidRPr="00DB610B">
        <w:t>Tmax</w:t>
      </w:r>
      <w:proofErr w:type="spellEnd"/>
      <w:r w:rsidRPr="00DB610B">
        <w:t xml:space="preserve"> was 1.5 h for the reference formulation (DSP B) and 2 h for the test formulation (DSP C).</w:t>
      </w:r>
    </w:p>
    <w:p w:rsidR="00DB610B" w:rsidRPr="00DB610B" w:rsidRDefault="00DB610B" w:rsidP="00F0794A">
      <w:pPr>
        <w:pStyle w:val="ListBullet"/>
      </w:pPr>
      <w:r w:rsidRPr="00DB610B">
        <w:lastRenderedPageBreak/>
        <w:t xml:space="preserve">Study D1050267 investigated the effect of calories and fat content on the </w:t>
      </w:r>
      <w:r w:rsidR="0064096A">
        <w:t>PK</w:t>
      </w:r>
      <w:r w:rsidRPr="00DB610B">
        <w:t xml:space="preserve"> of repeated dose lurasidone 120 mg t</w:t>
      </w:r>
      <w:r w:rsidR="00552818">
        <w:t>ablet (DSP C, 1 x 120 mg tablet</w:t>
      </w:r>
      <w:r>
        <w:t>)</w:t>
      </w:r>
      <w:r w:rsidR="00552818">
        <w:rPr>
          <w:rStyle w:val="FootnoteReference"/>
        </w:rPr>
        <w:footnoteReference w:id="6"/>
      </w:r>
      <w:r>
        <w:t xml:space="preserve"> </w:t>
      </w:r>
      <w:r w:rsidRPr="00DB610B">
        <w:t xml:space="preserve">in 26 patients with schizophrenia. Food was found to have a significant effect on lurasidone exposure; mean </w:t>
      </w:r>
      <w:proofErr w:type="spellStart"/>
      <w:r w:rsidRPr="00DB610B">
        <w:t>Cmax</w:t>
      </w:r>
      <w:proofErr w:type="spellEnd"/>
      <w:r w:rsidRPr="00DB610B">
        <w:t xml:space="preserve"> and AUC</w:t>
      </w:r>
      <w:r w:rsidRPr="00DF51A1">
        <w:rPr>
          <w:vertAlign w:val="subscript"/>
        </w:rPr>
        <w:t>0-48</w:t>
      </w:r>
      <w:r w:rsidR="00DF51A1">
        <w:rPr>
          <w:vertAlign w:val="subscript"/>
        </w:rPr>
        <w:t>h</w:t>
      </w:r>
      <w:r w:rsidRPr="00DF51A1">
        <w:rPr>
          <w:vertAlign w:val="subscript"/>
        </w:rPr>
        <w:t xml:space="preserve"> </w:t>
      </w:r>
      <w:r w:rsidRPr="00DB610B">
        <w:t>observed under fed condition</w:t>
      </w:r>
      <w:r w:rsidR="00DF51A1">
        <w:t>s increased by factors of 2.4-</w:t>
      </w:r>
      <w:r w:rsidRPr="00DB610B">
        <w:t xml:space="preserve">3.1 and </w:t>
      </w:r>
      <w:r w:rsidR="00DF51A1">
        <w:t>1.6-</w:t>
      </w:r>
      <w:r w:rsidRPr="00DB610B">
        <w:t>2.0, respectively, relative to levels obs</w:t>
      </w:r>
      <w:r w:rsidR="00DF51A1">
        <w:t xml:space="preserve">erved under fasting conditions. </w:t>
      </w:r>
      <w:r w:rsidRPr="00DB610B">
        <w:t>The difference in exposure based on the caloric/fat content of the meal is not considered significant.</w:t>
      </w:r>
    </w:p>
    <w:p w:rsidR="00DB610B" w:rsidRPr="00DB610B" w:rsidRDefault="00DB610B" w:rsidP="00F0794A">
      <w:pPr>
        <w:pStyle w:val="ListBullet"/>
      </w:pPr>
      <w:r w:rsidRPr="00DB610B">
        <w:t xml:space="preserve">Study </w:t>
      </w:r>
      <w:r w:rsidRPr="00F0794A">
        <w:t>D1001054</w:t>
      </w:r>
      <w:r w:rsidRPr="00DB610B">
        <w:t xml:space="preserve"> compared the </w:t>
      </w:r>
      <w:r w:rsidR="0064096A">
        <w:t>PK</w:t>
      </w:r>
      <w:r w:rsidRPr="00DB610B">
        <w:t xml:space="preserve"> parameters of the 40 mg tablet formulation proposed for registration in 12 healthy Japanese subjects under fasted and fed (700 calorie breakfast) conditions. Under fed conditions, lurasidone mean </w:t>
      </w:r>
      <w:proofErr w:type="spellStart"/>
      <w:r w:rsidRPr="00DB610B">
        <w:t>Cmax</w:t>
      </w:r>
      <w:proofErr w:type="spellEnd"/>
      <w:r w:rsidRPr="00DB610B">
        <w:t xml:space="preserve"> and AUC</w:t>
      </w:r>
      <w:r w:rsidRPr="00DF51A1">
        <w:rPr>
          <w:vertAlign w:val="subscript"/>
        </w:rPr>
        <w:t>0-48</w:t>
      </w:r>
      <w:r w:rsidR="00DF51A1" w:rsidRPr="00DF51A1">
        <w:rPr>
          <w:vertAlign w:val="subscript"/>
        </w:rPr>
        <w:t>h</w:t>
      </w:r>
      <w:r w:rsidRPr="00DF51A1">
        <w:rPr>
          <w:vertAlign w:val="subscript"/>
        </w:rPr>
        <w:t xml:space="preserve"> </w:t>
      </w:r>
      <w:r w:rsidRPr="00DB610B">
        <w:t>increased by a factor of ~2.4 and ~1.7, respectively, relative to levels observed under fasting conditions.</w:t>
      </w:r>
    </w:p>
    <w:p w:rsidR="00DB610B" w:rsidRPr="00DB610B" w:rsidRDefault="00DB610B" w:rsidP="00F0794A">
      <w:pPr>
        <w:pStyle w:val="ListBullet"/>
      </w:pPr>
      <w:r w:rsidRPr="00DB610B">
        <w:t xml:space="preserve">Study </w:t>
      </w:r>
      <w:r w:rsidRPr="00F0794A">
        <w:t>D1050294</w:t>
      </w:r>
      <w:r w:rsidRPr="00DB610B">
        <w:t xml:space="preserve"> investigated the effect of calories (low versus high) and fat content medium versus high) on the </w:t>
      </w:r>
      <w:r w:rsidR="0064096A">
        <w:t>PK</w:t>
      </w:r>
      <w:r w:rsidRPr="00DB610B">
        <w:t xml:space="preserve"> of repeated dose lurasidone 120 mg tablet (DSP C)</w:t>
      </w:r>
      <w:r>
        <w:rPr>
          <w:rStyle w:val="FootnoteReference"/>
        </w:rPr>
        <w:footnoteReference w:id="7"/>
      </w:r>
      <w:r w:rsidRPr="00DB610B">
        <w:t xml:space="preserve"> in 16 patients with schizophrenia. Administration of the 1</w:t>
      </w:r>
      <w:r w:rsidR="00F460E0">
        <w:t>20 mg tablet following a medium/</w:t>
      </w:r>
      <w:r w:rsidRPr="00DB610B">
        <w:t xml:space="preserve">fat breakfast containing 100 to 200 calories resulted in an </w:t>
      </w:r>
      <w:r w:rsidR="00D62F9B">
        <w:t xml:space="preserve">smaller increase in </w:t>
      </w:r>
      <w:proofErr w:type="spellStart"/>
      <w:r w:rsidR="00D62F9B">
        <w:t>AUC</w:t>
      </w:r>
      <w:r w:rsidR="00D62F9B" w:rsidRPr="00D62F9B">
        <w:rPr>
          <w:vertAlign w:val="subscript"/>
        </w:rPr>
        <w:t>τ</w:t>
      </w:r>
      <w:proofErr w:type="spellEnd"/>
      <w:r w:rsidR="00D62F9B">
        <w:t xml:space="preserve"> (1.25 fold to 1.35 </w:t>
      </w:r>
      <w:r w:rsidRPr="00DB610B">
        <w:t>fold) compared to the increase following a h</w:t>
      </w:r>
      <w:r w:rsidR="00D62F9B">
        <w:t xml:space="preserve">igh fat/high calorie meal (2.09 </w:t>
      </w:r>
      <w:r w:rsidRPr="00DB610B">
        <w:t>fold).</w:t>
      </w:r>
    </w:p>
    <w:p w:rsidR="00DB610B" w:rsidRPr="00DB610B" w:rsidRDefault="00DB610B" w:rsidP="00F0794A">
      <w:r w:rsidRPr="00DB610B">
        <w:t xml:space="preserve">The low aqueous solubility of the drug substance was accepted as justification for not performing an absolute bioavailability study. By estimating </w:t>
      </w:r>
      <w:proofErr w:type="spellStart"/>
      <w:r w:rsidRPr="00DB610B">
        <w:t>Fa</w:t>
      </w:r>
      <w:proofErr w:type="spellEnd"/>
      <w:r w:rsidRPr="00DB610B">
        <w:t xml:space="preserve">, </w:t>
      </w:r>
      <w:proofErr w:type="spellStart"/>
      <w:proofErr w:type="gramStart"/>
      <w:r w:rsidRPr="00DB610B">
        <w:t>Fg</w:t>
      </w:r>
      <w:proofErr w:type="spellEnd"/>
      <w:proofErr w:type="gramEnd"/>
      <w:r w:rsidRPr="00DB610B">
        <w:t xml:space="preserve">, and FH from the clinical study data, the absolute bioavailability was calculated to be ~0.06 using the equation F = </w:t>
      </w:r>
      <w:proofErr w:type="spellStart"/>
      <w:r w:rsidRPr="00DB610B">
        <w:t>Fa</w:t>
      </w:r>
      <w:proofErr w:type="spellEnd"/>
      <w:r w:rsidRPr="00DB610B">
        <w:t xml:space="preserve"> </w:t>
      </w:r>
      <w:r w:rsidR="00080C57">
        <w:t>x</w:t>
      </w:r>
      <w:r w:rsidRPr="00DB610B">
        <w:t xml:space="preserve"> </w:t>
      </w:r>
      <w:proofErr w:type="spellStart"/>
      <w:r w:rsidRPr="00DB610B">
        <w:t>Fg</w:t>
      </w:r>
      <w:proofErr w:type="spellEnd"/>
      <w:r w:rsidRPr="00DB610B">
        <w:t xml:space="preserve"> </w:t>
      </w:r>
      <w:r w:rsidR="00080C57">
        <w:t>x</w:t>
      </w:r>
      <w:r w:rsidRPr="00DB610B">
        <w:t xml:space="preserve"> FH. Alternatively, F was estimated t</w:t>
      </w:r>
      <w:r w:rsidR="00022896">
        <w:t>o be 0.18 using physiologically b</w:t>
      </w:r>
      <w:r w:rsidRPr="00DB610B">
        <w:t>ased pharmacokinetic (PBPK) modelling.</w:t>
      </w:r>
    </w:p>
    <w:p w:rsidR="00DB610B" w:rsidRPr="00DB610B" w:rsidRDefault="00DB610B" w:rsidP="00F0794A">
      <w:r w:rsidRPr="00DB610B">
        <w:t xml:space="preserve">A justification was also provided for a </w:t>
      </w:r>
      <w:proofErr w:type="spellStart"/>
      <w:r w:rsidRPr="00DB610B">
        <w:t>biowaiver</w:t>
      </w:r>
      <w:proofErr w:type="spellEnd"/>
      <w:r w:rsidRPr="00DB610B">
        <w:t xml:space="preserve"> in respect of the proposed 20 mg and 80 mg tablets. Although this does not fully address all points listed in Section 4 of Appendix 15 to the ARGPM</w:t>
      </w:r>
      <w:r w:rsidR="009A1186">
        <w:t xml:space="preserve"> (</w:t>
      </w:r>
      <w:r w:rsidR="009A1186" w:rsidRPr="009A1186">
        <w:t>Australian Regulatory Guidelines for Prescription Medicines</w:t>
      </w:r>
      <w:r w:rsidR="009A1186">
        <w:t>)</w:t>
      </w:r>
      <w:r w:rsidRPr="00DB610B">
        <w:t>, information available in the literature</w:t>
      </w:r>
      <w:r w:rsidR="00DA4D89">
        <w:rPr>
          <w:rStyle w:val="FootnoteReference"/>
        </w:rPr>
        <w:footnoteReference w:id="8"/>
      </w:r>
      <w:r w:rsidRPr="00DB610B">
        <w:t xml:space="preserve"> sufficiently supplements that provided by the applicant to allow the justification to be accepted on a risk management basis.</w:t>
      </w:r>
    </w:p>
    <w:p w:rsidR="008E7846" w:rsidRDefault="008E7846" w:rsidP="00F0794A">
      <w:pPr>
        <w:pStyle w:val="Heading3"/>
      </w:pPr>
      <w:bookmarkStart w:id="33" w:name="_Toc314842492"/>
      <w:bookmarkStart w:id="34" w:name="_Toc392682440"/>
      <w:r>
        <w:t xml:space="preserve">Advisory </w:t>
      </w:r>
      <w:r w:rsidR="00F0794A">
        <w:t>c</w:t>
      </w:r>
      <w:r>
        <w:t xml:space="preserve">ommittee </w:t>
      </w:r>
      <w:r w:rsidR="00F0794A">
        <w:t>c</w:t>
      </w:r>
      <w:r w:rsidRPr="00F0794A">
        <w:t>onsiderations</w:t>
      </w:r>
      <w:bookmarkEnd w:id="33"/>
      <w:bookmarkEnd w:id="34"/>
    </w:p>
    <w:p w:rsidR="001E1FDA" w:rsidRPr="00F0794A" w:rsidRDefault="00683F07" w:rsidP="00F0794A">
      <w:pPr>
        <w:pStyle w:val="Heading4"/>
      </w:pPr>
      <w:r>
        <w:rPr>
          <w:lang w:val="en-GB"/>
        </w:rPr>
        <w:t xml:space="preserve">Application </w:t>
      </w:r>
      <w:r w:rsidR="007C3317">
        <w:rPr>
          <w:lang w:val="en-GB"/>
        </w:rPr>
        <w:t>d</w:t>
      </w:r>
      <w:r>
        <w:rPr>
          <w:lang w:val="en-GB"/>
        </w:rPr>
        <w:t>etails</w:t>
      </w:r>
    </w:p>
    <w:p w:rsidR="001E1FDA" w:rsidRPr="001E1FDA" w:rsidRDefault="00683F07" w:rsidP="00F0794A">
      <w:r>
        <w:t>The Pharmaceutical Subcommittee (PSC)</w:t>
      </w:r>
      <w:r w:rsidR="001E1FDA" w:rsidRPr="001E1FDA">
        <w:t xml:space="preserve"> considered the referral for advice from the TGA in relation to the submission from Commercial Eyes Pt</w:t>
      </w:r>
      <w:r w:rsidR="00F0794A">
        <w:t>y Ltd to register the products:</w:t>
      </w:r>
    </w:p>
    <w:p w:rsidR="001E1FDA" w:rsidRPr="00F0794A" w:rsidRDefault="001E1FDA" w:rsidP="00F0794A">
      <w:pPr>
        <w:ind w:left="720"/>
        <w:rPr>
          <w:i/>
        </w:rPr>
      </w:pPr>
      <w:r w:rsidRPr="00F0794A">
        <w:rPr>
          <w:i/>
        </w:rPr>
        <w:t>Latuda film coated tablets containing 20 mg, 40 mg and 80 mg of a new chemical entity lurasidone (as hydrochloride).</w:t>
      </w:r>
    </w:p>
    <w:p w:rsidR="001E1FDA" w:rsidRPr="00CA3932" w:rsidRDefault="007C3317" w:rsidP="00F0794A">
      <w:pPr>
        <w:pStyle w:val="Heading4"/>
        <w:rPr>
          <w:szCs w:val="22"/>
          <w:lang w:val="en-GB"/>
        </w:rPr>
      </w:pPr>
      <w:r>
        <w:rPr>
          <w:lang w:val="en-GB"/>
        </w:rPr>
        <w:t>Chemistry, m</w:t>
      </w:r>
      <w:r w:rsidR="001E1FDA" w:rsidRPr="00CA3932">
        <w:rPr>
          <w:lang w:val="en-GB"/>
        </w:rPr>
        <w:t xml:space="preserve">anufacturing and </w:t>
      </w:r>
      <w:r>
        <w:rPr>
          <w:lang w:val="en-GB"/>
        </w:rPr>
        <w:t>q</w:t>
      </w:r>
      <w:r w:rsidR="001E1FDA" w:rsidRPr="00CA3932">
        <w:rPr>
          <w:lang w:val="en-GB"/>
        </w:rPr>
        <w:t xml:space="preserve">uality </w:t>
      </w:r>
      <w:r w:rsidRPr="00F0794A">
        <w:t>c</w:t>
      </w:r>
      <w:r w:rsidR="001E1FDA" w:rsidRPr="00F0794A">
        <w:t>ontrol</w:t>
      </w:r>
    </w:p>
    <w:p w:rsidR="001E1FDA" w:rsidRPr="0094272A" w:rsidRDefault="001E1FDA" w:rsidP="00F0794A">
      <w:r w:rsidRPr="0094272A">
        <w:t xml:space="preserve">The drug substance has six chiral centres; the absolute configuration of which is defined by the chirality of two of the functionalised </w:t>
      </w:r>
      <w:proofErr w:type="spellStart"/>
      <w:r w:rsidRPr="0094272A">
        <w:t>synthons</w:t>
      </w:r>
      <w:proofErr w:type="spellEnd"/>
      <w:r w:rsidRPr="0094272A">
        <w:t>. Four polymorphs are known to exist for the drug substance.</w:t>
      </w:r>
    </w:p>
    <w:p w:rsidR="001E1FDA" w:rsidRPr="0094272A" w:rsidRDefault="001E1FDA" w:rsidP="00F0794A">
      <w:r w:rsidRPr="0094272A">
        <w:lastRenderedPageBreak/>
        <w:t>The drug products are film</w:t>
      </w:r>
      <w:r w:rsidR="009D4431">
        <w:t xml:space="preserve"> </w:t>
      </w:r>
      <w:r w:rsidRPr="0094272A">
        <w:t xml:space="preserve">coated tablets; the different strengths are distinguished by the </w:t>
      </w:r>
      <w:r w:rsidR="00BE31EE">
        <w:t>shape and colour</w:t>
      </w:r>
      <w:r w:rsidRPr="0094272A">
        <w:t>. The tablets are direct scales except for the 80 mg tablet which contains a small quantity of iron oxide. All the excipients comply with relevant specifications and standards. The submitted stability data for the unopened product support the proposed shelf life of 36 months at 25°C.</w:t>
      </w:r>
    </w:p>
    <w:p w:rsidR="001E1FDA" w:rsidRPr="0094272A" w:rsidRDefault="001E1FDA" w:rsidP="00F0794A">
      <w:r w:rsidRPr="0094272A">
        <w:t xml:space="preserve">The PSC advised there were a series of analyses performed by </w:t>
      </w:r>
      <w:proofErr w:type="spellStart"/>
      <w:r w:rsidR="0094272A">
        <w:t>well known</w:t>
      </w:r>
      <w:proofErr w:type="spellEnd"/>
      <w:r w:rsidR="0094272A">
        <w:t xml:space="preserve"> </w:t>
      </w:r>
      <w:proofErr w:type="spellStart"/>
      <w:r w:rsidR="0094272A">
        <w:t>Pharmacometricians</w:t>
      </w:r>
      <w:proofErr w:type="spellEnd"/>
      <w:r w:rsidR="0094272A">
        <w:t>/</w:t>
      </w:r>
      <w:r w:rsidRPr="0094272A">
        <w:t>Consultancy companies, which is reflected in their quality, spanning over 800 pages. These analyses culminated in a final analysis involving 11,735 samples from 1353 subjects i</w:t>
      </w:r>
      <w:r w:rsidR="009D4431">
        <w:t>n 20 studies spanning Phases I-</w:t>
      </w:r>
      <w:r w:rsidRPr="0094272A">
        <w:t>III, and included a significant amount of rich data, which was further updated (twice) with additional data. The main findings was an approximate 2.15</w:t>
      </w:r>
      <w:r w:rsidR="009D4431">
        <w:t xml:space="preserve"> </w:t>
      </w:r>
      <w:r w:rsidRPr="0094272A">
        <w:t>fold higher AUC and a 1.76</w:t>
      </w:r>
      <w:r w:rsidR="009D4431">
        <w:t xml:space="preserve"> </w:t>
      </w:r>
      <w:r w:rsidRPr="0094272A">
        <w:t xml:space="preserve">fold higher </w:t>
      </w:r>
      <w:proofErr w:type="spellStart"/>
      <w:r w:rsidRPr="0094272A">
        <w:t>Cmax</w:t>
      </w:r>
      <w:proofErr w:type="spellEnd"/>
      <w:r w:rsidRPr="0094272A">
        <w:t xml:space="preserve"> for the typical subject when the dose is taken with a meal, and that this was relatively unaffected by the caloric or fat content of the meal. Similarly, CYP3A4 inhibitors result is very large increases in exposure. Linearity of PK u</w:t>
      </w:r>
      <w:r w:rsidR="00F0794A">
        <w:t>p to 160 mg was also supported.</w:t>
      </w:r>
    </w:p>
    <w:p w:rsidR="001E1FDA" w:rsidRPr="0094272A" w:rsidRDefault="001E1FDA" w:rsidP="00F0794A">
      <w:r w:rsidRPr="0094272A">
        <w:t>The PSC asked whether there were data on the binding of lurasidone; if no data was provided, a justification is required.</w:t>
      </w:r>
    </w:p>
    <w:p w:rsidR="001E1FDA" w:rsidRPr="00F0794A" w:rsidRDefault="001E1FDA" w:rsidP="00F0794A">
      <w:pPr>
        <w:pStyle w:val="Heading4"/>
      </w:pPr>
      <w:r w:rsidRPr="00CA3932">
        <w:rPr>
          <w:lang w:val="en-GB"/>
        </w:rPr>
        <w:t>Bioavailability</w:t>
      </w:r>
    </w:p>
    <w:p w:rsidR="001E1FDA" w:rsidRPr="0094272A" w:rsidRDefault="001E1FDA" w:rsidP="00F0794A">
      <w:r w:rsidRPr="0094272A">
        <w:t>Two relevant bioavailability/bioequivalence and three relevant food interaction studies were provided</w:t>
      </w:r>
      <w:r w:rsidR="00F0794A">
        <w:t xml:space="preserve"> in support of this submission.</w:t>
      </w:r>
    </w:p>
    <w:p w:rsidR="001E1FDA" w:rsidRPr="007C3317" w:rsidRDefault="001E1FDA" w:rsidP="00F0794A">
      <w:r w:rsidRPr="007C3317">
        <w:t xml:space="preserve">Study D1050263 compared the clinical trial formulation with the proposed commercial formulation in subjects with schizophrenia, schizoaffective or </w:t>
      </w:r>
      <w:proofErr w:type="spellStart"/>
      <w:r w:rsidRPr="007C3317">
        <w:t>schizophreniform</w:t>
      </w:r>
      <w:proofErr w:type="spellEnd"/>
      <w:r w:rsidRPr="007C3317">
        <w:t xml:space="preserve"> disorder. The results showed that the commercial formulation is bioequivalent under fed conditions.</w:t>
      </w:r>
    </w:p>
    <w:p w:rsidR="001E1FDA" w:rsidRPr="007C3317" w:rsidRDefault="001E1FDA" w:rsidP="00F0794A">
      <w:r w:rsidRPr="007C3317">
        <w:t xml:space="preserve">Study D1001053 compared the clinical trial formulation with the proposed commercial formulation in healthy subjects. The statistical analysis of the </w:t>
      </w:r>
      <w:r w:rsidR="0064096A" w:rsidRPr="007C3317">
        <w:t>PK</w:t>
      </w:r>
      <w:r w:rsidRPr="007C3317">
        <w:t xml:space="preserve"> parameters differed between module 2 and module 5. Individual subject </w:t>
      </w:r>
      <w:r w:rsidR="0064096A" w:rsidRPr="007C3317">
        <w:t>PK</w:t>
      </w:r>
      <w:r w:rsidRPr="007C3317">
        <w:t xml:space="preserve"> parameters have been requested.</w:t>
      </w:r>
    </w:p>
    <w:p w:rsidR="001E1FDA" w:rsidRPr="007C3317" w:rsidRDefault="001E1FDA" w:rsidP="00F0794A">
      <w:r w:rsidRPr="007C3317">
        <w:t>The results from Study D1050267 on schizophrenic patients showed that food had a significant effect on lurasidon</w:t>
      </w:r>
      <w:r w:rsidR="00F460E0" w:rsidRPr="007C3317">
        <w:t>e exposure but that the caloric</w:t>
      </w:r>
      <w:r w:rsidRPr="007C3317">
        <w:t>/fat content of the meal was not considered clinically significant.</w:t>
      </w:r>
    </w:p>
    <w:p w:rsidR="001E1FDA" w:rsidRPr="007C3317" w:rsidRDefault="001E1FDA" w:rsidP="00F0794A">
      <w:r w:rsidRPr="007C3317">
        <w:t>The results from Study D1001054 on healthy subjects showed that food had a significant effect on lurasidone levels compared with the fasted state.</w:t>
      </w:r>
    </w:p>
    <w:p w:rsidR="001E1FDA" w:rsidRPr="007C3317" w:rsidRDefault="001E1FDA" w:rsidP="00F0794A">
      <w:r w:rsidRPr="007C3317">
        <w:t>The results from Study D1050294 showed that medium fat meal resulted in smaller increase in levels compared t</w:t>
      </w:r>
      <w:r w:rsidR="00F0794A">
        <w:t>o a high fat/high calorie meal.</w:t>
      </w:r>
    </w:p>
    <w:p w:rsidR="001E1FDA" w:rsidRPr="0094272A" w:rsidRDefault="001E1FDA" w:rsidP="00F0794A">
      <w:r w:rsidRPr="007C3317">
        <w:t>The PSC noted the lack of absolute bioavailability and the lack of a justification for not</w:t>
      </w:r>
      <w:r w:rsidRPr="0094272A">
        <w:t xml:space="preserve"> providing such a study. The sponsor had been asked for a justification but this was unavailable for the meeting. The absence of an absolute bioavailability study may be permissible, as long as this was supported by sound justification. The sponsor has not provided such a justification at the present time.</w:t>
      </w:r>
    </w:p>
    <w:p w:rsidR="001E1FDA" w:rsidRPr="0094272A" w:rsidRDefault="001E1FDA" w:rsidP="00F0794A">
      <w:r w:rsidRPr="0094272A">
        <w:t xml:space="preserve">It appears that </w:t>
      </w:r>
      <w:r w:rsidRPr="00CD29F5">
        <w:rPr>
          <w:vertAlign w:val="superscript"/>
        </w:rPr>
        <w:t>14</w:t>
      </w:r>
      <w:r w:rsidRPr="0094272A">
        <w:t>C-labelled oral doses have been administered. Although from the information presented in the summaries presented to the PSC it is impossible to tell if they might provide some measure of bioavailability.</w:t>
      </w:r>
    </w:p>
    <w:p w:rsidR="001E1FDA" w:rsidRPr="00F0794A" w:rsidRDefault="007C3317" w:rsidP="00F0794A">
      <w:pPr>
        <w:pStyle w:val="Heading4"/>
      </w:pPr>
      <w:r>
        <w:t>Population p</w:t>
      </w:r>
      <w:r w:rsidR="001E1FDA" w:rsidRPr="00CA3932">
        <w:t>harmacokinetics</w:t>
      </w:r>
    </w:p>
    <w:p w:rsidR="001E1FDA" w:rsidRPr="0094272A" w:rsidRDefault="001E1FDA" w:rsidP="00F0794A">
      <w:r w:rsidRPr="0094272A">
        <w:t>The PSC advised that detai</w:t>
      </w:r>
      <w:r w:rsidR="0002742E">
        <w:t>led population PK</w:t>
      </w:r>
      <w:r w:rsidRPr="0094272A">
        <w:t xml:space="preserve"> analysis showed liner </w:t>
      </w:r>
      <w:r w:rsidR="0064096A">
        <w:t>PK</w:t>
      </w:r>
      <w:r w:rsidR="0002742E">
        <w:t xml:space="preserve">. Non </w:t>
      </w:r>
      <w:r w:rsidRPr="0094272A">
        <w:t>linearity in the different dosing might be due to the different point estimate and the limited number of subjects.</w:t>
      </w:r>
    </w:p>
    <w:p w:rsidR="001E1FDA" w:rsidRPr="00F0794A" w:rsidRDefault="001E1FDA" w:rsidP="00F0794A">
      <w:pPr>
        <w:pStyle w:val="Heading4"/>
      </w:pPr>
      <w:r w:rsidRPr="00CA3932">
        <w:lastRenderedPageBreak/>
        <w:t xml:space="preserve">PSC </w:t>
      </w:r>
      <w:r w:rsidR="007C3317">
        <w:t>d</w:t>
      </w:r>
      <w:r w:rsidRPr="00CA3932">
        <w:t>iscussion</w:t>
      </w:r>
    </w:p>
    <w:p w:rsidR="001E1FDA" w:rsidRPr="0094272A" w:rsidRDefault="001E1FDA" w:rsidP="00F0794A">
      <w:r w:rsidRPr="0094272A">
        <w:t>There might be an issue with one of the proposed packaging (Al/Al)</w:t>
      </w:r>
      <w:r w:rsidR="004E19A8">
        <w:t>.</w:t>
      </w:r>
    </w:p>
    <w:p w:rsidR="001E1FDA" w:rsidRPr="00CA3932" w:rsidRDefault="001E1FDA" w:rsidP="00F0794A">
      <w:pPr>
        <w:pStyle w:val="Heading4"/>
        <w:rPr>
          <w:lang w:val="en-GB"/>
        </w:rPr>
      </w:pPr>
      <w:r w:rsidRPr="00CA3932">
        <w:rPr>
          <w:lang w:val="en-GB"/>
        </w:rPr>
        <w:t xml:space="preserve">Product </w:t>
      </w:r>
      <w:r w:rsidRPr="00F0794A">
        <w:t>Information</w:t>
      </w:r>
      <w:r w:rsidRPr="00CA3932">
        <w:rPr>
          <w:lang w:val="en-GB"/>
        </w:rPr>
        <w:t xml:space="preserve"> (PI)</w:t>
      </w:r>
    </w:p>
    <w:p w:rsidR="001E1FDA" w:rsidRPr="0094272A" w:rsidRDefault="001E1FDA" w:rsidP="00F0794A">
      <w:r w:rsidRPr="0094272A">
        <w:t>The PSC advised that the food effect demonstrate</w:t>
      </w:r>
      <w:r w:rsidR="00F0794A">
        <w:t>d should be included in the PI.</w:t>
      </w:r>
    </w:p>
    <w:p w:rsidR="001E1FDA" w:rsidRPr="00F0794A" w:rsidRDefault="001E1FDA" w:rsidP="00F0794A">
      <w:pPr>
        <w:pStyle w:val="Heading4"/>
      </w:pPr>
      <w:r w:rsidRPr="00CA3932">
        <w:rPr>
          <w:lang w:val="en-GB"/>
        </w:rPr>
        <w:t xml:space="preserve">PSC </w:t>
      </w:r>
      <w:r w:rsidR="007C3317">
        <w:rPr>
          <w:lang w:val="en-GB"/>
        </w:rPr>
        <w:t>r</w:t>
      </w:r>
      <w:r w:rsidRPr="00CA3932">
        <w:rPr>
          <w:lang w:val="en-GB"/>
        </w:rPr>
        <w:t>ecommendation</w:t>
      </w:r>
    </w:p>
    <w:p w:rsidR="001E1FDA" w:rsidRPr="0094272A" w:rsidRDefault="001E1FDA" w:rsidP="00F0794A">
      <w:r w:rsidRPr="0094272A">
        <w:t>The PSC resolved to recommend to the Advisory Committee on Prescription Medicines (ACPM) and the TGA that:</w:t>
      </w:r>
    </w:p>
    <w:p w:rsidR="002D2D79" w:rsidRPr="002D2D79" w:rsidRDefault="002D2D79" w:rsidP="00F0794A">
      <w:pPr>
        <w:pStyle w:val="ListBullet"/>
      </w:pPr>
      <w:r w:rsidRPr="002D2D79">
        <w:t xml:space="preserve">The PSC endorsed all the questions raised by the TGA in relation to the </w:t>
      </w:r>
      <w:r w:rsidRPr="00F0794A">
        <w:t>quality</w:t>
      </w:r>
      <w:r w:rsidRPr="002D2D79">
        <w:t xml:space="preserve"> and </w:t>
      </w:r>
      <w:proofErr w:type="spellStart"/>
      <w:r w:rsidRPr="002D2D79">
        <w:t>biopharmaceutic</w:t>
      </w:r>
      <w:proofErr w:type="spellEnd"/>
      <w:r w:rsidRPr="002D2D79">
        <w:t xml:space="preserve"> aspects of the submission by Commercial Eyes Pty Ltd to register </w:t>
      </w:r>
      <w:r w:rsidR="00F963E8">
        <w:t>Latuda</w:t>
      </w:r>
      <w:r w:rsidRPr="002D2D79">
        <w:t xml:space="preserve"> film</w:t>
      </w:r>
      <w:r w:rsidR="0002742E">
        <w:t xml:space="preserve"> </w:t>
      </w:r>
      <w:r w:rsidRPr="002D2D79">
        <w:t>coated tablets containing 20 mg, 40 mg and 80 mg of lurasidone (as hydrochloride).</w:t>
      </w:r>
    </w:p>
    <w:p w:rsidR="002D2D79" w:rsidRPr="002D2D79" w:rsidRDefault="002D2D79" w:rsidP="00F0794A">
      <w:pPr>
        <w:pStyle w:val="ListBullet"/>
      </w:pPr>
      <w:r w:rsidRPr="002D2D79">
        <w:t xml:space="preserve">The PSC advised that all outstanding issues should be addressed to the </w:t>
      </w:r>
      <w:r w:rsidRPr="00F0794A">
        <w:t>satisfaction</w:t>
      </w:r>
      <w:r w:rsidRPr="002D2D79">
        <w:t xml:space="preserve"> of the TGA.</w:t>
      </w:r>
    </w:p>
    <w:p w:rsidR="008E7846" w:rsidRPr="002D2D79" w:rsidRDefault="002D2D79" w:rsidP="00F0794A">
      <w:pPr>
        <w:pStyle w:val="ListBullet"/>
      </w:pPr>
      <w:r w:rsidRPr="002D2D79">
        <w:t xml:space="preserve">There is no requirement for this submission to be reviewed again by the </w:t>
      </w:r>
      <w:r w:rsidRPr="00F0794A">
        <w:t>PSC</w:t>
      </w:r>
      <w:r w:rsidRPr="002D2D79">
        <w:t xml:space="preserve"> before it is presented for consider</w:t>
      </w:r>
      <w:r w:rsidR="008A1E07">
        <w:t>ation by the ACPM</w:t>
      </w:r>
      <w:r>
        <w:t>.</w:t>
      </w:r>
    </w:p>
    <w:p w:rsidR="008E7846" w:rsidRPr="00F0794A" w:rsidRDefault="008E7846" w:rsidP="00F0794A">
      <w:pPr>
        <w:pStyle w:val="Heading3"/>
      </w:pPr>
      <w:bookmarkStart w:id="35" w:name="_Toc247691509"/>
      <w:bookmarkStart w:id="36" w:name="_Toc314842493"/>
      <w:bookmarkStart w:id="37" w:name="_Toc392682441"/>
      <w:r>
        <w:t xml:space="preserve">Quality </w:t>
      </w:r>
      <w:r w:rsidR="00F0794A">
        <w:t>s</w:t>
      </w:r>
      <w:r w:rsidRPr="008751DC">
        <w:t>ummary</w:t>
      </w:r>
      <w:r>
        <w:t xml:space="preserve"> and </w:t>
      </w:r>
      <w:r w:rsidR="00F0794A">
        <w:t>c</w:t>
      </w:r>
      <w:r>
        <w:t>onclusions</w:t>
      </w:r>
      <w:bookmarkEnd w:id="35"/>
      <w:bookmarkEnd w:id="36"/>
      <w:bookmarkEnd w:id="37"/>
    </w:p>
    <w:p w:rsidR="008E7846" w:rsidRPr="007947CF" w:rsidRDefault="005354C5" w:rsidP="00F0794A">
      <w:r w:rsidRPr="007947CF">
        <w:t xml:space="preserve">There are no objections in respect of Chemistry, Manufacturing, Controls and </w:t>
      </w:r>
      <w:proofErr w:type="spellStart"/>
      <w:r w:rsidRPr="007947CF">
        <w:t>Biopharmaceutics</w:t>
      </w:r>
      <w:proofErr w:type="spellEnd"/>
      <w:r w:rsidRPr="007947CF">
        <w:t xml:space="preserve"> to registration of these products.</w:t>
      </w:r>
    </w:p>
    <w:p w:rsidR="008E7846" w:rsidRDefault="008E7846" w:rsidP="006A5F42">
      <w:pPr>
        <w:pStyle w:val="Heading2"/>
      </w:pPr>
      <w:bookmarkStart w:id="38" w:name="_Toc196046439"/>
      <w:bookmarkStart w:id="39" w:name="_Toc247691510"/>
      <w:bookmarkStart w:id="40" w:name="_Toc314842494"/>
      <w:bookmarkStart w:id="41" w:name="_Toc392682442"/>
      <w:r>
        <w:t>III. Nonclinical</w:t>
      </w:r>
      <w:bookmarkEnd w:id="38"/>
      <w:r>
        <w:t xml:space="preserve"> </w:t>
      </w:r>
      <w:r w:rsidRPr="006A5F42">
        <w:t>findings</w:t>
      </w:r>
      <w:bookmarkEnd w:id="39"/>
      <w:bookmarkEnd w:id="40"/>
      <w:bookmarkEnd w:id="41"/>
    </w:p>
    <w:p w:rsidR="008E7846" w:rsidRPr="006A5F42" w:rsidRDefault="008E7846" w:rsidP="006A5F42">
      <w:pPr>
        <w:pStyle w:val="Heading3"/>
      </w:pPr>
      <w:bookmarkStart w:id="42" w:name="_Toc247691511"/>
      <w:bookmarkStart w:id="43" w:name="_Toc314842495"/>
      <w:bookmarkStart w:id="44" w:name="_Toc392682443"/>
      <w:r>
        <w:t>Introduction</w:t>
      </w:r>
      <w:bookmarkEnd w:id="42"/>
      <w:bookmarkEnd w:id="43"/>
      <w:bookmarkEnd w:id="44"/>
    </w:p>
    <w:p w:rsidR="00737CFE" w:rsidRPr="00737CFE" w:rsidRDefault="00737CFE" w:rsidP="006A5F42">
      <w:r w:rsidRPr="00737CFE">
        <w:t xml:space="preserve">The overall quality of the submitted nonclinical data was good, despite the age of some of the studies. Many of the toxicology study reports had </w:t>
      </w:r>
      <w:r w:rsidR="00871B4B" w:rsidRPr="00871B4B">
        <w:t xml:space="preserve">Quality Assurance </w:t>
      </w:r>
      <w:r w:rsidR="00871B4B">
        <w:t>(</w:t>
      </w:r>
      <w:r w:rsidRPr="00737CFE">
        <w:t>QA</w:t>
      </w:r>
      <w:r w:rsidR="00871B4B">
        <w:t>)</w:t>
      </w:r>
      <w:r w:rsidRPr="00737CFE">
        <w:t xml:space="preserve"> st</w:t>
      </w:r>
      <w:r w:rsidR="00871B4B">
        <w:t>atements but lacked a Good Laboratory Practice (GLP)</w:t>
      </w:r>
      <w:r w:rsidRPr="00737CFE">
        <w:t xml:space="preserve"> certification page. This was raised with the sponsor, who confirmed the GLP status of nearly all of the toxi</w:t>
      </w:r>
      <w:r>
        <w:t>cological studies</w:t>
      </w:r>
      <w:r w:rsidRPr="00737CFE">
        <w:t>.</w:t>
      </w:r>
    </w:p>
    <w:p w:rsidR="00737CFE" w:rsidRPr="00737CFE" w:rsidRDefault="00737CFE" w:rsidP="006A5F42">
      <w:r w:rsidRPr="00737CFE">
        <w:t xml:space="preserve">There were some deficiencies in the </w:t>
      </w:r>
      <w:proofErr w:type="spellStart"/>
      <w:r w:rsidRPr="00737CFE">
        <w:t>toxicokinetic</w:t>
      </w:r>
      <w:proofErr w:type="spellEnd"/>
      <w:r w:rsidRPr="00737CFE">
        <w:t xml:space="preserve"> data provided, most notably for pregnant animals in the embryof</w:t>
      </w:r>
      <w:r>
        <w:t>o</w:t>
      </w:r>
      <w:r w:rsidRPr="00737CFE">
        <w:t xml:space="preserve">etal development studies, particularly for rabbits for which there were no </w:t>
      </w:r>
      <w:proofErr w:type="spellStart"/>
      <w:r w:rsidRPr="00737CFE">
        <w:t>toxicokinetic</w:t>
      </w:r>
      <w:proofErr w:type="spellEnd"/>
      <w:r w:rsidRPr="00737CFE">
        <w:t xml:space="preserve"> data at all. Further, only limited serum sampling was conducted in the 13</w:t>
      </w:r>
      <w:r w:rsidR="00055329">
        <w:t xml:space="preserve"> </w:t>
      </w:r>
      <w:r w:rsidRPr="00737CFE">
        <w:t xml:space="preserve">week (main and </w:t>
      </w:r>
      <w:r w:rsidR="006B6B24" w:rsidRPr="006B6B24">
        <w:t xml:space="preserve">no observed adverse effect level </w:t>
      </w:r>
      <w:r w:rsidR="006B6B24">
        <w:t>[</w:t>
      </w:r>
      <w:r w:rsidRPr="00737CFE">
        <w:t>NOAEL</w:t>
      </w:r>
      <w:r w:rsidR="006B6B24">
        <w:t>]</w:t>
      </w:r>
      <w:r w:rsidRPr="00737CFE">
        <w:t>) and 26</w:t>
      </w:r>
      <w:r w:rsidR="002221C9">
        <w:t xml:space="preserve"> </w:t>
      </w:r>
      <w:r w:rsidRPr="00737CFE">
        <w:t>week oral rat studies, and hence AUC values were not calculated, although the 2</w:t>
      </w:r>
      <w:r w:rsidR="00055329">
        <w:t xml:space="preserve"> </w:t>
      </w:r>
      <w:r w:rsidRPr="00737CFE">
        <w:t xml:space="preserve">week </w:t>
      </w:r>
      <w:proofErr w:type="spellStart"/>
      <w:r w:rsidRPr="00737CFE">
        <w:t>toxicokinetic</w:t>
      </w:r>
      <w:proofErr w:type="spellEnd"/>
      <w:r w:rsidRPr="00737CFE">
        <w:t xml:space="preserve"> study, as well as AUC data for the rat carcinogenicity study, went some w</w:t>
      </w:r>
      <w:r w:rsidR="006A5F42">
        <w:t>ay towards rectifying this gap.</w:t>
      </w:r>
    </w:p>
    <w:p w:rsidR="00737CFE" w:rsidRPr="00737CFE" w:rsidRDefault="00737CFE" w:rsidP="00737CFE">
      <w:r w:rsidRPr="00737CFE">
        <w:t xml:space="preserve">The </w:t>
      </w:r>
      <w:r w:rsidR="00212CE5">
        <w:t>n</w:t>
      </w:r>
      <w:r w:rsidRPr="00737CFE">
        <w:t xml:space="preserve">onclinical </w:t>
      </w:r>
      <w:r w:rsidR="00212CE5">
        <w:t>e</w:t>
      </w:r>
      <w:r w:rsidRPr="00737CFE">
        <w:t>xpert noted that 8 studies conducted by a previous development company were of insufficient quality to be submitted and were deemed to be superseded by later studies. This is considered acceptable given the comments regarding the deficiencies in these studies, as well as the broadly comprehensive package of studies that was submitted.</w:t>
      </w:r>
    </w:p>
    <w:p w:rsidR="008E7846" w:rsidRPr="006A5F42" w:rsidRDefault="008E7846" w:rsidP="006A5F42">
      <w:pPr>
        <w:pStyle w:val="Heading3"/>
      </w:pPr>
      <w:bookmarkStart w:id="45" w:name="_Toc247691512"/>
      <w:bookmarkStart w:id="46" w:name="_Toc314842496"/>
      <w:bookmarkStart w:id="47" w:name="_Toc392682444"/>
      <w:r w:rsidRPr="00020030">
        <w:lastRenderedPageBreak/>
        <w:t>Pharmacology</w:t>
      </w:r>
      <w:bookmarkEnd w:id="45"/>
      <w:bookmarkEnd w:id="46"/>
      <w:bookmarkEnd w:id="47"/>
    </w:p>
    <w:p w:rsidR="00FF0F8F" w:rsidRDefault="00FF0F8F" w:rsidP="006A5F42">
      <w:pPr>
        <w:pStyle w:val="Heading4"/>
      </w:pPr>
      <w:r>
        <w:t xml:space="preserve">Primary </w:t>
      </w:r>
      <w:r w:rsidRPr="006A5F42">
        <w:t>pharmacology</w:t>
      </w:r>
    </w:p>
    <w:p w:rsidR="00FF0F8F" w:rsidRPr="00FF0F8F" w:rsidRDefault="00FF0F8F" w:rsidP="006A5F42">
      <w:r w:rsidRPr="00FF0F8F">
        <w:t xml:space="preserve">As can be seen from </w:t>
      </w:r>
      <w:r w:rsidR="00B920E4">
        <w:t>Table 3</w:t>
      </w:r>
      <w:r w:rsidRPr="00FF0F8F">
        <w:t>, lurasidone showed high affinity for human dopaminergic D2L and serotonergic 5-HT2A and 5-HT7 receptors, moderate affinity for human 5-HT1A, adrenergic α2C and D3 receptors, and weaker affinity for human D4.4, α2A and α1A rec</w:t>
      </w:r>
      <w:r w:rsidR="0010543D">
        <w:t>eptors. It also showed moderate/</w:t>
      </w:r>
      <w:r w:rsidRPr="00FF0F8F">
        <w:t>high affinity for rat D2, 5-HT2 and rat 5-HT1A receptors and weak affinity for rat α1 and α2 receptors. It showed little/no affinity for rat</w:t>
      </w:r>
      <w:r w:rsidR="002561CA">
        <w:t xml:space="preserve"> D1 (Ki = </w:t>
      </w:r>
      <w:r w:rsidRPr="00FF0F8F">
        <w:t xml:space="preserve">262 </w:t>
      </w:r>
      <w:proofErr w:type="spellStart"/>
      <w:r w:rsidRPr="00FF0F8F">
        <w:t>nM</w:t>
      </w:r>
      <w:proofErr w:type="spellEnd"/>
      <w:r w:rsidRPr="00FF0F8F">
        <w:t>)</w:t>
      </w:r>
      <w:r w:rsidR="00A93EC5">
        <w:t xml:space="preserve">, porcine 5-HT2C receptors (Ki = </w:t>
      </w:r>
      <w:r w:rsidRPr="00FF0F8F">
        <w:t xml:space="preserve">415 </w:t>
      </w:r>
      <w:proofErr w:type="spellStart"/>
      <w:r w:rsidRPr="00FF0F8F">
        <w:t>nM</w:t>
      </w:r>
      <w:proofErr w:type="spellEnd"/>
      <w:r w:rsidRPr="00FF0F8F">
        <w:t xml:space="preserve">), rabbit 5-HT3, guinea pig 5-HT4 receptors, human H1, human M1, rat dopamine or 5-HT uptake sites (IC50 ≥1 µM), nor did it inhibit dopamine, 5-HT or noradrenaline reuptake into rat </w:t>
      </w:r>
      <w:proofErr w:type="spellStart"/>
      <w:r w:rsidRPr="00FF0F8F">
        <w:t>synaptosomes</w:t>
      </w:r>
      <w:proofErr w:type="spellEnd"/>
      <w:r w:rsidRPr="00FF0F8F">
        <w:t xml:space="preserve"> (IC50 &gt;3 µM).</w:t>
      </w:r>
    </w:p>
    <w:p w:rsidR="00B920E4" w:rsidRPr="006A5F42" w:rsidRDefault="00B920E4" w:rsidP="006A5F42">
      <w:pPr>
        <w:pStyle w:val="TableTitle"/>
      </w:pPr>
      <w:proofErr w:type="gramStart"/>
      <w:r>
        <w:t>Table 3:</w:t>
      </w:r>
      <w:r w:rsidRPr="004C5C28">
        <w:t xml:space="preserve"> </w:t>
      </w:r>
      <w:r>
        <w:t xml:space="preserve">Affinity of </w:t>
      </w:r>
      <w:proofErr w:type="spellStart"/>
      <w:r>
        <w:t>lurasidone</w:t>
      </w:r>
      <w:proofErr w:type="spellEnd"/>
      <w:r>
        <w:t>.</w:t>
      </w:r>
      <w:proofErr w:type="gramEnd"/>
    </w:p>
    <w:p w:rsidR="004334C7" w:rsidRDefault="00C85C44" w:rsidP="006A5F42">
      <w:r>
        <w:rPr>
          <w:noProof/>
          <w:lang w:eastAsia="en-AU"/>
        </w:rPr>
        <w:drawing>
          <wp:inline distT="0" distB="0" distL="0" distR="0" wp14:anchorId="0F7D7B5C" wp14:editId="5BF23137">
            <wp:extent cx="5391150" cy="2586355"/>
            <wp:effectExtent l="0" t="0" r="0" b="4445"/>
            <wp:docPr id="4" name="Picture 4" descr="Table 3: Affinity of luras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Affinity of lurasid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586355"/>
                    </a:xfrm>
                    <a:prstGeom prst="rect">
                      <a:avLst/>
                    </a:prstGeom>
                    <a:noFill/>
                    <a:ln>
                      <a:noFill/>
                    </a:ln>
                  </pic:spPr>
                </pic:pic>
              </a:graphicData>
            </a:graphic>
          </wp:inline>
        </w:drawing>
      </w:r>
    </w:p>
    <w:p w:rsidR="003B4E04" w:rsidRPr="003B4E04" w:rsidRDefault="003B4E04" w:rsidP="006A5F42">
      <w:r w:rsidRPr="003B4E04">
        <w:t>Lurasidone metabolites were also investigated for binding affinity at relevant receptors. As shown</w:t>
      </w:r>
      <w:r w:rsidR="00D210FF">
        <w:t xml:space="preserve"> in Table 4</w:t>
      </w:r>
      <w:r w:rsidRPr="003B4E04">
        <w:t>, of the 4 major circulating human metabolites (ID-20219, ID-20220, ID-14283 and ID-14326,), ID-14283 and ID-14326 were found to have comparable affinity to parent drug at human D2L, 5-HT2A, 5-HT7, 5-HT1A and α2C receptors, while ID-20219 and ID-20220 showed no measureable affinity.</w:t>
      </w:r>
    </w:p>
    <w:p w:rsidR="00D210FF" w:rsidRPr="006A5F42" w:rsidRDefault="00D210FF" w:rsidP="006A5F42">
      <w:pPr>
        <w:pStyle w:val="TableTitle"/>
      </w:pPr>
      <w:proofErr w:type="gramStart"/>
      <w:r>
        <w:t>Table 4:</w:t>
      </w:r>
      <w:r w:rsidRPr="004C5C28">
        <w:t xml:space="preserve"> </w:t>
      </w:r>
      <w:r>
        <w:t xml:space="preserve">Affinity of </w:t>
      </w:r>
      <w:proofErr w:type="spellStart"/>
      <w:r>
        <w:t>lurasidone</w:t>
      </w:r>
      <w:proofErr w:type="spellEnd"/>
      <w:r w:rsidR="001D0AF8">
        <w:t xml:space="preserve"> and metabolites</w:t>
      </w:r>
      <w:r>
        <w:t>.</w:t>
      </w:r>
      <w:proofErr w:type="gramEnd"/>
    </w:p>
    <w:p w:rsidR="003B4E04" w:rsidRPr="003B4E04" w:rsidRDefault="00C85C44" w:rsidP="006A5F42">
      <w:r>
        <w:rPr>
          <w:noProof/>
          <w:lang w:eastAsia="en-AU"/>
        </w:rPr>
        <w:drawing>
          <wp:inline distT="0" distB="0" distL="0" distR="0" wp14:anchorId="3AB596AF" wp14:editId="6362959B">
            <wp:extent cx="5396865" cy="975995"/>
            <wp:effectExtent l="0" t="0" r="0" b="0"/>
            <wp:docPr id="5" name="Picture 5" descr="Table 4: Affinity of lurasidone and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Affinity of lurasidone and metaboli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865" cy="975995"/>
                    </a:xfrm>
                    <a:prstGeom prst="rect">
                      <a:avLst/>
                    </a:prstGeom>
                    <a:noFill/>
                    <a:ln>
                      <a:noFill/>
                    </a:ln>
                  </pic:spPr>
                </pic:pic>
              </a:graphicData>
            </a:graphic>
          </wp:inline>
        </w:drawing>
      </w:r>
    </w:p>
    <w:p w:rsidR="00554CB2" w:rsidRPr="00554CB2" w:rsidRDefault="00554CB2" w:rsidP="006A5F42">
      <w:r w:rsidRPr="00554CB2">
        <w:t xml:space="preserve">Other metabolites (ID-14323, ID-14324, ID-20221, ID-20222, ID-11614, ID-15001, ID-15002, CR-1209, CR-1218, ID-20239 and ID-20240) were also tested for affinity at rat D2L and 5-HT2A receptors. </w:t>
      </w:r>
      <w:proofErr w:type="gramStart"/>
      <w:r w:rsidRPr="00554CB2">
        <w:t xml:space="preserve">Only ID-20239 and ID-20240 showed substantial affinity at these receptors (Ki 1.46 and 2.48 </w:t>
      </w:r>
      <w:proofErr w:type="spellStart"/>
      <w:r w:rsidRPr="00554CB2">
        <w:t>nM</w:t>
      </w:r>
      <w:proofErr w:type="spellEnd"/>
      <w:r w:rsidRPr="00554CB2">
        <w:t>, respectively at D2L, and 0.947 and 1</w:t>
      </w:r>
      <w:r w:rsidR="00ED1252">
        <w:t xml:space="preserve">.00 </w:t>
      </w:r>
      <w:proofErr w:type="spellStart"/>
      <w:r w:rsidR="00ED1252">
        <w:t>nM</w:t>
      </w:r>
      <w:proofErr w:type="spellEnd"/>
      <w:r w:rsidR="00ED1252">
        <w:t>, respectively at 5-HT2A)</w:t>
      </w:r>
      <w:r w:rsidRPr="00554CB2">
        <w:t xml:space="preserve"> while ID-11614 showed some affinity at 5-HT2A (Ki 49.4 </w:t>
      </w:r>
      <w:proofErr w:type="spellStart"/>
      <w:r w:rsidRPr="00554CB2">
        <w:t>nM</w:t>
      </w:r>
      <w:proofErr w:type="spellEnd"/>
      <w:r w:rsidRPr="00554CB2">
        <w:t>).</w:t>
      </w:r>
      <w:proofErr w:type="gramEnd"/>
      <w:r w:rsidRPr="00554CB2">
        <w:t xml:space="preserve"> No data were provided on receptor occupancies </w:t>
      </w:r>
      <w:r w:rsidRPr="00A81183">
        <w:rPr>
          <w:i/>
        </w:rPr>
        <w:t>in vivo</w:t>
      </w:r>
      <w:r w:rsidRPr="00554CB2">
        <w:t>.</w:t>
      </w:r>
    </w:p>
    <w:p w:rsidR="00554CB2" w:rsidRPr="00554CB2" w:rsidRDefault="00554CB2" w:rsidP="006A5F42">
      <w:r w:rsidRPr="00554CB2">
        <w:t xml:space="preserve">Assessment of the functional activities of </w:t>
      </w:r>
      <w:r w:rsidR="00EC20AF">
        <w:t>LDH</w:t>
      </w:r>
      <w:r w:rsidRPr="00554CB2">
        <w:t xml:space="preserve"> and metabolites, ID-14283 </w:t>
      </w:r>
      <w:proofErr w:type="spellStart"/>
      <w:r w:rsidRPr="00554CB2">
        <w:t>HCl</w:t>
      </w:r>
      <w:proofErr w:type="spellEnd"/>
      <w:r w:rsidRPr="00554CB2">
        <w:t xml:space="preserve"> and ID-14326 </w:t>
      </w:r>
      <w:proofErr w:type="spellStart"/>
      <w:r w:rsidRPr="00554CB2">
        <w:t>HCl</w:t>
      </w:r>
      <w:proofErr w:type="spellEnd"/>
      <w:r w:rsidRPr="00554CB2">
        <w:t xml:space="preserve"> at human D2L and 5-HT1A receptors using the </w:t>
      </w:r>
      <w:proofErr w:type="spellStart"/>
      <w:r w:rsidRPr="00554CB2">
        <w:t>GTPγS</w:t>
      </w:r>
      <w:proofErr w:type="spellEnd"/>
      <w:r w:rsidRPr="00554CB2">
        <w:t xml:space="preserve"> assay, and at the 5-HT7 receptor using the </w:t>
      </w:r>
      <w:proofErr w:type="spellStart"/>
      <w:r w:rsidRPr="00554CB2">
        <w:t>cAMP</w:t>
      </w:r>
      <w:proofErr w:type="spellEnd"/>
      <w:r w:rsidRPr="00554CB2">
        <w:t xml:space="preserve"> assay, suggested that all 3 compounds are antagonists at human </w:t>
      </w:r>
      <w:r w:rsidRPr="00554CB2">
        <w:lastRenderedPageBreak/>
        <w:t>D2L and 5-HT7 receptors and partial agonists at the human 5-HT1A receptor. Functional activity at other receptors was not assessed experimentally and determination of antagonist/agonist activity was presumably based on information on other atypical antipsychotic drugs.</w:t>
      </w:r>
    </w:p>
    <w:p w:rsidR="00554CB2" w:rsidRPr="00554CB2" w:rsidRDefault="00554CB2" w:rsidP="006A5F42">
      <w:r w:rsidRPr="00554CB2">
        <w:t xml:space="preserve">Plasma </w:t>
      </w:r>
      <w:proofErr w:type="spellStart"/>
      <w:r w:rsidRPr="00554CB2">
        <w:t>Cmax</w:t>
      </w:r>
      <w:proofErr w:type="spellEnd"/>
      <w:r w:rsidRPr="00554CB2">
        <w:t xml:space="preserve"> at the initial recommended dose of 40 mg/day was </w:t>
      </w:r>
      <w:proofErr w:type="gramStart"/>
      <w:r w:rsidRPr="00554CB2">
        <w:t>about 52.4 ng/</w:t>
      </w:r>
      <w:proofErr w:type="spellStart"/>
      <w:r w:rsidRPr="00554CB2">
        <w:t>mL</w:t>
      </w:r>
      <w:proofErr w:type="gramEnd"/>
      <w:r w:rsidRPr="00554CB2">
        <w:t>.</w:t>
      </w:r>
      <w:proofErr w:type="spellEnd"/>
      <w:r w:rsidRPr="00554CB2">
        <w:t xml:space="preserve"> This value was calculated from a </w:t>
      </w:r>
      <w:proofErr w:type="spellStart"/>
      <w:r w:rsidRPr="00554CB2">
        <w:t>Cmax</w:t>
      </w:r>
      <w:proofErr w:type="spellEnd"/>
      <w:r w:rsidRPr="00554CB2">
        <w:t xml:space="preserve"> of 60.0 ng/mL (Study D1050002; </w:t>
      </w:r>
      <w:r w:rsidR="004B34C6">
        <w:t>D</w:t>
      </w:r>
      <w:r w:rsidRPr="00554CB2">
        <w:t>ay 9; n</w:t>
      </w:r>
      <w:r w:rsidR="00A81183">
        <w:t xml:space="preserve"> </w:t>
      </w:r>
      <w:r w:rsidRPr="00554CB2">
        <w:t>=</w:t>
      </w:r>
      <w:r w:rsidR="00A81183">
        <w:t xml:space="preserve"> </w:t>
      </w:r>
      <w:r w:rsidRPr="00554CB2">
        <w:t xml:space="preserve">5) and of 48.3 ng/mL (Study D1001017; </w:t>
      </w:r>
      <w:r w:rsidR="004B34C6">
        <w:t>D</w:t>
      </w:r>
      <w:r w:rsidRPr="00554CB2">
        <w:t>ay 6; n</w:t>
      </w:r>
      <w:r w:rsidR="00A81183">
        <w:t xml:space="preserve"> </w:t>
      </w:r>
      <w:r w:rsidRPr="00554CB2">
        <w:t>=</w:t>
      </w:r>
      <w:r w:rsidR="00A81183">
        <w:t xml:space="preserve"> </w:t>
      </w:r>
      <w:r w:rsidRPr="00554CB2">
        <w:t xml:space="preserve">9) (mean value adjusted for number of patients). This value is above/well above the Ki values at human D2L, 5-HT2A, 5-HT7, 5-HT1A, α2C, D3, D4.4, and α2A receptors. However, due to extensive plasma protein binding (about 99%, giving a free </w:t>
      </w:r>
      <w:proofErr w:type="spellStart"/>
      <w:r w:rsidRPr="00554CB2">
        <w:t>Cmax</w:t>
      </w:r>
      <w:proofErr w:type="spellEnd"/>
      <w:r w:rsidRPr="00554CB2">
        <w:t xml:space="preserve"> concentration of lurasidone of about 0.52 ng/mL), it is difficult to assess which receptors will be involved in the pharmacological action of lurasidone in patients. Although Ki values at human D2L, 5-HT2A and 5-HT7 receptors were around this value, suggesting that these receptors will always be involved, 5-HT1A, α2C and D3 receptors seem likely also to be involved, particularly at the higher doses. Dopamine D3 receptors are similar to D2 receptors</w:t>
      </w:r>
      <w:r w:rsidR="004B34C6">
        <w:t>.</w:t>
      </w:r>
      <w:r w:rsidR="004B34C6">
        <w:rPr>
          <w:rStyle w:val="FootnoteReference"/>
        </w:rPr>
        <w:footnoteReference w:id="9"/>
      </w:r>
    </w:p>
    <w:p w:rsidR="00554CB2" w:rsidRPr="00554CB2" w:rsidRDefault="00554CB2" w:rsidP="006A5F42">
      <w:r w:rsidRPr="00554CB2">
        <w:t xml:space="preserve">As can be seen </w:t>
      </w:r>
      <w:r>
        <w:t>in Table 5</w:t>
      </w:r>
      <w:r w:rsidRPr="00554CB2">
        <w:t xml:space="preserve">, in </w:t>
      </w:r>
      <w:r w:rsidRPr="00A81183">
        <w:rPr>
          <w:i/>
        </w:rPr>
        <w:t>in vivo</w:t>
      </w:r>
      <w:r w:rsidRPr="00554CB2">
        <w:t xml:space="preserve"> studies, </w:t>
      </w:r>
      <w:r w:rsidR="00EC20AF">
        <w:t>LDH</w:t>
      </w:r>
      <w:r w:rsidRPr="00554CB2">
        <w:t xml:space="preserve"> showed activity consistent with inhibition of D2 receptors. Oral ED50 values were in the range 2.3-6.3 mg/kg (1 h values) for </w:t>
      </w:r>
      <w:r w:rsidR="00EC20AF">
        <w:t>LDH</w:t>
      </w:r>
      <w:r w:rsidRPr="00554CB2">
        <w:t xml:space="preserve">, 0.28-1.7 mg/kg for haloperidol and 0.094-1.8 mg/kg for </w:t>
      </w:r>
      <w:proofErr w:type="spellStart"/>
      <w:r w:rsidRPr="00554CB2">
        <w:t>risperidone</w:t>
      </w:r>
      <w:proofErr w:type="spellEnd"/>
      <w:r w:rsidRPr="00554CB2">
        <w:t xml:space="preserve">, indicating that </w:t>
      </w:r>
      <w:r w:rsidR="00EC20AF">
        <w:t>LDH</w:t>
      </w:r>
      <w:r w:rsidRPr="00554CB2">
        <w:t xml:space="preserve"> is of lower potency than either haloperidol </w:t>
      </w:r>
      <w:r w:rsidR="006A5F42">
        <w:t xml:space="preserve">or </w:t>
      </w:r>
      <w:proofErr w:type="spellStart"/>
      <w:r w:rsidR="006A5F42">
        <w:t>risperidone</w:t>
      </w:r>
      <w:proofErr w:type="spellEnd"/>
      <w:r w:rsidR="006A5F42">
        <w:t xml:space="preserve"> at D2 receptors.</w:t>
      </w:r>
    </w:p>
    <w:p w:rsidR="00554CB2" w:rsidRDefault="00554CB2" w:rsidP="006A5F42">
      <w:pPr>
        <w:pStyle w:val="TableTitle"/>
      </w:pPr>
      <w:r>
        <w:t>Table 5:</w:t>
      </w:r>
      <w:r w:rsidRPr="004C5C28">
        <w:t xml:space="preserve"> </w:t>
      </w:r>
      <w:r w:rsidR="00714510">
        <w:t xml:space="preserve">Oral </w:t>
      </w:r>
      <w:r w:rsidR="008D69F4">
        <w:t xml:space="preserve">ED50 for </w:t>
      </w:r>
      <w:r w:rsidR="00EC20AF">
        <w:t>LDH</w:t>
      </w:r>
      <w:r w:rsidR="008D69F4" w:rsidRPr="00554CB2">
        <w:t>, haloperidol</w:t>
      </w:r>
      <w:r w:rsidR="008D69F4">
        <w:t xml:space="preserve"> and </w:t>
      </w:r>
      <w:proofErr w:type="spellStart"/>
      <w:r w:rsidR="008D69F4" w:rsidRPr="00554CB2">
        <w:t>risperidone</w:t>
      </w:r>
      <w:proofErr w:type="spellEnd"/>
      <w:r w:rsidR="00286FD4">
        <w:t xml:space="preserve">: inhibition of D2 </w:t>
      </w:r>
      <w:r w:rsidR="00286FD4" w:rsidRPr="006A5F42">
        <w:t>receptors</w:t>
      </w:r>
      <w:r>
        <w:t>.</w:t>
      </w:r>
    </w:p>
    <w:p w:rsidR="00554CB2" w:rsidRDefault="00C85C44" w:rsidP="006A5F42">
      <w:r>
        <w:rPr>
          <w:noProof/>
          <w:lang w:eastAsia="en-AU"/>
        </w:rPr>
        <w:drawing>
          <wp:inline distT="0" distB="0" distL="0" distR="0" wp14:anchorId="53A13AE9" wp14:editId="6B5DDCC6">
            <wp:extent cx="4886325" cy="1845945"/>
            <wp:effectExtent l="0" t="0" r="9525" b="1905"/>
            <wp:docPr id="6" name="Picture 6" descr="Table 5: Oral ED50 for LDH, haloperidol and risperidone: inhibition of D2 recep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Oral ED50 for LDH, haloperidol and risperidone: inhibition of D2 recepto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6325" cy="1845945"/>
                    </a:xfrm>
                    <a:prstGeom prst="rect">
                      <a:avLst/>
                    </a:prstGeom>
                    <a:noFill/>
                    <a:ln>
                      <a:noFill/>
                    </a:ln>
                  </pic:spPr>
                </pic:pic>
              </a:graphicData>
            </a:graphic>
          </wp:inline>
        </w:drawing>
      </w:r>
    </w:p>
    <w:p w:rsidR="008D69F4" w:rsidRDefault="008D69F4" w:rsidP="006A5F42">
      <w:pPr>
        <w:pStyle w:val="TableDescription"/>
      </w:pPr>
      <w:r w:rsidRPr="00C53508">
        <w:t xml:space="preserve">^ </w:t>
      </w:r>
      <w:proofErr w:type="gramStart"/>
      <w:r w:rsidRPr="00C53508">
        <w:t>unless</w:t>
      </w:r>
      <w:proofErr w:type="gramEnd"/>
      <w:r w:rsidRPr="00C53508">
        <w:t xml:space="preserve"> otherwise noted</w:t>
      </w:r>
      <w:r>
        <w:t>,</w:t>
      </w:r>
      <w:r w:rsidRPr="00C53508">
        <w:t xml:space="preserve"> data are for </w:t>
      </w:r>
      <w:r>
        <w:t xml:space="preserve">administration of </w:t>
      </w:r>
      <w:r w:rsidR="00EC20AF">
        <w:t>LDH</w:t>
      </w:r>
      <w:r>
        <w:t xml:space="preserve"> </w:t>
      </w:r>
      <w:r w:rsidRPr="00C53508">
        <w:t xml:space="preserve">1 h </w:t>
      </w:r>
      <w:r>
        <w:t>prior to administration of the compound induci</w:t>
      </w:r>
      <w:r w:rsidR="006A5F42">
        <w:t>ng the effect or before testing</w:t>
      </w:r>
    </w:p>
    <w:p w:rsidR="00CA5D44" w:rsidRPr="00CA5D44" w:rsidRDefault="00EC20AF" w:rsidP="006A5F42">
      <w:r>
        <w:t>LDH</w:t>
      </w:r>
      <w:r w:rsidR="00CA5D44" w:rsidRPr="00CA5D44">
        <w:t xml:space="preserve"> also showed </w:t>
      </w:r>
      <w:r w:rsidR="00CA5D44" w:rsidRPr="0096355E">
        <w:rPr>
          <w:i/>
        </w:rPr>
        <w:t>in vivo</w:t>
      </w:r>
      <w:r w:rsidR="00CA5D44" w:rsidRPr="00CA5D44">
        <w:t xml:space="preserve"> activity consistent with inhibition of 5-HT2 receptors (</w:t>
      </w:r>
      <w:r w:rsidR="00CA5D44">
        <w:t>Table 6</w:t>
      </w:r>
      <w:r w:rsidR="00CA5D44" w:rsidRPr="00CA5D44">
        <w:t xml:space="preserve">). Oral ED50 values were in the range 2.2-5.6 mg/kg (1 h values) for </w:t>
      </w:r>
      <w:r>
        <w:t>LDH</w:t>
      </w:r>
      <w:r w:rsidR="0096355E">
        <w:t xml:space="preserve">, 10 to </w:t>
      </w:r>
      <w:r w:rsidR="00CA5D44" w:rsidRPr="00CA5D44">
        <w:t xml:space="preserve">&gt;30 </w:t>
      </w:r>
      <w:r w:rsidR="0096355E">
        <w:t xml:space="preserve">mg/kg for haloperidol and 0.098 to </w:t>
      </w:r>
      <w:r w:rsidR="00CA5D44" w:rsidRPr="00CA5D44">
        <w:t xml:space="preserve">0.16 mg/kg for </w:t>
      </w:r>
      <w:proofErr w:type="spellStart"/>
      <w:r w:rsidR="00CA5D44" w:rsidRPr="00CA5D44">
        <w:t>risperidone</w:t>
      </w:r>
      <w:proofErr w:type="spellEnd"/>
      <w:r w:rsidR="00CA5D44" w:rsidRPr="00CA5D44">
        <w:t xml:space="preserve">, indicating that </w:t>
      </w:r>
      <w:r>
        <w:t>LDH</w:t>
      </w:r>
      <w:r w:rsidR="00CA5D44" w:rsidRPr="00CA5D44">
        <w:t xml:space="preserve"> is of higher potency than haloperidol but lower potency than </w:t>
      </w:r>
      <w:proofErr w:type="spellStart"/>
      <w:r w:rsidR="00CA5D44" w:rsidRPr="00CA5D44">
        <w:t>risperidone</w:t>
      </w:r>
      <w:proofErr w:type="spellEnd"/>
      <w:r w:rsidR="00CA5D44" w:rsidRPr="00CA5D44">
        <w:t xml:space="preserve"> at 5-HT2 receptors.</w:t>
      </w:r>
    </w:p>
    <w:p w:rsidR="00CA5D44" w:rsidRDefault="00CA5D44" w:rsidP="006A5F42">
      <w:pPr>
        <w:pStyle w:val="TableTitle"/>
      </w:pPr>
      <w:r>
        <w:lastRenderedPageBreak/>
        <w:t>Table 6:</w:t>
      </w:r>
      <w:r w:rsidRPr="004C5C28">
        <w:t xml:space="preserve"> </w:t>
      </w:r>
      <w:r w:rsidR="00286FD4">
        <w:t xml:space="preserve">Oral ED50 for </w:t>
      </w:r>
      <w:r w:rsidR="00EC20AF">
        <w:t>LDH</w:t>
      </w:r>
      <w:r w:rsidR="00286FD4" w:rsidRPr="00554CB2">
        <w:t>, haloperidol</w:t>
      </w:r>
      <w:r w:rsidR="00286FD4">
        <w:t xml:space="preserve"> and </w:t>
      </w:r>
      <w:proofErr w:type="spellStart"/>
      <w:r w:rsidR="00286FD4" w:rsidRPr="00554CB2">
        <w:t>risperidone</w:t>
      </w:r>
      <w:proofErr w:type="spellEnd"/>
      <w:r w:rsidR="00286FD4">
        <w:t xml:space="preserve">: inhibition of 5-HT2 </w:t>
      </w:r>
      <w:r w:rsidR="00286FD4" w:rsidRPr="006A5F42">
        <w:t>receptors</w:t>
      </w:r>
      <w:r>
        <w:t>.</w:t>
      </w:r>
    </w:p>
    <w:p w:rsidR="008D69F4" w:rsidRDefault="00C85C44" w:rsidP="006A5F42">
      <w:r>
        <w:rPr>
          <w:noProof/>
          <w:lang w:eastAsia="en-AU"/>
        </w:rPr>
        <w:drawing>
          <wp:inline distT="0" distB="0" distL="0" distR="0" wp14:anchorId="22D42719" wp14:editId="3FECB11D">
            <wp:extent cx="4925695" cy="1744345"/>
            <wp:effectExtent l="0" t="0" r="8255" b="8255"/>
            <wp:docPr id="7" name="Picture 7" descr="Table 6: Oral ED50 for LDH, haloperidol and risperidone: inhibition of 5-HT2 recep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Oral ED50 for LDH, haloperidol and risperidone: inhibition of 5-HT2 recepto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5695" cy="1744345"/>
                    </a:xfrm>
                    <a:prstGeom prst="rect">
                      <a:avLst/>
                    </a:prstGeom>
                    <a:noFill/>
                    <a:ln>
                      <a:noFill/>
                    </a:ln>
                  </pic:spPr>
                </pic:pic>
              </a:graphicData>
            </a:graphic>
          </wp:inline>
        </w:drawing>
      </w:r>
    </w:p>
    <w:p w:rsidR="0037155F" w:rsidRDefault="0037155F" w:rsidP="006A5F42">
      <w:pPr>
        <w:pStyle w:val="TableDescription"/>
        <w:rPr>
          <w:sz w:val="22"/>
        </w:rPr>
      </w:pPr>
      <w:r w:rsidRPr="00C53508">
        <w:t xml:space="preserve">^ </w:t>
      </w:r>
      <w:proofErr w:type="gramStart"/>
      <w:r w:rsidRPr="00C53508">
        <w:t>unless</w:t>
      </w:r>
      <w:proofErr w:type="gramEnd"/>
      <w:r w:rsidRPr="00C53508">
        <w:t xml:space="preserve"> otherwise noted</w:t>
      </w:r>
      <w:r>
        <w:t>,</w:t>
      </w:r>
      <w:r w:rsidRPr="00C53508">
        <w:t xml:space="preserve"> data are for </w:t>
      </w:r>
      <w:r>
        <w:t xml:space="preserve">administration of </w:t>
      </w:r>
      <w:r w:rsidR="00EC20AF">
        <w:t>LDH</w:t>
      </w:r>
      <w:r>
        <w:t xml:space="preserve"> </w:t>
      </w:r>
      <w:r w:rsidRPr="00C53508">
        <w:t xml:space="preserve">1 h </w:t>
      </w:r>
      <w:r>
        <w:t>prior to administration of t</w:t>
      </w:r>
      <w:r w:rsidR="006A5F42">
        <w:t>he compound inducing the effect</w:t>
      </w:r>
    </w:p>
    <w:p w:rsidR="00543617" w:rsidRPr="00543617" w:rsidRDefault="00EC20AF" w:rsidP="006A5F42">
      <w:r>
        <w:t>LDH</w:t>
      </w:r>
      <w:r w:rsidR="00543617" w:rsidRPr="00543617">
        <w:t xml:space="preserve"> enhanced 8-OH-DPAT</w:t>
      </w:r>
      <w:r w:rsidR="00961743">
        <w:t xml:space="preserve"> </w:t>
      </w:r>
      <w:r w:rsidR="00543617" w:rsidRPr="00543617">
        <w:t xml:space="preserve">induced hypothermia, consistent with agonist activity at the 5-HT1A receptor. Lurasidone had little/no effect on </w:t>
      </w:r>
      <w:proofErr w:type="spellStart"/>
      <w:r w:rsidR="00543617" w:rsidRPr="00543617">
        <w:t>oxotremorine</w:t>
      </w:r>
      <w:proofErr w:type="spellEnd"/>
      <w:r w:rsidR="0096355E">
        <w:t xml:space="preserve"> </w:t>
      </w:r>
      <w:r w:rsidR="00543617" w:rsidRPr="00543617">
        <w:t xml:space="preserve">induced tremors in mice (ED50 &gt;1 g/kg), a phenomenon mediated by cholinergic activity, suggesting that </w:t>
      </w:r>
      <w:r>
        <w:t>LDH</w:t>
      </w:r>
      <w:r w:rsidR="00543617" w:rsidRPr="00543617">
        <w:t xml:space="preserve"> is unlikely to elicit anticholinergic effects. It also had little/no effect on ptosis in mice or on noradrenaline</w:t>
      </w:r>
      <w:r w:rsidR="0096355E">
        <w:t xml:space="preserve"> </w:t>
      </w:r>
      <w:r w:rsidR="00543617" w:rsidRPr="00543617">
        <w:t>induced lethality (ED50 ≥1 g/kg) which is consistent with a weak affinity for the α1 receptor (as noted below, ptosis was observed at 2 g/kg in the mouse micronucleus test and in some rat safety pharmacology and toxicity studies).</w:t>
      </w:r>
    </w:p>
    <w:p w:rsidR="00543617" w:rsidRPr="00543617" w:rsidRDefault="00543617" w:rsidP="006A5F42">
      <w:r w:rsidRPr="00543617">
        <w:t>Consistent with the high binding affinity of ID-14283 and ID-14326 for the D2 receptor, these metabolites (given IV) inhibited methamphetamine</w:t>
      </w:r>
      <w:r w:rsidR="00751F79">
        <w:t xml:space="preserve"> </w:t>
      </w:r>
      <w:r w:rsidRPr="00543617">
        <w:t xml:space="preserve">induced hyperactivity in rats with ED50 values that were comparable to that for </w:t>
      </w:r>
      <w:r w:rsidR="00EC20AF">
        <w:t>LDH</w:t>
      </w:r>
      <w:r w:rsidRPr="00543617">
        <w:t>.</w:t>
      </w:r>
    </w:p>
    <w:p w:rsidR="00ED1252" w:rsidRPr="00543617" w:rsidRDefault="00ED1252" w:rsidP="00ED1252">
      <w:r>
        <w:t>A</w:t>
      </w:r>
      <w:r w:rsidRPr="00543617">
        <w:t>t 3 and 10 mg/kg</w:t>
      </w:r>
      <w:r w:rsidR="00817421">
        <w:t>,</w:t>
      </w:r>
      <w:r w:rsidRPr="00543617">
        <w:t xml:space="preserve"> </w:t>
      </w:r>
      <w:r>
        <w:t>LDH</w:t>
      </w:r>
      <w:r w:rsidRPr="00543617">
        <w:t xml:space="preserve"> elicited dose</w:t>
      </w:r>
      <w:r>
        <w:t xml:space="preserve"> </w:t>
      </w:r>
      <w:r w:rsidRPr="00543617">
        <w:t>dependent increases in extracellular concentrations of dopamine in the rat frontal cortex and striatum. These doses are clinically relevant, corresponding to 18</w:t>
      </w:r>
      <w:r>
        <w:t xml:space="preserve"> and 60 mg/m</w:t>
      </w:r>
      <w:r w:rsidRPr="00961743">
        <w:rPr>
          <w:vertAlign w:val="superscript"/>
        </w:rPr>
        <w:t>2</w:t>
      </w:r>
      <w:r>
        <w:t xml:space="preserve">, respectively, compared with </w:t>
      </w:r>
      <w:r w:rsidRPr="00543617">
        <w:t>21 and 85 mg/m</w:t>
      </w:r>
      <w:r w:rsidRPr="00751F79">
        <w:rPr>
          <w:vertAlign w:val="superscript"/>
        </w:rPr>
        <w:t>2</w:t>
      </w:r>
      <w:r w:rsidRPr="00543617">
        <w:t xml:space="preserve"> for the 40 and 160 mg human doses, respectively (assuming a body weight of 70 kg). While haloperidol was not investigated in the same study, it is known to have the</w:t>
      </w:r>
      <w:r>
        <w:t xml:space="preserve"> same effect</w:t>
      </w:r>
      <w:r w:rsidRPr="00543617">
        <w:t>.</w:t>
      </w:r>
      <w:r>
        <w:rPr>
          <w:rStyle w:val="FootnoteReference"/>
        </w:rPr>
        <w:footnoteReference w:id="10"/>
      </w:r>
      <w:r w:rsidRPr="00543617">
        <w:t xml:space="preserve"> At the same doses, </w:t>
      </w:r>
      <w:r>
        <w:t>LDH</w:t>
      </w:r>
      <w:r w:rsidRPr="00543617">
        <w:t xml:space="preserve"> did not alter extracellular concentrations of 5-HT in the frontal cortex, but Ichikawa </w:t>
      </w:r>
      <w:r>
        <w:t>and colleagues</w:t>
      </w:r>
      <w:r>
        <w:rPr>
          <w:rStyle w:val="FootnoteReference"/>
        </w:rPr>
        <w:footnoteReference w:id="11"/>
      </w:r>
      <w:r w:rsidRPr="00543617">
        <w:t xml:space="preserve"> have suggested that the ability to increase extracellular 5-HT levels in the rat prefrontal cortex by antipsychotic drugs is not directly related to their affinity for 5-HT2A receptors since olanzapine and MDL-100,907, both 5-HT2A receptor antagonists, did not significant affect extracellular 5-HT levels.</w:t>
      </w:r>
    </w:p>
    <w:p w:rsidR="00543617" w:rsidRPr="00543617" w:rsidRDefault="00EC20AF" w:rsidP="006A5F42">
      <w:r>
        <w:t>LDH</w:t>
      </w:r>
      <w:r w:rsidR="00543617" w:rsidRPr="00543617">
        <w:t xml:space="preserve"> showed activity in tests for anxiolytic activity/mood stabilising action in rats. Thus, it was active in the stress</w:t>
      </w:r>
      <w:r w:rsidR="00961743">
        <w:t xml:space="preserve"> </w:t>
      </w:r>
      <w:r w:rsidR="00543617" w:rsidRPr="00543617">
        <w:t>induced freezing behaviour model, Vogel’s conflict test in water-deprived rats, the conditioned defence burying test and the social interaction test. Doses that were effect</w:t>
      </w:r>
      <w:r w:rsidR="00321FCB">
        <w:t>ive were 3, 10, 3 and 1 mg/kg orally (PO)</w:t>
      </w:r>
      <w:r w:rsidR="00543617" w:rsidRPr="00543617">
        <w:t>, respectively, are clinically relevant (see above).</w:t>
      </w:r>
    </w:p>
    <w:p w:rsidR="00543617" w:rsidRPr="00543617" w:rsidRDefault="00543617" w:rsidP="00543617">
      <w:r w:rsidRPr="00543617">
        <w:t xml:space="preserve">Effects on learning and memory were examined using the passive avoidance test in rats. </w:t>
      </w:r>
      <w:r w:rsidR="00EC20AF">
        <w:t>LDH</w:t>
      </w:r>
      <w:r w:rsidRPr="00543617">
        <w:t xml:space="preserve"> given alone, either before the test or before training, did not alter behaviour in this test, but when given before training</w:t>
      </w:r>
      <w:r w:rsidR="00F345B1">
        <w:t xml:space="preserve">, it did ameliorate scopolamine and MK-801 </w:t>
      </w:r>
      <w:r w:rsidRPr="00543617">
        <w:t>induced memory impairment. These effects may be relevant to amelioration of cognitive defects in schizophrenia. Doses that showed some effect were in the range 0.3-30 mg/kg PO, but only doses of 3 and 30 mg/k</w:t>
      </w:r>
      <w:r w:rsidR="006A5F42">
        <w:t>g elicited significant effects.</w:t>
      </w:r>
    </w:p>
    <w:p w:rsidR="00543617" w:rsidRDefault="00543617" w:rsidP="006A5F42">
      <w:pPr>
        <w:pStyle w:val="Heading4"/>
        <w:rPr>
          <w:szCs w:val="22"/>
        </w:rPr>
      </w:pPr>
      <w:r>
        <w:lastRenderedPageBreak/>
        <w:t xml:space="preserve">Secondary pharmacodynamics and </w:t>
      </w:r>
      <w:r w:rsidRPr="006A5F42">
        <w:t>safety</w:t>
      </w:r>
      <w:r>
        <w:t xml:space="preserve"> pharmacology</w:t>
      </w:r>
      <w:r w:rsidRPr="00575B11">
        <w:rPr>
          <w:szCs w:val="22"/>
        </w:rPr>
        <w:t xml:space="preserve"> </w:t>
      </w:r>
    </w:p>
    <w:p w:rsidR="00543617" w:rsidRPr="006A5F42" w:rsidRDefault="00543617" w:rsidP="006A5F42">
      <w:pPr>
        <w:pStyle w:val="Heading5"/>
      </w:pPr>
      <w:r>
        <w:t>Secondary pharmacodynamics studies</w:t>
      </w:r>
    </w:p>
    <w:p w:rsidR="00543617" w:rsidRPr="00543617" w:rsidRDefault="00543617" w:rsidP="006A5F42">
      <w:r w:rsidRPr="00543617">
        <w:t xml:space="preserve">A screen investigating binding to a large range of receptors was not conducted. However, lurasidone was shown to have little/no affinity for histamine H1, noradrenaline (β, β1 and β2), adenosine (A1 and A2A), benzodiazepine, cholecystokinin (CCKA and CCKB), GABAA, glutamate (AMPA, </w:t>
      </w:r>
      <w:proofErr w:type="spellStart"/>
      <w:r w:rsidRPr="00543617">
        <w:t>kainate</w:t>
      </w:r>
      <w:proofErr w:type="spellEnd"/>
      <w:r w:rsidRPr="00543617">
        <w:t xml:space="preserve"> and NMDA), glycine, muscarinic (M1 and M2), nicotinic, opiate and sigma receptors or for calcium (L-type and N-type) or potassium channels. Weak binding to voltage</w:t>
      </w:r>
      <w:r w:rsidR="003E443E">
        <w:t xml:space="preserve"> gated sodium channels (Ki = </w:t>
      </w:r>
      <w:r w:rsidRPr="00543617">
        <w:t xml:space="preserve">398 </w:t>
      </w:r>
      <w:proofErr w:type="spellStart"/>
      <w:r w:rsidRPr="00543617">
        <w:t>nM</w:t>
      </w:r>
      <w:proofErr w:type="spellEnd"/>
      <w:r w:rsidRPr="00543617">
        <w:t xml:space="preserve">) is unlikely to be of clinical relevance. In line with the low affinities for these receptors, as well as the relatively low affinity for human α1 receptors (see </w:t>
      </w:r>
      <w:r w:rsidRPr="003E443E">
        <w:rPr>
          <w:i/>
        </w:rPr>
        <w:t>Primary pharmacology</w:t>
      </w:r>
      <w:r w:rsidRPr="00543617">
        <w:t xml:space="preserve">), </w:t>
      </w:r>
      <w:r w:rsidR="00EC20AF">
        <w:t>LDH</w:t>
      </w:r>
      <w:r w:rsidRPr="00543617">
        <w:t xml:space="preserve"> had relatively weak or no effects on muscle contraction induced in various isolated smooth and cardiac muscle preparations (guinea pig atrial, </w:t>
      </w:r>
      <w:proofErr w:type="spellStart"/>
      <w:r w:rsidRPr="00543617">
        <w:t>ileal</w:t>
      </w:r>
      <w:proofErr w:type="spellEnd"/>
      <w:r w:rsidRPr="00543617">
        <w:t>, trachea and vas deferens and rat aorta) by acetylcholine, his</w:t>
      </w:r>
      <w:r w:rsidR="00E85738">
        <w:t>tamine, noradrenaline, potassium chloride,</w:t>
      </w:r>
      <w:r w:rsidRPr="00543617">
        <w:t xml:space="preserve"> or electrical stimulation. The most notable effect was inhibition of noradrenaline</w:t>
      </w:r>
      <w:r w:rsidR="00E85738">
        <w:t xml:space="preserve"> </w:t>
      </w:r>
      <w:r w:rsidRPr="00543617">
        <w:t xml:space="preserve">induced contraction of vas deferens with an IC50 of 82 </w:t>
      </w:r>
      <w:proofErr w:type="spellStart"/>
      <w:r w:rsidRPr="00543617">
        <w:t>nM</w:t>
      </w:r>
      <w:proofErr w:type="spellEnd"/>
      <w:r w:rsidRPr="00543617">
        <w:t xml:space="preserve"> (unlikely to be clinically relevant when protein binding is taken into consideration).</w:t>
      </w:r>
    </w:p>
    <w:p w:rsidR="00543617" w:rsidRPr="00543617" w:rsidRDefault="00543617" w:rsidP="006A5F42">
      <w:r w:rsidRPr="00543617">
        <w:t xml:space="preserve">In </w:t>
      </w:r>
      <w:r w:rsidRPr="007655C3">
        <w:rPr>
          <w:i/>
        </w:rPr>
        <w:t>in vivo</w:t>
      </w:r>
      <w:r w:rsidRPr="00543617">
        <w:t xml:space="preserve"> studies, </w:t>
      </w:r>
      <w:proofErr w:type="spellStart"/>
      <w:r w:rsidRPr="00543617">
        <w:t>locomotor</w:t>
      </w:r>
      <w:proofErr w:type="spellEnd"/>
      <w:r w:rsidRPr="00543617">
        <w:t xml:space="preserve"> activity was inhibited in mice with an ED50 of 9.9 mg/kg (a clinically relevant dose) which is consistent with reduced activity being a frequently observed clinical sign in repeat</w:t>
      </w:r>
      <w:r w:rsidR="00A32D08">
        <w:t xml:space="preserve"> </w:t>
      </w:r>
      <w:r w:rsidRPr="00543617">
        <w:t xml:space="preserve">dose toxicity studies. The ED50 for inhibition of motor coordination in mice (250 mg/kg; </w:t>
      </w:r>
      <w:proofErr w:type="spellStart"/>
      <w:r w:rsidRPr="00543617">
        <w:t>rotarod</w:t>
      </w:r>
      <w:proofErr w:type="spellEnd"/>
      <w:r w:rsidRPr="00543617">
        <w:t xml:space="preserve"> test) was not clinically relevant (9</w:t>
      </w:r>
      <w:r w:rsidR="00A32D08">
        <w:t xml:space="preserve"> </w:t>
      </w:r>
      <w:r w:rsidRPr="00543617">
        <w:t xml:space="preserve">fold </w:t>
      </w:r>
      <w:r w:rsidR="00A32D08">
        <w:t>maximum recommended human dose [</w:t>
      </w:r>
      <w:r w:rsidRPr="00543617">
        <w:t>MRHD</w:t>
      </w:r>
      <w:r w:rsidR="00A32D08">
        <w:t>]</w:t>
      </w:r>
      <w:r w:rsidRPr="00543617">
        <w:t xml:space="preserve"> on </w:t>
      </w:r>
      <w:proofErr w:type="gramStart"/>
      <w:r w:rsidRPr="00543617">
        <w:t>a</w:t>
      </w:r>
      <w:proofErr w:type="gramEnd"/>
      <w:r w:rsidRPr="00543617">
        <w:t xml:space="preserve"> mg/m</w:t>
      </w:r>
      <w:r w:rsidRPr="00A32D08">
        <w:rPr>
          <w:vertAlign w:val="superscript"/>
        </w:rPr>
        <w:t>2</w:t>
      </w:r>
      <w:r w:rsidRPr="00543617">
        <w:t xml:space="preserve"> basis). Lurasidone did not affect muscle relaxation (traction test) or show anticonvulsive activity (maximal electroshock</w:t>
      </w:r>
      <w:r w:rsidR="00166E42">
        <w:t xml:space="preserve"> </w:t>
      </w:r>
      <w:r w:rsidRPr="00543617">
        <w:t>i</w:t>
      </w:r>
      <w:r w:rsidR="006A5F42">
        <w:t>nduced seizures) (ED50&gt;1 g/kg).</w:t>
      </w:r>
    </w:p>
    <w:p w:rsidR="00543617" w:rsidRPr="00543617" w:rsidRDefault="00543617" w:rsidP="00543617">
      <w:r w:rsidRPr="00543617">
        <w:t xml:space="preserve">Secondary </w:t>
      </w:r>
      <w:r w:rsidR="0064096A">
        <w:t>PD</w:t>
      </w:r>
      <w:r w:rsidRPr="00543617">
        <w:t xml:space="preserve"> studies revealed an increase in serum prolactin concentrations in rats, particularly females, after a single dose. This is a </w:t>
      </w:r>
      <w:proofErr w:type="spellStart"/>
      <w:r w:rsidRPr="00543617">
        <w:t>well</w:t>
      </w:r>
      <w:r w:rsidR="00166E42">
        <w:t xml:space="preserve"> </w:t>
      </w:r>
      <w:r w:rsidRPr="00543617">
        <w:t>known</w:t>
      </w:r>
      <w:proofErr w:type="spellEnd"/>
      <w:r w:rsidRPr="00543617">
        <w:t xml:space="preserve"> effect of dopamine receptor antagonists, and many of the findings in the repeat</w:t>
      </w:r>
      <w:r w:rsidR="00166E42">
        <w:t xml:space="preserve"> </w:t>
      </w:r>
      <w:r w:rsidRPr="00543617">
        <w:t>dose toxicity studies are due to this effect which is discussed further under ‘Repeat</w:t>
      </w:r>
      <w:r w:rsidR="00166E42">
        <w:t xml:space="preserve"> </w:t>
      </w:r>
      <w:r w:rsidRPr="00543617">
        <w:t xml:space="preserve">dose toxicity studies’ below. Serum concentrations of </w:t>
      </w:r>
      <w:proofErr w:type="spellStart"/>
      <w:r w:rsidRPr="00543617">
        <w:t>corticosterone</w:t>
      </w:r>
      <w:proofErr w:type="spellEnd"/>
      <w:r w:rsidRPr="00543617">
        <w:t>, th</w:t>
      </w:r>
      <w:r w:rsidR="00434514">
        <w:t>e main glucocorticoid in rats compared with</w:t>
      </w:r>
      <w:r w:rsidRPr="00543617">
        <w:t xml:space="preserve"> cortisol in humans (not measured in the repeat</w:t>
      </w:r>
      <w:r w:rsidR="00434514">
        <w:t xml:space="preserve"> </w:t>
      </w:r>
      <w:r w:rsidRPr="00543617">
        <w:t>dose studies)</w:t>
      </w:r>
      <w:r w:rsidR="00434514">
        <w:t>,</w:t>
      </w:r>
      <w:r w:rsidRPr="00543617">
        <w:t xml:space="preserve"> was also increased in rats after a single dose of 3 or 10 mg/kg (clinically relevant), and </w:t>
      </w:r>
      <w:r w:rsidR="00434514">
        <w:t>a</w:t>
      </w:r>
      <w:r w:rsidR="00434514" w:rsidRPr="00434514">
        <w:t xml:space="preserve">drenocorticotropic hormone </w:t>
      </w:r>
      <w:r w:rsidR="00434514">
        <w:t>(</w:t>
      </w:r>
      <w:r w:rsidRPr="00543617">
        <w:t>ACTH</w:t>
      </w:r>
      <w:r w:rsidR="00434514">
        <w:t>)</w:t>
      </w:r>
      <w:r w:rsidRPr="00543617">
        <w:t xml:space="preserve"> was increased in males at 10 mg/kg (not measured in females). Similar increases were observed with 3 mg/kg haloperidol PO. These changes are presumably associated with the role of dopamine</w:t>
      </w:r>
      <w:r w:rsidR="006F64DB">
        <w:t xml:space="preserve"> in regulating the hypothalamic </w:t>
      </w:r>
      <w:r w:rsidRPr="00543617">
        <w:t>pituitary</w:t>
      </w:r>
      <w:r w:rsidR="006F64DB">
        <w:t xml:space="preserve"> </w:t>
      </w:r>
      <w:r w:rsidRPr="00543617">
        <w:t>adrenal axis.</w:t>
      </w:r>
    </w:p>
    <w:p w:rsidR="00BA0910" w:rsidRDefault="00543617" w:rsidP="006A5F42">
      <w:r w:rsidRPr="00543617">
        <w:t xml:space="preserve">Extrapyramidal side effects are well known for antipsychotic drugs and an important aspect of drug development for this class of drugs is the minimisation of these effects. Various tests in nonclinical species are predictive of extrapyramidal side effects, particularly the induction of catalepsy in rodents. </w:t>
      </w:r>
      <w:r w:rsidR="00EC20AF">
        <w:t>LDH</w:t>
      </w:r>
      <w:r w:rsidRPr="00543617">
        <w:t xml:space="preserve"> had a lower propensity to induce catalepsy in rats and mice and </w:t>
      </w:r>
      <w:proofErr w:type="spellStart"/>
      <w:r w:rsidRPr="00543617">
        <w:t>bradykinesia</w:t>
      </w:r>
      <w:proofErr w:type="spellEnd"/>
      <w:r w:rsidRPr="00543617">
        <w:t xml:space="preserve"> in mice (ED50 &gt;1 g/kg PO) than any of the other drugs tested (particularly haloperidol, chlorpromazine and </w:t>
      </w:r>
      <w:proofErr w:type="spellStart"/>
      <w:r w:rsidRPr="00543617">
        <w:t>risperidone</w:t>
      </w:r>
      <w:proofErr w:type="spellEnd"/>
      <w:r w:rsidRPr="00543617">
        <w:t xml:space="preserve">, but also </w:t>
      </w:r>
      <w:proofErr w:type="spellStart"/>
      <w:r w:rsidRPr="00543617">
        <w:t>thioridazine</w:t>
      </w:r>
      <w:proofErr w:type="spellEnd"/>
      <w:r w:rsidRPr="00543617">
        <w:t xml:space="preserve">, </w:t>
      </w:r>
      <w:proofErr w:type="spellStart"/>
      <w:r w:rsidRPr="00543617">
        <w:t>tiapride</w:t>
      </w:r>
      <w:proofErr w:type="spellEnd"/>
      <w:r w:rsidRPr="00543617">
        <w:t xml:space="preserve"> and clozapine). In the muscle rigidity test in rats, the dose required to elicit significant increases in retraction time of front and/or hind paws was in the order </w:t>
      </w:r>
      <w:proofErr w:type="spellStart"/>
      <w:r w:rsidRPr="00543617">
        <w:t>thioridazine</w:t>
      </w:r>
      <w:proofErr w:type="spellEnd"/>
      <w:r w:rsidR="006F64DB">
        <w:t xml:space="preserve"> </w:t>
      </w:r>
      <w:r w:rsidRPr="00543617">
        <w:t>=</w:t>
      </w:r>
      <w:r w:rsidR="006F64DB">
        <w:t xml:space="preserve"> </w:t>
      </w:r>
      <w:proofErr w:type="spellStart"/>
      <w:r w:rsidRPr="00543617">
        <w:t>tiapride</w:t>
      </w:r>
      <w:proofErr w:type="spellEnd"/>
      <w:r w:rsidRPr="00543617">
        <w:t xml:space="preserve"> &gt; </w:t>
      </w:r>
      <w:r w:rsidR="00EC20AF">
        <w:t>LDH</w:t>
      </w:r>
      <w:r w:rsidRPr="00543617">
        <w:t xml:space="preserve"> &gt; clozapine &gt; chlorpromazine &gt; </w:t>
      </w:r>
      <w:proofErr w:type="spellStart"/>
      <w:r w:rsidRPr="00543617">
        <w:t>risperidone</w:t>
      </w:r>
      <w:proofErr w:type="spellEnd"/>
      <w:r w:rsidRPr="00543617">
        <w:t xml:space="preserve"> &gt; haloperidol. As the clinical doses of these drugs vary, the following ratios were calculated:</w:t>
      </w:r>
    </w:p>
    <w:p w:rsidR="00BA0910" w:rsidRDefault="00543617" w:rsidP="006A5F42">
      <w:pPr>
        <w:pStyle w:val="ListBullet"/>
      </w:pPr>
      <w:r w:rsidRPr="00543617">
        <w:t xml:space="preserve">ED50 for catalepsy induction (rats)/ED50 for inhibition of </w:t>
      </w:r>
      <w:r w:rsidRPr="006A5F42">
        <w:t>methamphetami</w:t>
      </w:r>
      <w:r w:rsidR="00BA0910" w:rsidRPr="006A5F42">
        <w:t>ne</w:t>
      </w:r>
      <w:r w:rsidR="00BA0910">
        <w:t xml:space="preserve"> induced hyperactivity</w:t>
      </w:r>
    </w:p>
    <w:p w:rsidR="00BA0910" w:rsidRDefault="00543617" w:rsidP="006A5F42">
      <w:pPr>
        <w:pStyle w:val="ListBullet"/>
      </w:pPr>
      <w:r w:rsidRPr="00543617">
        <w:t xml:space="preserve">ED50 for catalepsy induction (mice)/ED50 for inhibition of </w:t>
      </w:r>
      <w:proofErr w:type="spellStart"/>
      <w:r w:rsidRPr="00543617">
        <w:t>apomorphine</w:t>
      </w:r>
      <w:proofErr w:type="spellEnd"/>
      <w:r w:rsidR="00BA0910">
        <w:t xml:space="preserve"> induced climbing behaviour and</w:t>
      </w:r>
    </w:p>
    <w:p w:rsidR="00BA0910" w:rsidRDefault="00543617" w:rsidP="006A5F42">
      <w:pPr>
        <w:pStyle w:val="ListBullet"/>
      </w:pPr>
      <w:r w:rsidRPr="00543617">
        <w:t xml:space="preserve">ED50 for </w:t>
      </w:r>
      <w:proofErr w:type="spellStart"/>
      <w:r w:rsidRPr="00543617">
        <w:t>bradykinesia</w:t>
      </w:r>
      <w:proofErr w:type="spellEnd"/>
      <w:r w:rsidRPr="00543617">
        <w:t xml:space="preserve"> induction/ED50 for inhibition of </w:t>
      </w:r>
      <w:proofErr w:type="spellStart"/>
      <w:r w:rsidRPr="00543617">
        <w:t>apomorph</w:t>
      </w:r>
      <w:r w:rsidR="00BA0910">
        <w:t>ine</w:t>
      </w:r>
      <w:proofErr w:type="spellEnd"/>
      <w:r w:rsidR="00BA0910">
        <w:t xml:space="preserve"> </w:t>
      </w:r>
      <w:r w:rsidR="00BA0910" w:rsidRPr="006A5F42">
        <w:t>induced</w:t>
      </w:r>
      <w:r w:rsidR="00BA0910">
        <w:t xml:space="preserve"> climbing behaviour.</w:t>
      </w:r>
    </w:p>
    <w:p w:rsidR="00543617" w:rsidRPr="00543617" w:rsidRDefault="00543617" w:rsidP="006A5F42">
      <w:r w:rsidRPr="00543617">
        <w:lastRenderedPageBreak/>
        <w:t xml:space="preserve">These ratios were considerably higher for </w:t>
      </w:r>
      <w:r w:rsidR="00EC20AF">
        <w:t>LDH</w:t>
      </w:r>
      <w:r w:rsidR="00D12012">
        <w:t xml:space="preserve"> (&gt;244 to </w:t>
      </w:r>
      <w:r w:rsidRPr="00543617">
        <w:t xml:space="preserve">&gt;435) than for the comparator drugs (up to 19) suggesting that </w:t>
      </w:r>
      <w:r w:rsidR="00EC20AF">
        <w:t>LDH</w:t>
      </w:r>
      <w:r w:rsidRPr="00543617">
        <w:t xml:space="preserve"> will have a lower propensity to induce extrapyramidal side effects in patients than these comparators. </w:t>
      </w:r>
      <w:r w:rsidR="00EC20AF">
        <w:t>LDH</w:t>
      </w:r>
      <w:r w:rsidRPr="00543617">
        <w:t xml:space="preserve"> induced dystonia</w:t>
      </w:r>
      <w:r w:rsidR="002B73FE">
        <w:t xml:space="preserve"> </w:t>
      </w:r>
      <w:r w:rsidRPr="00543617">
        <w:t xml:space="preserve">like effects in common marmosets, as did haloperidol and </w:t>
      </w:r>
      <w:proofErr w:type="spellStart"/>
      <w:r w:rsidRPr="00543617">
        <w:t>risperidone</w:t>
      </w:r>
      <w:proofErr w:type="spellEnd"/>
      <w:r w:rsidRPr="00543617">
        <w:t xml:space="preserve">. Without efficacy data in this species, it was not possible to calculate efficacy/side effect ratios, but the absolute doses at which these effects were observed were lower for haloperidol and </w:t>
      </w:r>
      <w:proofErr w:type="spellStart"/>
      <w:r w:rsidRPr="00543617">
        <w:t>risperidone</w:t>
      </w:r>
      <w:proofErr w:type="spellEnd"/>
      <w:r w:rsidRPr="00543617">
        <w:t xml:space="preserve"> than for </w:t>
      </w:r>
      <w:r w:rsidR="00EC20AF">
        <w:t>LDH</w:t>
      </w:r>
      <w:r w:rsidRPr="00543617">
        <w:t xml:space="preserve">. Dystonia is observed in patients treated with </w:t>
      </w:r>
      <w:r w:rsidR="00EC20AF">
        <w:t>LDH</w:t>
      </w:r>
      <w:r w:rsidR="006A5F42">
        <w:t>.</w:t>
      </w:r>
    </w:p>
    <w:p w:rsidR="00543617" w:rsidRPr="006A5F42" w:rsidRDefault="00543617" w:rsidP="006A5F42">
      <w:pPr>
        <w:pStyle w:val="Heading5"/>
      </w:pPr>
      <w:r w:rsidRPr="006A2448">
        <w:t>Safety pharmacology studies</w:t>
      </w:r>
    </w:p>
    <w:p w:rsidR="00543617" w:rsidRPr="00543617" w:rsidRDefault="00543617" w:rsidP="006A5F42">
      <w:r w:rsidRPr="00543617">
        <w:t>Specialised safety pharmacology studies covered the core systems: CNS, cardiovascular and respiratory, with additional studies investigating renal and gastrointestinal effects. Reductions in activity and ptosis in rats have already been mentioned. Ptosis is considered attributable to the primary pharmacological activity of lurasidone (weak affinity was ob</w:t>
      </w:r>
      <w:r w:rsidR="006A5F42">
        <w:t>served at the rat α1 receptor).</w:t>
      </w:r>
    </w:p>
    <w:p w:rsidR="00543617" w:rsidRPr="00543617" w:rsidRDefault="00EC20AF" w:rsidP="006A5F42">
      <w:r>
        <w:t>LDH</w:t>
      </w:r>
      <w:r w:rsidR="00543617" w:rsidRPr="00543617">
        <w:t>, at doses up to 100</w:t>
      </w:r>
      <w:r w:rsidR="00333122">
        <w:t>0</w:t>
      </w:r>
      <w:r w:rsidR="00543617" w:rsidRPr="00543617">
        <w:t xml:space="preserve"> mg/kg PO (&gt; clinically relevant) in mice, lacked </w:t>
      </w:r>
      <w:proofErr w:type="spellStart"/>
      <w:r w:rsidR="00543617" w:rsidRPr="00543617">
        <w:t>proconvulsive</w:t>
      </w:r>
      <w:proofErr w:type="spellEnd"/>
      <w:r w:rsidR="00543617" w:rsidRPr="00543617">
        <w:t xml:space="preserve"> activity for seizures induced by </w:t>
      </w:r>
      <w:proofErr w:type="spellStart"/>
      <w:r w:rsidR="00543617" w:rsidRPr="00543617">
        <w:t>subthreshold</w:t>
      </w:r>
      <w:proofErr w:type="spellEnd"/>
      <w:r w:rsidR="00543617" w:rsidRPr="00543617">
        <w:t xml:space="preserve"> orbital electric shock. This is consistent with the negligible effect of </w:t>
      </w:r>
      <w:r>
        <w:t>LDH</w:t>
      </w:r>
      <w:r w:rsidR="00543617" w:rsidRPr="00543617">
        <w:t xml:space="preserve"> on the duration of hippocampal </w:t>
      </w:r>
      <w:proofErr w:type="spellStart"/>
      <w:r w:rsidR="00543617" w:rsidRPr="00543617">
        <w:t>afterdischarge</w:t>
      </w:r>
      <w:proofErr w:type="spellEnd"/>
      <w:r w:rsidR="00543617" w:rsidRPr="00543617">
        <w:t xml:space="preserve"> in rabbits dosed with up to 1 mg/kg IV. Cerebral blood flow and blood gas parameters were not affected in rats at </w:t>
      </w:r>
      <w:r>
        <w:t>LDH</w:t>
      </w:r>
      <w:r w:rsidR="00543617" w:rsidRPr="00543617">
        <w:t xml:space="preserve"> doses up to 1 mg/kg IV. Extrapolating from </w:t>
      </w:r>
      <w:r w:rsidR="00153352">
        <w:t>PK</w:t>
      </w:r>
      <w:r w:rsidR="00543617" w:rsidRPr="00543617">
        <w:t xml:space="preserve"> data for a 0.5 mg/kg IV dose (study PK001) gives a </w:t>
      </w:r>
      <w:proofErr w:type="spellStart"/>
      <w:r w:rsidR="00543617" w:rsidRPr="00543617">
        <w:t>Cmax</w:t>
      </w:r>
      <w:proofErr w:type="spellEnd"/>
      <w:r w:rsidR="00543617" w:rsidRPr="00543617">
        <w:t xml:space="preserve"> at 1 mg/kg IV dose of 424 ng/mL (</w:t>
      </w:r>
      <w:r w:rsidR="006A5F42">
        <w:t>~2x that expected at the MRHD).</w:t>
      </w:r>
    </w:p>
    <w:p w:rsidR="00543617" w:rsidRPr="00543617" w:rsidRDefault="00543617" w:rsidP="006A5F42">
      <w:r w:rsidRPr="00543617">
        <w:t>The antipsychotics are a drug class in which some members have been shown to induce QT interval</w:t>
      </w:r>
      <w:r w:rsidR="003906F5">
        <w:rPr>
          <w:rStyle w:val="FootnoteReference"/>
        </w:rPr>
        <w:footnoteReference w:id="12"/>
      </w:r>
      <w:r w:rsidRPr="00543617">
        <w:t xml:space="preserve"> prolongation in humans. In </w:t>
      </w:r>
      <w:r w:rsidRPr="003906F5">
        <w:rPr>
          <w:i/>
        </w:rPr>
        <w:t>in vitro</w:t>
      </w:r>
      <w:r w:rsidRPr="00543617">
        <w:t xml:space="preserve"> cardiovascular studies, </w:t>
      </w:r>
      <w:r w:rsidR="00EC20AF">
        <w:t>LDH</w:t>
      </w:r>
      <w:r w:rsidR="003906F5">
        <w:t xml:space="preserve"> dose </w:t>
      </w:r>
      <w:r w:rsidRPr="00543617">
        <w:t xml:space="preserve">dependently inhibited the rapidly activating delayed rectifier potassium current in </w:t>
      </w:r>
      <w:proofErr w:type="spellStart"/>
      <w:r w:rsidRPr="00543617">
        <w:t>hERG</w:t>
      </w:r>
      <w:proofErr w:type="spellEnd"/>
      <w:r w:rsidRPr="00543617">
        <w:t xml:space="preserve"> channels expressed in HEK293 cells, with an IC50 of 108 </w:t>
      </w:r>
      <w:proofErr w:type="spellStart"/>
      <w:r w:rsidRPr="00543617">
        <w:t>nM</w:t>
      </w:r>
      <w:proofErr w:type="spellEnd"/>
      <w:r w:rsidRPr="00543617">
        <w:t xml:space="preserve">. This is clinically relevant with respect to serum concentrations of total drug, being approximately the </w:t>
      </w:r>
      <w:proofErr w:type="spellStart"/>
      <w:r w:rsidRPr="00543617">
        <w:t>Cmax</w:t>
      </w:r>
      <w:proofErr w:type="spellEnd"/>
      <w:r w:rsidRPr="00543617">
        <w:t xml:space="preserve"> at the 40 mg dose. However, these </w:t>
      </w:r>
      <w:r w:rsidRPr="003906F5">
        <w:rPr>
          <w:i/>
        </w:rPr>
        <w:t>in vitro</w:t>
      </w:r>
      <w:r w:rsidRPr="00543617">
        <w:t xml:space="preserve"> studies are conducted in protein</w:t>
      </w:r>
      <w:r w:rsidR="003906F5">
        <w:t xml:space="preserve"> </w:t>
      </w:r>
      <w:r w:rsidRPr="00543617">
        <w:t xml:space="preserve">free media and the IC50 is well above the concentration of free drug that might be expected (~4.7 </w:t>
      </w:r>
      <w:proofErr w:type="spellStart"/>
      <w:r w:rsidRPr="00543617">
        <w:t>nM</w:t>
      </w:r>
      <w:proofErr w:type="spellEnd"/>
      <w:r w:rsidRPr="00543617">
        <w:t xml:space="preserve"> at the 160 mg dose). Two lurasidone metabolites, ID-14326 and ID-14283, were found to inhibit </w:t>
      </w:r>
      <w:proofErr w:type="spellStart"/>
      <w:r w:rsidRPr="00543617">
        <w:t>hERG</w:t>
      </w:r>
      <w:proofErr w:type="spellEnd"/>
      <w:r w:rsidRPr="00543617">
        <w:t xml:space="preserve"> currents but they are present in human serum at considerably lower concentrations than parent drug and their IC50 values were about 6-8 fold that of the parent drug (676 and 821 </w:t>
      </w:r>
      <w:proofErr w:type="spellStart"/>
      <w:r w:rsidRPr="00543617">
        <w:t>nM</w:t>
      </w:r>
      <w:proofErr w:type="spellEnd"/>
      <w:r w:rsidRPr="00543617">
        <w:t xml:space="preserve">, respectively). </w:t>
      </w:r>
      <w:r w:rsidR="00EC20AF">
        <w:t>LDH</w:t>
      </w:r>
      <w:r w:rsidRPr="00543617">
        <w:t xml:space="preserve"> at high concentrations (up to 1 µM) had no effect on action potential parameters, including APD50 and APD90, </w:t>
      </w:r>
      <w:r w:rsidR="00206EBE" w:rsidRPr="00206EBE">
        <w:t>in isolated guinea pig papillary muscle of the right ventricle</w:t>
      </w:r>
      <w:r w:rsidRPr="00543617">
        <w:t>. The nonclinical data predict that induction of prolonged QT interval in patients treated with lurasidone is unlikely.</w:t>
      </w:r>
    </w:p>
    <w:p w:rsidR="00543617" w:rsidRPr="00543617" w:rsidRDefault="008166AE" w:rsidP="006A5F42">
      <w:r>
        <w:t>Quantitative electrocardiogram (ECG)</w:t>
      </w:r>
      <w:r w:rsidR="00543617" w:rsidRPr="00543617">
        <w:t xml:space="preserve"> was conducted in two </w:t>
      </w:r>
      <w:r w:rsidR="00543617" w:rsidRPr="008166AE">
        <w:rPr>
          <w:i/>
        </w:rPr>
        <w:t>in vivo</w:t>
      </w:r>
      <w:r w:rsidR="00543617" w:rsidRPr="00543617">
        <w:t xml:space="preserve"> safety pharmacology studies in dogs (100 and 300 mg/kg PO in conscious dogs and sequential doses of 3, 10 and 30 µg/kg IV in anaesthetised dogs), and one in anaesthetised guinea pigs (up to 1 mg/kg IV). An IV study in anaesthetised dogs was also conducted with metabolite ID-11614 </w:t>
      </w:r>
      <w:proofErr w:type="gramStart"/>
      <w:r w:rsidR="00543617" w:rsidRPr="00543617">
        <w:t>(up to 10 µg/kg)</w:t>
      </w:r>
      <w:proofErr w:type="gramEnd"/>
      <w:r w:rsidR="00543617" w:rsidRPr="00543617">
        <w:t xml:space="preserve">. No significant effects of treatment were observed in any of these </w:t>
      </w:r>
      <w:r w:rsidR="00E8037F">
        <w:t>intravenous (</w:t>
      </w:r>
      <w:r w:rsidR="00543617" w:rsidRPr="00543617">
        <w:t>IV</w:t>
      </w:r>
      <w:r w:rsidR="00E8037F">
        <w:t>)</w:t>
      </w:r>
      <w:r w:rsidR="00543617" w:rsidRPr="00543617">
        <w:t xml:space="preserve"> studies. No </w:t>
      </w:r>
      <w:proofErr w:type="spellStart"/>
      <w:r w:rsidR="00543617" w:rsidRPr="00543617">
        <w:t>toxicokinetic</w:t>
      </w:r>
      <w:proofErr w:type="spellEnd"/>
      <w:r w:rsidR="00543617" w:rsidRPr="00543617">
        <w:t xml:space="preserve"> data for lurasidone or ID-11614 were provided in the IV dog studies, but extrapolation from IV data at 0.5 mg/kg (</w:t>
      </w:r>
      <w:r w:rsidR="00704133">
        <w:t>S</w:t>
      </w:r>
      <w:r w:rsidR="00543617" w:rsidRPr="00543617">
        <w:t xml:space="preserve">tudy PK001) suggest </w:t>
      </w:r>
      <w:proofErr w:type="spellStart"/>
      <w:r w:rsidR="00543617" w:rsidRPr="00543617">
        <w:t>Cmax</w:t>
      </w:r>
      <w:proofErr w:type="spellEnd"/>
      <w:r w:rsidR="00543617" w:rsidRPr="00543617">
        <w:t xml:space="preserve"> and AUC values below those expected clinically at the MRHD for a 30 µg/kg dose in dogs. The C5 min serum value in guinea pigs was </w:t>
      </w:r>
      <w:proofErr w:type="gramStart"/>
      <w:r w:rsidR="00543617" w:rsidRPr="00543617">
        <w:t>417 ng/mL (about 2</w:t>
      </w:r>
      <w:r w:rsidR="00704133">
        <w:t xml:space="preserve"> </w:t>
      </w:r>
      <w:r w:rsidR="00543617" w:rsidRPr="00543617">
        <w:t xml:space="preserve">fold the </w:t>
      </w:r>
      <w:proofErr w:type="spellStart"/>
      <w:r w:rsidR="00543617" w:rsidRPr="00543617">
        <w:t>Cmax</w:t>
      </w:r>
      <w:proofErr w:type="spellEnd"/>
      <w:r w:rsidR="00543617" w:rsidRPr="00543617">
        <w:t xml:space="preserve"> at the MRHD)</w:t>
      </w:r>
      <w:proofErr w:type="gramEnd"/>
      <w:r w:rsidR="00543617" w:rsidRPr="00543617">
        <w:t xml:space="preserve">. Slight prolongation of </w:t>
      </w:r>
      <w:proofErr w:type="spellStart"/>
      <w:r w:rsidR="00543617" w:rsidRPr="00543617">
        <w:t>QTc</w:t>
      </w:r>
      <w:proofErr w:type="spellEnd"/>
      <w:r w:rsidR="00543617" w:rsidRPr="00543617">
        <w:t xml:space="preserve"> (not of QT) was observed at several, but not all, time points investigated over the 24 period after dosing with 300 mg/kg PO in dogs. </w:t>
      </w:r>
      <w:proofErr w:type="spellStart"/>
      <w:r w:rsidR="00543617" w:rsidRPr="00543617">
        <w:t>Cmax</w:t>
      </w:r>
      <w:proofErr w:type="spellEnd"/>
      <w:r w:rsidR="00543617" w:rsidRPr="00543617">
        <w:t xml:space="preserve"> values of lurasidone in the oral study were 1.9 and 2.78 µg/mL at 100 and 300 mg/kg, respectively. These values were about 8 fold and 12 fold, respectively, the </w:t>
      </w:r>
      <w:proofErr w:type="spellStart"/>
      <w:r w:rsidR="00543617" w:rsidRPr="00543617">
        <w:t>Cmax</w:t>
      </w:r>
      <w:proofErr w:type="spellEnd"/>
      <w:r w:rsidR="00543617" w:rsidRPr="00543617">
        <w:t xml:space="preserve"> in humans treated with the MRHD. Overall, these data do not predict that </w:t>
      </w:r>
      <w:r w:rsidR="00EC20AF">
        <w:t>LDH</w:t>
      </w:r>
      <w:r w:rsidR="00543617" w:rsidRPr="00543617">
        <w:t xml:space="preserve"> would be associated wi</w:t>
      </w:r>
      <w:r w:rsidR="006A5F42">
        <w:t>th QT prolongation in patients.</w:t>
      </w:r>
    </w:p>
    <w:p w:rsidR="00543617" w:rsidRPr="00543617" w:rsidRDefault="00543617" w:rsidP="00624C71">
      <w:r w:rsidRPr="00543617">
        <w:lastRenderedPageBreak/>
        <w:t>In the repeat</w:t>
      </w:r>
      <w:r w:rsidR="00704133">
        <w:t xml:space="preserve"> </w:t>
      </w:r>
      <w:r w:rsidRPr="00543617">
        <w:t>dose toxicity studies, ECG was e</w:t>
      </w:r>
      <w:r w:rsidR="000749B1">
        <w:t xml:space="preserve">xamined qualitatively in the 13 and 52 </w:t>
      </w:r>
      <w:r w:rsidRPr="00543617">
        <w:t xml:space="preserve">week </w:t>
      </w:r>
      <w:r w:rsidR="000749B1">
        <w:t>monkey</w:t>
      </w:r>
      <w:r w:rsidRPr="00543617">
        <w:t xml:space="preserve"> studies, and no effects of </w:t>
      </w:r>
      <w:r w:rsidR="00EC20AF">
        <w:t>LDH</w:t>
      </w:r>
      <w:r w:rsidRPr="00543617">
        <w:t xml:space="preserve"> on ECG waveforms were observed, altho</w:t>
      </w:r>
      <w:r w:rsidR="0048789D">
        <w:t>ugh only low exposure ratios (ERs)</w:t>
      </w:r>
      <w:r w:rsidRPr="00543617">
        <w:t xml:space="preserve"> were achieved in the monkey studies (&lt;1, see below). ECG was e</w:t>
      </w:r>
      <w:r w:rsidR="005E5CBE">
        <w:t xml:space="preserve">xamined quantitatively in the 2, 4 and 39 </w:t>
      </w:r>
      <w:r w:rsidRPr="00543617">
        <w:t>week dog studies (n</w:t>
      </w:r>
      <w:r w:rsidR="005E5CBE">
        <w:t xml:space="preserve"> </w:t>
      </w:r>
      <w:r w:rsidRPr="00543617">
        <w:t>=</w:t>
      </w:r>
      <w:r w:rsidR="005E5CBE">
        <w:t xml:space="preserve"> </w:t>
      </w:r>
      <w:r w:rsidRPr="00543617">
        <w:t>2, 2 and 4/sex, respectively). While no effects were observed at doses up to 1000 mg/kg/day PO in the 2 week study, increases in QT interval were observed in 1 HD (</w:t>
      </w:r>
      <w:r w:rsidR="00F75BF9">
        <w:t>300 mg/kg/day PO) male in the 4</w:t>
      </w:r>
      <w:r w:rsidR="005E5CBE">
        <w:t xml:space="preserve"> </w:t>
      </w:r>
      <w:r w:rsidRPr="00543617">
        <w:t>week study, and in 1 MD (100 mg/kg/day PO) male and 2 HD (200 mg/kg/day PO) males in the 39</w:t>
      </w:r>
      <w:r w:rsidR="005E5CBE">
        <w:t xml:space="preserve"> </w:t>
      </w:r>
      <w:r w:rsidRPr="00543617">
        <w:t>week study. ER at the HD in the 4</w:t>
      </w:r>
      <w:r w:rsidR="005E5CBE">
        <w:t xml:space="preserve"> </w:t>
      </w:r>
      <w:r w:rsidRPr="00543617">
        <w:t>week study was 27 (11 at the MD). ERs at the MD and HD in the 39</w:t>
      </w:r>
      <w:r w:rsidR="005E5CBE">
        <w:t xml:space="preserve"> </w:t>
      </w:r>
      <w:r w:rsidRPr="00543617">
        <w:t xml:space="preserve">week study were 21 and 36, respectively (9 at the LD). Ambulatory ECGs were also conducted in </w:t>
      </w:r>
      <w:proofErr w:type="spellStart"/>
      <w:r w:rsidRPr="00543617">
        <w:t>cardiotoxicity</w:t>
      </w:r>
      <w:proofErr w:type="spellEnd"/>
      <w:r w:rsidRPr="00543617">
        <w:t xml:space="preserve"> studies (single dose oral studies in dogs and </w:t>
      </w:r>
      <w:proofErr w:type="spellStart"/>
      <w:r w:rsidRPr="00543617">
        <w:t>cynomolgus</w:t>
      </w:r>
      <w:proofErr w:type="spellEnd"/>
      <w:r w:rsidRPr="00543617">
        <w:t xml:space="preserve"> monkeys with doses up to 50 mg/kg and 250 mg/kg, respectively and a 2-week study in dogs with doses up to 50 mg/kg/day PO); these doses might be expected to give ER values of about 3 in both species). No consistent effects of </w:t>
      </w:r>
      <w:r w:rsidR="00EC20AF">
        <w:t>LDH</w:t>
      </w:r>
      <w:r w:rsidRPr="00543617">
        <w:t xml:space="preserve"> on </w:t>
      </w:r>
      <w:proofErr w:type="spellStart"/>
      <w:r w:rsidRPr="00543617">
        <w:t>QTc</w:t>
      </w:r>
      <w:proofErr w:type="spellEnd"/>
      <w:r w:rsidRPr="00543617">
        <w:t xml:space="preserve"> interval were observed in any of these studies. Overall, </w:t>
      </w:r>
      <w:r w:rsidR="005E5CBE">
        <w:t xml:space="preserve">the ECG results from the repeat </w:t>
      </w:r>
      <w:r w:rsidRPr="00543617">
        <w:t xml:space="preserve">dose toxicity and </w:t>
      </w:r>
      <w:proofErr w:type="spellStart"/>
      <w:r w:rsidRPr="00543617">
        <w:t>cardiotoxicity</w:t>
      </w:r>
      <w:proofErr w:type="spellEnd"/>
      <w:r w:rsidRPr="00543617">
        <w:t xml:space="preserve"> studies are consistent with the </w:t>
      </w:r>
      <w:r w:rsidRPr="005E5CBE">
        <w:rPr>
          <w:i/>
        </w:rPr>
        <w:t>in vivo</w:t>
      </w:r>
      <w:r w:rsidRPr="00543617">
        <w:t xml:space="preserve"> safety pharmacology data and do not predict that </w:t>
      </w:r>
      <w:r w:rsidR="00EC20AF">
        <w:t>LDH</w:t>
      </w:r>
      <w:r w:rsidRPr="00543617">
        <w:t xml:space="preserve"> would be associated wi</w:t>
      </w:r>
      <w:r w:rsidR="00624C71">
        <w:t>th QT prolongation in patients.</w:t>
      </w:r>
    </w:p>
    <w:p w:rsidR="00543617" w:rsidRPr="00543617" w:rsidRDefault="00543617" w:rsidP="00624C71">
      <w:r w:rsidRPr="00543617">
        <w:t xml:space="preserve">Other cardiovascular parameters, such as blood pressure and heart rate, did not show consistent changes across species, although reductions in blood pressure were observed in a number of studies. With the exception of blood pressure, and femoral blood flow in cats, there was little investigation of haemodynamic parameters. Respiratory parameters were investigated in a number of studies (Study G007 in rats, Study 6842 in cats, rats, dogs and rabbits </w:t>
      </w:r>
      <w:r w:rsidR="00AC1356">
        <w:t>[</w:t>
      </w:r>
      <w:r w:rsidRPr="00543617">
        <w:t>respiration rate only</w:t>
      </w:r>
      <w:r w:rsidR="00AC1356">
        <w:t>]</w:t>
      </w:r>
      <w:r w:rsidRPr="00543617">
        <w:t>, and Studies B000240 and PS9810 in cats). There were no marked changes that are likely to be of clinical relevance.</w:t>
      </w:r>
    </w:p>
    <w:p w:rsidR="00543617" w:rsidRPr="00543617" w:rsidRDefault="00543617" w:rsidP="00624C71">
      <w:r w:rsidRPr="00543617">
        <w:t>A renal function study in saline</w:t>
      </w:r>
      <w:r w:rsidR="00AC1356">
        <w:t xml:space="preserve"> </w:t>
      </w:r>
      <w:r w:rsidRPr="00543617">
        <w:t>loaded rats using single doses of up to 100 mg/kg PO (~7 fold the MRHD on a mg/m</w:t>
      </w:r>
      <w:r w:rsidRPr="00AC1356">
        <w:rPr>
          <w:vertAlign w:val="superscript"/>
        </w:rPr>
        <w:t>2</w:t>
      </w:r>
      <w:r w:rsidRPr="00543617">
        <w:t xml:space="preserve"> basis) did not reveal an effect of </w:t>
      </w:r>
      <w:r w:rsidR="00EC20AF">
        <w:t>LDH</w:t>
      </w:r>
      <w:r w:rsidRPr="00543617">
        <w:t xml:space="preserve"> on renal function, </w:t>
      </w:r>
      <w:r w:rsidR="00AC1356">
        <w:t xml:space="preserve">but urinalysis data from the 13 and 26 week repeat </w:t>
      </w:r>
      <w:r w:rsidRPr="00543617">
        <w:t xml:space="preserve">dose studies in rats revealed some changes in electrolyte excretion (see </w:t>
      </w:r>
      <w:r w:rsidR="00AC1356">
        <w:t>‘</w:t>
      </w:r>
      <w:r w:rsidRPr="00543617">
        <w:t>Repeat</w:t>
      </w:r>
      <w:r w:rsidR="00AC1356">
        <w:t xml:space="preserve"> </w:t>
      </w:r>
      <w:r w:rsidRPr="00543617">
        <w:t>dose toxicity studies</w:t>
      </w:r>
      <w:r w:rsidR="00AC1356">
        <w:t>’</w:t>
      </w:r>
      <w:r w:rsidRPr="00543617">
        <w:t>). A study examining gastrointestinal function in rats (also at doses up to 100 mg/kg PO) did not reveal any effects on gastric motility, bile production, gastric secretion, or any potential to induce gastrointestinal erosion.</w:t>
      </w:r>
    </w:p>
    <w:p w:rsidR="008E7846" w:rsidRPr="00624C71" w:rsidRDefault="008E7846" w:rsidP="00624C71">
      <w:pPr>
        <w:pStyle w:val="Heading3"/>
      </w:pPr>
      <w:bookmarkStart w:id="48" w:name="_Toc247691513"/>
      <w:bookmarkStart w:id="49" w:name="_Toc314842497"/>
      <w:bookmarkStart w:id="50" w:name="_Toc392682445"/>
      <w:r>
        <w:t>Pharmacokinetics</w:t>
      </w:r>
      <w:bookmarkEnd w:id="48"/>
      <w:bookmarkEnd w:id="49"/>
      <w:bookmarkEnd w:id="50"/>
    </w:p>
    <w:p w:rsidR="00380D7B" w:rsidRPr="00624C71" w:rsidRDefault="00380D7B" w:rsidP="00624C71">
      <w:pPr>
        <w:pStyle w:val="Heading4"/>
      </w:pPr>
      <w:bookmarkStart w:id="51" w:name="_Toc247691514"/>
      <w:bookmarkStart w:id="52" w:name="_Toc314842498"/>
      <w:r w:rsidRPr="000C2793">
        <w:t>Absorption</w:t>
      </w:r>
    </w:p>
    <w:p w:rsidR="00380D7B" w:rsidRPr="00380D7B" w:rsidRDefault="00380D7B" w:rsidP="00624C71">
      <w:proofErr w:type="spellStart"/>
      <w:r w:rsidRPr="00380D7B">
        <w:t>Lurasidone</w:t>
      </w:r>
      <w:proofErr w:type="spellEnd"/>
      <w:r w:rsidRPr="00380D7B">
        <w:t xml:space="preserve"> was rapidly absorbed, with </w:t>
      </w:r>
      <w:proofErr w:type="spellStart"/>
      <w:r w:rsidRPr="00380D7B">
        <w:t>Tmax</w:t>
      </w:r>
      <w:proofErr w:type="spellEnd"/>
      <w:r w:rsidRPr="00380D7B">
        <w:t xml:space="preserve"> values being about 0.5 h in mice, 1 h in rats and dogs, 1-3 h in humans and 2-5 h in </w:t>
      </w:r>
      <w:proofErr w:type="spellStart"/>
      <w:r w:rsidRPr="00380D7B">
        <w:t>cynomolgus</w:t>
      </w:r>
      <w:proofErr w:type="spellEnd"/>
      <w:r w:rsidRPr="00380D7B">
        <w:t xml:space="preserve"> monkeys. Oral bioavailability was low in rats, averaging 7.6% (mean of 6 estimates from 2 studies; 0.5% methylcellulose vehicle). In dogs, estimates of bioavailability varied depending on the vehicle and on feeding status (values were higher in fed than in fasted animals). Thus, in fasted animals, o</w:t>
      </w:r>
      <w:r w:rsidR="00F75BF9">
        <w:t>ral bioavailability averaged 6.0</w:t>
      </w:r>
      <w:r w:rsidRPr="00380D7B">
        <w:t xml:space="preserve">% with 0.5% methylcellulose vehicle, and 12.0% and 23.4% with dispersion type tablets and solid dispersion type tablets, respectively. Oral bioavailability averaged for the two tablet types was 17.7% in fasted animals and 31.0% in fed animals. In </w:t>
      </w:r>
      <w:proofErr w:type="spellStart"/>
      <w:r w:rsidRPr="00380D7B">
        <w:t>cynomolgus</w:t>
      </w:r>
      <w:proofErr w:type="spellEnd"/>
      <w:r w:rsidRPr="00380D7B">
        <w:t xml:space="preserve"> monkeys, oral bioavailability </w:t>
      </w:r>
      <w:r w:rsidR="00F75BF9">
        <w:t>was particularly low. As in monkeys</w:t>
      </w:r>
      <w:r w:rsidRPr="00380D7B">
        <w:t xml:space="preserve">, it varied with vehicle, being lowest with the 0.5% methylcellulose vehicle, although there was no difference for the two tablet types. As in dogs, it was higher in fed than in fasted animals (1.16% </w:t>
      </w:r>
      <w:r w:rsidR="00696A56">
        <w:t>versus</w:t>
      </w:r>
      <w:r w:rsidRPr="00380D7B">
        <w:t xml:space="preserve"> 0.35% </w:t>
      </w:r>
      <w:r w:rsidR="00AC1356">
        <w:t>[</w:t>
      </w:r>
      <w:r w:rsidRPr="00380D7B">
        <w:t>0.5% methylcellulose vehicle</w:t>
      </w:r>
      <w:r w:rsidR="00AC1356">
        <w:t>]</w:t>
      </w:r>
      <w:r w:rsidRPr="00380D7B">
        <w:t xml:space="preserve"> and 4.5% </w:t>
      </w:r>
      <w:r w:rsidR="00696A56">
        <w:t>versus</w:t>
      </w:r>
      <w:r w:rsidRPr="00380D7B">
        <w:t xml:space="preserve"> 1.3% </w:t>
      </w:r>
      <w:r w:rsidR="00AC1356">
        <w:t>[</w:t>
      </w:r>
      <w:r w:rsidRPr="00380D7B">
        <w:t>averaged for the two tablet types</w:t>
      </w:r>
      <w:r w:rsidR="00AC1356">
        <w:t>]</w:t>
      </w:r>
      <w:r w:rsidRPr="00380D7B">
        <w:t xml:space="preserve">). </w:t>
      </w:r>
      <w:proofErr w:type="spellStart"/>
      <w:r w:rsidRPr="00380D7B">
        <w:t>Cmax</w:t>
      </w:r>
      <w:proofErr w:type="spellEnd"/>
      <w:r w:rsidRPr="00380D7B">
        <w:t xml:space="preserve"> and AUC values in humans were 2-3 fold higher in the fed compared to the fasting state.</w:t>
      </w:r>
    </w:p>
    <w:p w:rsidR="00380D7B" w:rsidRPr="00380D7B" w:rsidRDefault="00380D7B" w:rsidP="00624C71">
      <w:r w:rsidRPr="00380D7B">
        <w:t xml:space="preserve">In mice, rats, dogs and </w:t>
      </w:r>
      <w:proofErr w:type="spellStart"/>
      <w:r w:rsidRPr="00380D7B">
        <w:t>cynomolgus</w:t>
      </w:r>
      <w:proofErr w:type="spellEnd"/>
      <w:r w:rsidRPr="00380D7B">
        <w:t xml:space="preserve"> monkeys, AUC values appeared to be broadly proportional to the dose over the dose ranges investigated in both single and repeat</w:t>
      </w:r>
      <w:r w:rsidR="00AC1356">
        <w:t xml:space="preserve"> </w:t>
      </w:r>
      <w:r w:rsidRPr="00380D7B">
        <w:t xml:space="preserve">dose </w:t>
      </w:r>
      <w:r w:rsidRPr="00380D7B">
        <w:lastRenderedPageBreak/>
        <w:t xml:space="preserve">studies. In humans, the </w:t>
      </w:r>
      <w:r w:rsidR="00AC1356">
        <w:t>PK</w:t>
      </w:r>
      <w:r w:rsidRPr="00380D7B">
        <w:t xml:space="preserve"> of lurasidone </w:t>
      </w:r>
      <w:proofErr w:type="gramStart"/>
      <w:r w:rsidRPr="00380D7B">
        <w:t>were</w:t>
      </w:r>
      <w:proofErr w:type="gramEnd"/>
      <w:r w:rsidRPr="00380D7B">
        <w:t xml:space="preserve"> proportional over the dose range 20-160 mg.</w:t>
      </w:r>
    </w:p>
    <w:p w:rsidR="00380D7B" w:rsidRPr="00380D7B" w:rsidRDefault="00380D7B" w:rsidP="00624C71">
      <w:r w:rsidRPr="00380D7B">
        <w:t xml:space="preserve">Clearance was rapid: 60, 17, 28 and 56 mL/min/kg in rats, dogs, </w:t>
      </w:r>
      <w:proofErr w:type="spellStart"/>
      <w:r w:rsidRPr="00380D7B">
        <w:t>cynomolgus</w:t>
      </w:r>
      <w:proofErr w:type="spellEnd"/>
      <w:r w:rsidRPr="00380D7B">
        <w:t xml:space="preserve"> monkeys and humans (assuming 70 kg body weight), respectively. These values broadly approximated or exceeded liver blood flow in each of the species. Plasma half</w:t>
      </w:r>
      <w:r w:rsidR="007452B8">
        <w:t xml:space="preserve"> </w:t>
      </w:r>
      <w:r w:rsidRPr="00380D7B">
        <w:t>life was short</w:t>
      </w:r>
      <w:r w:rsidR="007452B8">
        <w:t xml:space="preserve"> </w:t>
      </w:r>
      <w:r w:rsidRPr="00380D7B">
        <w:t xml:space="preserve">medium, about 3.7 h in rats, about 19 h in dogs and about 14 h in </w:t>
      </w:r>
      <w:proofErr w:type="spellStart"/>
      <w:r w:rsidRPr="00380D7B">
        <w:t>cynomolgus</w:t>
      </w:r>
      <w:proofErr w:type="spellEnd"/>
      <w:r w:rsidRPr="00380D7B">
        <w:t xml:space="preserve"> monkeys. In humans, plasma half life was similar to that in dogs and monkeys, at about 18 h.</w:t>
      </w:r>
    </w:p>
    <w:p w:rsidR="00380D7B" w:rsidRPr="00380D7B" w:rsidRDefault="00380D7B" w:rsidP="00380D7B">
      <w:r w:rsidRPr="00380D7B">
        <w:t>In mice and rats, AUC values tended to be higher in females than males (about 2.5</w:t>
      </w:r>
      <w:r w:rsidR="00AD3AF3">
        <w:t xml:space="preserve"> </w:t>
      </w:r>
      <w:r w:rsidRPr="00380D7B">
        <w:t xml:space="preserve">fold in both species) but there were no gender differences in dogs or </w:t>
      </w:r>
      <w:proofErr w:type="spellStart"/>
      <w:r w:rsidRPr="00380D7B">
        <w:t>cynomolgus</w:t>
      </w:r>
      <w:proofErr w:type="spellEnd"/>
      <w:r w:rsidRPr="00380D7B">
        <w:t xml:space="preserve"> monkeys.</w:t>
      </w:r>
    </w:p>
    <w:p w:rsidR="00380D7B" w:rsidRPr="00380D7B" w:rsidRDefault="00380D7B" w:rsidP="00624C71">
      <w:r w:rsidRPr="00380D7B">
        <w:t>In mice, accumulation was observed with repeated dos</w:t>
      </w:r>
      <w:r w:rsidR="003677CA">
        <w:t xml:space="preserve">ing in females (~2 </w:t>
      </w:r>
      <w:r w:rsidRPr="00380D7B">
        <w:t>fold in the 13</w:t>
      </w:r>
      <w:r w:rsidR="003677CA">
        <w:t xml:space="preserve"> </w:t>
      </w:r>
      <w:r w:rsidRPr="00380D7B">
        <w:t>week and carcinogenicity studies) but not males. In rats, some accumulation was observed with repeated dosing in both sexes, but overall was slightly less than 2</w:t>
      </w:r>
      <w:r w:rsidR="003677CA">
        <w:t xml:space="preserve"> </w:t>
      </w:r>
      <w:r w:rsidRPr="00380D7B">
        <w:t>fold. There was no evidence of accumulation in the dog in the 4 and 39</w:t>
      </w:r>
      <w:r w:rsidR="003677CA">
        <w:t xml:space="preserve"> </w:t>
      </w:r>
      <w:r w:rsidRPr="00380D7B">
        <w:t>week studies or in t</w:t>
      </w:r>
      <w:r w:rsidR="003677CA">
        <w:t xml:space="preserve">he </w:t>
      </w:r>
      <w:proofErr w:type="spellStart"/>
      <w:r w:rsidR="003677CA">
        <w:t>cynomolgus</w:t>
      </w:r>
      <w:proofErr w:type="spellEnd"/>
      <w:r w:rsidR="003677CA">
        <w:t xml:space="preserve"> monkey in the </w:t>
      </w:r>
      <w:r w:rsidRPr="00380D7B">
        <w:t>52</w:t>
      </w:r>
      <w:r w:rsidR="003677CA">
        <w:t xml:space="preserve"> </w:t>
      </w:r>
      <w:r w:rsidR="00624C71">
        <w:t>week study.</w:t>
      </w:r>
    </w:p>
    <w:p w:rsidR="00380D7B" w:rsidRPr="00624C71" w:rsidRDefault="00380D7B" w:rsidP="00624C71">
      <w:pPr>
        <w:pStyle w:val="Heading4"/>
      </w:pPr>
      <w:r w:rsidRPr="00EC18FC">
        <w:t>Distribution</w:t>
      </w:r>
    </w:p>
    <w:p w:rsidR="00380D7B" w:rsidRPr="00380D7B" w:rsidRDefault="00380D7B" w:rsidP="00624C71">
      <w:r w:rsidRPr="00380D7B">
        <w:t xml:space="preserve">Protein binding was very high in human serum and in the serum from the nonclinical species investigated (mouse, rat, guinea pig, dog and </w:t>
      </w:r>
      <w:proofErr w:type="spellStart"/>
      <w:r w:rsidRPr="00380D7B">
        <w:t>cynomolgus</w:t>
      </w:r>
      <w:proofErr w:type="spellEnd"/>
      <w:r w:rsidRPr="00380D7B">
        <w:t xml:space="preserve"> monkey) and was independent of drug concentration over the range 100-1000 ng/mL in Study SMT/01 (the clinically relevant range) and 0.1-1 ng/mL in Study X9308-06. In Study SMT/01, values of serum protein binding in all species were ≥99.2%. Both studies revealed no differences between species in serum protein binding, and both showed high binding to both human serum albumin and α1 acid glycoprotein. In Study NA04101, the major human circulating active metabolites, ID-14283 and ID-14326, also displayed very high serum protein binding (≥98.8%) in serum from humans and dogs. Studies investigating </w:t>
      </w:r>
      <w:r w:rsidRPr="00BF7EB8">
        <w:rPr>
          <w:i/>
        </w:rPr>
        <w:t>in vitro</w:t>
      </w:r>
      <w:r w:rsidRPr="00380D7B">
        <w:t xml:space="preserve"> partitioning between blood and plasma revealed that concentrations of radioactivity were higher in plasma than in red blood cells in all species investigated (mouse, rat, guinea, dog and </w:t>
      </w:r>
      <w:proofErr w:type="spellStart"/>
      <w:r w:rsidRPr="00380D7B">
        <w:t>cynomolgus</w:t>
      </w:r>
      <w:proofErr w:type="spellEnd"/>
      <w:r w:rsidRPr="00380D7B">
        <w:t xml:space="preserve"> monkey), with the blood/plasma ratio of radioactivity being about 0.6 for humans.</w:t>
      </w:r>
    </w:p>
    <w:p w:rsidR="00380D7B" w:rsidRPr="00380D7B" w:rsidRDefault="00380D7B" w:rsidP="00624C71">
      <w:r w:rsidRPr="00380D7B">
        <w:t xml:space="preserve">Volume of distribution was high, being about 10.3 L/kg in rats (mean of 2 rather disparate values from Studies SMO563 and PK001), 20 L/kg in dogs and 9.2 L/kg in </w:t>
      </w:r>
      <w:proofErr w:type="spellStart"/>
      <w:r w:rsidRPr="00380D7B">
        <w:t>cynomolgus</w:t>
      </w:r>
      <w:proofErr w:type="spellEnd"/>
      <w:r w:rsidRPr="00380D7B">
        <w:t xml:space="preserve"> monkeys, and about 45-160 L/kg in humans (assuming 70 kg body weight), presumably reflecting extensive tissue distribution and high prot</w:t>
      </w:r>
      <w:r w:rsidR="00624C71">
        <w:t>ein binding.</w:t>
      </w:r>
    </w:p>
    <w:p w:rsidR="00831FDF" w:rsidRDefault="00380D7B" w:rsidP="00380D7B">
      <w:r w:rsidRPr="00380D7B">
        <w:t>Because lurasidone can be cleaved via oxidative N-</w:t>
      </w:r>
      <w:proofErr w:type="spellStart"/>
      <w:r w:rsidRPr="00380D7B">
        <w:t>dealkylation</w:t>
      </w:r>
      <w:proofErr w:type="spellEnd"/>
      <w:r w:rsidRPr="00380D7B">
        <w:t xml:space="preserve">, studies involving administration of radiolabelled </w:t>
      </w:r>
      <w:r w:rsidR="00EC20AF">
        <w:t>LDH</w:t>
      </w:r>
      <w:r w:rsidRPr="00380D7B">
        <w:t xml:space="preserve"> used either drug labelled in the </w:t>
      </w:r>
      <w:proofErr w:type="spellStart"/>
      <w:r w:rsidRPr="00380D7B">
        <w:t>benzoisothiazole</w:t>
      </w:r>
      <w:proofErr w:type="spellEnd"/>
      <w:r w:rsidRPr="00380D7B">
        <w:t xml:space="preserve"> ring or at a carbonyl group in the </w:t>
      </w:r>
      <w:proofErr w:type="spellStart"/>
      <w:r w:rsidRPr="00380D7B">
        <w:t>norbornane</w:t>
      </w:r>
      <w:proofErr w:type="spellEnd"/>
      <w:r w:rsidRPr="00380D7B">
        <w:t xml:space="preserve"> ring. Tissue distribution of radioactivity was investigated after </w:t>
      </w:r>
      <w:r w:rsidR="00BF7EB8">
        <w:t xml:space="preserve">oral administration of carbonyl and/or </w:t>
      </w:r>
      <w:proofErr w:type="spellStart"/>
      <w:r w:rsidR="00BF7EB8">
        <w:t>isothiazolyl</w:t>
      </w:r>
      <w:proofErr w:type="spellEnd"/>
      <w:r w:rsidR="00BF7EB8">
        <w:t xml:space="preserve"> </w:t>
      </w:r>
      <w:r w:rsidRPr="00BF7EB8">
        <w:rPr>
          <w:vertAlign w:val="superscript"/>
        </w:rPr>
        <w:t>14</w:t>
      </w:r>
      <w:r w:rsidRPr="00380D7B">
        <w:t>C-</w:t>
      </w:r>
      <w:r w:rsidR="00EC20AF">
        <w:t>LDH</w:t>
      </w:r>
      <w:r w:rsidRPr="00380D7B">
        <w:t xml:space="preserve"> to male SD and Long Evans rats and to male </w:t>
      </w:r>
      <w:proofErr w:type="spellStart"/>
      <w:r w:rsidRPr="00380D7B">
        <w:t>cynomolgus</w:t>
      </w:r>
      <w:proofErr w:type="spellEnd"/>
      <w:r w:rsidRPr="00380D7B">
        <w:t xml:space="preserve"> monkeys, using excised tissues and additionally, in rats, </w:t>
      </w:r>
      <w:r w:rsidR="00BF7EB8" w:rsidRPr="00BF7EB8">
        <w:t>quantitative whole</w:t>
      </w:r>
      <w:r w:rsidR="00BF7EB8">
        <w:t xml:space="preserve"> </w:t>
      </w:r>
      <w:r w:rsidR="00BF7EB8" w:rsidRPr="00BF7EB8">
        <w:t xml:space="preserve">body autoradiography </w:t>
      </w:r>
      <w:r w:rsidR="00BF7EB8">
        <w:t>(</w:t>
      </w:r>
      <w:r w:rsidRPr="00380D7B">
        <w:t>QWBA</w:t>
      </w:r>
      <w:r w:rsidR="00BF7EB8">
        <w:t>)</w:t>
      </w:r>
      <w:r w:rsidR="00FD51A9">
        <w:t xml:space="preserve">. Female (both non </w:t>
      </w:r>
      <w:r w:rsidRPr="00380D7B">
        <w:t>pregnant and pregnant) and ag</w:t>
      </w:r>
      <w:r w:rsidR="00831FDF">
        <w:t>ed male rats were also studied.</w:t>
      </w:r>
    </w:p>
    <w:p w:rsidR="00380D7B" w:rsidRPr="00380D7B" w:rsidRDefault="00380D7B" w:rsidP="00624C71">
      <w:r w:rsidRPr="00380D7B">
        <w:t xml:space="preserve">Results were similar for both labelled compounds. They were also similar for both excised tissue and QWBA techniques, and for male and female (both pregnant and </w:t>
      </w:r>
      <w:proofErr w:type="spellStart"/>
      <w:r w:rsidRPr="00380D7B">
        <w:t>non</w:t>
      </w:r>
      <w:r w:rsidR="00FD51A9">
        <w:t xml:space="preserve"> </w:t>
      </w:r>
      <w:r w:rsidRPr="00380D7B">
        <w:t>pregnant</w:t>
      </w:r>
      <w:proofErr w:type="spellEnd"/>
      <w:r w:rsidRPr="00380D7B">
        <w:t xml:space="preserve">) rats. Tissue distribution of radioactivity was rapid, with </w:t>
      </w:r>
      <w:proofErr w:type="spellStart"/>
      <w:r w:rsidRPr="00380D7B">
        <w:t>Tmax</w:t>
      </w:r>
      <w:proofErr w:type="spellEnd"/>
      <w:r w:rsidRPr="00380D7B">
        <w:t xml:space="preserve"> for most tissues in most studies being at the first sampling time (2 h in rats </w:t>
      </w:r>
      <w:r w:rsidR="00FD51A9">
        <w:t>[</w:t>
      </w:r>
      <w:r w:rsidRPr="00380D7B">
        <w:t>except one study, 1 h</w:t>
      </w:r>
      <w:r w:rsidR="00FD51A9">
        <w:t>]</w:t>
      </w:r>
      <w:r w:rsidRPr="00380D7B">
        <w:t xml:space="preserve"> or 4 h in monkeys). Radioactivity was distributed to all tissues examined in both species. Organs of the gastrointestinal tract (stomach, small and large intestine and caecum) and their contents were the most highly labelled in both species, presumably reflecting the relatively large amounts of unabsorbed drug after oral administration, as well as substantial biliary excretion. Other organs associated with metabolism/excretion were also highly labelled, including the liver, kidney and urinary bladder. Lymph nodes were also consistently highly labelled in both species. Distribution to the target organ, the brain, </w:t>
      </w:r>
      <w:r w:rsidRPr="00380D7B">
        <w:lastRenderedPageBreak/>
        <w:t>was relatively poor, with the brain being consistently one of the less highly labelled organs in both species. Bone, eye and spinal cord (or cerebrospinal fluid), were also poorly labelled in both species (in monkeys, the retina, choroid and sclera were removed from the eye prior to analysis; retina w</w:t>
      </w:r>
      <w:r w:rsidR="00624C71">
        <w:t>as relatively highly labelled).</w:t>
      </w:r>
    </w:p>
    <w:p w:rsidR="00380D7B" w:rsidRPr="00380D7B" w:rsidRDefault="00380D7B" w:rsidP="00624C71">
      <w:r w:rsidRPr="00380D7B">
        <w:t xml:space="preserve">There was evidence of melanin binding, as in Long Evans rats, concentrations of radioactivity in pigmented skin were higher than those in </w:t>
      </w:r>
      <w:proofErr w:type="spellStart"/>
      <w:r w:rsidRPr="00380D7B">
        <w:t>non</w:t>
      </w:r>
      <w:r w:rsidR="00FD51A9">
        <w:t xml:space="preserve"> </w:t>
      </w:r>
      <w:r w:rsidRPr="00380D7B">
        <w:t>pigmented</w:t>
      </w:r>
      <w:proofErr w:type="spellEnd"/>
      <w:r w:rsidRPr="00380D7B">
        <w:t xml:space="preserve"> skin, and the same was the case for pigmented </w:t>
      </w:r>
      <w:r w:rsidR="00696A56">
        <w:t>versus</w:t>
      </w:r>
      <w:r w:rsidRPr="00380D7B">
        <w:t xml:space="preserve"> non</w:t>
      </w:r>
      <w:r w:rsidR="00FD51A9">
        <w:t xml:space="preserve"> </w:t>
      </w:r>
      <w:r w:rsidRPr="00380D7B">
        <w:t>pigmented hair, and concentrations of radioactivity in the eye of Long Evans rats were considerably higher than those in the eye of SD rats. There was no evidence of retention of radioactivity in any tissue/organ, with the exception of the eye in Long Evans rats in which measurable radioactivity was still p</w:t>
      </w:r>
      <w:r w:rsidR="00624C71">
        <w:t>resent at 3 months post dosing.</w:t>
      </w:r>
    </w:p>
    <w:p w:rsidR="00380D7B" w:rsidRPr="00380D7B" w:rsidRDefault="00380D7B" w:rsidP="00624C71">
      <w:r w:rsidRPr="00380D7B">
        <w:t>Lurasidone/metabolites crossed the placenta, with f</w:t>
      </w:r>
      <w:r w:rsidR="00FD51A9">
        <w:t>o</w:t>
      </w:r>
      <w:r w:rsidRPr="00380D7B">
        <w:t>etal (whole)/maternal serum radioactivity ratios being about 0.6-0.8 at 2 h (GD12 and GD20). A substantial proportion of f</w:t>
      </w:r>
      <w:r w:rsidR="00FD51A9">
        <w:t>o</w:t>
      </w:r>
      <w:r w:rsidRPr="00380D7B">
        <w:t>etal serum radioactivity was estimated (</w:t>
      </w:r>
      <w:r w:rsidR="00A32730">
        <w:t>thin layer c</w:t>
      </w:r>
      <w:r w:rsidR="00A32730" w:rsidRPr="00A32730">
        <w:t xml:space="preserve">hromatography </w:t>
      </w:r>
      <w:r w:rsidR="00A32730">
        <w:t>[TLC]</w:t>
      </w:r>
      <w:r w:rsidR="0015019E">
        <w:t>)</w:t>
      </w:r>
      <w:r w:rsidRPr="00380D7B">
        <w:t xml:space="preserve"> to be parent drug (22-34%).</w:t>
      </w:r>
    </w:p>
    <w:p w:rsidR="00380D7B" w:rsidRPr="00624C71" w:rsidRDefault="00380D7B" w:rsidP="00624C71">
      <w:pPr>
        <w:pStyle w:val="Heading4"/>
      </w:pPr>
      <w:r w:rsidRPr="00C850A1">
        <w:t>Metabolism</w:t>
      </w:r>
    </w:p>
    <w:p w:rsidR="00F75BF9" w:rsidRDefault="00F75BF9" w:rsidP="00624C71">
      <w:proofErr w:type="spellStart"/>
      <w:r w:rsidRPr="00380D7B">
        <w:t>Lurasidone</w:t>
      </w:r>
      <w:proofErr w:type="spellEnd"/>
      <w:r w:rsidRPr="00380D7B">
        <w:t xml:space="preserve"> was extensively metabolised after oral a</w:t>
      </w:r>
      <w:r>
        <w:t xml:space="preserve">dministration. For </w:t>
      </w:r>
      <w:proofErr w:type="spellStart"/>
      <w:r>
        <w:t>isothiazolyl</w:t>
      </w:r>
      <w:proofErr w:type="spellEnd"/>
      <w:r>
        <w:t xml:space="preserve"> </w:t>
      </w:r>
      <w:r w:rsidRPr="00627275">
        <w:t>labelled drug, about 3.4-3.7% of serum AUC for radioactivity was attributed to unchan</w:t>
      </w:r>
      <w:r>
        <w:t>ged drug in mice, rats and dogs</w:t>
      </w:r>
      <w:r w:rsidRPr="00380D7B">
        <w:t xml:space="preserve">, about 0.5% in </w:t>
      </w:r>
      <w:proofErr w:type="spellStart"/>
      <w:r w:rsidRPr="00380D7B">
        <w:t>cynomolgus</w:t>
      </w:r>
      <w:proofErr w:type="spellEnd"/>
      <w:r w:rsidRPr="00380D7B">
        <w:t xml:space="preserve"> monkeys. No unchanged drug was detected in urine in these nonclinical species</w:t>
      </w:r>
      <w:r>
        <w:t>.</w:t>
      </w:r>
    </w:p>
    <w:p w:rsidR="00380D7B" w:rsidRPr="00380D7B" w:rsidRDefault="00380D7B" w:rsidP="00624C71">
      <w:r w:rsidRPr="00380D7B">
        <w:t xml:space="preserve">The major biotransformation pathways, as shown in </w:t>
      </w:r>
      <w:r w:rsidR="00364110">
        <w:t>Figure 2</w:t>
      </w:r>
      <w:r w:rsidRPr="00380D7B">
        <w:t xml:space="preserve">, were hydroxylation at the 5 or 6 position of the </w:t>
      </w:r>
      <w:proofErr w:type="spellStart"/>
      <w:r w:rsidRPr="00380D7B">
        <w:t>norbornane</w:t>
      </w:r>
      <w:proofErr w:type="spellEnd"/>
      <w:r w:rsidRPr="00380D7B">
        <w:t xml:space="preserve"> skeleton giving rise to ID-14283 and ID-14326, S-oxidation of the </w:t>
      </w:r>
      <w:proofErr w:type="spellStart"/>
      <w:r w:rsidRPr="00380D7B">
        <w:t>benzoisothiazole</w:t>
      </w:r>
      <w:proofErr w:type="spellEnd"/>
      <w:r w:rsidRPr="00380D7B">
        <w:t xml:space="preserve"> ring giving rise to ID-14324 (the </w:t>
      </w:r>
      <w:proofErr w:type="spellStart"/>
      <w:r w:rsidRPr="00380D7B">
        <w:t>sulfoxide</w:t>
      </w:r>
      <w:proofErr w:type="spellEnd"/>
      <w:r w:rsidRPr="00380D7B">
        <w:t xml:space="preserve">) and ID-14323 (the </w:t>
      </w:r>
      <w:proofErr w:type="spellStart"/>
      <w:r w:rsidRPr="00380D7B">
        <w:t>sulfone</w:t>
      </w:r>
      <w:proofErr w:type="spellEnd"/>
      <w:r w:rsidRPr="00380D7B">
        <w:t>), oxidative N-</w:t>
      </w:r>
      <w:proofErr w:type="spellStart"/>
      <w:r w:rsidRPr="00380D7B">
        <w:t>dealkylation</w:t>
      </w:r>
      <w:proofErr w:type="spellEnd"/>
      <w:r w:rsidRPr="00380D7B">
        <w:t xml:space="preserve">, cleaving between the </w:t>
      </w:r>
      <w:proofErr w:type="spellStart"/>
      <w:r w:rsidRPr="00380D7B">
        <w:t>piperazine</w:t>
      </w:r>
      <w:proofErr w:type="spellEnd"/>
      <w:r w:rsidRPr="00380D7B">
        <w:t xml:space="preserve"> ring and the </w:t>
      </w:r>
      <w:proofErr w:type="spellStart"/>
      <w:r w:rsidRPr="00380D7B">
        <w:t>cyclohexyl</w:t>
      </w:r>
      <w:proofErr w:type="spellEnd"/>
      <w:r w:rsidRPr="00380D7B">
        <w:t xml:space="preserve">-methyl group giving rise to ID-20219 and ID-11614, and N-S reductive cleavage of the </w:t>
      </w:r>
      <w:proofErr w:type="spellStart"/>
      <w:r w:rsidRPr="00380D7B">
        <w:t>benzoisothiazole</w:t>
      </w:r>
      <w:proofErr w:type="spellEnd"/>
      <w:r w:rsidRPr="00380D7B">
        <w:t xml:space="preserve"> ring and S-methylation giving rise to M21. These pathways appeared to occur in humans as well as mice, rats, dogs and </w:t>
      </w:r>
      <w:proofErr w:type="spellStart"/>
      <w:r w:rsidRPr="00380D7B">
        <w:t>cynomolgus</w:t>
      </w:r>
      <w:proofErr w:type="spellEnd"/>
      <w:r w:rsidRPr="00380D7B">
        <w:t xml:space="preserve"> monkeys. A more minor route of metabolism was hydroxylation of the </w:t>
      </w:r>
      <w:proofErr w:type="spellStart"/>
      <w:r w:rsidRPr="00380D7B">
        <w:t>cyclohexyl</w:t>
      </w:r>
      <w:proofErr w:type="spellEnd"/>
      <w:r w:rsidRPr="00380D7B">
        <w:t xml:space="preserve">-methyl group giving rise to M20. Combinations of two or more of these pathways gave rise to a variety of other metabolites. Examples comprising combinations of two of the major pathways are: </w:t>
      </w:r>
      <w:proofErr w:type="spellStart"/>
      <w:r w:rsidRPr="00380D7B">
        <w:t>norbornane</w:t>
      </w:r>
      <w:proofErr w:type="spellEnd"/>
      <w:r w:rsidRPr="00380D7B">
        <w:t xml:space="preserve"> skeleton hydroxylation and S-oxidation (ID-20221 and ID-20222), S-oxidation and N-</w:t>
      </w:r>
      <w:proofErr w:type="spellStart"/>
      <w:r w:rsidRPr="00380D7B">
        <w:t>dealkylation</w:t>
      </w:r>
      <w:proofErr w:type="spellEnd"/>
      <w:r w:rsidRPr="00380D7B">
        <w:t xml:space="preserve"> (ID-15001 and ID-15002), </w:t>
      </w:r>
      <w:proofErr w:type="spellStart"/>
      <w:r w:rsidRPr="00380D7B">
        <w:t>norbornane</w:t>
      </w:r>
      <w:proofErr w:type="spellEnd"/>
      <w:r w:rsidRPr="00380D7B">
        <w:t xml:space="preserve"> hydroxylation and N-</w:t>
      </w:r>
      <w:proofErr w:type="spellStart"/>
      <w:r w:rsidRPr="00380D7B">
        <w:t>dealkylation</w:t>
      </w:r>
      <w:proofErr w:type="spellEnd"/>
      <w:r w:rsidRPr="00380D7B">
        <w:t xml:space="preserve"> (ID-20220 and M4), and </w:t>
      </w:r>
      <w:proofErr w:type="spellStart"/>
      <w:r w:rsidRPr="00380D7B">
        <w:t>norbane</w:t>
      </w:r>
      <w:proofErr w:type="spellEnd"/>
      <w:r w:rsidRPr="00380D7B">
        <w:t xml:space="preserve"> hydroxylation, N-S reductive cleavage and S-methylation (M22). </w:t>
      </w:r>
      <w:proofErr w:type="spellStart"/>
      <w:r w:rsidRPr="00380D7B">
        <w:t>Glucuronide</w:t>
      </w:r>
      <w:proofErr w:type="spellEnd"/>
      <w:r w:rsidRPr="00380D7B">
        <w:t xml:space="preserve"> metabolites were also identified.</w:t>
      </w:r>
    </w:p>
    <w:p w:rsidR="00364110" w:rsidRDefault="00364110" w:rsidP="00624C71">
      <w:pPr>
        <w:pStyle w:val="FigureTitle"/>
      </w:pPr>
      <w:r>
        <w:t>Figure 2:</w:t>
      </w:r>
      <w:r w:rsidRPr="004C5C28">
        <w:t xml:space="preserve"> </w:t>
      </w:r>
      <w:r w:rsidR="00B22D45">
        <w:t>M</w:t>
      </w:r>
      <w:r w:rsidR="00B22D45" w:rsidRPr="00380D7B">
        <w:t>ajor biotransformation pathways</w:t>
      </w:r>
      <w:r w:rsidR="00B22D45">
        <w:t xml:space="preserve"> for </w:t>
      </w:r>
      <w:r>
        <w:t>lura</w:t>
      </w:r>
      <w:r w:rsidR="00B22D45">
        <w:t>sidone</w:t>
      </w:r>
      <w:r>
        <w:t>.</w:t>
      </w:r>
    </w:p>
    <w:p w:rsidR="004334C7" w:rsidRDefault="00C85C44" w:rsidP="00624C71">
      <w:r>
        <w:rPr>
          <w:noProof/>
          <w:lang w:eastAsia="en-AU"/>
        </w:rPr>
        <w:drawing>
          <wp:inline distT="0" distB="0" distL="0" distR="0" wp14:anchorId="3F9227C5" wp14:editId="650C79FF">
            <wp:extent cx="3915410" cy="2345055"/>
            <wp:effectExtent l="0" t="0" r="8890" b="0"/>
            <wp:docPr id="8" name="Picture 8" descr="Figure 2: Major biotransformation pathways for luras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Major biotransformation pathways for lurasid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5410" cy="2345055"/>
                    </a:xfrm>
                    <a:prstGeom prst="rect">
                      <a:avLst/>
                    </a:prstGeom>
                    <a:noFill/>
                    <a:ln>
                      <a:noFill/>
                    </a:ln>
                  </pic:spPr>
                </pic:pic>
              </a:graphicData>
            </a:graphic>
          </wp:inline>
        </w:drawing>
      </w:r>
    </w:p>
    <w:p w:rsidR="0044364B" w:rsidRPr="0044364B" w:rsidRDefault="0044364B" w:rsidP="00624C71">
      <w:r w:rsidRPr="0044364B">
        <w:lastRenderedPageBreak/>
        <w:t xml:space="preserve">No metabolites unique to humans were identified in the </w:t>
      </w:r>
      <w:r w:rsidRPr="007A1030">
        <w:rPr>
          <w:i/>
        </w:rPr>
        <w:t>in vitro</w:t>
      </w:r>
      <w:r w:rsidRPr="0044364B">
        <w:t xml:space="preserve"> studies with </w:t>
      </w:r>
      <w:proofErr w:type="spellStart"/>
      <w:r w:rsidRPr="0044364B">
        <w:t>microsomes</w:t>
      </w:r>
      <w:proofErr w:type="spellEnd"/>
      <w:r w:rsidRPr="0044364B">
        <w:t xml:space="preserve"> or hepatocytes. Metabolites ID-20219 and ID-20220 were reported to be the only major circulating metabolites in humans, as their exposure exceeded 10% of total radioactivity exposure after administration of </w:t>
      </w:r>
      <w:r w:rsidRPr="00685D38">
        <w:rPr>
          <w:vertAlign w:val="superscript"/>
        </w:rPr>
        <w:t>14</w:t>
      </w:r>
      <w:r w:rsidRPr="0044364B">
        <w:t>C-carbonyl radiolabelled drug (D1050184) (Summary of Clinical Pharmacology). ID-20219, ID-20220, and the two active metabolites, ID-14283 and ID-143</w:t>
      </w:r>
      <w:r w:rsidR="00685D38">
        <w:t>26, accounted for ~</w:t>
      </w:r>
      <w:r w:rsidRPr="0044364B">
        <w:t>24%, 11%, 24% and 3%, respectively</w:t>
      </w:r>
      <w:r w:rsidR="00685D38">
        <w:t>,</w:t>
      </w:r>
      <w:r w:rsidRPr="0044364B">
        <w:t xml:space="preserve"> of the administered human dose (Clinical Overview). These 4 metabolites were identified in </w:t>
      </w:r>
      <w:r w:rsidRPr="00685D38">
        <w:rPr>
          <w:i/>
        </w:rPr>
        <w:t>in vitro</w:t>
      </w:r>
      <w:r w:rsidRPr="0044364B">
        <w:t xml:space="preserve"> incubations with </w:t>
      </w:r>
      <w:proofErr w:type="spellStart"/>
      <w:r w:rsidRPr="0044364B">
        <w:t>microsomes</w:t>
      </w:r>
      <w:proofErr w:type="spellEnd"/>
      <w:r w:rsidRPr="0044364B">
        <w:t xml:space="preserve"> from mice, rats, dogs and </w:t>
      </w:r>
      <w:proofErr w:type="spellStart"/>
      <w:r w:rsidRPr="0044364B">
        <w:t>cynomolgus</w:t>
      </w:r>
      <w:proofErr w:type="spellEnd"/>
      <w:r w:rsidRPr="0044364B">
        <w:t xml:space="preserve"> monkeys. In the pivotal metabolic profiling studies (Studies 8202272 in mice, 6645-183 in rats, 6645-185 in dogs and 6645-186 in </w:t>
      </w:r>
      <w:proofErr w:type="spellStart"/>
      <w:r w:rsidRPr="0044364B">
        <w:t>cynomolgus</w:t>
      </w:r>
      <w:proofErr w:type="spellEnd"/>
      <w:r w:rsidRPr="0044364B">
        <w:t xml:space="preserve"> monkeys), </w:t>
      </w:r>
      <w:proofErr w:type="spellStart"/>
      <w:r w:rsidRPr="0044364B">
        <w:t>isothiazolyl</w:t>
      </w:r>
      <w:proofErr w:type="spellEnd"/>
      <w:r w:rsidR="002110D2">
        <w:t xml:space="preserve"> </w:t>
      </w:r>
      <w:r w:rsidRPr="0044364B">
        <w:t xml:space="preserve">labelled drug was used and therefore any metabolites formed by cleavage between the </w:t>
      </w:r>
      <w:proofErr w:type="spellStart"/>
      <w:r w:rsidRPr="0044364B">
        <w:t>piperazine</w:t>
      </w:r>
      <w:proofErr w:type="spellEnd"/>
      <w:r w:rsidRPr="0044364B">
        <w:t xml:space="preserve"> ring and </w:t>
      </w:r>
      <w:proofErr w:type="spellStart"/>
      <w:r w:rsidRPr="0044364B">
        <w:t>cyclohexyl</w:t>
      </w:r>
      <w:proofErr w:type="spellEnd"/>
      <w:r w:rsidRPr="0044364B">
        <w:t>-methyl group and giving rise to metabol</w:t>
      </w:r>
      <w:r w:rsidR="00B72827">
        <w:t xml:space="preserve">ites containing the </w:t>
      </w:r>
      <w:proofErr w:type="spellStart"/>
      <w:r w:rsidR="00B72827">
        <w:t>norbornane</w:t>
      </w:r>
      <w:proofErr w:type="spellEnd"/>
      <w:r w:rsidR="00B72827">
        <w:t>/</w:t>
      </w:r>
      <w:proofErr w:type="spellStart"/>
      <w:r w:rsidRPr="0044364B">
        <w:t>cyclohexyl</w:t>
      </w:r>
      <w:proofErr w:type="spellEnd"/>
      <w:r w:rsidRPr="0044364B">
        <w:t xml:space="preserve">-methyl portion of the drug, such as ID-20219 and ID-20220, would not be observed. However, these metabolites were quantified in serum of rats, dogs and </w:t>
      </w:r>
      <w:proofErr w:type="spellStart"/>
      <w:r w:rsidRPr="0044364B">
        <w:t>cynomolgus</w:t>
      </w:r>
      <w:proofErr w:type="spellEnd"/>
      <w:r w:rsidRPr="0044364B">
        <w:t xml:space="preserve"> monkeys in a single dose (Study PK001) and in mice, rats and dogs in repeat</w:t>
      </w:r>
      <w:r w:rsidR="00B72827">
        <w:t xml:space="preserve"> </w:t>
      </w:r>
      <w:r w:rsidRPr="0044364B">
        <w:t xml:space="preserve">dose studies (Studies G0020, G0018 and SBL-198-117, respectively). In the pivotal metabolic profiling studies, ID-14283 was identified as a circulating metabolite in all 4 nonclinical species, while ID-14326 was identified in serum of rats and dogs, but not mice or </w:t>
      </w:r>
      <w:proofErr w:type="spellStart"/>
      <w:r w:rsidRPr="0044364B">
        <w:t>cynomolgus</w:t>
      </w:r>
      <w:proofErr w:type="spellEnd"/>
      <w:r w:rsidRPr="0044364B">
        <w:t xml:space="preserve"> monkeys (in Study PK001, ID-14326 was also below the LOQ in </w:t>
      </w:r>
      <w:proofErr w:type="spellStart"/>
      <w:r w:rsidRPr="0044364B">
        <w:t>cynomolgus</w:t>
      </w:r>
      <w:proofErr w:type="spellEnd"/>
      <w:r w:rsidRPr="0044364B">
        <w:t xml:space="preserve"> monkey serum; mice were n</w:t>
      </w:r>
      <w:r w:rsidR="00624C71">
        <w:t>ot investigated in this study).</w:t>
      </w:r>
    </w:p>
    <w:p w:rsidR="0044364B" w:rsidRPr="0044364B" w:rsidRDefault="0044364B" w:rsidP="00624C71">
      <w:r w:rsidRPr="0044364B">
        <w:t xml:space="preserve">Results of the pivotal metabolic profiling studies did not reveal any particularly dominant circulating metabolite in any of the nonclinical species. The most dominant circulating compounds were ID-11614 in mice (3.4% of serum AUC), unchanged drug in rats (3.7% of serum AUC), ID-14324 in dogs (7.3% of serum AUC) and ID-15001 in </w:t>
      </w:r>
      <w:proofErr w:type="spellStart"/>
      <w:r w:rsidRPr="0044364B">
        <w:t>cynomolgus</w:t>
      </w:r>
      <w:proofErr w:type="spellEnd"/>
      <w:r w:rsidRPr="0044364B">
        <w:t xml:space="preserve"> monkeys (3.5% of serum AUC).</w:t>
      </w:r>
    </w:p>
    <w:p w:rsidR="0044364B" w:rsidRPr="0044364B" w:rsidRDefault="0044364B" w:rsidP="00624C71">
      <w:r w:rsidRPr="0044364B">
        <w:t xml:space="preserve">All lines of evidence suggested that CYP3A4 was the main CYP </w:t>
      </w:r>
      <w:proofErr w:type="spellStart"/>
      <w:r w:rsidRPr="0044364B">
        <w:t>isozyme</w:t>
      </w:r>
      <w:proofErr w:type="spellEnd"/>
      <w:r w:rsidRPr="0044364B">
        <w:t xml:space="preserve"> involved in the metabolism of </w:t>
      </w:r>
      <w:r w:rsidR="00EC20AF">
        <w:t>LDH</w:t>
      </w:r>
      <w:r w:rsidRPr="0044364B">
        <w:t xml:space="preserve">. Thus, in human liver </w:t>
      </w:r>
      <w:proofErr w:type="spellStart"/>
      <w:r w:rsidRPr="0044364B">
        <w:t>microsomes</w:t>
      </w:r>
      <w:proofErr w:type="spellEnd"/>
      <w:r w:rsidRPr="0044364B">
        <w:t xml:space="preserve">, highest correlation coefficients for the formation of most lurasidone metabolites were achieved with CYP3A4. Recombinant CYP3A4 metabolised </w:t>
      </w:r>
      <w:r w:rsidR="00EC20AF">
        <w:t>LDH</w:t>
      </w:r>
      <w:r w:rsidRPr="0044364B">
        <w:t xml:space="preserve"> (labelled) to a series of metabolites similar to those seen in incubations with human </w:t>
      </w:r>
      <w:proofErr w:type="spellStart"/>
      <w:r w:rsidRPr="0044364B">
        <w:t>microsomes</w:t>
      </w:r>
      <w:proofErr w:type="spellEnd"/>
      <w:r w:rsidRPr="0044364B">
        <w:t xml:space="preserve"> (2 studies), while other recombinant CYP </w:t>
      </w:r>
      <w:proofErr w:type="spellStart"/>
      <w:r w:rsidRPr="0044364B">
        <w:t>isozymes</w:t>
      </w:r>
      <w:proofErr w:type="spellEnd"/>
      <w:r w:rsidRPr="0044364B">
        <w:t xml:space="preserve"> resulted in little biotransformation. It is noted that in neither of the recombinant CYP </w:t>
      </w:r>
      <w:proofErr w:type="spellStart"/>
      <w:r w:rsidRPr="0044364B">
        <w:t>isozyme</w:t>
      </w:r>
      <w:proofErr w:type="spellEnd"/>
      <w:r w:rsidRPr="0044364B">
        <w:t xml:space="preserve"> studies did CYP3A4 produce the main circulating human metabolite, ID-20219; in </w:t>
      </w:r>
      <w:proofErr w:type="spellStart"/>
      <w:r w:rsidRPr="0044364B">
        <w:t>microsomes</w:t>
      </w:r>
      <w:proofErr w:type="spellEnd"/>
      <w:r w:rsidRPr="0044364B">
        <w:t xml:space="preserve"> incubated with carbonyl</w:t>
      </w:r>
      <w:r w:rsidR="00153908">
        <w:t xml:space="preserve"> </w:t>
      </w:r>
      <w:r w:rsidRPr="0044364B">
        <w:t>labelled drug, ID-20219 comprised 6% of radioactivity (</w:t>
      </w:r>
      <w:r w:rsidR="007C3317">
        <w:t>S</w:t>
      </w:r>
      <w:r w:rsidRPr="0044364B">
        <w:t xml:space="preserve">tudy PK005). In response to a Section 31 question in this regard, the sponsor conceded that the </w:t>
      </w:r>
      <w:r w:rsidRPr="00153908">
        <w:rPr>
          <w:i/>
        </w:rPr>
        <w:t>in vitro</w:t>
      </w:r>
      <w:r w:rsidRPr="0044364B">
        <w:t xml:space="preserve"> data appeared to underestima</w:t>
      </w:r>
      <w:r w:rsidR="00153908">
        <w:t xml:space="preserve">te the formation of ID-20219 compared with </w:t>
      </w:r>
      <w:r w:rsidRPr="0044364B">
        <w:t xml:space="preserve">the </w:t>
      </w:r>
      <w:r w:rsidRPr="00153908">
        <w:rPr>
          <w:i/>
        </w:rPr>
        <w:t>in vivo</w:t>
      </w:r>
      <w:r w:rsidRPr="0044364B">
        <w:t xml:space="preserve"> data, possibly due to relatively higher activities in alternative metabolic pathways under </w:t>
      </w:r>
      <w:r w:rsidRPr="00763006">
        <w:rPr>
          <w:i/>
        </w:rPr>
        <w:t>in vivo</w:t>
      </w:r>
      <w:r w:rsidRPr="0044364B">
        <w:t xml:space="preserve"> conditions than under the in vitro conditions. However, the animal data showed a similar </w:t>
      </w:r>
      <w:r w:rsidRPr="00763006">
        <w:rPr>
          <w:i/>
        </w:rPr>
        <w:t>in vitro/in vivo</w:t>
      </w:r>
      <w:r w:rsidRPr="0044364B">
        <w:t xml:space="preserve"> disparity, and the primary CYP3A4 role was confirmed in clinical drug interaction studies. </w:t>
      </w:r>
      <w:proofErr w:type="spellStart"/>
      <w:r w:rsidRPr="0044364B">
        <w:t>Troleandomycin</w:t>
      </w:r>
      <w:proofErr w:type="spellEnd"/>
      <w:r w:rsidRPr="0044364B">
        <w:t>, paclitaxel and α-</w:t>
      </w:r>
      <w:proofErr w:type="spellStart"/>
      <w:r w:rsidRPr="0044364B">
        <w:t>naphthoflavone</w:t>
      </w:r>
      <w:proofErr w:type="spellEnd"/>
      <w:r w:rsidRPr="0044364B">
        <w:t xml:space="preserve">, inhibitors of CYP3A4, all inhibited the metabolism of </w:t>
      </w:r>
      <w:r w:rsidR="00EC20AF">
        <w:t>LDH</w:t>
      </w:r>
      <w:r w:rsidRPr="0044364B">
        <w:t xml:space="preserve">, whereas </w:t>
      </w:r>
      <w:proofErr w:type="spellStart"/>
      <w:r w:rsidRPr="0044364B">
        <w:t>furafylline</w:t>
      </w:r>
      <w:proofErr w:type="spellEnd"/>
      <w:r w:rsidRPr="0044364B">
        <w:t xml:space="preserve"> (CYP1A2 inhibitor) and </w:t>
      </w:r>
      <w:proofErr w:type="spellStart"/>
      <w:r w:rsidRPr="0044364B">
        <w:t>orphenadrine</w:t>
      </w:r>
      <w:proofErr w:type="spellEnd"/>
      <w:r w:rsidRPr="0044364B">
        <w:t xml:space="preserve"> (CYP2B6 inhibitor) at relevant </w:t>
      </w:r>
      <w:proofErr w:type="gramStart"/>
      <w:r w:rsidRPr="0044364B">
        <w:t>concentrations,</w:t>
      </w:r>
      <w:proofErr w:type="gramEnd"/>
      <w:r w:rsidRPr="0044364B">
        <w:t xml:space="preserve"> did not. The metabolis</w:t>
      </w:r>
      <w:r w:rsidR="00D70133">
        <w:t xml:space="preserve">m of </w:t>
      </w:r>
      <w:proofErr w:type="spellStart"/>
      <w:r w:rsidR="00D70133">
        <w:t>isothiazolyl</w:t>
      </w:r>
      <w:proofErr w:type="spellEnd"/>
      <w:r w:rsidR="00D70133">
        <w:t xml:space="preserve"> and carbonyl </w:t>
      </w:r>
      <w:r w:rsidRPr="00D70133">
        <w:rPr>
          <w:vertAlign w:val="superscript"/>
        </w:rPr>
        <w:t>14</w:t>
      </w:r>
      <w:r w:rsidR="00D70133">
        <w:t>C-</w:t>
      </w:r>
      <w:r w:rsidR="00EC20AF">
        <w:t>LDH</w:t>
      </w:r>
      <w:r w:rsidRPr="0044364B">
        <w:t xml:space="preserve"> was </w:t>
      </w:r>
      <w:r w:rsidR="00D70133">
        <w:t xml:space="preserve">substantially inhibited by anti </w:t>
      </w:r>
      <w:r w:rsidRPr="0044364B">
        <w:t>CYP3A4 antib</w:t>
      </w:r>
      <w:r w:rsidR="00D70133">
        <w:t xml:space="preserve">ody but minimally by other anti </w:t>
      </w:r>
      <w:r w:rsidRPr="0044364B">
        <w:t>CYP antibodies tested.</w:t>
      </w:r>
    </w:p>
    <w:p w:rsidR="0044364B" w:rsidRPr="0044364B" w:rsidRDefault="00EC20AF" w:rsidP="0044364B">
      <w:r>
        <w:t>LDH</w:t>
      </w:r>
      <w:r w:rsidR="0044364B" w:rsidRPr="0044364B">
        <w:t xml:space="preserve"> was adequately tested as a potential inhibitor of CYP </w:t>
      </w:r>
      <w:proofErr w:type="spellStart"/>
      <w:r w:rsidR="0044364B" w:rsidRPr="0044364B">
        <w:t>isozymes</w:t>
      </w:r>
      <w:proofErr w:type="spellEnd"/>
      <w:r w:rsidR="0044364B" w:rsidRPr="0044364B">
        <w:t xml:space="preserve">, with assays that included positive controls. </w:t>
      </w:r>
      <w:r>
        <w:t>LDH</w:t>
      </w:r>
      <w:r w:rsidR="0044364B" w:rsidRPr="0044364B">
        <w:t xml:space="preserve"> was found to be a competitive inhibitor of CYP2C19 and CYP3A4 with Ki values of 10 and 17 µM (IC50 values 33.2 and 17.2 µM), respectively (Study 6645-128). However, this inhibition is unlikely to be clinically rele</w:t>
      </w:r>
      <w:r w:rsidR="00D70133">
        <w:t xml:space="preserve">vant as these Ki values are &gt;20 </w:t>
      </w:r>
      <w:r w:rsidR="0044364B" w:rsidRPr="0044364B">
        <w:t xml:space="preserve">fold the clinical </w:t>
      </w:r>
      <w:proofErr w:type="spellStart"/>
      <w:r w:rsidR="0044364B" w:rsidRPr="0044364B">
        <w:t>Cmax</w:t>
      </w:r>
      <w:proofErr w:type="spellEnd"/>
      <w:r w:rsidR="0044364B" w:rsidRPr="0044364B">
        <w:t xml:space="preserve"> (for total drug) at the MRHD of 160 mg/day </w:t>
      </w:r>
      <w:r>
        <w:t>LDH</w:t>
      </w:r>
      <w:r w:rsidR="0044364B" w:rsidRPr="0044364B">
        <w:t xml:space="preserve">. For the other CYP </w:t>
      </w:r>
      <w:proofErr w:type="spellStart"/>
      <w:r w:rsidR="0044364B" w:rsidRPr="0044364B">
        <w:t>isozymes</w:t>
      </w:r>
      <w:proofErr w:type="spellEnd"/>
      <w:r w:rsidR="0044364B" w:rsidRPr="0044364B">
        <w:t xml:space="preserve"> tested (CYP1A2, 2C9, 2D6 and 2E1), there was either no inhibition or IC50 &gt;50 µM. Another study (PK007) additionally examined CYP2B6 and 2C8, so that all </w:t>
      </w:r>
      <w:r w:rsidR="0044364B" w:rsidRPr="0044364B">
        <w:lastRenderedPageBreak/>
        <w:t xml:space="preserve">important CYP </w:t>
      </w:r>
      <w:proofErr w:type="spellStart"/>
      <w:r w:rsidR="0044364B" w:rsidRPr="0044364B">
        <w:t>isozymes</w:t>
      </w:r>
      <w:proofErr w:type="spellEnd"/>
      <w:r w:rsidR="0044364B" w:rsidRPr="0044364B">
        <w:t xml:space="preserve"> were investigated</w:t>
      </w:r>
      <w:r w:rsidR="00D70133">
        <w:t>.</w:t>
      </w:r>
      <w:r w:rsidR="00D70133">
        <w:rPr>
          <w:rStyle w:val="FootnoteReference"/>
        </w:rPr>
        <w:footnoteReference w:id="13"/>
      </w:r>
      <w:r w:rsidR="00D70133">
        <w:t xml:space="preserve"> </w:t>
      </w:r>
      <w:r w:rsidR="0044364B" w:rsidRPr="0044364B">
        <w:t xml:space="preserve">A similar IC50 value for inhibition of CYP3A4 (17 µM) was reported, but lower IC50 values for CYP2C19 and 2C9 (5.9 and 7.4 µM, respectively) were reported than in Study 6645-128. IC50 values for CYP2B6 and 2C8 were 21 and 6.3 µM, respectively. Again, there was little/no inhibition of CYP1A2, 2D6 or 2E1. The lowest IC50 value (5.9 µM) is 13 times the </w:t>
      </w:r>
      <w:proofErr w:type="spellStart"/>
      <w:r w:rsidR="0044364B" w:rsidRPr="0044364B">
        <w:t>Cmax</w:t>
      </w:r>
      <w:proofErr w:type="spellEnd"/>
      <w:r w:rsidR="0044364B" w:rsidRPr="0044364B">
        <w:t xml:space="preserve"> at the MRHD suggesting that inhibition of CYP </w:t>
      </w:r>
      <w:proofErr w:type="spellStart"/>
      <w:r w:rsidR="0044364B" w:rsidRPr="0044364B">
        <w:t>isozymes</w:t>
      </w:r>
      <w:proofErr w:type="spellEnd"/>
      <w:r w:rsidR="0044364B" w:rsidRPr="0044364B">
        <w:t xml:space="preserve"> by lurasidone is unlikely to be clinically relevant. Lurasidone metabolites, ID-20219 (major circulating human metabolite), ID-14283 and ID-11614 were also tested and only ID-14283 showed any activity (inhibition of CYP2C9 with an IC50 value of 6.3 µM), which is also unlikely to be of clinical significance, since in human serum, concentrations of this metabolite were only about 20% of those of parent drug.</w:t>
      </w:r>
    </w:p>
    <w:p w:rsidR="0044364B" w:rsidRPr="0044364B" w:rsidRDefault="00EC20AF" w:rsidP="00624C71">
      <w:r>
        <w:t>LDH</w:t>
      </w:r>
      <w:r w:rsidR="0044364B" w:rsidRPr="0044364B">
        <w:t xml:space="preserve"> was adequately tested for hepatic enzyme induction potential in two </w:t>
      </w:r>
      <w:r w:rsidR="0044364B" w:rsidRPr="003F160A">
        <w:rPr>
          <w:i/>
        </w:rPr>
        <w:t>in vitro</w:t>
      </w:r>
      <w:r w:rsidR="0044364B" w:rsidRPr="0044364B">
        <w:t xml:space="preserve"> studies in human hepatocytes and two </w:t>
      </w:r>
      <w:r w:rsidR="0044364B" w:rsidRPr="003F160A">
        <w:rPr>
          <w:i/>
        </w:rPr>
        <w:t>in vivo</w:t>
      </w:r>
      <w:r w:rsidR="0044364B" w:rsidRPr="0044364B">
        <w:t xml:space="preserve"> studies in male rats. The in vitro studies each used primary cultures from 3 separate donors and tested con</w:t>
      </w:r>
      <w:r w:rsidR="00D33E1A">
        <w:t xml:space="preserve">centrations of up to 10 µM (&gt;20 </w:t>
      </w:r>
      <w:r w:rsidR="0044364B" w:rsidRPr="0044364B">
        <w:t xml:space="preserve">fold the </w:t>
      </w:r>
      <w:proofErr w:type="spellStart"/>
      <w:r w:rsidR="0044364B" w:rsidRPr="0044364B">
        <w:t>Cmax</w:t>
      </w:r>
      <w:proofErr w:type="spellEnd"/>
      <w:r w:rsidR="0044364B" w:rsidRPr="0044364B">
        <w:t xml:space="preserve"> at the MRHD); incubations were 2 or 3 days and both studies measured both enzyme activity and mRNA levels, but hepatocyte cultures were validated only in the second study. The first </w:t>
      </w:r>
      <w:r w:rsidR="0044364B" w:rsidRPr="00D33E1A">
        <w:rPr>
          <w:i/>
        </w:rPr>
        <w:t>in vitro</w:t>
      </w:r>
      <w:r w:rsidR="0044364B" w:rsidRPr="0044364B">
        <w:t xml:space="preserve"> study (Study PK008) investigated CYP3A4 only, while the second study (Study XT093011) investigated the three critical </w:t>
      </w:r>
      <w:proofErr w:type="spellStart"/>
      <w:r w:rsidR="0044364B" w:rsidRPr="0044364B">
        <w:t>isozymes</w:t>
      </w:r>
      <w:proofErr w:type="spellEnd"/>
      <w:r w:rsidR="0044364B" w:rsidRPr="0044364B">
        <w:t>, CYP1A2, 2B</w:t>
      </w:r>
      <w:r w:rsidR="00D33E1A">
        <w:t>6 and 3A4, which the guidelines</w:t>
      </w:r>
      <w:r w:rsidR="00D33E1A">
        <w:rPr>
          <w:rStyle w:val="FootnoteReference"/>
        </w:rPr>
        <w:footnoteReference w:id="14"/>
      </w:r>
      <w:r w:rsidR="0044364B" w:rsidRPr="0044364B">
        <w:t xml:space="preserve"> recommend should always be included. The </w:t>
      </w:r>
      <w:r w:rsidR="0044364B" w:rsidRPr="00CA7F9D">
        <w:rPr>
          <w:i/>
        </w:rPr>
        <w:t>in vivo</w:t>
      </w:r>
      <w:r w:rsidR="0044364B" w:rsidRPr="0044364B">
        <w:t xml:space="preserve"> studies both used doses of up to 100 mg/kg/day for 14 days (this dose gave an ER of 5), with the second study (Study 6645-126) being more comprehensively documented than the first (Study 6546). Positive controls were included in all experiments. There was no evidence of CYP </w:t>
      </w:r>
      <w:proofErr w:type="spellStart"/>
      <w:r w:rsidR="0044364B" w:rsidRPr="0044364B">
        <w:t>isozyme</w:t>
      </w:r>
      <w:proofErr w:type="spellEnd"/>
      <w:r w:rsidR="0044364B" w:rsidRPr="0044364B">
        <w:t xml:space="preserve"> induction in either of the </w:t>
      </w:r>
      <w:r w:rsidR="0044364B" w:rsidRPr="00CA7F9D">
        <w:rPr>
          <w:i/>
        </w:rPr>
        <w:t>in vivo</w:t>
      </w:r>
      <w:r w:rsidR="0044364B" w:rsidRPr="0044364B">
        <w:t xml:space="preserve"> studies. In the </w:t>
      </w:r>
      <w:r w:rsidR="0044364B" w:rsidRPr="00CA7F9D">
        <w:rPr>
          <w:i/>
        </w:rPr>
        <w:t>in vitro</w:t>
      </w:r>
      <w:r w:rsidR="0044364B" w:rsidRPr="0044364B">
        <w:t xml:space="preserve"> studies, </w:t>
      </w:r>
      <w:r>
        <w:t>LDH</w:t>
      </w:r>
      <w:r w:rsidR="0044364B" w:rsidRPr="0044364B">
        <w:t xml:space="preserve"> induced mRNA expression, but not activity, of CYP3A4 (and additionally of CYP1A2, investigated only in Study XT093011), but only at 10 µM and not at 3-5 µM (6-11 fold the </w:t>
      </w:r>
      <w:proofErr w:type="spellStart"/>
      <w:r w:rsidR="0044364B" w:rsidRPr="0044364B">
        <w:t>Cmax</w:t>
      </w:r>
      <w:proofErr w:type="spellEnd"/>
      <w:r w:rsidR="0044364B" w:rsidRPr="0044364B">
        <w:t xml:space="preserve"> at the MRHD). ID-20219 and ID-11614 showed minimal or no induction of CYP3A4. Overall, it can be concluded that lurasidone is not likely to induce CYP enzymes in patients given up to 160 mg/day </w:t>
      </w:r>
      <w:r>
        <w:t>LDH</w:t>
      </w:r>
      <w:r w:rsidR="0044364B" w:rsidRPr="0044364B">
        <w:t>.</w:t>
      </w:r>
    </w:p>
    <w:p w:rsidR="0044364B" w:rsidRPr="00624C71" w:rsidRDefault="0044364B" w:rsidP="00624C71">
      <w:pPr>
        <w:pStyle w:val="Heading4"/>
      </w:pPr>
      <w:r w:rsidRPr="00C850A1">
        <w:t>Excretion</w:t>
      </w:r>
    </w:p>
    <w:p w:rsidR="0044364B" w:rsidRPr="0044364B" w:rsidRDefault="0044364B" w:rsidP="00624C71">
      <w:r w:rsidRPr="0044364B">
        <w:t xml:space="preserve">Mass balance studies were conducted in mice, rats, dogs, </w:t>
      </w:r>
      <w:proofErr w:type="spellStart"/>
      <w:r w:rsidRPr="0044364B">
        <w:t>cynomolgus</w:t>
      </w:r>
      <w:proofErr w:type="spellEnd"/>
      <w:r w:rsidRPr="0044364B">
        <w:t xml:space="preserve"> monkeys and humans. All studies used the oral route except for one study in monkeys. In all nonclinical species except mice, studies inc</w:t>
      </w:r>
      <w:r w:rsidR="00151D5D">
        <w:t xml:space="preserve">luded both intact and bile duct </w:t>
      </w:r>
      <w:r w:rsidRPr="0044364B">
        <w:t>cannulated ani</w:t>
      </w:r>
      <w:r w:rsidR="00151D5D">
        <w:t xml:space="preserve">mals and used both </w:t>
      </w:r>
      <w:proofErr w:type="spellStart"/>
      <w:r w:rsidR="00151D5D">
        <w:t>isothiazolyl</w:t>
      </w:r>
      <w:proofErr w:type="spellEnd"/>
      <w:r w:rsidR="00151D5D">
        <w:t xml:space="preserve"> and carbonyl </w:t>
      </w:r>
      <w:r w:rsidRPr="0044364B">
        <w:t>labelled drug. Results for the drugs labelled in the different positions were broadly similar, except for biliary excretion in monkeys, which was consid</w:t>
      </w:r>
      <w:r w:rsidR="00151D5D">
        <w:t xml:space="preserve">erably higher when </w:t>
      </w:r>
      <w:proofErr w:type="spellStart"/>
      <w:r w:rsidR="00151D5D">
        <w:t>isothiazolyl</w:t>
      </w:r>
      <w:proofErr w:type="spellEnd"/>
      <w:r w:rsidR="00151D5D">
        <w:t xml:space="preserve"> </w:t>
      </w:r>
      <w:r w:rsidRPr="0044364B">
        <w:t>labelled drug was admi</w:t>
      </w:r>
      <w:r w:rsidR="00151D5D">
        <w:t xml:space="preserve">nistered compared with carbonyl </w:t>
      </w:r>
      <w:r w:rsidRPr="0044364B">
        <w:t>labelled drug. This was a consistent finding and therefore presumably relates to the metabolites that are excreted in bile in this species.</w:t>
      </w:r>
    </w:p>
    <w:p w:rsidR="0044364B" w:rsidRPr="0044364B" w:rsidRDefault="0044364B" w:rsidP="00624C71">
      <w:r w:rsidRPr="0044364B">
        <w:t>Recoveries of radioactivity in urine, bile and faeces after o</w:t>
      </w:r>
      <w:r w:rsidR="00151D5D">
        <w:t xml:space="preserve">ral administration in bile duct </w:t>
      </w:r>
      <w:r w:rsidRPr="0044364B">
        <w:t xml:space="preserve">cannulated rats, dogs and monkeys are summarised in </w:t>
      </w:r>
      <w:r w:rsidR="00AB2644">
        <w:t>Table 7</w:t>
      </w:r>
      <w:r w:rsidRPr="0044364B">
        <w:t>.</w:t>
      </w:r>
    </w:p>
    <w:p w:rsidR="00AB2644" w:rsidRPr="00624C71" w:rsidRDefault="00AB2644" w:rsidP="00624C71">
      <w:pPr>
        <w:pStyle w:val="TableTitle"/>
      </w:pPr>
      <w:proofErr w:type="gramStart"/>
      <w:r>
        <w:lastRenderedPageBreak/>
        <w:t>Table 7:</w:t>
      </w:r>
      <w:r w:rsidRPr="004C5C28">
        <w:t xml:space="preserve"> </w:t>
      </w:r>
      <w:r w:rsidR="0035730A">
        <w:t xml:space="preserve">Recoveries of radioactivity in urine, bile and faeces after oral administration of </w:t>
      </w:r>
      <w:r w:rsidR="00EC20AF">
        <w:t>LDH</w:t>
      </w:r>
      <w:r>
        <w:t>.</w:t>
      </w:r>
      <w:proofErr w:type="gramEnd"/>
    </w:p>
    <w:p w:rsidR="00364110" w:rsidRDefault="00C85C44" w:rsidP="00624C71">
      <w:r>
        <w:rPr>
          <w:noProof/>
          <w:lang w:eastAsia="en-AU"/>
        </w:rPr>
        <w:drawing>
          <wp:inline distT="0" distB="0" distL="0" distR="0" wp14:anchorId="2AB105C7" wp14:editId="64376A79">
            <wp:extent cx="5267325" cy="2125980"/>
            <wp:effectExtent l="0" t="0" r="9525" b="7620"/>
            <wp:docPr id="9" name="Picture 9" descr="Table 7: Recoveries of radioactivity in urine, bile and faeces after oral administration of L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Recoveries of radioactivity in urine, bile and faeces after oral administration of LD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125980"/>
                    </a:xfrm>
                    <a:prstGeom prst="rect">
                      <a:avLst/>
                    </a:prstGeom>
                    <a:noFill/>
                    <a:ln>
                      <a:noFill/>
                    </a:ln>
                  </pic:spPr>
                </pic:pic>
              </a:graphicData>
            </a:graphic>
          </wp:inline>
        </w:drawing>
      </w:r>
    </w:p>
    <w:p w:rsidR="00AB2644" w:rsidRPr="00C850A1" w:rsidRDefault="00AB2644" w:rsidP="00624C71">
      <w:pPr>
        <w:pStyle w:val="TableDescription"/>
      </w:pPr>
      <w:r w:rsidRPr="00C850A1">
        <w:t xml:space="preserve">^ </w:t>
      </w:r>
      <w:r w:rsidR="00151D5D">
        <w:t>T</w:t>
      </w:r>
      <w:r w:rsidRPr="00C850A1">
        <w:t xml:space="preserve">he values have been corrected to 100% recovery of radioactivity; </w:t>
      </w:r>
      <w:r w:rsidRPr="00C850A1">
        <w:rPr>
          <w:vertAlign w:val="superscript"/>
        </w:rPr>
        <w:t>#</w:t>
      </w:r>
      <w:r w:rsidRPr="00C850A1">
        <w:t xml:space="preserve"> </w:t>
      </w:r>
      <w:r w:rsidR="00151D5D">
        <w:t>D</w:t>
      </w:r>
      <w:r w:rsidRPr="00C850A1">
        <w:t>ata f</w:t>
      </w:r>
      <w:r>
        <w:t>rom</w:t>
      </w:r>
      <w:r w:rsidRPr="00C850A1">
        <w:t xml:space="preserve"> </w:t>
      </w:r>
      <w:r w:rsidR="00151D5D">
        <w:t>S</w:t>
      </w:r>
      <w:r w:rsidRPr="00C850A1">
        <w:t xml:space="preserve">tudy </w:t>
      </w:r>
      <w:r>
        <w:t xml:space="preserve">PK006 have not been included because these data differed from the data from all the other studies which may have been due to inadequate recovery from one or more of the matrices (only results corrected for recovery were provided); </w:t>
      </w:r>
      <w:r w:rsidRPr="00CF7787">
        <w:rPr>
          <w:vertAlign w:val="superscript"/>
        </w:rPr>
        <w:t>$</w:t>
      </w:r>
      <w:r>
        <w:t xml:space="preserve"> </w:t>
      </w:r>
      <w:r w:rsidR="00151D5D">
        <w:t>D</w:t>
      </w:r>
      <w:r>
        <w:t xml:space="preserve">ata are for 72 h but have been corrected using 96 h recovery as this was the only recovery data provided; </w:t>
      </w:r>
      <w:r>
        <w:rPr>
          <w:vertAlign w:val="superscript"/>
        </w:rPr>
        <w:t>§</w:t>
      </w:r>
      <w:r>
        <w:t xml:space="preserve"> </w:t>
      </w:r>
      <w:r w:rsidR="00151D5D">
        <w:t>D</w:t>
      </w:r>
      <w:r>
        <w:t xml:space="preserve">ata are for 72 h but have been corrected using 120 h recovery due to low faecal recovery at 72 h; </w:t>
      </w:r>
      <w:r w:rsidRPr="00C850A1">
        <w:t xml:space="preserve">* </w:t>
      </w:r>
      <w:r w:rsidR="00151D5D">
        <w:t>D</w:t>
      </w:r>
      <w:r w:rsidRPr="00C850A1">
        <w:t xml:space="preserve">ata for monkeys are for the </w:t>
      </w:r>
      <w:proofErr w:type="spellStart"/>
      <w:r w:rsidRPr="00C850A1">
        <w:t>isothiazolyl</w:t>
      </w:r>
      <w:proofErr w:type="spellEnd"/>
      <w:r w:rsidR="00151D5D">
        <w:t xml:space="preserve"> </w:t>
      </w:r>
      <w:r w:rsidRPr="00C850A1">
        <w:t>labelled drug</w:t>
      </w:r>
      <w:r>
        <w:t xml:space="preserve"> only (as noted above, considerably lower biliary excretion was observed with the carbonyl</w:t>
      </w:r>
      <w:r w:rsidR="00151D5D">
        <w:t xml:space="preserve"> </w:t>
      </w:r>
      <w:r>
        <w:t>labelled drug)</w:t>
      </w:r>
      <w:r w:rsidR="00151D5D">
        <w:t>.</w:t>
      </w:r>
    </w:p>
    <w:p w:rsidR="005F39AE" w:rsidRPr="005F39AE" w:rsidRDefault="005F39AE" w:rsidP="00624C71">
      <w:r w:rsidRPr="005F39AE">
        <w:t xml:space="preserve">The above data suggest that urinary and biliary excretion are both major routes of excretion in all nonclinical species, with the biliary route being more prominent, particularly in rats and </w:t>
      </w:r>
      <w:proofErr w:type="spellStart"/>
      <w:r w:rsidRPr="005F39AE">
        <w:t>cynomolgus</w:t>
      </w:r>
      <w:proofErr w:type="spellEnd"/>
      <w:r w:rsidRPr="005F39AE">
        <w:t xml:space="preserve"> monkeys. The data also indicate that at least about 48%, 27% and 37% of the dose is absorbed in rats, dogs and monkeys, respectively, which suggests that first pass metabolism, as well as poor oral absorption, is a major contributor to the low or</w:t>
      </w:r>
      <w:r w:rsidR="00624C71">
        <w:t>al bioavailability of the drug.</w:t>
      </w:r>
    </w:p>
    <w:p w:rsidR="005F39AE" w:rsidRPr="005F39AE" w:rsidRDefault="005F39AE" w:rsidP="00624C71">
      <w:r w:rsidRPr="005F39AE">
        <w:t>In humans, 67.2-80.1% of the dose was recovered in faeces and 9.2-19.1% was recovered i</w:t>
      </w:r>
      <w:r w:rsidR="005E607F">
        <w:t>n urine</w:t>
      </w:r>
      <w:r w:rsidRPr="005F39AE">
        <w:t>, indicating a minimum of 9-19% absorption. The proportion of the dose recovered in urine was similar to that in the nonclinical species. The proportions of the dose excreted in faeces in humans that were due to unabsorbed drug and to biliary excretion are unknown, but given that biliary excretion was the major route of excretion in the nonclinical species, this might also be expected to be the case in humans.</w:t>
      </w:r>
    </w:p>
    <w:p w:rsidR="005F39AE" w:rsidRPr="005F39AE" w:rsidRDefault="005F39AE" w:rsidP="00624C71">
      <w:r w:rsidRPr="005F39AE">
        <w:t xml:space="preserve">Excretion was rapid, with a large proportion of the dose generally being excreted within 48 h in all the nonclinical species (sometimes 72 h in </w:t>
      </w:r>
      <w:proofErr w:type="spellStart"/>
      <w:r w:rsidRPr="005F39AE">
        <w:t>cynomolgus</w:t>
      </w:r>
      <w:proofErr w:type="spellEnd"/>
      <w:r w:rsidRPr="005F39AE">
        <w:t xml:space="preserve"> monkeys), after administ</w:t>
      </w:r>
      <w:r w:rsidR="005E607F">
        <w:t xml:space="preserve">ration of both the </w:t>
      </w:r>
      <w:proofErr w:type="spellStart"/>
      <w:r w:rsidR="005E607F">
        <w:t>isothiazolyl</w:t>
      </w:r>
      <w:proofErr w:type="spellEnd"/>
      <w:r w:rsidR="005E607F">
        <w:t xml:space="preserve"> and carbonyl </w:t>
      </w:r>
      <w:r w:rsidRPr="005F39AE">
        <w:t>labelled drug. This is consistent with the rapid plasma clearance of the drug. Excretion was slower in humans, with 57% of radioactivity eliminated after 96 h and 79% after 216 h (</w:t>
      </w:r>
      <w:r w:rsidR="005E607F">
        <w:t>Study D1050184</w:t>
      </w:r>
      <w:r w:rsidRPr="005F39AE">
        <w:t xml:space="preserve"> </w:t>
      </w:r>
      <w:r w:rsidR="005E607F">
        <w:t xml:space="preserve">[single dose of 40 mg carbonyl </w:t>
      </w:r>
      <w:r w:rsidRPr="005E607F">
        <w:rPr>
          <w:vertAlign w:val="superscript"/>
        </w:rPr>
        <w:t>14</w:t>
      </w:r>
      <w:r w:rsidR="005E607F">
        <w:t>C-</w:t>
      </w:r>
      <w:r w:rsidRPr="005F39AE">
        <w:t>labelled drug</w:t>
      </w:r>
      <w:r w:rsidR="005E607F">
        <w:t>]</w:t>
      </w:r>
      <w:r w:rsidRPr="005F39AE">
        <w:t>).</w:t>
      </w:r>
    </w:p>
    <w:p w:rsidR="005F39AE" w:rsidRPr="005F39AE" w:rsidRDefault="005F39AE" w:rsidP="005F39AE">
      <w:proofErr w:type="spellStart"/>
      <w:r w:rsidRPr="005F39AE">
        <w:t>Enterohepatic</w:t>
      </w:r>
      <w:proofErr w:type="spellEnd"/>
      <w:r w:rsidRPr="005F39AE">
        <w:t xml:space="preserve"> recirculation was investigated in rats by collecting bile from ‘donor’ rats after the administration of </w:t>
      </w:r>
      <w:proofErr w:type="spellStart"/>
      <w:r w:rsidRPr="005F39AE">
        <w:t>isothiazolyl</w:t>
      </w:r>
      <w:proofErr w:type="spellEnd"/>
      <w:r w:rsidR="005E607F">
        <w:t xml:space="preserve"> </w:t>
      </w:r>
      <w:r w:rsidRPr="005E607F">
        <w:rPr>
          <w:vertAlign w:val="superscript"/>
        </w:rPr>
        <w:t>14</w:t>
      </w:r>
      <w:r w:rsidRPr="005F39AE">
        <w:t xml:space="preserve">C-labelled </w:t>
      </w:r>
      <w:r w:rsidR="00EC20AF">
        <w:t>LDH</w:t>
      </w:r>
      <w:r w:rsidRPr="005F39AE">
        <w:t xml:space="preserve"> and administering the bile </w:t>
      </w:r>
      <w:proofErr w:type="spellStart"/>
      <w:r w:rsidRPr="005F39AE">
        <w:t>intraduodenally</w:t>
      </w:r>
      <w:proofErr w:type="spellEnd"/>
      <w:r w:rsidRPr="005F39AE">
        <w:t xml:space="preserve"> in ‘acceptor’ rats. By assessing absorption from radioactivity in urine, bile and carcass of ‘acceptor’ rats, it was estimated that 4.2% of the dose was re-absorbed from bile, so </w:t>
      </w:r>
      <w:proofErr w:type="spellStart"/>
      <w:r w:rsidRPr="005F39AE">
        <w:t>enterohepatic</w:t>
      </w:r>
      <w:proofErr w:type="spellEnd"/>
      <w:r w:rsidRPr="005F39AE">
        <w:t xml:space="preserve"> recirculation was relatively limited.</w:t>
      </w:r>
    </w:p>
    <w:p w:rsidR="005F39AE" w:rsidRPr="00C33520" w:rsidRDefault="005F39AE" w:rsidP="00624C71">
      <w:pPr>
        <w:pStyle w:val="Heading4"/>
      </w:pPr>
      <w:r w:rsidRPr="00624C71">
        <w:t>Conclusion</w:t>
      </w:r>
    </w:p>
    <w:p w:rsidR="005F39AE" w:rsidRPr="005F39AE" w:rsidRDefault="005F39AE" w:rsidP="00624C71">
      <w:r w:rsidRPr="005F39AE">
        <w:t xml:space="preserve">The </w:t>
      </w:r>
      <w:r w:rsidR="0064096A">
        <w:t>PK</w:t>
      </w:r>
      <w:r w:rsidRPr="005F39AE">
        <w:t xml:space="preserve"> characteristics of lurasidone in the laboratory animal species, including those used in the pivotal repeat</w:t>
      </w:r>
      <w:r w:rsidR="00472FC3">
        <w:t xml:space="preserve"> </w:t>
      </w:r>
      <w:r w:rsidRPr="005F39AE">
        <w:t xml:space="preserve">dose toxicity studies (rats, dogs and </w:t>
      </w:r>
      <w:proofErr w:type="spellStart"/>
      <w:r w:rsidRPr="005F39AE">
        <w:t>cynomolgus</w:t>
      </w:r>
      <w:proofErr w:type="spellEnd"/>
      <w:r w:rsidRPr="005F39AE">
        <w:t xml:space="preserve"> monkeys), were sufficiently similar to allow them to serve as appropriate models for the assessment of drug toxicity in humans.</w:t>
      </w:r>
    </w:p>
    <w:p w:rsidR="005F39AE" w:rsidRPr="001258AE" w:rsidRDefault="005F39AE" w:rsidP="005F4F7E">
      <w:pPr>
        <w:pStyle w:val="Heading4"/>
      </w:pPr>
      <w:bookmarkStart w:id="53" w:name="_Toc294861725"/>
      <w:proofErr w:type="spellStart"/>
      <w:r w:rsidRPr="00C33520">
        <w:lastRenderedPageBreak/>
        <w:t>P</w:t>
      </w:r>
      <w:r>
        <w:t>harmacodynamic</w:t>
      </w:r>
      <w:proofErr w:type="spellEnd"/>
      <w:r>
        <w:t xml:space="preserve"> and </w:t>
      </w:r>
      <w:r w:rsidRPr="005F4F7E">
        <w:t>pharmacokinetic</w:t>
      </w:r>
      <w:r w:rsidRPr="001258AE">
        <w:t xml:space="preserve"> drug interactions</w:t>
      </w:r>
      <w:bookmarkEnd w:id="53"/>
    </w:p>
    <w:p w:rsidR="005F39AE" w:rsidRPr="005F39AE" w:rsidRDefault="005F39AE" w:rsidP="005F4F7E">
      <w:r w:rsidRPr="005F39AE">
        <w:t xml:space="preserve">A nonclinical study was conducted to investigate the inhibition of lurasidone metabolism by the CYP3A4 inhibitor, ketoconazole, given that lurasidone is mainly metabolised by CYP3A4. Ketoconazole inhibited lurasidone metabolism with a Ki of 37 </w:t>
      </w:r>
      <w:proofErr w:type="spellStart"/>
      <w:r w:rsidRPr="005F39AE">
        <w:t>nM</w:t>
      </w:r>
      <w:proofErr w:type="spellEnd"/>
      <w:r w:rsidRPr="005F39AE">
        <w:t xml:space="preserve"> </w:t>
      </w:r>
      <w:proofErr w:type="gramStart"/>
      <w:r w:rsidRPr="005F39AE">
        <w:t>(20 ng/mL)</w:t>
      </w:r>
      <w:proofErr w:type="gramEnd"/>
      <w:r w:rsidRPr="005F39AE">
        <w:t xml:space="preserve">. As ketoconazole plasma concentration following the recommended oral dose of 200 mg is </w:t>
      </w:r>
      <w:proofErr w:type="gramStart"/>
      <w:r w:rsidRPr="005F39AE">
        <w:t xml:space="preserve">about 3.5 µg/mL (Ketoconazole </w:t>
      </w:r>
      <w:r w:rsidR="008E2399">
        <w:t>PI</w:t>
      </w:r>
      <w:r w:rsidRPr="005F39AE">
        <w:t>),</w:t>
      </w:r>
      <w:proofErr w:type="gramEnd"/>
      <w:r w:rsidRPr="005F39AE">
        <w:t xml:space="preserve"> concomitant administration of ketoconazole at the recommended dose with lurasidone would be expected to inhibit the metabolism of lurasidone and result in increased plasma lurasidone concentrations. (An appropriate warning statement is proposed for the </w:t>
      </w:r>
      <w:r w:rsidR="008F2334">
        <w:t>PI</w:t>
      </w:r>
      <w:r w:rsidRPr="005F39AE">
        <w:t xml:space="preserve"> (‘Dosage and Administration’). Cimetidine was found to inhibit lurasidone metabolism but only by 46% </w:t>
      </w:r>
      <w:proofErr w:type="gramStart"/>
      <w:r w:rsidRPr="005F39AE">
        <w:t>at 100 µg/</w:t>
      </w:r>
      <w:proofErr w:type="spellStart"/>
      <w:r w:rsidRPr="005F39AE">
        <w:t>mL</w:t>
      </w:r>
      <w:proofErr w:type="gramEnd"/>
      <w:r w:rsidRPr="005F39AE">
        <w:t>.</w:t>
      </w:r>
      <w:proofErr w:type="spellEnd"/>
      <w:r w:rsidRPr="005F39AE">
        <w:t xml:space="preserve"> A 200 mg oral dose of cimetidine gives a blood level </w:t>
      </w:r>
      <w:proofErr w:type="gramStart"/>
      <w:r w:rsidRPr="005F39AE">
        <w:t xml:space="preserve">of 0.7 µg/mL (Cimetidine </w:t>
      </w:r>
      <w:r w:rsidR="008F2334">
        <w:t>PI)</w:t>
      </w:r>
      <w:proofErr w:type="gramEnd"/>
      <w:r w:rsidR="008F2334">
        <w:t xml:space="preserve">; </w:t>
      </w:r>
      <w:r w:rsidRPr="005F39AE">
        <w:t>therefore</w:t>
      </w:r>
      <w:r w:rsidR="008F2334">
        <w:t>,</w:t>
      </w:r>
      <w:r w:rsidRPr="005F39AE">
        <w:t xml:space="preserve"> the maximum recommended dose of 800 mg will give rise to a blood level of 2.8 µg/mL which will not greatly inhibit lurasidone metabolism.</w:t>
      </w:r>
    </w:p>
    <w:p w:rsidR="005F39AE" w:rsidRPr="005F39AE" w:rsidRDefault="005F39AE" w:rsidP="005F4F7E">
      <w:r w:rsidRPr="005F39AE">
        <w:t>Lurasidone, but not its metabolite, ID-20219 (up to 20 µM), was found to have an inhibitory effect on MDR1 (p-glycoprotein 1)</w:t>
      </w:r>
      <w:r w:rsidR="008F2334">
        <w:t xml:space="preserve"> </w:t>
      </w:r>
      <w:r w:rsidRPr="005F39AE">
        <w:t>mediated transport of digoxin. Cleared volume ratio was reduced from 18</w:t>
      </w:r>
      <w:r w:rsidR="008F2334">
        <w:t xml:space="preserve">.4 (control) to 10.8 at 1 µM (compared with </w:t>
      </w:r>
      <w:r w:rsidRPr="005F39AE">
        <w:t xml:space="preserve">2.0 for the positive control, verapamil), but was not affected at 0.1 µM. Given the </w:t>
      </w:r>
      <w:proofErr w:type="spellStart"/>
      <w:r w:rsidRPr="005F39AE">
        <w:t>Cmax</w:t>
      </w:r>
      <w:proofErr w:type="spellEnd"/>
      <w:r w:rsidRPr="005F39AE">
        <w:t xml:space="preserve"> value of lurasidone is about 0.47 µM at 160 mg/day, any inhibitory effect on MDR1</w:t>
      </w:r>
      <w:r w:rsidR="008F2334">
        <w:t xml:space="preserve"> </w:t>
      </w:r>
      <w:r w:rsidRPr="005F39AE">
        <w:t xml:space="preserve">mediated transport in patients given </w:t>
      </w:r>
      <w:r w:rsidR="00EC20AF">
        <w:t>LDH</w:t>
      </w:r>
      <w:r w:rsidRPr="005F39AE">
        <w:t xml:space="preserve"> would be expected to be small.</w:t>
      </w:r>
    </w:p>
    <w:p w:rsidR="005F39AE" w:rsidRPr="005F39AE" w:rsidRDefault="005F39AE" w:rsidP="005F4F7E">
      <w:r w:rsidRPr="005F39AE">
        <w:t>Lurasidone and its metabolite ID-14283 showed high permeability across LLC-PK1 cells (Papp values of 22 x10</w:t>
      </w:r>
      <w:r w:rsidRPr="008F2334">
        <w:rPr>
          <w:vertAlign w:val="superscript"/>
        </w:rPr>
        <w:t>-6</w:t>
      </w:r>
      <w:r w:rsidRPr="005F39AE">
        <w:t xml:space="preserve"> and 18 x10</w:t>
      </w:r>
      <w:r w:rsidRPr="008F2334">
        <w:rPr>
          <w:vertAlign w:val="superscript"/>
        </w:rPr>
        <w:t>-6</w:t>
      </w:r>
      <w:r w:rsidRPr="005F39AE">
        <w:t xml:space="preserve"> cm/s, respectively). Both compounds showed similar Papp(A to B)/Papp(B to A) ratios in LLC-PK1 cells expressing human MDR1 and mouse Mdr1a as in control LLC-PK1 cells, whereas for the positive control, verapamil, this ratio was increased about 3 and 5</w:t>
      </w:r>
      <w:r w:rsidR="00CC69F9">
        <w:t xml:space="preserve"> </w:t>
      </w:r>
      <w:r w:rsidRPr="005F39AE">
        <w:t xml:space="preserve">fold, respectively, in cells expressing human MDR1 and mouse Mdr1a. These results suggest that neither </w:t>
      </w:r>
      <w:r w:rsidR="00EC20AF">
        <w:t>LDH</w:t>
      </w:r>
      <w:r w:rsidRPr="005F39AE">
        <w:t xml:space="preserve"> nor ID-14283 is a substrate of hum</w:t>
      </w:r>
      <w:r w:rsidR="006321E0">
        <w:t>an MDR1 or mouse Mdr1a</w:t>
      </w:r>
      <w:r w:rsidRPr="005F39AE">
        <w:t>.</w:t>
      </w:r>
    </w:p>
    <w:p w:rsidR="005F39AE" w:rsidRPr="005F39AE" w:rsidRDefault="005F39AE" w:rsidP="005F4F7E">
      <w:r w:rsidRPr="005F39AE">
        <w:t xml:space="preserve">The serum protein binding of lurasidone </w:t>
      </w:r>
      <w:r w:rsidRPr="00CC69F9">
        <w:rPr>
          <w:i/>
        </w:rPr>
        <w:t>in vitro</w:t>
      </w:r>
      <w:r w:rsidRPr="005F39AE">
        <w:t>, despite being very high (~99%), was not altered by the presence of other test drugs (</w:t>
      </w:r>
      <w:proofErr w:type="spellStart"/>
      <w:r w:rsidRPr="005F39AE">
        <w:t>biperiden</w:t>
      </w:r>
      <w:proofErr w:type="spellEnd"/>
      <w:r w:rsidRPr="005F39AE">
        <w:t xml:space="preserve">, </w:t>
      </w:r>
      <w:proofErr w:type="spellStart"/>
      <w:r w:rsidRPr="005F39AE">
        <w:t>flunitrazepam</w:t>
      </w:r>
      <w:proofErr w:type="spellEnd"/>
      <w:r w:rsidRPr="005F39AE">
        <w:t>, diazepam and haloperidol) nor was the protein binding of these drugs altered by lurasidone. The drugs tested were representative of potentia</w:t>
      </w:r>
      <w:r w:rsidR="00163A98">
        <w:t>l co-therapy drug classes: anti P</w:t>
      </w:r>
      <w:r w:rsidRPr="005F39AE">
        <w:t>arkinson, hypnotic, anxiolytic</w:t>
      </w:r>
      <w:r w:rsidR="00CC1515">
        <w:t>,</w:t>
      </w:r>
      <w:r w:rsidRPr="005F39AE">
        <w:t xml:space="preserve"> and other antipsychotics. Lurasidone and the other test drugs were investigated at clinically relevant concentrations. At concentrations of up to 10 µg/mL (&gt;20</w:t>
      </w:r>
      <w:r w:rsidR="00163A98">
        <w:t xml:space="preserve"> </w:t>
      </w:r>
      <w:r w:rsidRPr="005F39AE">
        <w:t xml:space="preserve">fold the </w:t>
      </w:r>
      <w:proofErr w:type="spellStart"/>
      <w:r w:rsidRPr="005F39AE">
        <w:t>Cmax</w:t>
      </w:r>
      <w:proofErr w:type="spellEnd"/>
      <w:r w:rsidRPr="005F39AE">
        <w:t xml:space="preserve"> at the MRHD), lurasidone had little effect on the metabolism of these same drugs, while these drugs showed little inhibition of the metabolism of lurasidone at a concentration of 10 µg/mL, well in excess of clinically relevant concentrations.</w:t>
      </w:r>
    </w:p>
    <w:p w:rsidR="005F39AE" w:rsidRPr="005F39AE" w:rsidRDefault="005F39AE" w:rsidP="005F4F7E">
      <w:r w:rsidRPr="005F39AE">
        <w:t xml:space="preserve">A </w:t>
      </w:r>
      <w:r w:rsidR="0064096A">
        <w:t>PD</w:t>
      </w:r>
      <w:r w:rsidRPr="005F39AE">
        <w:t xml:space="preserve"> drug interaction study (</w:t>
      </w:r>
      <w:r w:rsidR="00EC20AF">
        <w:t>LDH</w:t>
      </w:r>
      <w:r w:rsidRPr="005F39AE">
        <w:t xml:space="preserve"> and other drugs with which it might be administered concomitantly) revealed few interactions, but a greater anti</w:t>
      </w:r>
      <w:r w:rsidR="00CC1515">
        <w:t xml:space="preserve"> </w:t>
      </w:r>
      <w:r w:rsidRPr="005F39AE">
        <w:t xml:space="preserve">dopaminergic activity of the </w:t>
      </w:r>
      <w:proofErr w:type="spellStart"/>
      <w:r w:rsidR="00EC20AF">
        <w:t>LDH</w:t>
      </w:r>
      <w:r w:rsidRPr="005F39AE">
        <w:t>+haloperidol</w:t>
      </w:r>
      <w:proofErr w:type="spellEnd"/>
      <w:r w:rsidRPr="005F39AE">
        <w:t xml:space="preserve"> combination than </w:t>
      </w:r>
      <w:r w:rsidR="00EC20AF">
        <w:t>LDH</w:t>
      </w:r>
      <w:r w:rsidR="00CC1515">
        <w:t xml:space="preserve"> alone (ED50 of 1.1 compared to </w:t>
      </w:r>
      <w:r w:rsidRPr="005F39AE">
        <w:t xml:space="preserve">3.0 mg/kg PO for </w:t>
      </w:r>
      <w:proofErr w:type="spellStart"/>
      <w:r w:rsidRPr="005F39AE">
        <w:t>apomorphine</w:t>
      </w:r>
      <w:proofErr w:type="spellEnd"/>
      <w:r w:rsidR="00CC1515">
        <w:t xml:space="preserve"> </w:t>
      </w:r>
      <w:r w:rsidRPr="005F39AE">
        <w:t xml:space="preserve">induced climbing in mice) was observed, </w:t>
      </w:r>
      <w:r w:rsidR="00EC20AF">
        <w:t>LDH</w:t>
      </w:r>
      <w:r w:rsidRPr="005F39AE">
        <w:t xml:space="preserve"> potentiated the </w:t>
      </w:r>
      <w:proofErr w:type="spellStart"/>
      <w:r w:rsidRPr="005F39AE">
        <w:t>anti</w:t>
      </w:r>
      <w:r w:rsidR="00CC1515">
        <w:t xml:space="preserve"> </w:t>
      </w:r>
      <w:r w:rsidRPr="005F39AE">
        <w:t>anxiolytic</w:t>
      </w:r>
      <w:proofErr w:type="spellEnd"/>
      <w:r w:rsidRPr="005F39AE">
        <w:t xml:space="preserve"> effects of diazepam (ED50 of 10 </w:t>
      </w:r>
      <w:r w:rsidR="00CC1515">
        <w:t>compared to</w:t>
      </w:r>
      <w:r w:rsidRPr="005F39AE">
        <w:t xml:space="preserve"> 17 mg/kg PO for muscle relaxation in mice) and it slightly inhibited the </w:t>
      </w:r>
      <w:proofErr w:type="spellStart"/>
      <w:r w:rsidRPr="005F39AE">
        <w:t>antidepressive</w:t>
      </w:r>
      <w:proofErr w:type="spellEnd"/>
      <w:r w:rsidRPr="005F39AE">
        <w:t xml:space="preserve"> action of imipramine in the forced swimming test in rats (immobility ≥122 sec </w:t>
      </w:r>
      <w:r w:rsidR="00CC1515">
        <w:t xml:space="preserve">compared to </w:t>
      </w:r>
      <w:r w:rsidRPr="005F39AE">
        <w:t>108.7 sec for imipramine alone).</w:t>
      </w:r>
    </w:p>
    <w:p w:rsidR="005F39AE" w:rsidRPr="005F39AE" w:rsidRDefault="005F39AE" w:rsidP="005F4F7E">
      <w:r w:rsidRPr="005F39AE">
        <w:t xml:space="preserve">Overall, lurasidone showed a low propensity for </w:t>
      </w:r>
      <w:r w:rsidR="0064096A">
        <w:t>PK</w:t>
      </w:r>
      <w:r w:rsidRPr="005F39AE">
        <w:t xml:space="preserve"> drug interactions, with the main interaction demonst</w:t>
      </w:r>
      <w:r w:rsidR="00005977">
        <w:t>r</w:t>
      </w:r>
      <w:r w:rsidRPr="005F39AE">
        <w:t>ated to be an inhibition of metabolism with the strong CYP3A4 inhibitor, ketoconazole.</w:t>
      </w:r>
    </w:p>
    <w:p w:rsidR="001B5C90" w:rsidRPr="005F4F7E" w:rsidRDefault="008E7846" w:rsidP="005F4F7E">
      <w:pPr>
        <w:pStyle w:val="Heading3"/>
      </w:pPr>
      <w:bookmarkStart w:id="54" w:name="_Toc392682446"/>
      <w:r>
        <w:lastRenderedPageBreak/>
        <w:t>Toxicology</w:t>
      </w:r>
      <w:bookmarkEnd w:id="51"/>
      <w:bookmarkEnd w:id="52"/>
      <w:bookmarkEnd w:id="54"/>
    </w:p>
    <w:p w:rsidR="00775B0D" w:rsidRPr="00E4036F" w:rsidRDefault="00775B0D" w:rsidP="005F4F7E">
      <w:pPr>
        <w:pStyle w:val="Heading4"/>
      </w:pPr>
      <w:bookmarkStart w:id="55" w:name="_Toc294861727"/>
      <w:r w:rsidRPr="00E4036F">
        <w:t xml:space="preserve">Acute </w:t>
      </w:r>
      <w:r w:rsidRPr="005F4F7E">
        <w:t>toxicity</w:t>
      </w:r>
      <w:bookmarkEnd w:id="55"/>
    </w:p>
    <w:p w:rsidR="00775B0D" w:rsidRPr="00775B0D" w:rsidRDefault="00775B0D" w:rsidP="005F4F7E">
      <w:r w:rsidRPr="00775B0D">
        <w:t xml:space="preserve">Single dose toxicity studies were conducted in rats and </w:t>
      </w:r>
      <w:proofErr w:type="spellStart"/>
      <w:r w:rsidRPr="00775B0D">
        <w:t>cynomolgus</w:t>
      </w:r>
      <w:proofErr w:type="spellEnd"/>
      <w:r w:rsidRPr="00775B0D">
        <w:t xml:space="preserve"> monkeys by the oral route. The maximum </w:t>
      </w:r>
      <w:proofErr w:type="spellStart"/>
      <w:r w:rsidRPr="00775B0D">
        <w:t>non</w:t>
      </w:r>
      <w:r w:rsidR="00005977">
        <w:t xml:space="preserve"> </w:t>
      </w:r>
      <w:r w:rsidRPr="00775B0D">
        <w:t>lethal</w:t>
      </w:r>
      <w:proofErr w:type="spellEnd"/>
      <w:r w:rsidRPr="00775B0D">
        <w:t xml:space="preserve"> dose was ≥2 g/kg PO in both species. Thus, </w:t>
      </w:r>
      <w:r w:rsidR="00EC20AF">
        <w:t>LDH</w:t>
      </w:r>
      <w:r w:rsidRPr="00775B0D">
        <w:t xml:space="preserve"> has low acute tox</w:t>
      </w:r>
      <w:r w:rsidR="00005977">
        <w:t>icity by the clinical route. Central nervous system</w:t>
      </w:r>
      <w:r w:rsidRPr="00775B0D">
        <w:t xml:space="preserve"> clinical signs were observed in both species (reduced activity and ptosis in both species, and additionally, ataxia in rats and </w:t>
      </w:r>
      <w:proofErr w:type="spellStart"/>
      <w:r w:rsidRPr="00775B0D">
        <w:t>miosis</w:t>
      </w:r>
      <w:proofErr w:type="spellEnd"/>
      <w:r w:rsidRPr="00775B0D">
        <w:t xml:space="preserve"> and tremors in monkeys). No target organs were identified in rats. The liver appeared to be a possible target organ in </w:t>
      </w:r>
      <w:proofErr w:type="spellStart"/>
      <w:r w:rsidRPr="00775B0D">
        <w:t>cynomolgus</w:t>
      </w:r>
      <w:proofErr w:type="spellEnd"/>
      <w:r w:rsidRPr="00775B0D">
        <w:t xml:space="preserve"> monkeys, but only the male given 2 g/kg PO was affected (not con</w:t>
      </w:r>
      <w:r w:rsidR="005F4F7E">
        <w:t>firmed in repeat dose studies).</w:t>
      </w:r>
    </w:p>
    <w:p w:rsidR="00775B0D" w:rsidRPr="005F4F7E" w:rsidRDefault="00775B0D" w:rsidP="005F4F7E">
      <w:pPr>
        <w:pStyle w:val="Heading4"/>
      </w:pPr>
      <w:bookmarkStart w:id="56" w:name="_Toc294861728"/>
      <w:r w:rsidRPr="001258AE">
        <w:t>Repeat</w:t>
      </w:r>
      <w:r w:rsidR="00005977">
        <w:t xml:space="preserve"> </w:t>
      </w:r>
      <w:r w:rsidRPr="001258AE">
        <w:t>dose toxicity</w:t>
      </w:r>
      <w:bookmarkEnd w:id="56"/>
    </w:p>
    <w:p w:rsidR="00775B0D" w:rsidRPr="00775B0D" w:rsidRDefault="00775B0D" w:rsidP="005F4F7E">
      <w:r w:rsidRPr="00775B0D">
        <w:t>Repeat</w:t>
      </w:r>
      <w:r w:rsidR="00005977">
        <w:t xml:space="preserve"> </w:t>
      </w:r>
      <w:r w:rsidRPr="00775B0D">
        <w:t xml:space="preserve">dose toxicity studies were conducted in both rodents (mice </w:t>
      </w:r>
      <w:r w:rsidR="00005977">
        <w:t>[</w:t>
      </w:r>
      <w:r w:rsidRPr="00775B0D">
        <w:t>2 and 13 weeks PO</w:t>
      </w:r>
      <w:r w:rsidR="00005977">
        <w:t>]</w:t>
      </w:r>
      <w:r w:rsidRPr="00775B0D">
        <w:t xml:space="preserve"> and rats </w:t>
      </w:r>
      <w:r w:rsidR="00005977">
        <w:t>[</w:t>
      </w:r>
      <w:r w:rsidRPr="00775B0D">
        <w:t>2 weeks IV and 2, 13 and 26 weeks PO</w:t>
      </w:r>
      <w:r w:rsidR="00005977">
        <w:t>]</w:t>
      </w:r>
      <w:r w:rsidRPr="00775B0D">
        <w:t xml:space="preserve">) and </w:t>
      </w:r>
      <w:proofErr w:type="spellStart"/>
      <w:r w:rsidRPr="00775B0D">
        <w:t>non</w:t>
      </w:r>
      <w:r w:rsidR="00005977">
        <w:t xml:space="preserve"> </w:t>
      </w:r>
      <w:r w:rsidRPr="00775B0D">
        <w:t>rodents</w:t>
      </w:r>
      <w:proofErr w:type="spellEnd"/>
      <w:r w:rsidRPr="00775B0D">
        <w:t xml:space="preserve"> (dogs </w:t>
      </w:r>
      <w:r w:rsidR="00005977">
        <w:t>[</w:t>
      </w:r>
      <w:r w:rsidRPr="00775B0D">
        <w:t>2, 4 and 39 weeks PO</w:t>
      </w:r>
      <w:r w:rsidR="00005977">
        <w:t>]</w:t>
      </w:r>
      <w:r w:rsidRPr="00775B0D">
        <w:t xml:space="preserve"> and </w:t>
      </w:r>
      <w:proofErr w:type="spellStart"/>
      <w:r w:rsidRPr="00775B0D">
        <w:t>cynomolgus</w:t>
      </w:r>
      <w:proofErr w:type="spellEnd"/>
      <w:r w:rsidRPr="00775B0D">
        <w:t xml:space="preserve"> monkeys </w:t>
      </w:r>
      <w:r w:rsidR="00005977">
        <w:t>[</w:t>
      </w:r>
      <w:r w:rsidRPr="00775B0D">
        <w:t>2 weeks IV and 2, 13 and 52 weeks PO</w:t>
      </w:r>
      <w:r w:rsidR="00005977">
        <w:t>]</w:t>
      </w:r>
      <w:r w:rsidRPr="00775B0D">
        <w:t xml:space="preserve">). A 2 week PO study was also conducted in </w:t>
      </w:r>
      <w:proofErr w:type="spellStart"/>
      <w:r w:rsidRPr="00775B0D">
        <w:t>non</w:t>
      </w:r>
      <w:r w:rsidR="00005977">
        <w:t xml:space="preserve"> </w:t>
      </w:r>
      <w:r w:rsidRPr="00775B0D">
        <w:t>pregnant</w:t>
      </w:r>
      <w:proofErr w:type="spellEnd"/>
      <w:r w:rsidRPr="00775B0D">
        <w:t xml:space="preserve"> NZW rabbits. The majority of studies were conducted by the clinical (oral) route with daily dosing as in the clinical situation. Studies were well designed, of adequate duration and used adequate group sizes; appropriate parameters were investigated and all studies included both sexes (except a specific study in female rats). Recovery was investigated in both the 13</w:t>
      </w:r>
      <w:r w:rsidR="00005977">
        <w:t xml:space="preserve"> week (main and NOAEL) and 26 </w:t>
      </w:r>
      <w:r w:rsidRPr="00775B0D">
        <w:t>week rat studies and the 13</w:t>
      </w:r>
      <w:r w:rsidR="00005977">
        <w:t xml:space="preserve"> </w:t>
      </w:r>
      <w:r w:rsidRPr="00775B0D">
        <w:t>week monkey study. Doses used in the repeat</w:t>
      </w:r>
      <w:r w:rsidR="00005977">
        <w:t xml:space="preserve"> </w:t>
      </w:r>
      <w:r w:rsidRPr="00775B0D">
        <w:t>dose toxicity studies are considered adequate. In mice and rats, the HD chosen in the 2 week studies (1000 mg/kg/day PO in both species) was considered appropriate based on the results of the rat single dose study. There were no factors limiting the HD for the 13 week study in mice (and 500 mg/kg/day is considered appropriate), while in rats and dogs, doses were limited by reductions in body weight gain/body weight loss, particularly in males; the high doses chosen reflected this and are considered appropriate. High doses in the monkey studies were limited by clinical signs and, although they were acceptable, ERs achieved were low (&lt;1 in the 13</w:t>
      </w:r>
      <w:r w:rsidR="001B6B4F">
        <w:t xml:space="preserve"> and 52 </w:t>
      </w:r>
      <w:r w:rsidR="005F4F7E">
        <w:t>week studies).</w:t>
      </w:r>
    </w:p>
    <w:p w:rsidR="00775B0D" w:rsidRPr="00775B0D" w:rsidRDefault="001B6B4F" w:rsidP="005F4F7E">
      <w:r>
        <w:t xml:space="preserve">Additional lower dose 2 and 13 </w:t>
      </w:r>
      <w:r w:rsidR="00775B0D" w:rsidRPr="00775B0D">
        <w:t>week studies (the former in females only) were</w:t>
      </w:r>
      <w:r>
        <w:t xml:space="preserve"> conducted in rats, with the 13 </w:t>
      </w:r>
      <w:r w:rsidR="00775B0D" w:rsidRPr="00775B0D">
        <w:t>week NOAEL study providing useful information on the NOAEL for serum prolactin increases and mammary gland change</w:t>
      </w:r>
      <w:r>
        <w:t xml:space="preserve">s (both sexes). An additional 2 </w:t>
      </w:r>
      <w:r w:rsidR="00775B0D" w:rsidRPr="00775B0D">
        <w:t xml:space="preserve">week study in both sexes of </w:t>
      </w:r>
      <w:proofErr w:type="spellStart"/>
      <w:r w:rsidR="00775B0D" w:rsidRPr="00775B0D">
        <w:t>cynomolgus</w:t>
      </w:r>
      <w:proofErr w:type="spellEnd"/>
      <w:r w:rsidR="00775B0D" w:rsidRPr="00775B0D">
        <w:t xml:space="preserve"> monke</w:t>
      </w:r>
      <w:r>
        <w:t xml:space="preserve">ys was conducted as the first 2 </w:t>
      </w:r>
      <w:r w:rsidR="00775B0D" w:rsidRPr="00775B0D">
        <w:t xml:space="preserve">week study was done by </w:t>
      </w:r>
      <w:r w:rsidR="006321E0">
        <w:t>in one location</w:t>
      </w:r>
      <w:r>
        <w:t xml:space="preserve"> while the 13 and 52 </w:t>
      </w:r>
      <w:r w:rsidR="00775B0D" w:rsidRPr="00775B0D">
        <w:t xml:space="preserve">week studies were done </w:t>
      </w:r>
      <w:r w:rsidR="006321E0">
        <w:t>in a second location</w:t>
      </w:r>
      <w:r w:rsidR="00775B0D" w:rsidRPr="00775B0D">
        <w:t xml:space="preserve">; findings were broadly similar in both studies (although monkeys in the first study were more susceptible to effects </w:t>
      </w:r>
      <w:r>
        <w:t>on the mammary gland [see below]</w:t>
      </w:r>
      <w:r w:rsidR="00775B0D" w:rsidRPr="00775B0D">
        <w:t>) and both studies concluded that a HD of &lt;100 mg/kg/day PO should be used for the 13</w:t>
      </w:r>
      <w:r>
        <w:t xml:space="preserve"> </w:t>
      </w:r>
      <w:r w:rsidR="00775B0D" w:rsidRPr="00775B0D">
        <w:t>week study.</w:t>
      </w:r>
    </w:p>
    <w:p w:rsidR="00775B0D" w:rsidRPr="00775B0D" w:rsidRDefault="00775B0D" w:rsidP="005F4F7E">
      <w:r w:rsidRPr="00775B0D">
        <w:t>Overall, the compilation of repeat dose toxicity studies was consistent with the requirements outlined in relevant guidelines.</w:t>
      </w:r>
    </w:p>
    <w:p w:rsidR="00775B0D" w:rsidRPr="005F4F7E" w:rsidRDefault="00775B0D" w:rsidP="005F4F7E">
      <w:pPr>
        <w:pStyle w:val="Heading5"/>
      </w:pPr>
      <w:r w:rsidRPr="00152E65">
        <w:t>Relative exposure</w:t>
      </w:r>
    </w:p>
    <w:p w:rsidR="00775B0D" w:rsidRPr="00775B0D" w:rsidRDefault="00775B0D" w:rsidP="005F4F7E">
      <w:r w:rsidRPr="00775B0D">
        <w:t xml:space="preserve">ERs have been calculated based on </w:t>
      </w:r>
      <w:proofErr w:type="spellStart"/>
      <w:r w:rsidRPr="00775B0D">
        <w:t>animal</w:t>
      </w:r>
      <w:proofErr w:type="gramStart"/>
      <w:r w:rsidRPr="00775B0D">
        <w:t>:human</w:t>
      </w:r>
      <w:proofErr w:type="spellEnd"/>
      <w:proofErr w:type="gramEnd"/>
      <w:r w:rsidRPr="00775B0D">
        <w:t xml:space="preserve"> serum AUC values. Human reference values are mean values from Clinical Studies D1050160 and D1050217. ERs were acceptable</w:t>
      </w:r>
      <w:r w:rsidR="00A97235">
        <w:t>/</w:t>
      </w:r>
      <w:r w:rsidRPr="00775B0D">
        <w:t>high in mice, rats and dogs,</w:t>
      </w:r>
      <w:r w:rsidR="00A97235">
        <w:t xml:space="preserve"> but low in </w:t>
      </w:r>
      <w:proofErr w:type="spellStart"/>
      <w:r w:rsidR="00A97235">
        <w:t>cynomolgus</w:t>
      </w:r>
      <w:proofErr w:type="spellEnd"/>
      <w:r w:rsidR="00A97235">
        <w:t xml:space="preserve"> monkeys; </w:t>
      </w:r>
      <w:r w:rsidRPr="00775B0D">
        <w:t>a reflection of the dose</w:t>
      </w:r>
      <w:r w:rsidR="00A97235">
        <w:t xml:space="preserve"> </w:t>
      </w:r>
      <w:r w:rsidRPr="00775B0D">
        <w:t xml:space="preserve">limiting toxicity and the low oral bioavailability of lurasidone in monkeys </w:t>
      </w:r>
      <w:r w:rsidR="004B5B7D">
        <w:t>compared with the other species (Table</w:t>
      </w:r>
      <w:r w:rsidR="00563940">
        <w:t>s</w:t>
      </w:r>
      <w:r w:rsidR="004B5B7D">
        <w:t xml:space="preserve"> 8</w:t>
      </w:r>
      <w:r w:rsidR="00563940">
        <w:t>-13</w:t>
      </w:r>
      <w:r w:rsidR="004B5B7D">
        <w:t>).</w:t>
      </w:r>
    </w:p>
    <w:p w:rsidR="00DD167F" w:rsidRDefault="00DD167F" w:rsidP="00A70FB2">
      <w:pPr>
        <w:pStyle w:val="TableTitle"/>
      </w:pPr>
      <w:r>
        <w:lastRenderedPageBreak/>
        <w:t xml:space="preserve">Table </w:t>
      </w:r>
      <w:r w:rsidR="004B5B7D">
        <w:t>8</w:t>
      </w:r>
      <w:r>
        <w:t>:</w:t>
      </w:r>
      <w:r w:rsidRPr="004C5C28">
        <w:t xml:space="preserve"> </w:t>
      </w:r>
      <w:r w:rsidR="004B5B7D" w:rsidRPr="004B5B7D">
        <w:t>Relative exposure in repeat</w:t>
      </w:r>
      <w:r w:rsidR="00A97235">
        <w:t xml:space="preserve"> </w:t>
      </w:r>
      <w:r w:rsidR="004B5B7D" w:rsidRPr="004B5B7D">
        <w:t xml:space="preserve">dose toxicity and carcinogenicity studies in mice, rats and </w:t>
      </w:r>
      <w:proofErr w:type="spellStart"/>
      <w:r w:rsidR="004B5B7D" w:rsidRPr="004B5B7D">
        <w:t>cynomolgus</w:t>
      </w:r>
      <w:proofErr w:type="spellEnd"/>
      <w:r w:rsidR="004B5B7D" w:rsidRPr="004B5B7D">
        <w:t xml:space="preserve"> </w:t>
      </w:r>
      <w:r w:rsidR="004B5B7D" w:rsidRPr="00A70FB2">
        <w:t>monkeys</w:t>
      </w:r>
      <w:r>
        <w:t>.</w:t>
      </w:r>
    </w:p>
    <w:p w:rsidR="00C9747E" w:rsidRDefault="00C85C44" w:rsidP="00A70FB2">
      <w:r>
        <w:rPr>
          <w:noProof/>
          <w:lang w:eastAsia="en-AU"/>
        </w:rPr>
        <w:drawing>
          <wp:inline distT="0" distB="0" distL="0" distR="0" wp14:anchorId="4E1480C7" wp14:editId="039D2145">
            <wp:extent cx="5396865" cy="6131560"/>
            <wp:effectExtent l="0" t="0" r="0" b="2540"/>
            <wp:docPr id="10" name="Picture 10" descr="Table 8: Relative exposure in repeat dose toxicity and carcinogenicity studies in mice, rats and cynomolgus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Relative exposure in repeat dose toxicity and carcinogenicity studies in mice, rats and cynomolgus monke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865" cy="6131560"/>
                    </a:xfrm>
                    <a:prstGeom prst="rect">
                      <a:avLst/>
                    </a:prstGeom>
                    <a:noFill/>
                    <a:ln>
                      <a:noFill/>
                    </a:ln>
                  </pic:spPr>
                </pic:pic>
              </a:graphicData>
            </a:graphic>
          </wp:inline>
        </w:drawing>
      </w:r>
    </w:p>
    <w:p w:rsidR="008600A8" w:rsidRPr="00D848E0" w:rsidRDefault="008600A8" w:rsidP="00A70FB2">
      <w:pPr>
        <w:pStyle w:val="TableDescription"/>
      </w:pPr>
      <w:r>
        <w:t>* AUC</w:t>
      </w:r>
      <w:r w:rsidRPr="00C03C99">
        <w:rPr>
          <w:vertAlign w:val="subscript"/>
        </w:rPr>
        <w:t xml:space="preserve">0-t </w:t>
      </w:r>
      <w:r>
        <w:t>for the 2</w:t>
      </w:r>
      <w:r w:rsidR="00A97235">
        <w:t xml:space="preserve"> </w:t>
      </w:r>
      <w:r>
        <w:t xml:space="preserve">week </w:t>
      </w:r>
      <w:proofErr w:type="spellStart"/>
      <w:r>
        <w:t>toxicokinetic</w:t>
      </w:r>
      <w:proofErr w:type="spellEnd"/>
      <w:r>
        <w:t xml:space="preserve"> study; </w:t>
      </w:r>
      <w:r w:rsidRPr="00980BF4">
        <w:t>^ sampling week in parentheses;</w:t>
      </w:r>
      <w:r>
        <w:rPr>
          <w:vertAlign w:val="superscript"/>
        </w:rPr>
        <w:t xml:space="preserve"> </w:t>
      </w:r>
      <w:r w:rsidRPr="00D848E0">
        <w:rPr>
          <w:vertAlign w:val="superscript"/>
        </w:rPr>
        <w:t>#</w:t>
      </w:r>
      <w:r w:rsidRPr="00D848E0">
        <w:t xml:space="preserve"> = </w:t>
      </w:r>
      <w:proofErr w:type="spellStart"/>
      <w:r w:rsidRPr="00D848E0">
        <w:t>animal</w:t>
      </w:r>
      <w:proofErr w:type="gramStart"/>
      <w:r w:rsidRPr="00D848E0">
        <w:t>:human</w:t>
      </w:r>
      <w:proofErr w:type="spellEnd"/>
      <w:proofErr w:type="gramEnd"/>
      <w:r w:rsidRPr="00D848E0">
        <w:t xml:space="preserve"> plasma AUC</w:t>
      </w:r>
      <w:r w:rsidR="00A97235">
        <w:rPr>
          <w:vertAlign w:val="subscript"/>
        </w:rPr>
        <w:t>0-</w:t>
      </w:r>
      <w:r w:rsidRPr="00D848E0">
        <w:rPr>
          <w:vertAlign w:val="subscript"/>
        </w:rPr>
        <w:t>24h</w:t>
      </w:r>
    </w:p>
    <w:p w:rsidR="00AF3ECC" w:rsidRPr="00A70FB2" w:rsidRDefault="00AF3ECC" w:rsidP="00A70FB2">
      <w:pPr>
        <w:pStyle w:val="TableTitle"/>
      </w:pPr>
      <w:r>
        <w:lastRenderedPageBreak/>
        <w:t>Table 9:</w:t>
      </w:r>
      <w:r w:rsidRPr="004C5C28">
        <w:t xml:space="preserve"> </w:t>
      </w:r>
      <w:r w:rsidR="00DD070C" w:rsidRPr="00DD070C">
        <w:t>Relative exposure in repeat</w:t>
      </w:r>
      <w:r w:rsidR="00A97235">
        <w:t xml:space="preserve"> </w:t>
      </w:r>
      <w:r w:rsidR="00DD070C" w:rsidRPr="00DD070C">
        <w:t>dose toxicity studies in dogs</w:t>
      </w:r>
      <w:r>
        <w:t>.</w:t>
      </w:r>
    </w:p>
    <w:p w:rsidR="008600A8" w:rsidRDefault="00C85C44" w:rsidP="00A70FB2">
      <w:r>
        <w:rPr>
          <w:noProof/>
          <w:lang w:eastAsia="en-AU"/>
        </w:rPr>
        <w:drawing>
          <wp:inline distT="0" distB="0" distL="0" distR="0" wp14:anchorId="7A540D1E" wp14:editId="05884059">
            <wp:extent cx="4981575" cy="2260600"/>
            <wp:effectExtent l="0" t="0" r="9525" b="6350"/>
            <wp:docPr id="11" name="Picture 11" descr="Table 9: Relative exposure in repeat dose toxicity studies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Relative exposure in repeat dose toxicity studies in do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260600"/>
                    </a:xfrm>
                    <a:prstGeom prst="rect">
                      <a:avLst/>
                    </a:prstGeom>
                    <a:noFill/>
                    <a:ln>
                      <a:noFill/>
                    </a:ln>
                  </pic:spPr>
                </pic:pic>
              </a:graphicData>
            </a:graphic>
          </wp:inline>
        </w:drawing>
      </w:r>
    </w:p>
    <w:p w:rsidR="00DD070C" w:rsidRPr="003F1F03" w:rsidRDefault="00DD070C" w:rsidP="00A70FB2">
      <w:pPr>
        <w:pStyle w:val="TableDescription"/>
      </w:pPr>
      <w:r w:rsidRPr="003F1F03">
        <w:t>^ AUC</w:t>
      </w:r>
      <w:r w:rsidR="00A97235">
        <w:rPr>
          <w:vertAlign w:val="subscript"/>
        </w:rPr>
        <w:t>0-24</w:t>
      </w:r>
      <w:r w:rsidRPr="003F1F03">
        <w:rPr>
          <w:vertAlign w:val="subscript"/>
        </w:rPr>
        <w:t>h</w:t>
      </w:r>
      <w:r w:rsidRPr="003F1F03">
        <w:t xml:space="preserve">; </w:t>
      </w:r>
      <w:r w:rsidRPr="003F1F03">
        <w:rPr>
          <w:position w:val="-2"/>
          <w:vertAlign w:val="superscript"/>
        </w:rPr>
        <w:t>#</w:t>
      </w:r>
      <w:r w:rsidRPr="003F1F03">
        <w:t xml:space="preserve"> = </w:t>
      </w:r>
      <w:proofErr w:type="spellStart"/>
      <w:r w:rsidRPr="003F1F03">
        <w:t>animal</w:t>
      </w:r>
      <w:proofErr w:type="gramStart"/>
      <w:r w:rsidRPr="003F1F03">
        <w:t>:human</w:t>
      </w:r>
      <w:proofErr w:type="spellEnd"/>
      <w:proofErr w:type="gramEnd"/>
      <w:r w:rsidRPr="003F1F03">
        <w:t xml:space="preserve"> plasma AUC</w:t>
      </w:r>
    </w:p>
    <w:p w:rsidR="00AF3ECC" w:rsidRPr="00A70FB2" w:rsidRDefault="00AF3ECC" w:rsidP="00A70FB2">
      <w:pPr>
        <w:pStyle w:val="TableTitle"/>
      </w:pPr>
      <w:r>
        <w:t>Table 10:</w:t>
      </w:r>
      <w:r w:rsidRPr="004C5C28">
        <w:t xml:space="preserve"> </w:t>
      </w:r>
      <w:r w:rsidR="00DD070C" w:rsidRPr="00DD070C">
        <w:t>Relative exposure to metabolite ID-14283 in repeat</w:t>
      </w:r>
      <w:r w:rsidR="00A97235">
        <w:t xml:space="preserve"> </w:t>
      </w:r>
      <w:r w:rsidR="00DD070C" w:rsidRPr="00DD070C">
        <w:t xml:space="preserve">dose toxicity studies in dogs and </w:t>
      </w:r>
      <w:proofErr w:type="spellStart"/>
      <w:r w:rsidR="00DD070C" w:rsidRPr="00DD070C">
        <w:t>cynomolgus</w:t>
      </w:r>
      <w:proofErr w:type="spellEnd"/>
      <w:r w:rsidR="00DD070C" w:rsidRPr="00DD070C">
        <w:t xml:space="preserve"> monkeys</w:t>
      </w:r>
      <w:r>
        <w:t>.</w:t>
      </w:r>
    </w:p>
    <w:p w:rsidR="00AF3ECC" w:rsidRDefault="00C85C44" w:rsidP="00A70FB2">
      <w:r>
        <w:rPr>
          <w:noProof/>
          <w:lang w:eastAsia="en-AU"/>
        </w:rPr>
        <w:drawing>
          <wp:inline distT="0" distB="0" distL="0" distR="0" wp14:anchorId="4D8A2B70" wp14:editId="48B13ED4">
            <wp:extent cx="4947920" cy="1609725"/>
            <wp:effectExtent l="0" t="0" r="5080" b="9525"/>
            <wp:docPr id="12" name="Picture 12" descr="Table 10: Relative exposure to metabolite ID-14283 in repeat dose toxicity studies in dogs and cynomolgus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Relative exposure to metabolite ID-14283 in repeat dose toxicity studies in dogs and cynomolgus monkey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7920" cy="1609725"/>
                    </a:xfrm>
                    <a:prstGeom prst="rect">
                      <a:avLst/>
                    </a:prstGeom>
                    <a:noFill/>
                    <a:ln>
                      <a:noFill/>
                    </a:ln>
                  </pic:spPr>
                </pic:pic>
              </a:graphicData>
            </a:graphic>
          </wp:inline>
        </w:drawing>
      </w:r>
    </w:p>
    <w:p w:rsidR="00DD070C" w:rsidRPr="003F1F03" w:rsidRDefault="00A97235" w:rsidP="00A70FB2">
      <w:pPr>
        <w:pStyle w:val="TableDescription"/>
        <w:rPr>
          <w:sz w:val="20"/>
          <w:szCs w:val="20"/>
        </w:rPr>
      </w:pPr>
      <w:r>
        <w:t xml:space="preserve">* </w:t>
      </w:r>
      <w:proofErr w:type="gramStart"/>
      <w:r>
        <w:t>dog</w:t>
      </w:r>
      <w:proofErr w:type="gramEnd"/>
      <w:r>
        <w:t xml:space="preserve">; ^ </w:t>
      </w:r>
      <w:proofErr w:type="spellStart"/>
      <w:r w:rsidR="00DD070C" w:rsidRPr="00C03C99">
        <w:t>cynomolgus</w:t>
      </w:r>
      <w:proofErr w:type="spellEnd"/>
      <w:r w:rsidR="00DD070C" w:rsidRPr="00C03C99">
        <w:t xml:space="preserve"> monkey</w:t>
      </w:r>
      <w:r w:rsidR="00DD070C">
        <w:t xml:space="preserve"> and human</w:t>
      </w:r>
      <w:r w:rsidR="00DD070C" w:rsidRPr="00C03C99">
        <w:t>;</w:t>
      </w:r>
      <w:r w:rsidR="00DD070C">
        <w:t xml:space="preserve"> </w:t>
      </w:r>
      <w:r w:rsidR="00DD070C" w:rsidRPr="00C03C99">
        <w:rPr>
          <w:vertAlign w:val="superscript"/>
        </w:rPr>
        <w:t>#</w:t>
      </w:r>
      <w:r w:rsidR="00DD070C">
        <w:t xml:space="preserve"> = animal: human plasma AUC</w:t>
      </w:r>
    </w:p>
    <w:p w:rsidR="00AF3ECC" w:rsidRDefault="00AF3ECC" w:rsidP="00A70FB2">
      <w:pPr>
        <w:pStyle w:val="TableTitle"/>
      </w:pPr>
      <w:r>
        <w:t>Table 11:</w:t>
      </w:r>
      <w:r w:rsidRPr="004C5C28">
        <w:t xml:space="preserve"> </w:t>
      </w:r>
      <w:r w:rsidR="00DD070C" w:rsidRPr="00DD070C">
        <w:t>Relative exposure to metabolite ID-14326 in repeat</w:t>
      </w:r>
      <w:r w:rsidR="00A97235">
        <w:t xml:space="preserve"> </w:t>
      </w:r>
      <w:r w:rsidR="00DD070C" w:rsidRPr="00DD070C">
        <w:t xml:space="preserve">dose </w:t>
      </w:r>
      <w:r w:rsidR="00DD070C" w:rsidRPr="00A70FB2">
        <w:t>toxicity</w:t>
      </w:r>
      <w:r w:rsidR="00DD070C" w:rsidRPr="00DD070C">
        <w:t xml:space="preserve"> studies in dogs</w:t>
      </w:r>
      <w:r>
        <w:t>.</w:t>
      </w:r>
    </w:p>
    <w:p w:rsidR="00AF3ECC" w:rsidRDefault="00C85C44" w:rsidP="00A70FB2">
      <w:r>
        <w:rPr>
          <w:noProof/>
          <w:lang w:eastAsia="en-AU"/>
        </w:rPr>
        <w:drawing>
          <wp:inline distT="0" distB="0" distL="0" distR="0" wp14:anchorId="53FE245E" wp14:editId="57C61C30">
            <wp:extent cx="4947920" cy="1211580"/>
            <wp:effectExtent l="0" t="0" r="5080" b="7620"/>
            <wp:docPr id="13" name="Picture 13" descr="Table 11: Relative exposure to metabolite ID-14326 in repeat dose toxicity studies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Relative exposure to metabolite ID-14326 in repeat dose toxicity studies in do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7920" cy="1211580"/>
                    </a:xfrm>
                    <a:prstGeom prst="rect">
                      <a:avLst/>
                    </a:prstGeom>
                    <a:noFill/>
                    <a:ln>
                      <a:noFill/>
                    </a:ln>
                  </pic:spPr>
                </pic:pic>
              </a:graphicData>
            </a:graphic>
          </wp:inline>
        </w:drawing>
      </w:r>
    </w:p>
    <w:p w:rsidR="00DD070C" w:rsidRPr="003F1F03" w:rsidRDefault="00DD070C" w:rsidP="00A70FB2">
      <w:pPr>
        <w:pStyle w:val="TableDescription"/>
      </w:pPr>
      <w:r w:rsidRPr="003F1F03">
        <w:t>^ AUC</w:t>
      </w:r>
      <w:r w:rsidR="00A97235">
        <w:rPr>
          <w:vertAlign w:val="subscript"/>
        </w:rPr>
        <w:t>0-24</w:t>
      </w:r>
      <w:r w:rsidRPr="003F1F03">
        <w:rPr>
          <w:vertAlign w:val="subscript"/>
        </w:rPr>
        <w:t>h</w:t>
      </w:r>
      <w:r w:rsidRPr="003F1F03">
        <w:t xml:space="preserve">; </w:t>
      </w:r>
      <w:r w:rsidRPr="003F1F03">
        <w:rPr>
          <w:position w:val="-2"/>
          <w:vertAlign w:val="superscript"/>
        </w:rPr>
        <w:t>#</w:t>
      </w:r>
      <w:r w:rsidRPr="003F1F03">
        <w:t xml:space="preserve"> = </w:t>
      </w:r>
      <w:proofErr w:type="spellStart"/>
      <w:r w:rsidRPr="003F1F03">
        <w:t>animal</w:t>
      </w:r>
      <w:proofErr w:type="gramStart"/>
      <w:r w:rsidRPr="003F1F03">
        <w:t>:human</w:t>
      </w:r>
      <w:proofErr w:type="spellEnd"/>
      <w:proofErr w:type="gramEnd"/>
      <w:r w:rsidRPr="003F1F03">
        <w:t xml:space="preserve"> plasma AUC</w:t>
      </w:r>
    </w:p>
    <w:p w:rsidR="00563940" w:rsidRDefault="00563940" w:rsidP="00A70FB2">
      <w:pPr>
        <w:pStyle w:val="TableTitle"/>
      </w:pPr>
      <w:proofErr w:type="gramStart"/>
      <w:r>
        <w:lastRenderedPageBreak/>
        <w:t>Table 12:</w:t>
      </w:r>
      <w:r w:rsidRPr="004C5C28">
        <w:t xml:space="preserve"> </w:t>
      </w:r>
      <w:r w:rsidR="00DD070C" w:rsidRPr="00DD070C">
        <w:t xml:space="preserve">Relative exposure to metabolite ID-14283 </w:t>
      </w:r>
      <w:r w:rsidR="00DD070C" w:rsidRPr="00A70FB2">
        <w:t>in</w:t>
      </w:r>
      <w:r w:rsidR="00DD070C" w:rsidRPr="00DD070C">
        <w:t xml:space="preserve"> single</w:t>
      </w:r>
      <w:r w:rsidR="00A97235">
        <w:t xml:space="preserve"> </w:t>
      </w:r>
      <w:r w:rsidR="00DD070C" w:rsidRPr="00DD070C">
        <w:t xml:space="preserve">dose </w:t>
      </w:r>
      <w:r w:rsidR="00A97235">
        <w:t>PK</w:t>
      </w:r>
      <w:r w:rsidR="00DD070C" w:rsidRPr="00DD070C">
        <w:t xml:space="preserve"> studies in rats</w:t>
      </w:r>
      <w:r>
        <w:t>.</w:t>
      </w:r>
      <w:proofErr w:type="gramEnd"/>
    </w:p>
    <w:p w:rsidR="00563940" w:rsidRDefault="00C85C44" w:rsidP="00A70FB2">
      <w:r>
        <w:rPr>
          <w:noProof/>
          <w:lang w:eastAsia="en-AU"/>
        </w:rPr>
        <w:drawing>
          <wp:inline distT="0" distB="0" distL="0" distR="0" wp14:anchorId="7EBC869A" wp14:editId="2184BFAD">
            <wp:extent cx="4975860" cy="2355850"/>
            <wp:effectExtent l="0" t="0" r="0" b="6350"/>
            <wp:docPr id="14" name="Picture 14" descr="Table 12: Relative exposure to metabolite ID-14283 in single dose PK studies in 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Relative exposure to metabolite ID-14283 in single dose PK studies in ra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5860" cy="2355850"/>
                    </a:xfrm>
                    <a:prstGeom prst="rect">
                      <a:avLst/>
                    </a:prstGeom>
                    <a:noFill/>
                    <a:ln>
                      <a:noFill/>
                    </a:ln>
                  </pic:spPr>
                </pic:pic>
              </a:graphicData>
            </a:graphic>
          </wp:inline>
        </w:drawing>
      </w:r>
    </w:p>
    <w:p w:rsidR="00DD070C" w:rsidRPr="00C03C99" w:rsidRDefault="00DD070C" w:rsidP="00A70FB2">
      <w:pPr>
        <w:pStyle w:val="TableDescription"/>
      </w:pPr>
      <w:r>
        <w:t xml:space="preserve">* </w:t>
      </w:r>
      <w:proofErr w:type="gramStart"/>
      <w:r>
        <w:t>the</w:t>
      </w:r>
      <w:proofErr w:type="gramEnd"/>
      <w:r>
        <w:t xml:space="preserve"> period of measurement varied between studies; </w:t>
      </w:r>
      <w:r w:rsidRPr="003F1F03">
        <w:rPr>
          <w:position w:val="-2"/>
          <w:vertAlign w:val="superscript"/>
        </w:rPr>
        <w:t>#</w:t>
      </w:r>
      <w:r w:rsidRPr="003F1F03">
        <w:t xml:space="preserve"> = </w:t>
      </w:r>
      <w:proofErr w:type="spellStart"/>
      <w:r w:rsidRPr="003F1F03">
        <w:t>animal:human</w:t>
      </w:r>
      <w:proofErr w:type="spellEnd"/>
      <w:r w:rsidRPr="003F1F03">
        <w:t xml:space="preserve"> plasma AUC</w:t>
      </w:r>
      <w:r w:rsidRPr="003F1F03">
        <w:rPr>
          <w:vertAlign w:val="subscript"/>
        </w:rPr>
        <w:t>0–24</w:t>
      </w:r>
      <w:r w:rsidRPr="003F1F03">
        <w:rPr>
          <w:w w:val="50"/>
          <w:vertAlign w:val="subscript"/>
        </w:rPr>
        <w:t> </w:t>
      </w:r>
      <w:r w:rsidRPr="003F1F03">
        <w:rPr>
          <w:vertAlign w:val="subscript"/>
        </w:rPr>
        <w:t>h</w:t>
      </w:r>
    </w:p>
    <w:p w:rsidR="00563940" w:rsidRPr="00A70FB2" w:rsidRDefault="00563940" w:rsidP="00A70FB2">
      <w:pPr>
        <w:pStyle w:val="TableTitle"/>
      </w:pPr>
      <w:proofErr w:type="gramStart"/>
      <w:r>
        <w:t>Table 13:</w:t>
      </w:r>
      <w:r w:rsidRPr="004C5C28">
        <w:t xml:space="preserve"> </w:t>
      </w:r>
      <w:r w:rsidR="00DD070C" w:rsidRPr="00DD070C">
        <w:t>Relative exposure to metabolite ID-14326 in single</w:t>
      </w:r>
      <w:r w:rsidR="00A97235">
        <w:t xml:space="preserve"> </w:t>
      </w:r>
      <w:r w:rsidR="00DD070C" w:rsidRPr="00DD070C">
        <w:t xml:space="preserve">dose </w:t>
      </w:r>
      <w:r w:rsidR="00A97235">
        <w:t xml:space="preserve">PK </w:t>
      </w:r>
      <w:r w:rsidR="00DD070C" w:rsidRPr="00DD070C">
        <w:t>studies in rats</w:t>
      </w:r>
      <w:r>
        <w:t>.</w:t>
      </w:r>
      <w:proofErr w:type="gramEnd"/>
    </w:p>
    <w:p w:rsidR="00563940" w:rsidRDefault="00C85C44" w:rsidP="00A70FB2">
      <w:r>
        <w:rPr>
          <w:noProof/>
          <w:lang w:eastAsia="en-AU"/>
        </w:rPr>
        <w:drawing>
          <wp:inline distT="0" distB="0" distL="0" distR="0" wp14:anchorId="69DBB8E2" wp14:editId="2D50A5BF">
            <wp:extent cx="5015230" cy="1335405"/>
            <wp:effectExtent l="0" t="0" r="0" b="0"/>
            <wp:docPr id="15" name="Picture 15" descr="Table 13: Relative exposure to metabolite ID-14326 in single dose PK studies in 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Relative exposure to metabolite ID-14326 in single dose PK studies in ra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5230" cy="1335405"/>
                    </a:xfrm>
                    <a:prstGeom prst="rect">
                      <a:avLst/>
                    </a:prstGeom>
                    <a:noFill/>
                    <a:ln>
                      <a:noFill/>
                    </a:ln>
                  </pic:spPr>
                </pic:pic>
              </a:graphicData>
            </a:graphic>
          </wp:inline>
        </w:drawing>
      </w:r>
    </w:p>
    <w:p w:rsidR="00DD070C" w:rsidRPr="003F1F03" w:rsidRDefault="00DD070C" w:rsidP="00A70FB2">
      <w:pPr>
        <w:pStyle w:val="TableDescription"/>
      </w:pPr>
      <w:r>
        <w:t xml:space="preserve">* </w:t>
      </w:r>
      <w:proofErr w:type="gramStart"/>
      <w:r>
        <w:t>the</w:t>
      </w:r>
      <w:proofErr w:type="gramEnd"/>
      <w:r>
        <w:t xml:space="preserve"> period of measurement varied between studies; </w:t>
      </w:r>
      <w:r w:rsidRPr="003F1F03">
        <w:rPr>
          <w:position w:val="-2"/>
          <w:vertAlign w:val="superscript"/>
        </w:rPr>
        <w:t>#</w:t>
      </w:r>
      <w:r w:rsidRPr="003F1F03">
        <w:t xml:space="preserve"> = </w:t>
      </w:r>
      <w:proofErr w:type="spellStart"/>
      <w:r w:rsidRPr="003F1F03">
        <w:t>animal:human</w:t>
      </w:r>
      <w:proofErr w:type="spellEnd"/>
      <w:r w:rsidRPr="003F1F03">
        <w:t xml:space="preserve"> plasma AUC</w:t>
      </w:r>
    </w:p>
    <w:p w:rsidR="00A70FB2" w:rsidRDefault="00DD070C" w:rsidP="00A70FB2">
      <w:r w:rsidRPr="00DD070C">
        <w:t>ERs achieved for active metabolite ID-14283 were very low at the HD in the 39</w:t>
      </w:r>
      <w:r w:rsidR="001E59A4">
        <w:t xml:space="preserve"> </w:t>
      </w:r>
      <w:r w:rsidRPr="00DD070C">
        <w:t>week dog study and low at the HD in the 52</w:t>
      </w:r>
      <w:r w:rsidR="001E59A4">
        <w:t xml:space="preserve"> week monkey study; </w:t>
      </w:r>
      <w:r w:rsidRPr="00DD070C">
        <w:t xml:space="preserve">however, extrapolation of </w:t>
      </w:r>
      <w:r w:rsidR="001E59A4">
        <w:t>PK</w:t>
      </w:r>
      <w:r w:rsidRPr="00DD070C">
        <w:t xml:space="preserve"> data for rats suggested that ERs achieved for ID-14283 would have been quite adequate in the 26-week rat study at the HD (100 mg/kg/day). ERs achieved for active metabolite ID-14326 were low at the HD in the 39</w:t>
      </w:r>
      <w:r w:rsidR="001E59A4">
        <w:t xml:space="preserve"> </w:t>
      </w:r>
      <w:r w:rsidRPr="00DD070C">
        <w:t>week dog study, and there were not data for this metabolite for the 52</w:t>
      </w:r>
      <w:r w:rsidR="001E59A4">
        <w:t xml:space="preserve"> </w:t>
      </w:r>
      <w:r w:rsidRPr="00DD070C">
        <w:t xml:space="preserve">week monkey study; however, extrapolation of </w:t>
      </w:r>
      <w:r w:rsidR="001E59A4">
        <w:t xml:space="preserve">PK </w:t>
      </w:r>
      <w:r w:rsidRPr="00DD070C">
        <w:t xml:space="preserve">data for rats suggested that ERs achieved for ID-14326 would have been quite adequate at </w:t>
      </w:r>
      <w:r w:rsidR="00BD5F52">
        <w:t>the HD in the 26</w:t>
      </w:r>
      <w:r w:rsidR="001E59A4">
        <w:t xml:space="preserve"> </w:t>
      </w:r>
      <w:r w:rsidR="00BD5F52">
        <w:t>week rat study (Table 14</w:t>
      </w:r>
      <w:r w:rsidR="00CE7880">
        <w:t>-15</w:t>
      </w:r>
      <w:r w:rsidR="00BD5F52">
        <w:t>).</w:t>
      </w:r>
    </w:p>
    <w:p w:rsidR="00CE7880" w:rsidRDefault="00CE7880" w:rsidP="00A70FB2">
      <w:pPr>
        <w:pStyle w:val="TableTitle"/>
      </w:pPr>
      <w:r>
        <w:lastRenderedPageBreak/>
        <w:t>Table 14:</w:t>
      </w:r>
      <w:r w:rsidRPr="004C5C28">
        <w:t xml:space="preserve"> </w:t>
      </w:r>
      <w:r w:rsidR="001C4AEA" w:rsidRPr="001C4AEA">
        <w:t>Relative exposure to metabolite ID-20219 in repeat</w:t>
      </w:r>
      <w:r w:rsidR="001E59A4">
        <w:t xml:space="preserve"> </w:t>
      </w:r>
      <w:r w:rsidR="001C4AEA" w:rsidRPr="001C4AEA">
        <w:t xml:space="preserve">dose </w:t>
      </w:r>
      <w:proofErr w:type="spellStart"/>
      <w:r w:rsidR="001C4AEA" w:rsidRPr="001C4AEA">
        <w:t>toxicokinetic</w:t>
      </w:r>
      <w:proofErr w:type="spellEnd"/>
      <w:r w:rsidR="001C4AEA" w:rsidRPr="001C4AEA">
        <w:t xml:space="preserve"> studies in rats, dogs and </w:t>
      </w:r>
      <w:proofErr w:type="spellStart"/>
      <w:r w:rsidR="001C4AEA" w:rsidRPr="001C4AEA">
        <w:t>cynomolgus</w:t>
      </w:r>
      <w:proofErr w:type="spellEnd"/>
      <w:r w:rsidR="001C4AEA" w:rsidRPr="001C4AEA">
        <w:t xml:space="preserve"> monkeys</w:t>
      </w:r>
      <w:r>
        <w:t>.</w:t>
      </w:r>
    </w:p>
    <w:p w:rsidR="00CE7880" w:rsidRDefault="00C85C44" w:rsidP="00A70FB2">
      <w:pPr>
        <w:keepNext/>
      </w:pPr>
      <w:r>
        <w:rPr>
          <w:noProof/>
          <w:lang w:eastAsia="en-AU"/>
        </w:rPr>
        <w:drawing>
          <wp:inline distT="0" distB="0" distL="0" distR="0" wp14:anchorId="3CB68BFE" wp14:editId="422559FA">
            <wp:extent cx="4975860" cy="2232660"/>
            <wp:effectExtent l="0" t="0" r="0" b="0"/>
            <wp:docPr id="16" name="Picture 16" descr="Table 14: Relative exposure to metabolite ID-20219 in repeat dose toxicokinetic studies in rats, dogs and cynomolgus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Relative exposure to metabolite ID-20219 in repeat dose toxicokinetic studies in rats, dogs and cynomolgus monkey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5860" cy="2232660"/>
                    </a:xfrm>
                    <a:prstGeom prst="rect">
                      <a:avLst/>
                    </a:prstGeom>
                    <a:noFill/>
                    <a:ln>
                      <a:noFill/>
                    </a:ln>
                  </pic:spPr>
                </pic:pic>
              </a:graphicData>
            </a:graphic>
          </wp:inline>
        </w:drawing>
      </w:r>
    </w:p>
    <w:p w:rsidR="00D04EE6" w:rsidRPr="00865988" w:rsidRDefault="00D04EE6" w:rsidP="00A70FB2">
      <w:pPr>
        <w:pStyle w:val="TableDescription"/>
      </w:pPr>
      <w:r w:rsidRPr="00865988">
        <w:rPr>
          <w:position w:val="-2"/>
          <w:vertAlign w:val="superscript"/>
        </w:rPr>
        <w:t>#</w:t>
      </w:r>
      <w:r w:rsidRPr="00865988">
        <w:t xml:space="preserve"> = </w:t>
      </w:r>
      <w:proofErr w:type="spellStart"/>
      <w:r w:rsidRPr="00865988">
        <w:t>animal</w:t>
      </w:r>
      <w:proofErr w:type="gramStart"/>
      <w:r w:rsidRPr="00865988">
        <w:t>:human</w:t>
      </w:r>
      <w:proofErr w:type="spellEnd"/>
      <w:proofErr w:type="gramEnd"/>
      <w:r w:rsidRPr="00865988">
        <w:t xml:space="preserve"> plasma AUC</w:t>
      </w:r>
      <w:r w:rsidRPr="00865988">
        <w:rPr>
          <w:vertAlign w:val="subscript"/>
        </w:rPr>
        <w:t>0–24h</w:t>
      </w:r>
      <w:r>
        <w:t>;</w:t>
      </w:r>
      <w:r w:rsidR="00431E88">
        <w:t xml:space="preserve"> </w:t>
      </w:r>
      <w:r>
        <w:t xml:space="preserve">^ </w:t>
      </w:r>
      <w:r w:rsidRPr="00865988">
        <w:t>the human value was extrapolated to a dose of 160 mg</w:t>
      </w:r>
      <w:r>
        <w:t>,</w:t>
      </w:r>
      <w:r w:rsidRPr="00865988">
        <w:t xml:space="preserve"> assuming linearity; * adjusted to a dose of 500 mg/kg/day;</w:t>
      </w:r>
      <w:r w:rsidR="00431E88">
        <w:t xml:space="preserve"> </w:t>
      </w:r>
      <w:r w:rsidRPr="00865988">
        <w:rPr>
          <w:kern w:val="2"/>
          <w:vertAlign w:val="superscript"/>
        </w:rPr>
        <w:t>&amp;</w:t>
      </w:r>
      <w:r w:rsidRPr="00865988">
        <w:rPr>
          <w:kern w:val="2"/>
        </w:rPr>
        <w:t xml:space="preserve"> sourced from </w:t>
      </w:r>
      <w:r>
        <w:rPr>
          <w:kern w:val="2"/>
        </w:rPr>
        <w:t>Pharmacokinetics Written Summary.</w:t>
      </w:r>
    </w:p>
    <w:p w:rsidR="00CE7880" w:rsidRDefault="00CE7880" w:rsidP="00A70FB2">
      <w:pPr>
        <w:pStyle w:val="TableTitle"/>
      </w:pPr>
      <w:r>
        <w:t>Table 15:</w:t>
      </w:r>
      <w:r w:rsidRPr="004C5C28">
        <w:t xml:space="preserve"> </w:t>
      </w:r>
      <w:r w:rsidR="001C4AEA" w:rsidRPr="001C4AEA">
        <w:t>Relative exposure to metabolite ID-20220 in repeat</w:t>
      </w:r>
      <w:r w:rsidR="001E59A4">
        <w:t xml:space="preserve"> </w:t>
      </w:r>
      <w:r w:rsidR="001C4AEA" w:rsidRPr="001C4AEA">
        <w:t xml:space="preserve">dose </w:t>
      </w:r>
      <w:proofErr w:type="spellStart"/>
      <w:r w:rsidR="001C4AEA" w:rsidRPr="00A70FB2">
        <w:t>toxicokinetic</w:t>
      </w:r>
      <w:proofErr w:type="spellEnd"/>
      <w:r w:rsidR="001C4AEA" w:rsidRPr="001C4AEA">
        <w:t xml:space="preserve"> studies in rats, dogs and </w:t>
      </w:r>
      <w:proofErr w:type="spellStart"/>
      <w:r w:rsidR="001C4AEA" w:rsidRPr="001C4AEA">
        <w:t>cynomolgus</w:t>
      </w:r>
      <w:proofErr w:type="spellEnd"/>
      <w:r w:rsidR="001C4AEA" w:rsidRPr="001C4AEA">
        <w:t xml:space="preserve"> monkeys</w:t>
      </w:r>
      <w:r>
        <w:t>.</w:t>
      </w:r>
    </w:p>
    <w:p w:rsidR="00D04EE6" w:rsidRDefault="00C85C44" w:rsidP="00A70FB2">
      <w:pPr>
        <w:rPr>
          <w:vertAlign w:val="superscript"/>
        </w:rPr>
      </w:pPr>
      <w:r>
        <w:rPr>
          <w:noProof/>
          <w:vertAlign w:val="superscript"/>
          <w:lang w:eastAsia="en-AU"/>
        </w:rPr>
        <w:drawing>
          <wp:inline distT="0" distB="0" distL="0" distR="0" wp14:anchorId="3568E454" wp14:editId="140C3FB6">
            <wp:extent cx="5396865" cy="2418080"/>
            <wp:effectExtent l="0" t="0" r="0" b="1270"/>
            <wp:docPr id="17" name="Picture 17" descr="Table 15: Relative exposure to metabolite ID-20220 in repeat dose toxicokinetic studies in rats, dogs and cynomolgus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5: Relative exposure to metabolite ID-20220 in repeat dose toxicokinetic studies in rats, dogs and cynomolgus monkey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865" cy="2418080"/>
                    </a:xfrm>
                    <a:prstGeom prst="rect">
                      <a:avLst/>
                    </a:prstGeom>
                    <a:noFill/>
                    <a:ln>
                      <a:noFill/>
                    </a:ln>
                  </pic:spPr>
                </pic:pic>
              </a:graphicData>
            </a:graphic>
          </wp:inline>
        </w:drawing>
      </w:r>
    </w:p>
    <w:p w:rsidR="00D04EE6" w:rsidRPr="00865988" w:rsidRDefault="00D04EE6" w:rsidP="00A70FB2">
      <w:pPr>
        <w:pStyle w:val="TableDescription"/>
      </w:pPr>
      <w:r w:rsidRPr="003F1F03">
        <w:rPr>
          <w:position w:val="-2"/>
          <w:vertAlign w:val="superscript"/>
        </w:rPr>
        <w:t>#</w:t>
      </w:r>
      <w:r w:rsidRPr="003F1F03">
        <w:t xml:space="preserve"> = </w:t>
      </w:r>
      <w:proofErr w:type="spellStart"/>
      <w:r w:rsidRPr="003F1F03">
        <w:t>animal</w:t>
      </w:r>
      <w:proofErr w:type="gramStart"/>
      <w:r w:rsidRPr="003F1F03">
        <w:t>:human</w:t>
      </w:r>
      <w:proofErr w:type="spellEnd"/>
      <w:proofErr w:type="gramEnd"/>
      <w:r w:rsidRPr="003F1F03">
        <w:t xml:space="preserve"> plasma AUC</w:t>
      </w:r>
      <w:r w:rsidR="001E59A4">
        <w:rPr>
          <w:vertAlign w:val="subscript"/>
        </w:rPr>
        <w:t>0-</w:t>
      </w:r>
      <w:r w:rsidRPr="003F1F03">
        <w:rPr>
          <w:vertAlign w:val="subscript"/>
        </w:rPr>
        <w:t>24h</w:t>
      </w:r>
      <w:r>
        <w:t>;</w:t>
      </w:r>
      <w:r w:rsidR="00431E88">
        <w:t xml:space="preserve"> </w:t>
      </w:r>
      <w:r>
        <w:t xml:space="preserve">^ the human value was extrapolated to a dose of 160 mg, assuming linearity; * adjusted </w:t>
      </w:r>
      <w:r w:rsidRPr="000104D6">
        <w:t>to a dose of 500 mg/kg/day</w:t>
      </w:r>
      <w:r>
        <w:t>;</w:t>
      </w:r>
      <w:r w:rsidR="00431E88">
        <w:t xml:space="preserve"> </w:t>
      </w:r>
      <w:r w:rsidRPr="00865988">
        <w:rPr>
          <w:kern w:val="2"/>
          <w:vertAlign w:val="superscript"/>
        </w:rPr>
        <w:t>&amp;</w:t>
      </w:r>
      <w:r w:rsidRPr="00865988">
        <w:rPr>
          <w:kern w:val="2"/>
        </w:rPr>
        <w:t xml:space="preserve"> sourced from </w:t>
      </w:r>
      <w:r>
        <w:rPr>
          <w:kern w:val="2"/>
        </w:rPr>
        <w:t>Pharmacokinetics Written Summary.</w:t>
      </w:r>
    </w:p>
    <w:p w:rsidR="00EC6F44" w:rsidRPr="00EC6F44" w:rsidRDefault="00EC6F44" w:rsidP="00A70FB2">
      <w:r w:rsidRPr="00EC6F44">
        <w:t xml:space="preserve">The doses in the above table from the </w:t>
      </w:r>
      <w:proofErr w:type="spellStart"/>
      <w:r w:rsidRPr="00EC6F44">
        <w:t>toxicokinetic</w:t>
      </w:r>
      <w:proofErr w:type="spellEnd"/>
      <w:r w:rsidRPr="00EC6F44">
        <w:t xml:space="preserve"> studies correspond to the HD in the 26</w:t>
      </w:r>
      <w:r w:rsidR="001E59A4">
        <w:t xml:space="preserve"> </w:t>
      </w:r>
      <w:r w:rsidRPr="00EC6F44">
        <w:t>week rat study (100 mg/kg/day) and 39</w:t>
      </w:r>
      <w:r w:rsidR="001E59A4">
        <w:t xml:space="preserve"> </w:t>
      </w:r>
      <w:r w:rsidRPr="00EC6F44">
        <w:t>week dog study (200 mg/kg/day) but the ratios in the above table were adjusted down for mice in which the HD the 13</w:t>
      </w:r>
      <w:r w:rsidR="001E59A4">
        <w:t xml:space="preserve"> </w:t>
      </w:r>
      <w:r w:rsidRPr="00EC6F44">
        <w:t>week study was 500 mg/kg/day (not 650 mg/kg/day). In the repeat</w:t>
      </w:r>
      <w:r w:rsidR="001E59A4">
        <w:t xml:space="preserve"> </w:t>
      </w:r>
      <w:r w:rsidRPr="00EC6F44">
        <w:t>dose toxicity studies, adequate</w:t>
      </w:r>
      <w:r w:rsidR="001E59A4">
        <w:t>/</w:t>
      </w:r>
      <w:r w:rsidRPr="00EC6F44">
        <w:t>high ERs were achieved for ID-20219 and ID-20220 in mice and rats, but not in dogs where ERs were very low.</w:t>
      </w:r>
    </w:p>
    <w:p w:rsidR="00EC6F44" w:rsidRPr="00BD4594" w:rsidRDefault="00EC6F44" w:rsidP="00BD4594">
      <w:pPr>
        <w:pStyle w:val="Heading4"/>
      </w:pPr>
      <w:r>
        <w:t>Major toxicities</w:t>
      </w:r>
    </w:p>
    <w:p w:rsidR="00EC6F44" w:rsidRPr="00EC6F44" w:rsidRDefault="00EC6F44" w:rsidP="00BD4594">
      <w:r w:rsidRPr="00EC6F44">
        <w:t>The main effects of orally</w:t>
      </w:r>
      <w:r w:rsidR="001E59A4">
        <w:t xml:space="preserve"> </w:t>
      </w:r>
      <w:r w:rsidRPr="00EC6F44">
        <w:t>administered lurasidone were on the CNS, and as a consequence of elevated serum prolactin concentrations. Thus, the most notable CNS clinical signs observed in the repeat</w:t>
      </w:r>
      <w:r w:rsidR="001E59A4">
        <w:t xml:space="preserve"> </w:t>
      </w:r>
      <w:r w:rsidRPr="00EC6F44">
        <w:t xml:space="preserve">dose toxicity studies were </w:t>
      </w:r>
      <w:proofErr w:type="spellStart"/>
      <w:r w:rsidRPr="00EC6F44">
        <w:t>hypoactivity</w:t>
      </w:r>
      <w:proofErr w:type="spellEnd"/>
      <w:r w:rsidRPr="00EC6F44">
        <w:t xml:space="preserve">/subdued behaviour (mice, rats, dogs and </w:t>
      </w:r>
      <w:proofErr w:type="spellStart"/>
      <w:r w:rsidRPr="00EC6F44">
        <w:t>cynomolgus</w:t>
      </w:r>
      <w:proofErr w:type="spellEnd"/>
      <w:r w:rsidRPr="00EC6F44">
        <w:t xml:space="preserve"> monkeys), tremors (mice, dogs and monkeys), catalepsy/fixed posture (rats and monkeys), ptosis (rats) and </w:t>
      </w:r>
      <w:proofErr w:type="spellStart"/>
      <w:r w:rsidRPr="00EC6F44">
        <w:t>miosis</w:t>
      </w:r>
      <w:proofErr w:type="spellEnd"/>
      <w:r w:rsidRPr="00EC6F44">
        <w:t xml:space="preserve"> (rats and dogs). </w:t>
      </w:r>
      <w:proofErr w:type="spellStart"/>
      <w:r w:rsidRPr="00EC6F44">
        <w:t>Hypoactivity</w:t>
      </w:r>
      <w:proofErr w:type="spellEnd"/>
      <w:r w:rsidRPr="00EC6F44">
        <w:t>/subdued behaviour, in particular, was observed at low doses (at the lowest doses tested in the 13</w:t>
      </w:r>
      <w:r w:rsidR="00E6558E">
        <w:t xml:space="preserve"> </w:t>
      </w:r>
      <w:r w:rsidRPr="00EC6F44">
        <w:t>week mouse study (25 mg/kg/day, ER 0.4-0.6), the 39</w:t>
      </w:r>
      <w:r w:rsidR="00E6558E">
        <w:t xml:space="preserve"> </w:t>
      </w:r>
      <w:r w:rsidRPr="00EC6F44">
        <w:t xml:space="preserve">week dog </w:t>
      </w:r>
      <w:r w:rsidRPr="00EC6F44">
        <w:lastRenderedPageBreak/>
        <w:t>study (30 mg/kg/day, ER 9) and the 52</w:t>
      </w:r>
      <w:r w:rsidR="00E6558E">
        <w:t xml:space="preserve"> </w:t>
      </w:r>
      <w:r w:rsidRPr="00EC6F44">
        <w:t>week monkey study (2 mg/kg/day; ER 0.02) and at ≥10 mg/kg/day in rats (26-week study; ER ~1.1-1.7)). These results predict this effect in humans and somnolence is an adverse effect reported in patients. The monkey data also predict some additional effects (fixed posture, salivation and tremors).</w:t>
      </w:r>
    </w:p>
    <w:p w:rsidR="00EC6F44" w:rsidRPr="00EC6F44" w:rsidRDefault="00EC6F44" w:rsidP="00BD4594">
      <w:r w:rsidRPr="00EC6F44">
        <w:t>Elevated serum prolactin concentrations are a typical nonclinical finding of antipsychotic drugs that act as antagonists at the dopamine D2 receptor. This is because prolactin secretion by the pituitary is regulated by endocrine neurons in the hypothalamus which secrete dopamine that acts on the D2 receptors of prolactin</w:t>
      </w:r>
      <w:r w:rsidR="00E6558E">
        <w:t xml:space="preserve"> </w:t>
      </w:r>
      <w:r w:rsidRPr="00EC6F44">
        <w:t>secreting cells in the anterior pituitary causing inhibition of prolactin secretion. Thus, dopamine is the predominant factor inhibiting prolactin release from the pituitary. Prolactin is involved in many different biological functions including behaviour, endocrinology, reproduction, metabolism and immunology</w:t>
      </w:r>
      <w:r w:rsidR="00E6558E">
        <w:t>.</w:t>
      </w:r>
      <w:r w:rsidR="00E6558E">
        <w:rPr>
          <w:rStyle w:val="FootnoteReference"/>
        </w:rPr>
        <w:footnoteReference w:id="15"/>
      </w:r>
    </w:p>
    <w:p w:rsidR="00EC6F44" w:rsidRPr="00EC6F44" w:rsidRDefault="00EC6F44" w:rsidP="00BD4594">
      <w:r w:rsidRPr="00EC6F44">
        <w:t>Serum prolactin concentrations were measured in both males and females in 7 oral studies (13</w:t>
      </w:r>
      <w:r w:rsidR="00D505E9">
        <w:t xml:space="preserve"> </w:t>
      </w:r>
      <w:r w:rsidRPr="00EC6F44">
        <w:t xml:space="preserve">week mouse </w:t>
      </w:r>
      <w:r w:rsidR="00D505E9">
        <w:t>[</w:t>
      </w:r>
      <w:r w:rsidRPr="00EC6F44">
        <w:t>~0.5 h post dose</w:t>
      </w:r>
      <w:r w:rsidR="00D505E9">
        <w:t>]</w:t>
      </w:r>
      <w:r w:rsidRPr="00EC6F44">
        <w:t>, 13</w:t>
      </w:r>
      <w:r w:rsidR="00D505E9">
        <w:t xml:space="preserve"> </w:t>
      </w:r>
      <w:r w:rsidRPr="00EC6F44">
        <w:t xml:space="preserve">week rat </w:t>
      </w:r>
      <w:r w:rsidR="00D505E9">
        <w:t>[</w:t>
      </w:r>
      <w:r w:rsidRPr="00EC6F44">
        <w:t>main and NOAEL studies; 1 and 24 h post dose</w:t>
      </w:r>
      <w:r w:rsidR="00D505E9">
        <w:t>]</w:t>
      </w:r>
      <w:r w:rsidRPr="00EC6F44">
        <w:t>, 26</w:t>
      </w:r>
      <w:r w:rsidR="00D505E9">
        <w:t xml:space="preserve"> </w:t>
      </w:r>
      <w:r w:rsidRPr="00EC6F44">
        <w:t xml:space="preserve">week rat </w:t>
      </w:r>
      <w:r w:rsidR="00D505E9">
        <w:t>[</w:t>
      </w:r>
      <w:r w:rsidRPr="00EC6F44">
        <w:t>1 and 24 h post dose</w:t>
      </w:r>
      <w:r w:rsidR="00D505E9">
        <w:t>]</w:t>
      </w:r>
      <w:r w:rsidRPr="00EC6F44">
        <w:t>, 39</w:t>
      </w:r>
      <w:r w:rsidR="00D505E9">
        <w:t xml:space="preserve"> </w:t>
      </w:r>
      <w:r w:rsidRPr="00EC6F44">
        <w:t>w</w:t>
      </w:r>
      <w:r w:rsidR="00D505E9">
        <w:t xml:space="preserve">eek dog [2 h post dose] and 13 </w:t>
      </w:r>
      <w:r w:rsidRPr="00EC6F44">
        <w:t xml:space="preserve">and 52-week </w:t>
      </w:r>
      <w:proofErr w:type="spellStart"/>
      <w:r w:rsidRPr="00EC6F44">
        <w:t>cynomolgus</w:t>
      </w:r>
      <w:proofErr w:type="spellEnd"/>
      <w:r w:rsidRPr="00EC6F44">
        <w:t xml:space="preserve"> monkeys </w:t>
      </w:r>
      <w:r w:rsidR="00D505E9">
        <w:t>[</w:t>
      </w:r>
      <w:r w:rsidRPr="00EC6F44">
        <w:t>4 and/or 24 h post dose</w:t>
      </w:r>
      <w:r w:rsidR="00D505E9">
        <w:t>]</w:t>
      </w:r>
      <w:r w:rsidRPr="00EC6F44">
        <w:t>). At the early time points, increases were observed in all studies, but increases were not dose proportional, with the exception of the 13</w:t>
      </w:r>
      <w:r w:rsidR="00D505E9">
        <w:t xml:space="preserve"> </w:t>
      </w:r>
      <w:r w:rsidRPr="00EC6F44">
        <w:t>week NOAEL rat study (which used low doses) and the 52</w:t>
      </w:r>
      <w:r w:rsidR="00D505E9">
        <w:t xml:space="preserve"> </w:t>
      </w:r>
      <w:r w:rsidRPr="00EC6F44">
        <w:t>week monkey study (which also used relatively low doses); concentrations increased with dose, then declined (or occasionally appeared to plateau). Prolactin concentrations at 24 h post dose had declined to control values or lower in rats. In dogs, they had declined compared to 2 h post dose values but had not returned to control values. In monkeys, 24 h were not measured. Long</w:t>
      </w:r>
      <w:r w:rsidR="00D505E9">
        <w:t xml:space="preserve"> </w:t>
      </w:r>
      <w:r w:rsidRPr="00EC6F44">
        <w:t>term measurements of prolactin, which may have been informative for the interpretation of long</w:t>
      </w:r>
      <w:r w:rsidR="00D505E9">
        <w:t xml:space="preserve"> </w:t>
      </w:r>
      <w:r w:rsidRPr="00EC6F44">
        <w:t>term toxicity including carcinogenicity, were not done.</w:t>
      </w:r>
    </w:p>
    <w:p w:rsidR="00EC6F44" w:rsidRPr="00EC6F44" w:rsidRDefault="00EC6F44" w:rsidP="00EC6F44">
      <w:r w:rsidRPr="00EC6F44">
        <w:t>As expected, the organs of the reproductive system were affected by the elevated prolactin levels, most notably in females: the mammary gland (all species), ovaries (rats and dogs, and to a lesser extent, mice and monkeys), uterus (mice, rats and dogs), vagina (mice, rats and dogs; and also the cervix in mice), but also in males, most notably, the mammary gland, but also the testes, pro</w:t>
      </w:r>
      <w:r w:rsidR="00BD4594">
        <w:t xml:space="preserve">state and </w:t>
      </w:r>
      <w:proofErr w:type="spellStart"/>
      <w:r w:rsidR="00BD4594">
        <w:t>epididymides</w:t>
      </w:r>
      <w:proofErr w:type="spellEnd"/>
      <w:r w:rsidR="00BD4594">
        <w:t xml:space="preserve"> in dogs.</w:t>
      </w:r>
    </w:p>
    <w:p w:rsidR="00EC6F44" w:rsidRPr="00EC6F44" w:rsidRDefault="00EC6F44" w:rsidP="00BD4594">
      <w:r w:rsidRPr="00EC6F44">
        <w:t>The mammary gland was stimulated by prolactin and this was observed grossly as mammary gland development or thickening in female rats, dogs, monkeys and rabbits, and additionally, signs of lactation in dogs and monkeys. The main histological changes observed in the female mammary gland were glandular hyperplasia i</w:t>
      </w:r>
      <w:r w:rsidR="00FF6D7B">
        <w:t xml:space="preserve">n mice (13 week study), rats (2, 13 [main and NOAEL] and 26 week studies), dogs (2 and 4 </w:t>
      </w:r>
      <w:r w:rsidRPr="00EC6F44">
        <w:t>week studies) and monkeys (first 2</w:t>
      </w:r>
      <w:r w:rsidR="00FF6D7B">
        <w:t xml:space="preserve"> </w:t>
      </w:r>
      <w:r w:rsidRPr="00EC6F44">
        <w:t>week study) and secretion/in</w:t>
      </w:r>
      <w:r w:rsidR="00FF6D7B">
        <w:t>crease in secretion in rats (13</w:t>
      </w:r>
      <w:r w:rsidRPr="00EC6F44">
        <w:t xml:space="preserve"> </w:t>
      </w:r>
      <w:r w:rsidR="00FF6D7B">
        <w:t>[</w:t>
      </w:r>
      <w:r w:rsidRPr="00EC6F44">
        <w:t>main and NOAEL</w:t>
      </w:r>
      <w:r w:rsidR="00FF6D7B">
        <w:t>]</w:t>
      </w:r>
      <w:r w:rsidRPr="00EC6F44">
        <w:t xml:space="preserve"> and 26</w:t>
      </w:r>
      <w:r w:rsidR="00FF6D7B">
        <w:t xml:space="preserve"> week studies), dogs (2 and 4 </w:t>
      </w:r>
      <w:r w:rsidRPr="00EC6F44">
        <w:t>wee</w:t>
      </w:r>
      <w:r w:rsidR="00FF6D7B">
        <w:t xml:space="preserve">k studies) and monkeys (first 2 </w:t>
      </w:r>
      <w:r w:rsidRPr="00EC6F44">
        <w:t>week study), and also in mice in the carcinogenicity study. Some additional changes in dogs were ductal</w:t>
      </w:r>
      <w:r w:rsidR="00FF6D7B">
        <w:t xml:space="preserve"> dilation (4 </w:t>
      </w:r>
      <w:r w:rsidRPr="00EC6F44">
        <w:t xml:space="preserve">week study) and </w:t>
      </w:r>
      <w:proofErr w:type="spellStart"/>
      <w:r w:rsidRPr="00EC6F44">
        <w:t>hydropic</w:t>
      </w:r>
      <w:proofErr w:type="spellEnd"/>
      <w:r w:rsidRPr="00EC6F44">
        <w:t xml:space="preserve"> appearance of ductal epithelium, lymphoid in</w:t>
      </w:r>
      <w:r w:rsidR="00FF6D7B">
        <w:t xml:space="preserve">filtration and pigmentation (39 </w:t>
      </w:r>
      <w:r w:rsidRPr="00EC6F44">
        <w:t xml:space="preserve">week study). In the male rat mammary gland, </w:t>
      </w:r>
      <w:proofErr w:type="spellStart"/>
      <w:r w:rsidRPr="00EC6F44">
        <w:t>tubuloalveolar</w:t>
      </w:r>
      <w:proofErr w:type="spellEnd"/>
      <w:r w:rsidRPr="00EC6F44">
        <w:t xml:space="preserve"> pattern </w:t>
      </w:r>
      <w:r w:rsidR="00FF6D7B">
        <w:t>was observed histologically (13</w:t>
      </w:r>
      <w:r w:rsidRPr="00EC6F44">
        <w:t xml:space="preserve"> </w:t>
      </w:r>
      <w:r w:rsidR="00FF6D7B">
        <w:t>[</w:t>
      </w:r>
      <w:r w:rsidRPr="00EC6F44">
        <w:t>main and NOAEL</w:t>
      </w:r>
      <w:r w:rsidR="00FF6D7B">
        <w:t xml:space="preserve">] and 26 </w:t>
      </w:r>
      <w:r w:rsidRPr="00EC6F44">
        <w:t>week stu</w:t>
      </w:r>
      <w:r w:rsidR="00BD4594">
        <w:t>dies).</w:t>
      </w:r>
    </w:p>
    <w:p w:rsidR="00EC6F44" w:rsidRPr="00EC6F44" w:rsidRDefault="00EC6F44" w:rsidP="00BD4594">
      <w:r w:rsidRPr="00EC6F44">
        <w:t xml:space="preserve">Effects on the ovaries were observed mainly in rats, and to a lesser extent in dogs. In the rat and dog, prolactin is </w:t>
      </w:r>
      <w:proofErr w:type="spellStart"/>
      <w:r w:rsidRPr="00EC6F44">
        <w:t>luteotropic</w:t>
      </w:r>
      <w:proofErr w:type="spellEnd"/>
      <w:r w:rsidR="00FF6D7B">
        <w:t>,</w:t>
      </w:r>
      <w:r w:rsidR="00FF6D7B">
        <w:rPr>
          <w:rStyle w:val="FootnoteReference"/>
        </w:rPr>
        <w:footnoteReference w:id="16"/>
      </w:r>
      <w:r w:rsidR="006603B9">
        <w:t xml:space="preserve"> </w:t>
      </w:r>
      <w:r w:rsidRPr="00EC6F44">
        <w:t xml:space="preserve">being the hormone responsible for transforming a corpus luteum of the oestrous cycle into a corpus luteum of </w:t>
      </w:r>
      <w:proofErr w:type="spellStart"/>
      <w:r w:rsidRPr="00EC6F44">
        <w:t>pseudopregnancy</w:t>
      </w:r>
      <w:proofErr w:type="spellEnd"/>
      <w:r w:rsidRPr="00EC6F44">
        <w:t xml:space="preserve"> or pregnancy, which allows progesterone secretion to be maintained. The </w:t>
      </w:r>
      <w:proofErr w:type="spellStart"/>
      <w:r w:rsidRPr="00EC6F44">
        <w:t>luteotropic</w:t>
      </w:r>
      <w:proofErr w:type="spellEnd"/>
      <w:r w:rsidRPr="00EC6F44">
        <w:t xml:space="preserve"> activity of prolactin is consistent with the observation of enlarged and/or cystic corpora </w:t>
      </w:r>
      <w:proofErr w:type="spellStart"/>
      <w:r w:rsidRPr="00EC6F44">
        <w:t>lutea</w:t>
      </w:r>
      <w:proofErr w:type="spellEnd"/>
      <w:r w:rsidRPr="00EC6F44">
        <w:t xml:space="preserve"> in </w:t>
      </w:r>
      <w:r w:rsidRPr="00EC6F44">
        <w:lastRenderedPageBreak/>
        <w:t>the 26</w:t>
      </w:r>
      <w:r w:rsidR="006603B9">
        <w:t xml:space="preserve"> </w:t>
      </w:r>
      <w:r w:rsidRPr="00EC6F44">
        <w:t>week rat and 39</w:t>
      </w:r>
      <w:r w:rsidR="006603B9">
        <w:t xml:space="preserve"> </w:t>
      </w:r>
      <w:r w:rsidRPr="00EC6F44">
        <w:t>week dog studies. However, a more notable finding in ovaries was a reduction in the</w:t>
      </w:r>
      <w:r w:rsidR="006603B9">
        <w:t xml:space="preserve"> number of corpora </w:t>
      </w:r>
      <w:proofErr w:type="spellStart"/>
      <w:r w:rsidR="006603B9">
        <w:t>lutea</w:t>
      </w:r>
      <w:proofErr w:type="spellEnd"/>
      <w:r w:rsidR="006603B9">
        <w:t xml:space="preserve"> (rat 2, 13 and 26 </w:t>
      </w:r>
      <w:r w:rsidRPr="00EC6F44">
        <w:t>week and car</w:t>
      </w:r>
      <w:r w:rsidR="006603B9">
        <w:t xml:space="preserve">cinogenicity studies and dog 39 week study) </w:t>
      </w:r>
      <w:r w:rsidRPr="00EC6F44">
        <w:t>and, in general, a tendency for ovaries to atrophy; reductions in ovary weight were observed in mice and rats (2</w:t>
      </w:r>
      <w:r w:rsidR="006603B9">
        <w:t xml:space="preserve"> </w:t>
      </w:r>
      <w:r w:rsidRPr="00EC6F44">
        <w:t>week studies), grossly small ovaries in rats (2</w:t>
      </w:r>
      <w:r w:rsidR="006603B9">
        <w:t xml:space="preserve"> </w:t>
      </w:r>
      <w:r w:rsidRPr="00EC6F44">
        <w:t>week study), dogs (39</w:t>
      </w:r>
      <w:r w:rsidR="006603B9">
        <w:t xml:space="preserve"> </w:t>
      </w:r>
      <w:r w:rsidRPr="00EC6F44">
        <w:t xml:space="preserve">week study) and monkeys (2 week study), while ovarian atrophy was observed histologically in the mouse carcinogenicity study. Overall, </w:t>
      </w:r>
      <w:proofErr w:type="spellStart"/>
      <w:r w:rsidRPr="00EC6F44">
        <w:t>hyperprolactinaemia</w:t>
      </w:r>
      <w:proofErr w:type="spellEnd"/>
      <w:r w:rsidRPr="00EC6F44">
        <w:t xml:space="preserve"> induced </w:t>
      </w:r>
      <w:proofErr w:type="spellStart"/>
      <w:r w:rsidRPr="00EC6F44">
        <w:t>hypogonadism</w:t>
      </w:r>
      <w:proofErr w:type="spellEnd"/>
      <w:r w:rsidRPr="00EC6F44">
        <w:t xml:space="preserve"> presumably due to a negative feedback effect on the hypothalamus which then secretes less gonadotropin releasing hormone (</w:t>
      </w:r>
      <w:proofErr w:type="spellStart"/>
      <w:r w:rsidRPr="00EC6F44">
        <w:t>GnRH</w:t>
      </w:r>
      <w:proofErr w:type="spellEnd"/>
      <w:r w:rsidRPr="00EC6F44">
        <w:t xml:space="preserve"> or LHRH), which in turn, results in lower levels of secretion of </w:t>
      </w:r>
      <w:r w:rsidR="0040313A">
        <w:t>f</w:t>
      </w:r>
      <w:r w:rsidR="0040313A" w:rsidRPr="0040313A">
        <w:t>ollicle</w:t>
      </w:r>
      <w:r w:rsidR="0040313A">
        <w:t xml:space="preserve"> </w:t>
      </w:r>
      <w:r w:rsidR="0040313A" w:rsidRPr="0040313A">
        <w:t xml:space="preserve">stimulating hormone </w:t>
      </w:r>
      <w:r w:rsidR="0040313A">
        <w:t>(</w:t>
      </w:r>
      <w:r w:rsidRPr="00EC6F44">
        <w:t>FSH</w:t>
      </w:r>
      <w:r w:rsidR="0040313A">
        <w:t>)</w:t>
      </w:r>
      <w:r w:rsidRPr="00EC6F44">
        <w:t xml:space="preserve"> and </w:t>
      </w:r>
      <w:r w:rsidR="0040313A" w:rsidRPr="0040313A">
        <w:t>luteini</w:t>
      </w:r>
      <w:r w:rsidR="0040313A">
        <w:t>s</w:t>
      </w:r>
      <w:r w:rsidR="0040313A" w:rsidRPr="0040313A">
        <w:t xml:space="preserve">ing hormone </w:t>
      </w:r>
      <w:r w:rsidR="0040313A">
        <w:t>(</w:t>
      </w:r>
      <w:r w:rsidRPr="00EC6F44">
        <w:t>LH</w:t>
      </w:r>
      <w:r w:rsidR="0040313A">
        <w:t>)</w:t>
      </w:r>
      <w:r w:rsidRPr="00EC6F44">
        <w:t xml:space="preserve"> by the ante</w:t>
      </w:r>
      <w:r w:rsidR="00BD4594">
        <w:t>rior pituitary.</w:t>
      </w:r>
    </w:p>
    <w:p w:rsidR="00EC6F44" w:rsidRPr="00EC6F44" w:rsidRDefault="00EC6F44" w:rsidP="00BD4594">
      <w:r w:rsidRPr="00EC6F44">
        <w:t>Oestrous cycling was investigated ext</w:t>
      </w:r>
      <w:r w:rsidR="0040313A">
        <w:t>ensively in rats (in the 2, 13 [main and NOAEL]</w:t>
      </w:r>
      <w:r w:rsidRPr="00EC6F44">
        <w:t xml:space="preserve"> and 26</w:t>
      </w:r>
      <w:r w:rsidR="0040313A">
        <w:t xml:space="preserve"> </w:t>
      </w:r>
      <w:r w:rsidRPr="00EC6F44">
        <w:t xml:space="preserve">week oral studies). The main findings were increases in the incidence of abnormal oestrous cycles, with changes in the proportion of rats in various stages of the cycle, most notable an increase in the proportion of animals in </w:t>
      </w:r>
      <w:proofErr w:type="spellStart"/>
      <w:r w:rsidRPr="00EC6F44">
        <w:t>dioestrus</w:t>
      </w:r>
      <w:proofErr w:type="spellEnd"/>
      <w:r w:rsidRPr="00EC6F44">
        <w:t xml:space="preserve">. These effects are presumably due to prolactin causing </w:t>
      </w:r>
      <w:r w:rsidR="00C21FB2">
        <w:t xml:space="preserve">a decrease in </w:t>
      </w:r>
      <w:proofErr w:type="spellStart"/>
      <w:r w:rsidR="00C21FB2">
        <w:t>GnRH</w:t>
      </w:r>
      <w:proofErr w:type="spellEnd"/>
      <w:r w:rsidR="00C21FB2">
        <w:t>. Smith and colleagues</w:t>
      </w:r>
      <w:r w:rsidR="00C21FB2">
        <w:rPr>
          <w:rStyle w:val="FootnoteReference"/>
        </w:rPr>
        <w:footnoteReference w:id="17"/>
      </w:r>
      <w:r w:rsidRPr="00EC6F44">
        <w:t xml:space="preserve"> reported that </w:t>
      </w:r>
      <w:proofErr w:type="spellStart"/>
      <w:r w:rsidRPr="00EC6F44">
        <w:t>hyperprolactinaemia</w:t>
      </w:r>
      <w:proofErr w:type="spellEnd"/>
      <w:r w:rsidRPr="00EC6F44">
        <w:t xml:space="preserve"> is associated with a period of </w:t>
      </w:r>
      <w:proofErr w:type="spellStart"/>
      <w:r w:rsidRPr="00EC6F44">
        <w:t>pseudopregnancy</w:t>
      </w:r>
      <w:proofErr w:type="spellEnd"/>
      <w:r w:rsidRPr="00EC6F44">
        <w:t xml:space="preserve">, observed as persistent </w:t>
      </w:r>
      <w:proofErr w:type="spellStart"/>
      <w:r w:rsidRPr="00EC6F44">
        <w:t>dioestrus</w:t>
      </w:r>
      <w:proofErr w:type="spellEnd"/>
      <w:r w:rsidRPr="00EC6F44">
        <w:t xml:space="preserve"> in rats. Changes in oestrous cycling were also observed in mice, with a reduced incidence of </w:t>
      </w:r>
      <w:proofErr w:type="spellStart"/>
      <w:r w:rsidRPr="00EC6F44">
        <w:t>prooestrus</w:t>
      </w:r>
      <w:proofErr w:type="spellEnd"/>
      <w:r w:rsidRPr="00EC6F44">
        <w:t xml:space="preserve"> observed in the 13</w:t>
      </w:r>
      <w:r w:rsidR="00C21FB2">
        <w:t xml:space="preserve"> </w:t>
      </w:r>
      <w:r w:rsidRPr="00EC6F44">
        <w:t>week study.</w:t>
      </w:r>
    </w:p>
    <w:p w:rsidR="00EC6F44" w:rsidRPr="00EC6F44" w:rsidRDefault="00EC6F44" w:rsidP="00BD4594">
      <w:proofErr w:type="spellStart"/>
      <w:r w:rsidRPr="00EC6F44">
        <w:t>Dioestrus</w:t>
      </w:r>
      <w:proofErr w:type="spellEnd"/>
      <w:r w:rsidRPr="00EC6F44">
        <w:t xml:space="preserve"> is characterised by the activity of the corpus luteum that produces progesterone. </w:t>
      </w:r>
      <w:proofErr w:type="spellStart"/>
      <w:r w:rsidRPr="00EC6F44">
        <w:t>Mucification</w:t>
      </w:r>
      <w:proofErr w:type="spellEnd"/>
      <w:r w:rsidRPr="00EC6F44">
        <w:t xml:space="preserve"> of the vaginal epithelium observed in all the repeat</w:t>
      </w:r>
      <w:r w:rsidR="00C21FB2">
        <w:t xml:space="preserve"> </w:t>
      </w:r>
      <w:r w:rsidRPr="00EC6F44">
        <w:t xml:space="preserve">dose rat toxicity studies in which </w:t>
      </w:r>
      <w:proofErr w:type="spellStart"/>
      <w:r w:rsidRPr="00EC6F44">
        <w:t>histopathological</w:t>
      </w:r>
      <w:proofErr w:type="spellEnd"/>
      <w:r w:rsidRPr="00EC6F44">
        <w:t xml:space="preserve"> examination was conducted, and also in the mouse carcinogenicity study, presumably reflected the changes in the oestrous cycle with an increase in the proportion of animals in </w:t>
      </w:r>
      <w:proofErr w:type="spellStart"/>
      <w:r w:rsidRPr="00EC6F44">
        <w:t>dioestrus</w:t>
      </w:r>
      <w:proofErr w:type="spellEnd"/>
      <w:r w:rsidRPr="00EC6F44">
        <w:t xml:space="preserve"> and the production of progesterone, although progesterone was not measured except in a secondary </w:t>
      </w:r>
      <w:r w:rsidR="0064096A">
        <w:t>PD</w:t>
      </w:r>
      <w:r w:rsidRPr="00EC6F44">
        <w:t xml:space="preserve"> study, with no effect observed following a single dose, as might be expected. Vaginal epithelial </w:t>
      </w:r>
      <w:proofErr w:type="spellStart"/>
      <w:r w:rsidRPr="00EC6F44">
        <w:t>mucification</w:t>
      </w:r>
      <w:proofErr w:type="spellEnd"/>
      <w:r w:rsidRPr="00EC6F44">
        <w:t xml:space="preserve"> </w:t>
      </w:r>
      <w:r w:rsidR="00FD77B8">
        <w:t>(and</w:t>
      </w:r>
      <w:r w:rsidRPr="00EC6F44">
        <w:t xml:space="preserve"> additionally cornif</w:t>
      </w:r>
      <w:r w:rsidR="00FD77B8">
        <w:t xml:space="preserve">ication) were observed in the 2 </w:t>
      </w:r>
      <w:r w:rsidRPr="00EC6F44">
        <w:t>week dog study, presumably also under the influence of progesterone. Cornification of the vaginal epithelium was also observed in the rat carcinogenicity study.</w:t>
      </w:r>
    </w:p>
    <w:p w:rsidR="00EC6F44" w:rsidRPr="00EC6F44" w:rsidRDefault="00EC6F44" w:rsidP="00BD4594">
      <w:r w:rsidRPr="00EC6F44">
        <w:t xml:space="preserve">Serum oestradiol concentrations were measured after a single dose in a secondary </w:t>
      </w:r>
      <w:r w:rsidR="0064096A">
        <w:t>PD</w:t>
      </w:r>
      <w:r w:rsidRPr="00EC6F44">
        <w:t xml:space="preserve"> study and in the 13</w:t>
      </w:r>
      <w:r w:rsidR="00E26A9D">
        <w:t xml:space="preserve"> </w:t>
      </w:r>
      <w:r w:rsidRPr="00EC6F44">
        <w:t>week rat (main and NOAEL) studies. No effect was observed after a single dose of up to 10 mg/kg PO but concentrations were reduced at all doses tested in the rat 13</w:t>
      </w:r>
      <w:r w:rsidR="00E26A9D">
        <w:t xml:space="preserve"> </w:t>
      </w:r>
      <w:r w:rsidRPr="00EC6F44">
        <w:t xml:space="preserve">week studies (≥0.03 mg/kg/day). While the reductions were often not statistically significant, they were probably biologically significant. As oestrogens are produced primarily by the ovaries, reductions in oestradiol are presumably a reflection of </w:t>
      </w:r>
      <w:proofErr w:type="spellStart"/>
      <w:r w:rsidRPr="00EC6F44">
        <w:t>hypogonadism</w:t>
      </w:r>
      <w:proofErr w:type="spellEnd"/>
      <w:r w:rsidRPr="00EC6F44">
        <w:t xml:space="preserve"> and the expected reduction in the production of FSH (no change in FSH was observed in a secondary </w:t>
      </w:r>
      <w:r w:rsidR="0064096A">
        <w:t>PD</w:t>
      </w:r>
      <w:r w:rsidRPr="00EC6F44">
        <w:t xml:space="preserve"> study after a single dose, but FSH was not measured in the repeat</w:t>
      </w:r>
      <w:r w:rsidR="00CA1105">
        <w:t xml:space="preserve"> </w:t>
      </w:r>
      <w:r w:rsidR="00BD4594">
        <w:t>dose toxicity studies).</w:t>
      </w:r>
    </w:p>
    <w:p w:rsidR="00EC6F44" w:rsidRPr="00EC6F44" w:rsidRDefault="00EC6F44" w:rsidP="00BD4594">
      <w:r w:rsidRPr="00EC6F44">
        <w:t xml:space="preserve">As well as the ovaries, the uterus also tended to atrophy, which is an expected consequence of </w:t>
      </w:r>
      <w:proofErr w:type="spellStart"/>
      <w:r w:rsidRPr="00EC6F44">
        <w:t>hypogonadism</w:t>
      </w:r>
      <w:proofErr w:type="spellEnd"/>
      <w:r w:rsidRPr="00EC6F44">
        <w:t xml:space="preserve"> and decreases in circulating oestrogen. There were reductions in uterine weight in mice (2 and 13</w:t>
      </w:r>
      <w:r w:rsidR="00D5026A">
        <w:t xml:space="preserve"> </w:t>
      </w:r>
      <w:r w:rsidRPr="00EC6F44">
        <w:t>week studies) and rats (26</w:t>
      </w:r>
      <w:r w:rsidR="00D5026A">
        <w:t xml:space="preserve"> </w:t>
      </w:r>
      <w:r w:rsidRPr="00EC6F44">
        <w:t>week study), grossly small uterus was observed in dogs (39-week study) and uterine atrophy was observed histologically in mice (13</w:t>
      </w:r>
      <w:r w:rsidR="00D5026A">
        <w:t xml:space="preserve"> </w:t>
      </w:r>
      <w:r w:rsidRPr="00EC6F44">
        <w:t>week study), rats (13</w:t>
      </w:r>
      <w:r w:rsidR="00D5026A">
        <w:t xml:space="preserve"> [</w:t>
      </w:r>
      <w:r w:rsidRPr="00EC6F44">
        <w:t>main and NOAEL</w:t>
      </w:r>
      <w:r w:rsidR="00D5026A">
        <w:t xml:space="preserve">] and 26 </w:t>
      </w:r>
      <w:r w:rsidRPr="00EC6F44">
        <w:t>week studies) and dogs (39 week study). Interestingly, in the 2</w:t>
      </w:r>
      <w:r w:rsidR="00D5026A">
        <w:t xml:space="preserve"> </w:t>
      </w:r>
      <w:r w:rsidRPr="00EC6F44">
        <w:t xml:space="preserve">week dog study, the converse was observed, with large uterus seen grossly and hypertrophy of the uterine endometrium and tunica </w:t>
      </w:r>
      <w:proofErr w:type="spellStart"/>
      <w:r w:rsidRPr="00EC6F44">
        <w:t>muscularis</w:t>
      </w:r>
      <w:proofErr w:type="spellEnd"/>
      <w:r w:rsidRPr="00EC6F44">
        <w:t xml:space="preserve"> seen histologi</w:t>
      </w:r>
      <w:r w:rsidR="00347FF1">
        <w:t>cally. This may reflect the non</w:t>
      </w:r>
      <w:r w:rsidRPr="00EC6F44">
        <w:t>linear changes in prolactin with increasing dose, although no serum prolactin concentration data</w:t>
      </w:r>
      <w:r w:rsidR="00BD4594">
        <w:t xml:space="preserve"> were available for this study.</w:t>
      </w:r>
    </w:p>
    <w:p w:rsidR="00EC6F44" w:rsidRPr="00EC6F44" w:rsidRDefault="00EC20AF" w:rsidP="00BD4594">
      <w:r>
        <w:t>LDH</w:t>
      </w:r>
      <w:r w:rsidR="00EC6F44" w:rsidRPr="00EC6F44">
        <w:t xml:space="preserve"> treatment had some effects on bone in rats and dogs. An increase in fatty infiltration of femur bon</w:t>
      </w:r>
      <w:r w:rsidR="00C21FB2">
        <w:t xml:space="preserve">e marrow was observed in the 13 (main and NOAEL) and 26 </w:t>
      </w:r>
      <w:r w:rsidR="00EC6F44" w:rsidRPr="00EC6F44">
        <w:t xml:space="preserve">week studies in </w:t>
      </w:r>
      <w:r w:rsidR="00EC6F44" w:rsidRPr="00EC6F44">
        <w:lastRenderedPageBreak/>
        <w:t>female rats (also some incidences in sternal bone marrow in the 13</w:t>
      </w:r>
      <w:r w:rsidR="00347FF1">
        <w:t xml:space="preserve"> </w:t>
      </w:r>
      <w:r w:rsidR="00EC6F44" w:rsidRPr="00EC6F44">
        <w:t>week studies), and in femur (and to a lesser extent, sternal) bone marrow in male dogs in the 39</w:t>
      </w:r>
      <w:r w:rsidR="00347FF1">
        <w:t xml:space="preserve"> </w:t>
      </w:r>
      <w:r w:rsidR="00EC6F44" w:rsidRPr="00EC6F44">
        <w:t>week study. It is not clear that this change was assoc</w:t>
      </w:r>
      <w:r w:rsidR="00BD4594">
        <w:t xml:space="preserve">iated with </w:t>
      </w:r>
      <w:proofErr w:type="spellStart"/>
      <w:r w:rsidR="00BD4594">
        <w:t>hyperprolactinaemia</w:t>
      </w:r>
      <w:proofErr w:type="spellEnd"/>
      <w:r w:rsidR="00BD4594">
        <w:t>.</w:t>
      </w:r>
    </w:p>
    <w:p w:rsidR="00EC6F44" w:rsidRPr="00EC6F44" w:rsidRDefault="00EC6F44" w:rsidP="00BD4594">
      <w:r w:rsidRPr="00EC6F44">
        <w:t xml:space="preserve">Effects of </w:t>
      </w:r>
      <w:r w:rsidR="00EC20AF">
        <w:t>LDH</w:t>
      </w:r>
      <w:r w:rsidRPr="00EC6F44">
        <w:t xml:space="preserve"> treatment on bone density in the left femur were investigated in some detail in the 26</w:t>
      </w:r>
      <w:r w:rsidR="000605C2">
        <w:t xml:space="preserve"> </w:t>
      </w:r>
      <w:r w:rsidRPr="00EC6F44">
        <w:t>week rat study. While cortical bone density was not affected, there were changes in trabecular bone density (and hence total bone density). At the lowest dose (0.03 mg/kg/day), trabecular (and total) bone density increased at both measured sites (3 and 10 mm from the distal epiphyseal plate) (significant only for trabecular density at the 10 mm site), but at higher doses (1, 10 and 100 mg/kg/day), trabecular (and tot</w:t>
      </w:r>
      <w:r w:rsidR="000605C2">
        <w:t xml:space="preserve">al) bone density decreased dose </w:t>
      </w:r>
      <w:r w:rsidRPr="00EC6F44">
        <w:t xml:space="preserve">dependently at both measured sites. Serum </w:t>
      </w:r>
      <w:proofErr w:type="spellStart"/>
      <w:r w:rsidRPr="00EC6F44">
        <w:t>osteocalcin</w:t>
      </w:r>
      <w:proofErr w:type="spellEnd"/>
      <w:r w:rsidRPr="00EC6F44">
        <w:t>, a bone formation hormone secreted by osteoblas</w:t>
      </w:r>
      <w:r w:rsidR="000605C2">
        <w:t xml:space="preserve">ts, was increased in lurasidone </w:t>
      </w:r>
      <w:r w:rsidRPr="00EC6F44">
        <w:t xml:space="preserve">treated groups (at ≥1 mg/kg/day), but urinary </w:t>
      </w:r>
      <w:proofErr w:type="spellStart"/>
      <w:r w:rsidRPr="00EC6F44">
        <w:t>deoxypyridinoline</w:t>
      </w:r>
      <w:proofErr w:type="spellEnd"/>
      <w:r w:rsidRPr="00EC6F44">
        <w:t xml:space="preserve">, a bone </w:t>
      </w:r>
      <w:proofErr w:type="spellStart"/>
      <w:r w:rsidRPr="00EC6F44">
        <w:t>resorption</w:t>
      </w:r>
      <w:proofErr w:type="spellEnd"/>
      <w:r w:rsidRPr="00EC6F44">
        <w:t xml:space="preserve"> parameter was not affected by treatment. These findings suggest enhanced bone metabolic turnover, but it seems likely that </w:t>
      </w:r>
      <w:proofErr w:type="spellStart"/>
      <w:r w:rsidRPr="00EC6F44">
        <w:t>resorption</w:t>
      </w:r>
      <w:proofErr w:type="spellEnd"/>
      <w:r w:rsidRPr="00EC6F44">
        <w:t xml:space="preserve"> was increased to a greater extent than formation, although this was not borne out in the urinary </w:t>
      </w:r>
      <w:proofErr w:type="spellStart"/>
      <w:r w:rsidRPr="00EC6F44">
        <w:t>deoxypyridinoline</w:t>
      </w:r>
      <w:proofErr w:type="spellEnd"/>
      <w:r w:rsidRPr="00EC6F44">
        <w:t xml:space="preserve"> data. A decrease in trabecular bone in the femur (and to a lesser extent, sternum) was observed in males in the 39</w:t>
      </w:r>
      <w:r w:rsidR="000605C2">
        <w:t xml:space="preserve"> </w:t>
      </w:r>
      <w:r w:rsidR="00BD4594">
        <w:t>week dog study.</w:t>
      </w:r>
    </w:p>
    <w:p w:rsidR="00EC6F44" w:rsidRPr="00EC6F44" w:rsidRDefault="00EC6F44" w:rsidP="00BD4594">
      <w:r w:rsidRPr="00EC6F44">
        <w:t xml:space="preserve">The decrease in bone density in rats reflects bone mineral loss. It is well established that </w:t>
      </w:r>
      <w:proofErr w:type="spellStart"/>
      <w:r w:rsidRPr="00EC6F44">
        <w:t>hyperprolactinaemia</w:t>
      </w:r>
      <w:proofErr w:type="spellEnd"/>
      <w:r w:rsidRPr="00EC6F44">
        <w:t xml:space="preserve"> is associated with bone mineral loss, although the mechanism is not clearly understood. The </w:t>
      </w:r>
      <w:proofErr w:type="spellStart"/>
      <w:r w:rsidRPr="00EC6F44">
        <w:t>osteopenic</w:t>
      </w:r>
      <w:proofErr w:type="spellEnd"/>
      <w:r w:rsidRPr="00EC6F44">
        <w:t xml:space="preserve"> effect of prolactin has long been explained as a secondary effect of </w:t>
      </w:r>
      <w:proofErr w:type="spellStart"/>
      <w:r w:rsidRPr="00EC6F44">
        <w:t>hyperprolactinaemia</w:t>
      </w:r>
      <w:proofErr w:type="spellEnd"/>
      <w:r w:rsidR="000605C2">
        <w:t xml:space="preserve"> </w:t>
      </w:r>
      <w:r w:rsidRPr="00EC6F44">
        <w:t xml:space="preserve">induced </w:t>
      </w:r>
      <w:proofErr w:type="spellStart"/>
      <w:r w:rsidRPr="00EC6F44">
        <w:t>hypogonadism</w:t>
      </w:r>
      <w:proofErr w:type="spellEnd"/>
      <w:r w:rsidRPr="00EC6F44">
        <w:t xml:space="preserve"> and oestrogen deficiency, and consistent with this theory is the correlation of the</w:t>
      </w:r>
      <w:r w:rsidR="000605C2">
        <w:t xml:space="preserve"> bone density changes in the 26 </w:t>
      </w:r>
      <w:r w:rsidRPr="00EC6F44">
        <w:t>week rat study with serum oestradiol levels which were increased at the 0.03 mg/kg/day dose (significant) but decreased dose</w:t>
      </w:r>
      <w:r w:rsidR="000605C2">
        <w:t xml:space="preserve"> </w:t>
      </w:r>
      <w:r w:rsidRPr="00EC6F44">
        <w:t xml:space="preserve">dependently at the 10 and 100 mg/kg/day doses (and at the 1 mg/kg/day dose relative to the value at the 0.03 mg/kg dose but not the control). However, identification of prolactin receptors in osteoblasts suggested a possible direct action of prolactin on bone. It has been proposed that prolactin enhances bone </w:t>
      </w:r>
      <w:proofErr w:type="spellStart"/>
      <w:r w:rsidRPr="00EC6F44">
        <w:t>resorption</w:t>
      </w:r>
      <w:proofErr w:type="spellEnd"/>
      <w:r w:rsidRPr="00EC6F44">
        <w:t xml:space="preserve"> in part by increasing activation of nuclear factor </w:t>
      </w:r>
      <w:proofErr w:type="spellStart"/>
      <w:r w:rsidRPr="00EC6F44">
        <w:t>κB</w:t>
      </w:r>
      <w:proofErr w:type="spellEnd"/>
      <w:r w:rsidRPr="00EC6F44">
        <w:t xml:space="preserve"> ligand (RANKL) and decreasing expression of </w:t>
      </w:r>
      <w:proofErr w:type="spellStart"/>
      <w:r w:rsidRPr="00EC6F44">
        <w:t>osteoprotegerin</w:t>
      </w:r>
      <w:proofErr w:type="spellEnd"/>
      <w:r w:rsidRPr="00EC6F44">
        <w:t xml:space="preserve"> (OPG) proteins by osteoblast</w:t>
      </w:r>
      <w:r w:rsidR="007B3004">
        <w:t>s.</w:t>
      </w:r>
      <w:r w:rsidR="0057632A">
        <w:rPr>
          <w:rStyle w:val="FootnoteReference"/>
        </w:rPr>
        <w:footnoteReference w:id="18"/>
      </w:r>
    </w:p>
    <w:p w:rsidR="00EC6F44" w:rsidRPr="00EC6F44" w:rsidRDefault="00EC6F44" w:rsidP="00BD4594">
      <w:r w:rsidRPr="00EC6F44">
        <w:t xml:space="preserve">A clinical study (D1050237) conducted at a </w:t>
      </w:r>
      <w:r w:rsidR="00EC20AF">
        <w:t>LDH</w:t>
      </w:r>
      <w:r w:rsidRPr="00EC6F44">
        <w:t xml:space="preserve"> dose of 120 mg/day apparently did not suggest increased risk of osteoporosis or decreased </w:t>
      </w:r>
      <w:r w:rsidR="00F11137">
        <w:t>bone density</w:t>
      </w:r>
      <w:r w:rsidRPr="00EC6F44">
        <w:t>.</w:t>
      </w:r>
    </w:p>
    <w:p w:rsidR="00EC6F44" w:rsidRPr="00EC6F44" w:rsidRDefault="00EC6F44" w:rsidP="00BD4594">
      <w:r w:rsidRPr="00EC6F44">
        <w:t>Despite the role of dopamine in regul</w:t>
      </w:r>
      <w:r w:rsidR="00F11137">
        <w:t>ating the hypothalamic/</w:t>
      </w:r>
      <w:r w:rsidRPr="00EC6F44">
        <w:t>pituitary</w:t>
      </w:r>
      <w:r w:rsidR="00F11137">
        <w:t>/</w:t>
      </w:r>
      <w:r w:rsidRPr="00EC6F44">
        <w:t xml:space="preserve">adrenal axis and the increased secretion of prolactin, there were few findings in the pituitary and adrenals. The most notable finding in the pituitary was enlarged pale staining cells in the pars </w:t>
      </w:r>
      <w:proofErr w:type="spellStart"/>
      <w:r w:rsidRPr="00EC6F44">
        <w:t>distalis</w:t>
      </w:r>
      <w:proofErr w:type="spellEnd"/>
      <w:r w:rsidRPr="00EC6F44">
        <w:t xml:space="preserve"> in the 52</w:t>
      </w:r>
      <w:r w:rsidR="00442D50">
        <w:t xml:space="preserve"> </w:t>
      </w:r>
      <w:r w:rsidRPr="00EC6F44">
        <w:t>week monkey study. There were no consistent changes in the adrenal across species.</w:t>
      </w:r>
    </w:p>
    <w:p w:rsidR="00EC6F44" w:rsidRPr="00EC6F44" w:rsidRDefault="00EC6F44" w:rsidP="00BD4594">
      <w:r w:rsidRPr="00EC6F44">
        <w:t>Some effects on the male reproductive system were observed in dogs (39</w:t>
      </w:r>
      <w:r w:rsidR="00442D50">
        <w:t xml:space="preserve"> </w:t>
      </w:r>
      <w:r w:rsidRPr="00EC6F44">
        <w:t xml:space="preserve">week study), including seminiferous tubular atrophy in the testes, prostatic atrophy and </w:t>
      </w:r>
      <w:proofErr w:type="spellStart"/>
      <w:r w:rsidRPr="00EC6F44">
        <w:t>hypospermia</w:t>
      </w:r>
      <w:proofErr w:type="spellEnd"/>
      <w:r w:rsidRPr="00EC6F44">
        <w:t xml:space="preserve"> in the </w:t>
      </w:r>
      <w:proofErr w:type="spellStart"/>
      <w:r w:rsidRPr="00EC6F44">
        <w:t>epididymides</w:t>
      </w:r>
      <w:proofErr w:type="spellEnd"/>
      <w:r w:rsidRPr="00EC6F44">
        <w:t>, which occurred in the absence of any changes in serum testosterone or LH levels.</w:t>
      </w:r>
    </w:p>
    <w:p w:rsidR="00EC6F44" w:rsidRPr="00EC6F44" w:rsidRDefault="00EC6F44" w:rsidP="00BD4594">
      <w:r w:rsidRPr="00EC6F44">
        <w:t>There were few or no haematological changes (including blood clotting pa</w:t>
      </w:r>
      <w:r w:rsidR="004A6D79">
        <w:t>rameters). Some increases in red blood cells (RBCs)</w:t>
      </w:r>
      <w:r w:rsidRPr="00EC6F44">
        <w:t xml:space="preserve">, haematocrit, haemoglobin, </w:t>
      </w:r>
      <w:r w:rsidR="00775B2E" w:rsidRPr="00775B2E">
        <w:t xml:space="preserve">mean corpuscular volume </w:t>
      </w:r>
      <w:r w:rsidR="00775B2E">
        <w:t>(</w:t>
      </w:r>
      <w:r w:rsidRPr="00EC6F44">
        <w:t>MCV</w:t>
      </w:r>
      <w:r w:rsidR="00775B2E">
        <w:t>)</w:t>
      </w:r>
      <w:r w:rsidRPr="00EC6F44">
        <w:t xml:space="preserve">, </w:t>
      </w:r>
      <w:r w:rsidR="00F72876" w:rsidRPr="00F72876">
        <w:t xml:space="preserve">mean corpuscular </w:t>
      </w:r>
      <w:proofErr w:type="spellStart"/>
      <w:r w:rsidR="00F72876" w:rsidRPr="00F72876">
        <w:t>hemoglobin</w:t>
      </w:r>
      <w:proofErr w:type="spellEnd"/>
      <w:r w:rsidR="00F72876" w:rsidRPr="00F72876">
        <w:t xml:space="preserve"> </w:t>
      </w:r>
      <w:r w:rsidR="00F72876">
        <w:t>(</w:t>
      </w:r>
      <w:r w:rsidRPr="00EC6F44">
        <w:t>MCH</w:t>
      </w:r>
      <w:r w:rsidR="00F72876">
        <w:t>)</w:t>
      </w:r>
      <w:r w:rsidRPr="00EC6F44">
        <w:t xml:space="preserve"> and/or </w:t>
      </w:r>
      <w:r w:rsidR="00E5585F" w:rsidRPr="00E5585F">
        <w:t xml:space="preserve">mean corpuscular </w:t>
      </w:r>
      <w:proofErr w:type="spellStart"/>
      <w:r w:rsidR="00E5585F" w:rsidRPr="00E5585F">
        <w:t>hemoglobin</w:t>
      </w:r>
      <w:proofErr w:type="spellEnd"/>
      <w:r w:rsidR="00E5585F" w:rsidRPr="00E5585F">
        <w:t xml:space="preserve"> concentration </w:t>
      </w:r>
      <w:r w:rsidR="00E5585F">
        <w:t>(</w:t>
      </w:r>
      <w:r w:rsidRPr="00EC6F44">
        <w:t>MCHC</w:t>
      </w:r>
      <w:r w:rsidR="00E5585F">
        <w:t>)</w:t>
      </w:r>
      <w:r w:rsidRPr="00EC6F44">
        <w:t xml:space="preserve"> in rats were possibly associated with an effect of elevated prolactin levels on haematopoiesis.</w:t>
      </w:r>
    </w:p>
    <w:p w:rsidR="00EC6F44" w:rsidRPr="00EC6F44" w:rsidRDefault="00EC6F44" w:rsidP="00BD4594">
      <w:r w:rsidRPr="00EC6F44">
        <w:t xml:space="preserve">Body weight gain was seen in female mice and rats over a certain oral dose range (about 25-250 mg/kg/day in mice and 0.3-30 mg/kg/day in rats), often associated with increased food consumption. Body weight gain is known to be associated with </w:t>
      </w:r>
      <w:proofErr w:type="spellStart"/>
      <w:r w:rsidRPr="00EC6F44">
        <w:t>hyperprolactinaemia</w:t>
      </w:r>
      <w:proofErr w:type="spellEnd"/>
      <w:r w:rsidRPr="00EC6F44">
        <w:t xml:space="preserve"> </w:t>
      </w:r>
      <w:r w:rsidRPr="00EC6F44">
        <w:lastRenderedPageBreak/>
        <w:t>in</w:t>
      </w:r>
      <w:r w:rsidR="00780B8C">
        <w:t xml:space="preserve"> female rats</w:t>
      </w:r>
      <w:r w:rsidRPr="00EC6F44">
        <w:t>.</w:t>
      </w:r>
      <w:r w:rsidR="00780B8C">
        <w:rPr>
          <w:rStyle w:val="FootnoteReference"/>
        </w:rPr>
        <w:footnoteReference w:id="19"/>
      </w:r>
      <w:r w:rsidRPr="00EC6F44">
        <w:t xml:space="preserve"> Dogs and monkeys did not show such increases in body weight gain in females, but the draft </w:t>
      </w:r>
      <w:r w:rsidR="00780B8C">
        <w:t>PI</w:t>
      </w:r>
      <w:r w:rsidRPr="00EC6F44">
        <w:t xml:space="preserve"> notes that weight gain has been observed with the use of atypical antipsychotics and that clinical monitoring of weight is recommended.</w:t>
      </w:r>
    </w:p>
    <w:p w:rsidR="00EC6F44" w:rsidRPr="00EC6F44" w:rsidRDefault="00EC6F44" w:rsidP="00BD4594">
      <w:r w:rsidRPr="00EC6F44">
        <w:t>Increases in sodium excretion (and associated increases in chloride excretion) observed in rats in the 26</w:t>
      </w:r>
      <w:r w:rsidR="00AF64FF">
        <w:t xml:space="preserve"> </w:t>
      </w:r>
      <w:r w:rsidRPr="00EC6F44">
        <w:t xml:space="preserve">week study are likely to be indirectly due to </w:t>
      </w:r>
      <w:proofErr w:type="spellStart"/>
      <w:r w:rsidRPr="00EC6F44">
        <w:t>hyperprolactinaemia</w:t>
      </w:r>
      <w:proofErr w:type="spellEnd"/>
      <w:r w:rsidRPr="00EC6F44">
        <w:t xml:space="preserve"> which, as discussed above, results (presumably) in increased progesterone (associated with the </w:t>
      </w:r>
      <w:proofErr w:type="spellStart"/>
      <w:r w:rsidRPr="00EC6F44">
        <w:t>luteotropic</w:t>
      </w:r>
      <w:proofErr w:type="spellEnd"/>
      <w:r w:rsidRPr="00EC6F44">
        <w:t xml:space="preserve"> activity of prolactin and an increase in the proportion of animals in </w:t>
      </w:r>
      <w:proofErr w:type="spellStart"/>
      <w:r w:rsidRPr="00EC6F44">
        <w:t>dioestrus</w:t>
      </w:r>
      <w:proofErr w:type="spellEnd"/>
      <w:r w:rsidRPr="00EC6F44">
        <w:t>) which antagonises aldosterone.</w:t>
      </w:r>
    </w:p>
    <w:p w:rsidR="00EC6F44" w:rsidRPr="00EC6F44" w:rsidRDefault="00EC6F44" w:rsidP="00BD4594">
      <w:r w:rsidRPr="00EC6F44">
        <w:t xml:space="preserve">There was no evidence of any ophthalmological effects (apart from </w:t>
      </w:r>
      <w:proofErr w:type="spellStart"/>
      <w:r w:rsidRPr="00EC6F44">
        <w:t>miosis</w:t>
      </w:r>
      <w:proofErr w:type="spellEnd"/>
      <w:r w:rsidRPr="00EC6F44">
        <w:t>) wh</w:t>
      </w:r>
      <w:r w:rsidR="00AF64FF">
        <w:t xml:space="preserve">ich were well investigated in 2 (PO and IV), 13 and 26 week studies in rats, 2, 4 and 39 week studies in dogs and 2 week IV and 52 </w:t>
      </w:r>
      <w:r w:rsidRPr="00EC6F44">
        <w:t>week PO studies in monkeys.</w:t>
      </w:r>
    </w:p>
    <w:p w:rsidR="00EC6F44" w:rsidRPr="00EC6F44" w:rsidRDefault="00EC6F44" w:rsidP="00BD4594">
      <w:r w:rsidRPr="00EC6F44">
        <w:t xml:space="preserve">All, or almost all, observed changes appeared to be attributable to </w:t>
      </w:r>
      <w:proofErr w:type="spellStart"/>
      <w:r w:rsidRPr="00EC6F44">
        <w:t>hyperprolactinaemia</w:t>
      </w:r>
      <w:proofErr w:type="spellEnd"/>
      <w:r w:rsidRPr="00EC6F44">
        <w:t xml:space="preserve">. An increase in cytoplasmic </w:t>
      </w:r>
      <w:proofErr w:type="spellStart"/>
      <w:r w:rsidRPr="00EC6F44">
        <w:t>eosinophilic</w:t>
      </w:r>
      <w:proofErr w:type="spellEnd"/>
      <w:r w:rsidRPr="00EC6F44">
        <w:t xml:space="preserve"> inclusions in the urinary bladde</w:t>
      </w:r>
      <w:r w:rsidR="00AF64FF">
        <w:t xml:space="preserve">r epithelium observed in the 39 </w:t>
      </w:r>
      <w:r w:rsidRPr="00EC6F44">
        <w:t xml:space="preserve">week dog study in both sexes at all doses may have been a direct effect of lurasidone but this change was only observed in this study and </w:t>
      </w:r>
      <w:r w:rsidR="00AF64FF">
        <w:t xml:space="preserve">no other. In the longest repeat </w:t>
      </w:r>
      <w:r w:rsidRPr="00EC6F44">
        <w:t>dose toxicity studies in each of the species (13 we</w:t>
      </w:r>
      <w:r w:rsidR="003E5E98">
        <w:t>eks in mice, 26 weeks in rats, 3</w:t>
      </w:r>
      <w:r w:rsidRPr="00EC6F44">
        <w:t>9 weeks in dogs and 52 weeks in monkeys), serum prolactin concentrations were increased in both males and females at all doses, with the exception of LD (0.03 mg/kg/day) males in the rat study. Although these increases were not always statistically significant, they were of substantial magnitude. A number of prolactin</w:t>
      </w:r>
      <w:r w:rsidR="00AF64FF">
        <w:t xml:space="preserve"> </w:t>
      </w:r>
      <w:r w:rsidRPr="00EC6F44">
        <w:t xml:space="preserve">related changes were observed in these studies at the LD: in mice (25 mg/kg/day; ER 0.4 in males and 0.6 in females, respectively), mammary gland hyperplasia, changes in oestrous cycling and vaginal epithelium, uterine atrophy and increased body weight gain in females; in rats (0.03 mg/kg/day; ER ~0.03 </w:t>
      </w:r>
      <w:r w:rsidR="00061103">
        <w:t>[</w:t>
      </w:r>
      <w:r w:rsidRPr="00EC6F44">
        <w:t xml:space="preserve">extrapolated from </w:t>
      </w:r>
      <w:proofErr w:type="spellStart"/>
      <w:r w:rsidRPr="00EC6F44">
        <w:t>toxicokinetic</w:t>
      </w:r>
      <w:proofErr w:type="spellEnd"/>
      <w:r w:rsidRPr="00EC6F44">
        <w:t xml:space="preserve"> data from the carcinogenicity study</w:t>
      </w:r>
      <w:r w:rsidR="00061103">
        <w:t>]</w:t>
      </w:r>
      <w:r w:rsidRPr="00EC6F44">
        <w:t xml:space="preserve">), increases in serum oestradiol and in trabecular bone density in females (in males, </w:t>
      </w:r>
      <w:proofErr w:type="spellStart"/>
      <w:r w:rsidRPr="00EC6F44">
        <w:t>tubuloalveolar</w:t>
      </w:r>
      <w:proofErr w:type="spellEnd"/>
      <w:r w:rsidRPr="00EC6F44">
        <w:t xml:space="preserve"> pattern in the mammary gland was observed at MD1 </w:t>
      </w:r>
      <w:r w:rsidR="002A5023">
        <w:t>[</w:t>
      </w:r>
      <w:r w:rsidRPr="00EC6F44">
        <w:t>1 mg/kg/day</w:t>
      </w:r>
      <w:r w:rsidR="002A5023">
        <w:t>]</w:t>
      </w:r>
      <w:r w:rsidRPr="00EC6F44">
        <w:t>); in dogs (30 mg/kg/day, ER 9), lactation, mammary gland changes and small ovaries in females</w:t>
      </w:r>
      <w:r w:rsidR="00681553">
        <w:t xml:space="preserve"> and prostatic atrophy in males</w:t>
      </w:r>
      <w:r w:rsidRPr="00EC6F44">
        <w:t xml:space="preserve">; in monkeys, there were no </w:t>
      </w:r>
      <w:proofErr w:type="spellStart"/>
      <w:r w:rsidRPr="00EC6F44">
        <w:t>hyperprolactinaemia</w:t>
      </w:r>
      <w:proofErr w:type="spellEnd"/>
      <w:r w:rsidR="002A5023">
        <w:t xml:space="preserve"> </w:t>
      </w:r>
      <w:r w:rsidRPr="00EC6F44">
        <w:t>induced changes at</w:t>
      </w:r>
      <w:r w:rsidR="00BD4594">
        <w:t xml:space="preserve"> the LD (2 mg/kg/day, ER 0.02).</w:t>
      </w:r>
    </w:p>
    <w:p w:rsidR="00EC6F44" w:rsidRPr="00EC6F44" w:rsidRDefault="00EC6F44" w:rsidP="00BD4594">
      <w:r w:rsidRPr="00EC6F44">
        <w:t>Mice and rats were highly sensitive to the effects of lurasidone</w:t>
      </w:r>
      <w:r w:rsidR="00681553">
        <w:t xml:space="preserve"> </w:t>
      </w:r>
      <w:r w:rsidRPr="00EC6F44">
        <w:t xml:space="preserve">induced </w:t>
      </w:r>
      <w:proofErr w:type="spellStart"/>
      <w:r w:rsidRPr="00EC6F44">
        <w:t>hyperprolactinaemia</w:t>
      </w:r>
      <w:proofErr w:type="spellEnd"/>
      <w:r w:rsidRPr="00EC6F44">
        <w:t xml:space="preserve"> because of the large magnitude of the increases in prolactin in these species compared with the much smaller increases observed in dogs and monkeys. Increases in serum prolactin were observed in clinical studies, although the Clinical Expert Report noted that ‘clinically relevant’ increases in prolactin were not observed with lurasidone treatment in the short and long</w:t>
      </w:r>
      <w:r w:rsidR="00602AA5">
        <w:t xml:space="preserve"> </w:t>
      </w:r>
      <w:r w:rsidRPr="00EC6F44">
        <w:t xml:space="preserve">term Phase </w:t>
      </w:r>
      <w:r w:rsidR="00602AA5">
        <w:t>II/III</w:t>
      </w:r>
      <w:r w:rsidRPr="00EC6F44">
        <w:t xml:space="preserve"> studies. Given this species difference, it would be reasonable to predict that the </w:t>
      </w:r>
      <w:proofErr w:type="spellStart"/>
      <w:r w:rsidRPr="00EC6F44">
        <w:t>hyperprolactinaemia</w:t>
      </w:r>
      <w:proofErr w:type="spellEnd"/>
      <w:r w:rsidR="00DA6F2A">
        <w:t xml:space="preserve"> </w:t>
      </w:r>
      <w:r w:rsidRPr="00EC6F44">
        <w:t>related changes observed in the nonclinical studies would be unlikely to present a clinical risk (see further discussion below under ‘Carcinogenicity’).</w:t>
      </w:r>
    </w:p>
    <w:p w:rsidR="00EC6F44" w:rsidRPr="00EC6F44" w:rsidRDefault="00EC6F44" w:rsidP="00BD4594">
      <w:r w:rsidRPr="00EC6F44">
        <w:t xml:space="preserve">Recovery or partial recovery was observed for all changes </w:t>
      </w:r>
      <w:r w:rsidR="00DA6F2A">
        <w:t>seen in the rat 13</w:t>
      </w:r>
      <w:r w:rsidRPr="00EC6F44">
        <w:t xml:space="preserve"> (main and NOAEL) and 26</w:t>
      </w:r>
      <w:r w:rsidR="00DA6F2A">
        <w:t xml:space="preserve"> </w:t>
      </w:r>
      <w:r w:rsidRPr="00EC6F44">
        <w:t>week studies. There were few findings at</w:t>
      </w:r>
      <w:r w:rsidR="00586DB8">
        <w:t xml:space="preserve"> the end of treatment in the 13 </w:t>
      </w:r>
      <w:r w:rsidRPr="00EC6F44">
        <w:t>week monkey study, but serum prolactin levels had returned to control levels at the end of the recovery period and there were few clinical signs obser</w:t>
      </w:r>
      <w:r w:rsidR="00BD4594">
        <w:t>ved during the recovery period.</w:t>
      </w:r>
    </w:p>
    <w:p w:rsidR="00EC6F44" w:rsidRPr="001258AE" w:rsidRDefault="00EC6F44" w:rsidP="00BD4594">
      <w:pPr>
        <w:pStyle w:val="Heading4"/>
      </w:pPr>
      <w:bookmarkStart w:id="57" w:name="_Toc294861729"/>
      <w:proofErr w:type="spellStart"/>
      <w:r w:rsidRPr="00BD4594">
        <w:t>Genotoxicity</w:t>
      </w:r>
      <w:bookmarkEnd w:id="57"/>
      <w:proofErr w:type="spellEnd"/>
    </w:p>
    <w:p w:rsidR="00EC6F44" w:rsidRPr="00EC6F44" w:rsidRDefault="00EC6F44" w:rsidP="00BD4594">
      <w:r w:rsidRPr="00EC6F44">
        <w:t xml:space="preserve">An acceptable set of </w:t>
      </w:r>
      <w:proofErr w:type="spellStart"/>
      <w:r w:rsidRPr="00EC6F44">
        <w:t>genotoxicity</w:t>
      </w:r>
      <w:proofErr w:type="spellEnd"/>
      <w:r w:rsidRPr="00EC6F44">
        <w:t xml:space="preserve"> studies compliant with relevant guidelines was submitted (a bacterial reverse mutation assay, a chromosome aberration assay in Chinese hamster lung cells </w:t>
      </w:r>
      <w:r w:rsidRPr="00586DB8">
        <w:rPr>
          <w:i/>
        </w:rPr>
        <w:t>in vitro</w:t>
      </w:r>
      <w:r w:rsidRPr="00EC6F44">
        <w:t xml:space="preserve"> and an </w:t>
      </w:r>
      <w:r w:rsidRPr="00586DB8">
        <w:rPr>
          <w:i/>
        </w:rPr>
        <w:t>in vivo</w:t>
      </w:r>
      <w:r w:rsidRPr="00EC6F44">
        <w:t xml:space="preserve"> mouse micronucleus test). All studies were </w:t>
      </w:r>
      <w:r w:rsidRPr="00EC6F44">
        <w:lastRenderedPageBreak/>
        <w:t xml:space="preserve">adequately conducted and used appropriate concentrations/doses. Thus, the highest concentrations required to be tested were used in the bacterial reverse mutation assay (5 mg/plate), and the </w:t>
      </w:r>
      <w:r w:rsidRPr="00561A49">
        <w:rPr>
          <w:i/>
        </w:rPr>
        <w:t>in vitro</w:t>
      </w:r>
      <w:r w:rsidRPr="00EC6F44">
        <w:t xml:space="preserve"> chromosome aberration assay (+S9) (5 mg/mL). In the chromosome aberration assay (-S9), cytotoxicity testing revealed that relative cell growth was ≤51% at 313 µg/mL, suggesting that the required reduction of ≥50% would have been achieved at the highest concentration tested (400 µg/mL). A dose of up to 2 g/kg in the mouse micronucleus test was appropriate; it would a</w:t>
      </w:r>
      <w:r w:rsidR="00561A49">
        <w:t xml:space="preserve">chieve high exposure but a dose </w:t>
      </w:r>
      <w:r w:rsidRPr="00EC6F44">
        <w:t xml:space="preserve">finding study revealed that it was not associated with any deaths (consistent with the single dose toxicity data for rats). Positive controls confirmed the sensitivity of all assays, appropriate metabolic activation was used in the </w:t>
      </w:r>
      <w:r w:rsidRPr="00561A49">
        <w:rPr>
          <w:i/>
        </w:rPr>
        <w:t>in vitro</w:t>
      </w:r>
      <w:r w:rsidRPr="00EC6F44">
        <w:t xml:space="preserve"> studies and the bacterial reverse mutation assay included a strain that will detect point mutations at A-T sites. Males only were used in the micronucleus test. This is considered acceptable since there was no evidence from the toxicity studies of a gender difference in toxicity, although </w:t>
      </w:r>
      <w:proofErr w:type="spellStart"/>
      <w:r w:rsidRPr="00EC6F44">
        <w:t>toxicokinetic</w:t>
      </w:r>
      <w:proofErr w:type="spellEnd"/>
      <w:r w:rsidRPr="00EC6F44">
        <w:t xml:space="preserve"> data revealed higher exposure in females than males. All studies gave negative results.</w:t>
      </w:r>
    </w:p>
    <w:p w:rsidR="00EC6F44" w:rsidRPr="00BD4594" w:rsidRDefault="00EC6F44" w:rsidP="00BD4594">
      <w:pPr>
        <w:pStyle w:val="Heading4"/>
      </w:pPr>
      <w:bookmarkStart w:id="58" w:name="_Toc294861730"/>
      <w:r w:rsidRPr="001258AE">
        <w:t>Carcinogenicity</w:t>
      </w:r>
      <w:bookmarkEnd w:id="58"/>
    </w:p>
    <w:p w:rsidR="00EC6F44" w:rsidRPr="00EC6F44" w:rsidRDefault="00EC6F44" w:rsidP="00BD4594">
      <w:r w:rsidRPr="00EC6F44">
        <w:t>Two year oral carcinogenicity studies were conducted in mice and rats in compliance with guidelines. Both studies included two vehicle control groups and 3 (rat) or 4 (mouse) dose levels. High dose selection in the mouse study was ‘aggressive’, although in line with a lack of target organ toxicity in the 13</w:t>
      </w:r>
      <w:r w:rsidR="006F6685">
        <w:t xml:space="preserve"> </w:t>
      </w:r>
      <w:r w:rsidRPr="00EC6F44">
        <w:t xml:space="preserve">week study beyond clinical signs of </w:t>
      </w:r>
      <w:proofErr w:type="spellStart"/>
      <w:r w:rsidRPr="00EC6F44">
        <w:t>hypoactivity</w:t>
      </w:r>
      <w:proofErr w:type="spellEnd"/>
      <w:r w:rsidRPr="00EC6F44">
        <w:t xml:space="preserve"> and changes associated with </w:t>
      </w:r>
      <w:proofErr w:type="spellStart"/>
      <w:r w:rsidRPr="00EC6F44">
        <w:t>hyperprolactinaemia</w:t>
      </w:r>
      <w:proofErr w:type="spellEnd"/>
      <w:r w:rsidRPr="00EC6F44">
        <w:t>. Initial doses were 1200 and 650 mg/kg/day in males and females, respectively; these doses were both above the HD in the 13</w:t>
      </w:r>
      <w:r w:rsidR="000916BF">
        <w:t xml:space="preserve"> </w:t>
      </w:r>
      <w:r w:rsidRPr="00EC6F44">
        <w:t>week study (500 mg/kg/day) while the male dose w</w:t>
      </w:r>
      <w:r w:rsidR="00B9792D">
        <w:t xml:space="preserve">as above the high dose in the 2 </w:t>
      </w:r>
      <w:r w:rsidRPr="00EC6F44">
        <w:t>week study (1000 mg/kg/day) which was associated with reduced food intake and body weight gain. The HD in males was reduced to 650 mg/kg/day on day 410 because of a more rapid decline in survival in this group compared to controls. In rats, a high dose of 50 mg/kg/day was chosen for both males and females. This seemed an appropriate choice given that HD in the 26</w:t>
      </w:r>
      <w:r w:rsidR="00B9792D">
        <w:t xml:space="preserve"> </w:t>
      </w:r>
      <w:r w:rsidRPr="00EC6F44">
        <w:t xml:space="preserve">week toxicity study (100 mg/kg/day) resulted in significant reductions in body weight gain and clinical signs (including catalepsy) but was without target organ toxicity (except as associated with </w:t>
      </w:r>
      <w:proofErr w:type="spellStart"/>
      <w:r w:rsidRPr="00EC6F44">
        <w:t>hyperprolactinaemia</w:t>
      </w:r>
      <w:proofErr w:type="spellEnd"/>
      <w:r w:rsidRPr="00EC6F44">
        <w:t>). The HD of 50 mg/kg/day, however, was reduced (to 36 mg/kg/day) on day 403/404; the reason was not given, but was probably due to low body weight gains.</w:t>
      </w:r>
    </w:p>
    <w:p w:rsidR="00EC6F44" w:rsidRPr="00EC6F44" w:rsidRDefault="00EC6F44" w:rsidP="00BD4594">
      <w:r w:rsidRPr="00EC6F44">
        <w:t>In female mice, there was a clear dose</w:t>
      </w:r>
      <w:r w:rsidR="00F8303F">
        <w:t xml:space="preserve"> </w:t>
      </w:r>
      <w:r w:rsidRPr="00EC6F44">
        <w:t xml:space="preserve">related increase in the incidence of pituitary adenomas (pars </w:t>
      </w:r>
      <w:proofErr w:type="spellStart"/>
      <w:r w:rsidRPr="00EC6F44">
        <w:t>distalis</w:t>
      </w:r>
      <w:proofErr w:type="spellEnd"/>
      <w:r w:rsidRPr="00EC6F44">
        <w:t xml:space="preserve">; benign), while rats were not affected. Tumours of the mammary gland were increased in incidence in female mice and rats. The incidence of carcinomas (malignant) was increased in both species. Additionally in mice, the incidence of </w:t>
      </w:r>
      <w:proofErr w:type="spellStart"/>
      <w:r w:rsidRPr="00EC6F44">
        <w:t>adenocanthomas</w:t>
      </w:r>
      <w:proofErr w:type="spellEnd"/>
      <w:r w:rsidRPr="00EC6F44">
        <w:t xml:space="preserve"> (malignant) was also increased and there was a small increase in the incidence of </w:t>
      </w:r>
      <w:proofErr w:type="spellStart"/>
      <w:r w:rsidRPr="00EC6F44">
        <w:t>carcinosarcomas</w:t>
      </w:r>
      <w:proofErr w:type="spellEnd"/>
      <w:r w:rsidRPr="00EC6F44">
        <w:t xml:space="preserve"> (malignant). The incidence of mammary gland carcinomas was dose related in rats, whereas in mice, incidences of mammary carcinomas and </w:t>
      </w:r>
      <w:proofErr w:type="spellStart"/>
      <w:r w:rsidRPr="00EC6F44">
        <w:t>adenocanthomas</w:t>
      </w:r>
      <w:proofErr w:type="spellEnd"/>
      <w:r w:rsidRPr="00EC6F44">
        <w:t xml:space="preserve"> were not linear, with incidences declining at the highest dose. A low incidence of mammary gland carcinomas was observed in male rats, which was not clearly dose related; these increases were not significant and it is not clear whether they were incidental or could be ascribed to drug treatment. No other tumours were increased in incidence in male rats. In male mice, there were no increases in tumour incidences in any organ. The ERs achieved at the HD in male mice and ra</w:t>
      </w:r>
      <w:r w:rsidR="00BD4594">
        <w:t>ts were 14 and 6, respectively.</w:t>
      </w:r>
    </w:p>
    <w:p w:rsidR="00EC6F44" w:rsidRPr="00EC6F44" w:rsidRDefault="00EC6F44" w:rsidP="00BD4594">
      <w:r w:rsidRPr="00EC6F44">
        <w:t>In mice, both the mammary gland carcinomas and the pituitary adenomas are common tumours and a cut off P value of P</w:t>
      </w:r>
      <w:r w:rsidR="00F8303F">
        <w:t xml:space="preserve"> </w:t>
      </w:r>
      <w:r w:rsidRPr="00EC6F44">
        <w:t>=</w:t>
      </w:r>
      <w:r w:rsidR="00F8303F">
        <w:t xml:space="preserve"> </w:t>
      </w:r>
      <w:r w:rsidRPr="00EC6F44">
        <w:t xml:space="preserve">0.005 for these tumour types was therefore used. In mice, both these tumour types showed highly significant positive trends </w:t>
      </w:r>
      <w:r w:rsidR="00696A56">
        <w:t>versus</w:t>
      </w:r>
      <w:r w:rsidRPr="00EC6F44">
        <w:t xml:space="preserve"> both control groups, while </w:t>
      </w:r>
      <w:proofErr w:type="spellStart"/>
      <w:r w:rsidRPr="00EC6F44">
        <w:t>adenocanthomas</w:t>
      </w:r>
      <w:proofErr w:type="spellEnd"/>
      <w:r w:rsidRPr="00EC6F44">
        <w:t xml:space="preserve"> showed a significant positive trend at the 0.01 level (for rare tumours) only </w:t>
      </w:r>
      <w:r w:rsidR="00696A56">
        <w:t>versus</w:t>
      </w:r>
      <w:r w:rsidRPr="00EC6F44">
        <w:t xml:space="preserve"> control group 2. Although pairwise comparisons did not show statistical significance for the increased incidences of mammary gland carcinomas and the pituitary adenomas at the LD (30 mg/kg/day), this evaluator </w:t>
      </w:r>
      <w:r w:rsidRPr="00EC6F44">
        <w:lastRenderedPageBreak/>
        <w:t xml:space="preserve">considers that the increases at this dose were biologically significant for both these tumour types, and therefore that no NOAEL for these tumour types has been demonstrated. For pairwise comparisons, the mammary gland </w:t>
      </w:r>
      <w:proofErr w:type="spellStart"/>
      <w:r w:rsidRPr="00EC6F44">
        <w:t>adenocanthomas</w:t>
      </w:r>
      <w:proofErr w:type="spellEnd"/>
      <w:r w:rsidRPr="00EC6F44">
        <w:t xml:space="preserve"> showed statistical significance at the LD, MD2 and HD only </w:t>
      </w:r>
      <w:r w:rsidR="00696A56">
        <w:t>versus</w:t>
      </w:r>
      <w:r w:rsidRPr="00EC6F44">
        <w:t xml:space="preserve"> control group 2, but this evaluator considers that biologically significant increases were observed for this tumour type at the LD and therefore, again, that no NOAEL has been demonstrated. While increases in incidences of mammary gland </w:t>
      </w:r>
      <w:proofErr w:type="spellStart"/>
      <w:r w:rsidRPr="00EC6F44">
        <w:t>carcinosarcomas</w:t>
      </w:r>
      <w:proofErr w:type="spellEnd"/>
      <w:r w:rsidRPr="00EC6F44">
        <w:t xml:space="preserve"> were not statistically significant, this evaluator considers that all increases observed for this rare tumour we</w:t>
      </w:r>
      <w:r w:rsidR="00BA3A30">
        <w:t>re biologically significant (that is,</w:t>
      </w:r>
      <w:r w:rsidRPr="00EC6F44">
        <w:t xml:space="preserve"> at ≥MD1 </w:t>
      </w:r>
      <w:r w:rsidR="0093472E">
        <w:t>[</w:t>
      </w:r>
      <w:r w:rsidRPr="00EC6F44">
        <w:t>100 mg/kg/day</w:t>
      </w:r>
      <w:r w:rsidR="0093472E">
        <w:t>]</w:t>
      </w:r>
      <w:r w:rsidRPr="00EC6F44">
        <w:t>). The ER for females at the LD in the mouse</w:t>
      </w:r>
      <w:r w:rsidR="00BD4594">
        <w:t xml:space="preserve"> carcinogenicity study was 1.2.</w:t>
      </w:r>
    </w:p>
    <w:p w:rsidR="00EC6F44" w:rsidRPr="00EC6F44" w:rsidRDefault="00EC6F44" w:rsidP="00EC6F44">
      <w:r w:rsidRPr="00EC6F44">
        <w:t>In rats, female mammary gland carcinomas showed a significant (at the 0.005 level) positive trend and a significant pairwise comparison for the HD (50/36 mg/kg/day) compared to control group 2 (but not control group 1). This evaluator considers that a biologically significant increase was observed for this tumour type at the MD (12 mg/kg/day) at which the ER was 2.0 (ER was 0.4 at the LD which is considered the NOAEL).</w:t>
      </w:r>
    </w:p>
    <w:p w:rsidR="00EC6F44" w:rsidRPr="00EC6F44" w:rsidRDefault="00EC6F44" w:rsidP="00BD4594">
      <w:r w:rsidRPr="00EC6F44">
        <w:t>The mammary gland tumours in mice, but not rats, were</w:t>
      </w:r>
      <w:r w:rsidR="0093472E">
        <w:t xml:space="preserve"> associated with a broadly dose </w:t>
      </w:r>
      <w:r w:rsidRPr="00EC6F44">
        <w:t>related increase in the incidence of mammary gland hyperplasia while the pituitary tumours in mice were associated with a dose</w:t>
      </w:r>
      <w:r w:rsidR="0093472E">
        <w:t xml:space="preserve"> </w:t>
      </w:r>
      <w:r w:rsidRPr="00EC6F44">
        <w:t xml:space="preserve">related increase in the incidence of pituitary (pars </w:t>
      </w:r>
      <w:proofErr w:type="spellStart"/>
      <w:r w:rsidRPr="00EC6F44">
        <w:t>distalis</w:t>
      </w:r>
      <w:proofErr w:type="spellEnd"/>
      <w:r w:rsidRPr="00EC6F44">
        <w:t xml:space="preserve">) hyperplasia. All these tumours are likely to be associated with </w:t>
      </w:r>
      <w:proofErr w:type="spellStart"/>
      <w:r w:rsidRPr="00EC6F44">
        <w:t>hyperprolactinaemia</w:t>
      </w:r>
      <w:proofErr w:type="spellEnd"/>
      <w:r w:rsidRPr="00EC6F44">
        <w:t xml:space="preserve"> and have been commonly observed with other dopamine receptor antagonist antipsychotic drugs in long</w:t>
      </w:r>
      <w:r w:rsidR="0093472E">
        <w:t xml:space="preserve"> </w:t>
      </w:r>
      <w:r w:rsidRPr="00EC6F44">
        <w:t xml:space="preserve">term </w:t>
      </w:r>
      <w:r w:rsidR="00BD4594">
        <w:t>rodent carcinogenicity studies.</w:t>
      </w:r>
    </w:p>
    <w:p w:rsidR="00EC6F44" w:rsidRPr="00EC6F44" w:rsidRDefault="00EC6F44" w:rsidP="00BD4594">
      <w:r w:rsidRPr="00EC6F44">
        <w:t>The significance of rodent mammary tumours to human risk assessment is hotly debated. It has been argued recently</w:t>
      </w:r>
      <w:r w:rsidR="00F53DF3">
        <w:rPr>
          <w:rStyle w:val="FootnoteReference"/>
        </w:rPr>
        <w:footnoteReference w:id="20"/>
      </w:r>
      <w:r w:rsidRPr="00EC6F44">
        <w:t xml:space="preserve"> that prolactin is tumorigenic to human breast </w:t>
      </w:r>
      <w:proofErr w:type="gramStart"/>
      <w:r w:rsidRPr="00EC6F44">
        <w:t>tissu</w:t>
      </w:r>
      <w:r w:rsidR="00F53DF3">
        <w:t>e,</w:t>
      </w:r>
      <w:proofErr w:type="gramEnd"/>
      <w:r w:rsidR="00F53DF3">
        <w:t xml:space="preserve"> whereas </w:t>
      </w:r>
      <w:proofErr w:type="spellStart"/>
      <w:r w:rsidR="00F53DF3">
        <w:t>Gopinath</w:t>
      </w:r>
      <w:proofErr w:type="spellEnd"/>
      <w:r w:rsidR="00F53DF3">
        <w:t xml:space="preserve"> and colleagues</w:t>
      </w:r>
      <w:r w:rsidR="004E5658">
        <w:rPr>
          <w:rStyle w:val="FootnoteReference"/>
        </w:rPr>
        <w:footnoteReference w:id="21"/>
      </w:r>
      <w:r w:rsidRPr="00EC6F44">
        <w:t xml:space="preserve"> had previously suggested that prolactin</w:t>
      </w:r>
      <w:r w:rsidR="00D50B0C">
        <w:t xml:space="preserve"> </w:t>
      </w:r>
      <w:r w:rsidRPr="00EC6F44">
        <w:t>induced rodent mammary carcinogenesis was mechanistically species</w:t>
      </w:r>
      <w:r w:rsidR="00D50B0C">
        <w:t xml:space="preserve"> </w:t>
      </w:r>
      <w:r w:rsidRPr="00EC6F44">
        <w:t>specific. The clinical and epidemiological evidence of a prolactin association with breast cancer</w:t>
      </w:r>
      <w:r w:rsidR="00D50B0C">
        <w:rPr>
          <w:rStyle w:val="FootnoteReference"/>
        </w:rPr>
        <w:footnoteReference w:id="22"/>
      </w:r>
      <w:r w:rsidRPr="00EC6F44">
        <w:t xml:space="preserve"> is broad and does not relate specifically to increases in breast cancer following chronic administration of antipsychotic drugs. Whilst it would appear that prolactin</w:t>
      </w:r>
      <w:r w:rsidR="00D50B0C">
        <w:t xml:space="preserve"> </w:t>
      </w:r>
      <w:r w:rsidRPr="00EC6F44">
        <w:t>induced mammary tumours are not rodent</w:t>
      </w:r>
      <w:r w:rsidR="00D50B0C">
        <w:t xml:space="preserve"> </w:t>
      </w:r>
      <w:r w:rsidRPr="00EC6F44">
        <w:t>specific, and exposure ratios based on plasma lurasidone concentrations suggest little margin of safety, there are likely to be substantial differences in sensitivity between humans and rodents to these carcinogenic effects (pituitary, as well as mammary), particularly relating to the magnitude of the serum prolactin increases induced, but there may also be species differences in responses to prolactin, for example, due to differences in the concentration of prolactin receptors on the mammary cancer cells. This issue, well known for this drug class, has not yet been definitively resolved and, although the clinical risk associated with the prolactin</w:t>
      </w:r>
      <w:r w:rsidR="004B17E4">
        <w:t xml:space="preserve"> </w:t>
      </w:r>
      <w:r w:rsidRPr="00EC6F44">
        <w:t xml:space="preserve">associated tumours in rodents is considered to be small, appropriate warning statements are nevertheless routinely included in the </w:t>
      </w:r>
      <w:r w:rsidR="00B84EF1">
        <w:t>PI</w:t>
      </w:r>
      <w:r w:rsidRPr="00EC6F44">
        <w:t xml:space="preserve"> documents.</w:t>
      </w:r>
    </w:p>
    <w:p w:rsidR="00EC6F44" w:rsidRPr="00BD4594" w:rsidRDefault="00EC6F44" w:rsidP="00BD4594">
      <w:pPr>
        <w:pStyle w:val="Heading4"/>
      </w:pPr>
      <w:r>
        <w:lastRenderedPageBreak/>
        <w:t>Reproductive toxicity</w:t>
      </w:r>
    </w:p>
    <w:p w:rsidR="00EC6F44" w:rsidRPr="00EC6F44" w:rsidRDefault="00EC6F44" w:rsidP="00BD4594">
      <w:r w:rsidRPr="00EC6F44">
        <w:t>An adequate set of reproductive toxicity studies was submitted, all using the oral (clinical) route. The package comprised fertility studies in male and female rats, embryof</w:t>
      </w:r>
      <w:r w:rsidR="00511DBD">
        <w:t>o</w:t>
      </w:r>
      <w:r w:rsidRPr="00EC6F44">
        <w:t>etal development studie</w:t>
      </w:r>
      <w:r w:rsidR="006F629E">
        <w:t>s in rats and rabbits and a pre</w:t>
      </w:r>
      <w:r w:rsidRPr="00EC6F44">
        <w:t>/postnatal study in rats. All studies were appropriately designed and conducted. Group sizes were adequate, and timing and duration of treatment and parameters examined were appropriate. Doses used were appropriate, with 150 mg/kg/day being the HD for both the male and female fertility studies (appropriate based on results of the 13</w:t>
      </w:r>
      <w:r w:rsidR="00F241B9">
        <w:t xml:space="preserve"> </w:t>
      </w:r>
      <w:r w:rsidRPr="00EC6F44">
        <w:t>week toxicity study). The pilot rat embryof</w:t>
      </w:r>
      <w:r w:rsidR="002225D1">
        <w:t>o</w:t>
      </w:r>
      <w:r w:rsidRPr="00EC6F44">
        <w:t>etal development study revealed that pregnant rats were more susceptible to lurasidone</w:t>
      </w:r>
      <w:r w:rsidR="002225D1">
        <w:t xml:space="preserve"> </w:t>
      </w:r>
      <w:r w:rsidRPr="00EC6F44">
        <w:t xml:space="preserve">induced body weight loss/reduced gain than </w:t>
      </w:r>
      <w:proofErr w:type="spellStart"/>
      <w:r w:rsidRPr="00EC6F44">
        <w:t>non</w:t>
      </w:r>
      <w:r w:rsidR="00F241B9">
        <w:t xml:space="preserve"> </w:t>
      </w:r>
      <w:r w:rsidRPr="00EC6F44">
        <w:t>pregnant</w:t>
      </w:r>
      <w:proofErr w:type="spellEnd"/>
      <w:r w:rsidRPr="00EC6F44">
        <w:t xml:space="preserve"> females. Consequently, the HD selected for the rat embryof</w:t>
      </w:r>
      <w:r w:rsidR="002225D1">
        <w:t>o</w:t>
      </w:r>
      <w:r w:rsidRPr="00EC6F44">
        <w:t>etal development study was 25 mg/kg/day, which, although relatively conservative, was, together with the LD and MD (3 and 10 mg/kg/day), associated with small but significant decreases in body weight gain over the treatment period. Doses in the rabbit embryof</w:t>
      </w:r>
      <w:r w:rsidR="002225D1">
        <w:t>o</w:t>
      </w:r>
      <w:r w:rsidRPr="00EC6F44">
        <w:t>etal development study (2, 10 and 50 mg/kg/day) were appropriate; they were based on the results of the 2</w:t>
      </w:r>
      <w:r w:rsidR="00F241B9">
        <w:t xml:space="preserve"> </w:t>
      </w:r>
      <w:r w:rsidRPr="00EC6F44">
        <w:t xml:space="preserve">week toxicity study in </w:t>
      </w:r>
      <w:proofErr w:type="spellStart"/>
      <w:r w:rsidRPr="00EC6F44">
        <w:t>non</w:t>
      </w:r>
      <w:r w:rsidR="00F241B9">
        <w:t xml:space="preserve"> </w:t>
      </w:r>
      <w:r w:rsidRPr="00EC6F44">
        <w:t>pregnant</w:t>
      </w:r>
      <w:proofErr w:type="spellEnd"/>
      <w:r w:rsidRPr="00EC6F44">
        <w:t xml:space="preserve"> rabbits in which body weight losses (not clearly dose related) were observed at doses of 50-200 mg/kg/day, but there were no mortalities, clinical signs or necropsy findings other than development of/swollen mammary glands. In the main study, the higher two doses resulted in significant, but not excessive, losses in maternal body weight over the treatment period. The doses tested in the range</w:t>
      </w:r>
      <w:r w:rsidR="00A32730">
        <w:t xml:space="preserve"> </w:t>
      </w:r>
      <w:r w:rsidRPr="00EC6F44">
        <w:t xml:space="preserve">finding </w:t>
      </w:r>
      <w:r w:rsidR="00A53501">
        <w:t>pre</w:t>
      </w:r>
      <w:r w:rsidRPr="00EC6F44">
        <w:t>/postnatal study were based on the results of the embryof</w:t>
      </w:r>
      <w:r w:rsidR="00B76F57">
        <w:t>o</w:t>
      </w:r>
      <w:r w:rsidRPr="00EC6F44">
        <w:t>etal development study, and doses selected for the main study were appropriate.</w:t>
      </w:r>
    </w:p>
    <w:p w:rsidR="00EC6F44" w:rsidRPr="00EC6F44" w:rsidRDefault="00EC6F44" w:rsidP="00BD4594">
      <w:r w:rsidRPr="00EC6F44">
        <w:t xml:space="preserve">No </w:t>
      </w:r>
      <w:proofErr w:type="spellStart"/>
      <w:r w:rsidRPr="00EC6F44">
        <w:t>toxicokinetic</w:t>
      </w:r>
      <w:proofErr w:type="spellEnd"/>
      <w:r w:rsidRPr="00EC6F44">
        <w:t xml:space="preserve"> data were provided for reproductive studies. Animal/human exposure comparisons have been based on separate kinetic data and comparisons of dose based on body surface area (mg/m</w:t>
      </w:r>
      <w:r w:rsidRPr="00B84EF1">
        <w:rPr>
          <w:vertAlign w:val="superscript"/>
        </w:rPr>
        <w:t>2</w:t>
      </w:r>
      <w:r w:rsidRPr="00EC6F44">
        <w:t>). It appeared that lurasidone crossed the placenta in rats, since after administration of radiolabelled drug to pregnant females, TLC of radioactivity in f</w:t>
      </w:r>
      <w:r w:rsidR="00A32730">
        <w:t>o</w:t>
      </w:r>
      <w:r w:rsidRPr="00EC6F44">
        <w:t>etal serum showed that 22-37% was attributable to paren</w:t>
      </w:r>
      <w:r w:rsidR="00A32730">
        <w:t xml:space="preserve">t drug. Excretion of lurasidone </w:t>
      </w:r>
      <w:r w:rsidRPr="00EC6F44">
        <w:t>associated radioactivity in the milk of lactating rats was very high (</w:t>
      </w:r>
      <w:proofErr w:type="spellStart"/>
      <w:r w:rsidRPr="00EC6F44">
        <w:t>milk</w:t>
      </w:r>
      <w:proofErr w:type="gramStart"/>
      <w:r w:rsidRPr="00EC6F44">
        <w:t>:serum</w:t>
      </w:r>
      <w:proofErr w:type="spellEnd"/>
      <w:proofErr w:type="gramEnd"/>
      <w:r w:rsidRPr="00EC6F44">
        <w:t xml:space="preserve"> radioactivity ratios of about 10-11).</w:t>
      </w:r>
    </w:p>
    <w:p w:rsidR="00EC6F44" w:rsidRPr="00EC6F44" w:rsidRDefault="00EC6F44" w:rsidP="00BD4594">
      <w:r w:rsidRPr="00EC6F44">
        <w:t xml:space="preserve">In rats, no adverse effects of </w:t>
      </w:r>
      <w:r w:rsidR="00EC20AF">
        <w:t>LDH</w:t>
      </w:r>
      <w:r w:rsidRPr="00EC6F44">
        <w:t xml:space="preserve"> treatment on reproductive performance were observed in either the male fertility study or the embr</w:t>
      </w:r>
      <w:r w:rsidR="00B76F57">
        <w:t>y</w:t>
      </w:r>
      <w:r w:rsidRPr="00EC6F44">
        <w:t>of</w:t>
      </w:r>
      <w:r w:rsidR="00B76F57">
        <w:t>o</w:t>
      </w:r>
      <w:r w:rsidRPr="00EC6F44">
        <w:t>etal development study and there was no evidence of teratogenicity. NOAELs were ≥150 mg/kg/day PO in the male fertility study and ≥25 mg/kg/day in the embryof</w:t>
      </w:r>
      <w:r w:rsidR="00B76F57">
        <w:t>o</w:t>
      </w:r>
      <w:r w:rsidRPr="00EC6F44">
        <w:t>etal development study. Although animal numbers were low in the pilot embryof</w:t>
      </w:r>
      <w:r w:rsidR="00B76F57">
        <w:t>o</w:t>
      </w:r>
      <w:r w:rsidRPr="00EC6F44">
        <w:t>etal development study, results suggested no adverse reproductive effects or teratogenic effects occurred at doses up to 100 mg/kg/day. Estimated ER in male rats at 150 mg/kg/day was 9 (according to data from the 2</w:t>
      </w:r>
      <w:r w:rsidR="001A16DB">
        <w:t xml:space="preserve"> </w:t>
      </w:r>
      <w:r w:rsidRPr="00EC6F44">
        <w:t xml:space="preserve">week </w:t>
      </w:r>
      <w:proofErr w:type="spellStart"/>
      <w:r w:rsidRPr="00EC6F44">
        <w:t>toxicokinetic</w:t>
      </w:r>
      <w:proofErr w:type="spellEnd"/>
      <w:r w:rsidR="001A16DB">
        <w:t xml:space="preserve"> study), and this HD was also 9 fold</w:t>
      </w:r>
      <w:r w:rsidRPr="00EC6F44">
        <w:t xml:space="preserve"> the MRHD based on body surface area. ER in female rats at 25 mg/kg/day was estimated to be 4 (</w:t>
      </w:r>
      <w:proofErr w:type="spellStart"/>
      <w:r w:rsidRPr="00EC6F44">
        <w:t>non</w:t>
      </w:r>
      <w:r w:rsidR="006000BF">
        <w:t xml:space="preserve"> </w:t>
      </w:r>
      <w:r w:rsidRPr="00EC6F44">
        <w:t>pregnant</w:t>
      </w:r>
      <w:proofErr w:type="spellEnd"/>
      <w:r w:rsidRPr="00EC6F44">
        <w:t>, extrapolated from data from the 2</w:t>
      </w:r>
      <w:r w:rsidR="006000BF">
        <w:t xml:space="preserve"> </w:t>
      </w:r>
      <w:r w:rsidRPr="00EC6F44">
        <w:t xml:space="preserve">week </w:t>
      </w:r>
      <w:proofErr w:type="spellStart"/>
      <w:r w:rsidRPr="00EC6F44">
        <w:t>toxicokinetic</w:t>
      </w:r>
      <w:proofErr w:type="spellEnd"/>
      <w:r w:rsidRPr="00EC6F44">
        <w:t xml:space="preserve"> study at </w:t>
      </w:r>
      <w:r w:rsidR="006000BF">
        <w:t>36 mg/kg/day); this dose was ~</w:t>
      </w:r>
      <w:r w:rsidRPr="00EC6F44">
        <w:t>1.5 times the MRHD based on body surface area. Thus, despite the</w:t>
      </w:r>
      <w:r w:rsidR="006000BF">
        <w:t xml:space="preserve"> profound effects of lurasidone </w:t>
      </w:r>
      <w:r w:rsidRPr="00EC6F44">
        <w:t xml:space="preserve">induced </w:t>
      </w:r>
      <w:proofErr w:type="spellStart"/>
      <w:r w:rsidRPr="00EC6F44">
        <w:t>hyperprolactinaemia</w:t>
      </w:r>
      <w:proofErr w:type="spellEnd"/>
      <w:r w:rsidRPr="00EC6F44">
        <w:t xml:space="preserve"> on the female reproductive system in rats as revealed in the repeat</w:t>
      </w:r>
      <w:r w:rsidR="006000BF">
        <w:t xml:space="preserve"> </w:t>
      </w:r>
      <w:r w:rsidRPr="00EC6F44">
        <w:t>dose toxicity studies, administration of lurasidone over the period of organogenesis in pregnant rats at doses achieving relatively low, but acceptable exposures, was without effect. Although effects were observed on the reproductive organs in the dog, including prostatic atrophy and testicular tubular seminiferous tubule atrophy, the ERs at which these were observed were high (9-21) and therefore the effects are not considered clinically relevant.</w:t>
      </w:r>
    </w:p>
    <w:p w:rsidR="00FB5ECD" w:rsidRDefault="00EC6F44" w:rsidP="00BD4594">
      <w:r w:rsidRPr="00EC6F44">
        <w:t xml:space="preserve">Oestrous cycling was altered in the repeat-dose toxicity </w:t>
      </w:r>
      <w:r w:rsidR="00964C32">
        <w:t>studies in rats (all studies, 2, 13 [</w:t>
      </w:r>
      <w:r w:rsidRPr="00EC6F44">
        <w:t>main and NOAEL</w:t>
      </w:r>
      <w:r w:rsidR="00964C32">
        <w:t>]</w:t>
      </w:r>
      <w:r w:rsidRPr="00EC6F44">
        <w:t xml:space="preserve"> and 26</w:t>
      </w:r>
      <w:r w:rsidR="00964C32">
        <w:t xml:space="preserve"> </w:t>
      </w:r>
      <w:r w:rsidRPr="00EC6F44">
        <w:t xml:space="preserve">weeks), and therefore it was not surprising to find effects of lurasidone treatment on fertility in the fertility study in female rats. In this study, oestrus was prolonged at doses ≥1.5 mg/kg/day and mating was significantly reduced at the HD (150 mg/kg/day) with 32% of females at this </w:t>
      </w:r>
      <w:proofErr w:type="spellStart"/>
      <w:r w:rsidRPr="00EC6F44">
        <w:t>dose</w:t>
      </w:r>
      <w:proofErr w:type="spellEnd"/>
      <w:r w:rsidRPr="00EC6F44">
        <w:t xml:space="preserve"> not mating after 15 days of treatment. </w:t>
      </w:r>
      <w:r w:rsidRPr="00EC6F44">
        <w:lastRenderedPageBreak/>
        <w:t>Further, the proportion of females mating in the second week of cohabitation rather than the first week was increased at ≥1.5 mg/kg/day and fertility of the HD females that did mate was</w:t>
      </w:r>
      <w:r w:rsidR="00964C32">
        <w:t xml:space="preserve"> reduced (fertility index 60% compared to</w:t>
      </w:r>
      <w:r w:rsidRPr="00EC6F44">
        <w:t xml:space="preserve"> 82-91% for the other groups, although this was not significant). There were also some adverse effects on litter parameters at the HD (reductions in the number of corpora </w:t>
      </w:r>
      <w:proofErr w:type="spellStart"/>
      <w:r w:rsidRPr="00EC6F44">
        <w:t>lutea</w:t>
      </w:r>
      <w:proofErr w:type="spellEnd"/>
      <w:r w:rsidRPr="00EC6F44">
        <w:t>, implantations and live f</w:t>
      </w:r>
      <w:r w:rsidR="00B76F57">
        <w:t>o</w:t>
      </w:r>
      <w:r w:rsidRPr="00EC6F44">
        <w:t xml:space="preserve">etuses/dam and in the number of ossified </w:t>
      </w:r>
      <w:proofErr w:type="spellStart"/>
      <w:r w:rsidRPr="00EC6F44">
        <w:t>sacrococcygeal</w:t>
      </w:r>
      <w:proofErr w:type="spellEnd"/>
      <w:r w:rsidRPr="00EC6F44">
        <w:t xml:space="preserve"> vertebral bodies). However, these effects on mating and fertility were reversible. This was demonstr</w:t>
      </w:r>
      <w:r w:rsidR="00FB5ECD">
        <w:t>ated in 2 groups of females:</w:t>
      </w:r>
    </w:p>
    <w:p w:rsidR="00FB5ECD" w:rsidRDefault="00EC6F44" w:rsidP="00BD4594">
      <w:pPr>
        <w:pStyle w:val="ListBullet"/>
      </w:pPr>
      <w:r w:rsidRPr="00EC6F44">
        <w:t>the 7 HD females that failed to mate after 15 days cohabitation were given a 14 day recovery per</w:t>
      </w:r>
      <w:r w:rsidR="00FB5ECD">
        <w:t>iod and then re-mated, and</w:t>
      </w:r>
    </w:p>
    <w:p w:rsidR="00FB5ECD" w:rsidRDefault="00EC6F44" w:rsidP="00BD4594">
      <w:pPr>
        <w:pStyle w:val="ListBullet"/>
      </w:pPr>
      <w:proofErr w:type="gramStart"/>
      <w:r w:rsidRPr="00EC6F44">
        <w:t>a</w:t>
      </w:r>
      <w:proofErr w:type="gramEnd"/>
      <w:r w:rsidRPr="00EC6F44">
        <w:t xml:space="preserve"> recovery group of HD (and control) </w:t>
      </w:r>
      <w:r w:rsidRPr="00BD4594">
        <w:t>females</w:t>
      </w:r>
      <w:r w:rsidRPr="00EC6F44">
        <w:t xml:space="preserve"> (n</w:t>
      </w:r>
      <w:r w:rsidR="00FB5ECD">
        <w:t xml:space="preserve"> </w:t>
      </w:r>
      <w:r w:rsidRPr="00EC6F44">
        <w:t>=</w:t>
      </w:r>
      <w:r w:rsidR="00FB5ECD">
        <w:t xml:space="preserve"> </w:t>
      </w:r>
      <w:r w:rsidRPr="00EC6F44">
        <w:t>11) that were treated for 28 days then given a treatment</w:t>
      </w:r>
      <w:r w:rsidR="000A5668">
        <w:t xml:space="preserve"> </w:t>
      </w:r>
      <w:r w:rsidRPr="00EC6F44">
        <w:t>free per</w:t>
      </w:r>
      <w:r w:rsidR="00FB5ECD">
        <w:t>iod of 14 days prior to mating.</w:t>
      </w:r>
    </w:p>
    <w:p w:rsidR="00EC6F44" w:rsidRPr="00EC6F44" w:rsidRDefault="00EC6F44" w:rsidP="00BD4594">
      <w:r w:rsidRPr="00EC6F44">
        <w:t>In these 18 animals, oestrus cycling had returned to normal in 15 (83%), mating index was 100% and fertility index was 78%, slightly below the control level (91%). Estimated ER in female rats at 150 mg/kg/day (the dose at which mating and fertility indices and litter parameters were affected) was 20 (based on data from the 2</w:t>
      </w:r>
      <w:r w:rsidR="00FB5ECD">
        <w:t xml:space="preserve"> </w:t>
      </w:r>
      <w:r w:rsidRPr="00EC6F44">
        <w:t xml:space="preserve">week </w:t>
      </w:r>
      <w:proofErr w:type="spellStart"/>
      <w:r w:rsidRPr="00EC6F44">
        <w:t>toxicoki</w:t>
      </w:r>
      <w:r w:rsidR="00FB5ECD">
        <w:t>netic</w:t>
      </w:r>
      <w:proofErr w:type="spellEnd"/>
      <w:r w:rsidR="00FB5ECD">
        <w:t xml:space="preserve"> study), and this HD was 9 fold</w:t>
      </w:r>
      <w:r w:rsidRPr="00EC6F44">
        <w:t xml:space="preserve"> the MRHD based on body surface area. The NOAEL (</w:t>
      </w:r>
      <w:r w:rsidR="00FB5ECD">
        <w:t xml:space="preserve">fertility) was 15 mg/kg/day (approximately </w:t>
      </w:r>
      <w:r w:rsidRPr="00EC6F44">
        <w:t>the MRHD based on body surface area). Estimated ER in female rats at 1.5 mg/kg/day (the dose at which oestrous cycling was affected and mating was delayed) was about 0.8 (when estimated by extrapolation from doses of 1 and 3 mg/kg/day in the rat carcinogenicit</w:t>
      </w:r>
      <w:r w:rsidR="0015613E">
        <w:t>y study), but only ~0.1 fold</w:t>
      </w:r>
      <w:r w:rsidRPr="00EC6F44">
        <w:t xml:space="preserve"> the MRHD based on body surface area. The NOEL for oestrus cycle effect</w:t>
      </w:r>
      <w:r w:rsidR="0015613E">
        <w:t>s was 0.1 mg/kg/day (only 0.006 fold</w:t>
      </w:r>
      <w:r w:rsidRPr="00EC6F44">
        <w:t xml:space="preserve"> the MRHD based on body surface area). D2 receptor blocking drugs are known to affect female reproductive performance associated with </w:t>
      </w:r>
      <w:proofErr w:type="spellStart"/>
      <w:r w:rsidRPr="00EC6F44">
        <w:t>hyperprolactinaemia</w:t>
      </w:r>
      <w:proofErr w:type="spellEnd"/>
      <w:r w:rsidRPr="00EC6F44">
        <w:t xml:space="preserve"> and alterations in oestrous cycling. For example, in female rats, </w:t>
      </w:r>
      <w:proofErr w:type="spellStart"/>
      <w:r w:rsidRPr="00EC6F44">
        <w:t>ziprasidone</w:t>
      </w:r>
      <w:proofErr w:type="spellEnd"/>
      <w:r w:rsidRPr="00EC6F44">
        <w:t xml:space="preserve"> and olanzapine impaired fertility, </w:t>
      </w:r>
      <w:proofErr w:type="spellStart"/>
      <w:r w:rsidRPr="00EC6F44">
        <w:t>risperidone</w:t>
      </w:r>
      <w:proofErr w:type="spellEnd"/>
      <w:r w:rsidRPr="00EC6F44">
        <w:t xml:space="preserve"> impaired mating and </w:t>
      </w:r>
      <w:proofErr w:type="spellStart"/>
      <w:r w:rsidRPr="00EC6F44">
        <w:t>ziprasidone</w:t>
      </w:r>
      <w:proofErr w:type="spellEnd"/>
      <w:r w:rsidRPr="00EC6F44">
        <w:t xml:space="preserve"> increased time to copulation.</w:t>
      </w:r>
    </w:p>
    <w:p w:rsidR="00EC6F44" w:rsidRPr="00EC6F44" w:rsidRDefault="00EC6F44" w:rsidP="00BD4594">
      <w:r w:rsidRPr="00EC6F44">
        <w:t>In the rabbit embryof</w:t>
      </w:r>
      <w:r w:rsidR="00B76F57">
        <w:t>o</w:t>
      </w:r>
      <w:r w:rsidRPr="00EC6F44">
        <w:t>etal development study, the only effect was a non-significant reduction in live f</w:t>
      </w:r>
      <w:r w:rsidR="0015613E">
        <w:t>o</w:t>
      </w:r>
      <w:r w:rsidRPr="00EC6F44">
        <w:t xml:space="preserve">etuses/litter at the HD (50 mg/kg/day), associated with maternal toxicity (significant body weight loss over the treatment period). There was no evidence of a teratogenic effect. As noted above, no </w:t>
      </w:r>
      <w:proofErr w:type="spellStart"/>
      <w:r w:rsidRPr="00EC6F44">
        <w:t>toxicokinetic</w:t>
      </w:r>
      <w:proofErr w:type="spellEnd"/>
      <w:r w:rsidRPr="00EC6F44">
        <w:t xml:space="preserve"> data were provided for rabbits; calculations on a body surface area basis gave an estimated ER of 5 at 50 mg/kg/day.</w:t>
      </w:r>
    </w:p>
    <w:p w:rsidR="00EC6F44" w:rsidRPr="00EC6F44" w:rsidRDefault="00EC6F44" w:rsidP="00BD4594">
      <w:r w:rsidRPr="00EC6F44">
        <w:t>No adverse effects of tre</w:t>
      </w:r>
      <w:r w:rsidR="0015613E">
        <w:t>atment were observed in the pre</w:t>
      </w:r>
      <w:r w:rsidRPr="00EC6F44">
        <w:t xml:space="preserve">/postnatal study. Maternal toxicity was observed at the HD (10 mg/kg/day) (decreased maternal body weight gain over GD6-20). The ER at the HD was about 1.7 (based on </w:t>
      </w:r>
      <w:proofErr w:type="spellStart"/>
      <w:r w:rsidRPr="00EC6F44">
        <w:t>toxicokinetic</w:t>
      </w:r>
      <w:proofErr w:type="spellEnd"/>
      <w:r w:rsidRPr="00EC6F44">
        <w:t xml:space="preserve"> data from the rat carcinogenicity study); this dose was about half the MRHD based on body surface area.</w:t>
      </w:r>
    </w:p>
    <w:p w:rsidR="00EC6F44" w:rsidRPr="0002091B" w:rsidRDefault="00EC6F44" w:rsidP="00BD4594">
      <w:pPr>
        <w:pStyle w:val="Heading5"/>
      </w:pPr>
      <w:r w:rsidRPr="0002091B">
        <w:t xml:space="preserve">Pregnancy </w:t>
      </w:r>
      <w:r w:rsidRPr="00BD4594">
        <w:t>classification</w:t>
      </w:r>
    </w:p>
    <w:p w:rsidR="00EC6F44" w:rsidRPr="00EC6F44" w:rsidRDefault="00EC6F44" w:rsidP="00BD4594">
      <w:r w:rsidRPr="00EC6F44">
        <w:t>The sponsor has proposed Pregnancy Category B1.</w:t>
      </w:r>
      <w:r w:rsidR="00DD26CB">
        <w:rPr>
          <w:rStyle w:val="FootnoteReference"/>
        </w:rPr>
        <w:footnoteReference w:id="23"/>
      </w:r>
      <w:r w:rsidRPr="00EC6F44">
        <w:t xml:space="preserve"> The embryof</w:t>
      </w:r>
      <w:r w:rsidR="00B76F57">
        <w:t>o</w:t>
      </w:r>
      <w:r w:rsidRPr="00EC6F44">
        <w:t>etal development studies in rats and rabbits did not reveal any adverse effects of lurasidone treatment, and a lack of teratogenic effects is consi</w:t>
      </w:r>
      <w:r w:rsidR="00BD4594">
        <w:t>stent with this classification.</w:t>
      </w:r>
    </w:p>
    <w:p w:rsidR="00EC6F44" w:rsidRPr="00BD4594" w:rsidRDefault="00EC6F44" w:rsidP="00BD4594">
      <w:pPr>
        <w:pStyle w:val="Heading4"/>
      </w:pPr>
      <w:r>
        <w:t>Local tolerance and antigenicity</w:t>
      </w:r>
    </w:p>
    <w:p w:rsidR="00EC6F44" w:rsidRPr="00EC6F44" w:rsidRDefault="00EC6F44" w:rsidP="00BD4594">
      <w:r w:rsidRPr="00EC6F44">
        <w:t xml:space="preserve">Local tolerance studies were not conducted and are not required for a drug that is proposed for oral administration. Antigenicity was tested using antibody detection systems in guinea pigs including standard tests such as the active systemic anaphylaxis test, passive cutaneous anaphylaxis test, gel precipitation test and intradermal </w:t>
      </w:r>
      <w:r w:rsidRPr="00EC6F44">
        <w:lastRenderedPageBreak/>
        <w:t xml:space="preserve">administration test. These tests were adequately conducted and the positive control compound showed the expected response. Results were negative in all tests except for a weak reaction in the intradermal administration test in animals that had been sensitised by </w:t>
      </w:r>
      <w:r w:rsidR="0015613E">
        <w:t>subcutaneous (</w:t>
      </w:r>
      <w:r w:rsidRPr="00EC6F44">
        <w:t>SC</w:t>
      </w:r>
      <w:r w:rsidR="0015613E">
        <w:t>)</w:t>
      </w:r>
      <w:r w:rsidR="006B31E4">
        <w:t xml:space="preserve"> administration of LDH</w:t>
      </w:r>
      <w:r w:rsidRPr="00EC6F44">
        <w:t xml:space="preserve"> but not by </w:t>
      </w:r>
      <w:r w:rsidR="006B31E4">
        <w:t>PO</w:t>
      </w:r>
      <w:r w:rsidRPr="00EC6F44">
        <w:t xml:space="preserve">. It is unlikely that </w:t>
      </w:r>
      <w:r w:rsidR="00EC20AF">
        <w:t>LDH</w:t>
      </w:r>
      <w:r w:rsidRPr="00EC6F44">
        <w:t xml:space="preserve"> will show antigenicity in patients.</w:t>
      </w:r>
    </w:p>
    <w:p w:rsidR="00EC6F44" w:rsidRPr="00BD4594" w:rsidRDefault="00EC6F44" w:rsidP="00BD4594">
      <w:pPr>
        <w:pStyle w:val="Heading4"/>
      </w:pPr>
      <w:proofErr w:type="spellStart"/>
      <w:r>
        <w:t>Immunotoxicity</w:t>
      </w:r>
      <w:proofErr w:type="spellEnd"/>
    </w:p>
    <w:p w:rsidR="00EC6F44" w:rsidRPr="00EC6F44" w:rsidRDefault="00EC6F44" w:rsidP="00BD4594">
      <w:r w:rsidRPr="00EC6F44">
        <w:t>It appears that prolactin has molecular actions in the immune syst</w:t>
      </w:r>
      <w:r w:rsidR="00DE66BC">
        <w:t>em, as reviewed by Yu-Lee</w:t>
      </w:r>
      <w:r w:rsidR="00DE66BC">
        <w:rPr>
          <w:rStyle w:val="FootnoteReference"/>
        </w:rPr>
        <w:footnoteReference w:id="24"/>
      </w:r>
      <w:r w:rsidRPr="00EC6F44">
        <w:t xml:space="preserve"> who noted that prolactin receptors are ubiquitously expressed by cells in the immune system, and that certain subpopulations of lymphocytes synthesize and secrete biologically active prolactin, suggesting that prolactin can act as an </w:t>
      </w:r>
      <w:proofErr w:type="spellStart"/>
      <w:r w:rsidRPr="00EC6F44">
        <w:t>autocrine</w:t>
      </w:r>
      <w:proofErr w:type="spellEnd"/>
      <w:r w:rsidRPr="00EC6F44">
        <w:t xml:space="preserve"> and/or paracrine factor to modulate the activities of cells of the immune system. However, there was no evidence from the repeat</w:t>
      </w:r>
      <w:r w:rsidR="00BE1628">
        <w:t xml:space="preserve"> </w:t>
      </w:r>
      <w:r w:rsidRPr="00EC6F44">
        <w:t xml:space="preserve">dose toxicity studies of changes in organs/cells of the immune system. Thus, although </w:t>
      </w:r>
      <w:proofErr w:type="spellStart"/>
      <w:r w:rsidRPr="00EC6F44">
        <w:t>immunotoxic</w:t>
      </w:r>
      <w:proofErr w:type="spellEnd"/>
      <w:r w:rsidRPr="00EC6F44">
        <w:t xml:space="preserve"> potential was not investigated in detail (no </w:t>
      </w:r>
      <w:proofErr w:type="spellStart"/>
      <w:r w:rsidRPr="00EC6F44">
        <w:t>immunotoxicity</w:t>
      </w:r>
      <w:proofErr w:type="spellEnd"/>
      <w:r w:rsidRPr="00EC6F44">
        <w:t xml:space="preserve"> study was conducted), it is not a class effect and available nonclinical data do not suggest that </w:t>
      </w:r>
      <w:r w:rsidR="00EC20AF">
        <w:t>LDH</w:t>
      </w:r>
      <w:r w:rsidRPr="00EC6F44">
        <w:t xml:space="preserve"> will have </w:t>
      </w:r>
      <w:proofErr w:type="spellStart"/>
      <w:r w:rsidRPr="00EC6F44">
        <w:t>immunotoxic</w:t>
      </w:r>
      <w:proofErr w:type="spellEnd"/>
      <w:r w:rsidRPr="00EC6F44">
        <w:t xml:space="preserve"> potential in the clinic.</w:t>
      </w:r>
    </w:p>
    <w:p w:rsidR="00EC6F44" w:rsidRPr="00BD4594" w:rsidRDefault="00EC6F44" w:rsidP="00BD4594">
      <w:pPr>
        <w:pStyle w:val="Heading4"/>
      </w:pPr>
      <w:r w:rsidRPr="00EC6F44">
        <w:rPr>
          <w:shd w:val="clear" w:color="auto" w:fill="FFFFFF"/>
        </w:rPr>
        <w:t>Dependence</w:t>
      </w:r>
    </w:p>
    <w:p w:rsidR="00EC6F44" w:rsidRPr="00EC6F44" w:rsidRDefault="00EC6F44" w:rsidP="00BD4594">
      <w:r w:rsidRPr="00EC6F44">
        <w:t>There were no pointers for dependence from general studies, for example, no affinity was observed at opiate, GABAA or NMDA receptors and behaviour and recovery assessment within the repeat</w:t>
      </w:r>
      <w:r w:rsidR="008E1A9E">
        <w:t xml:space="preserve"> </w:t>
      </w:r>
      <w:r w:rsidRPr="00EC6F44">
        <w:t xml:space="preserve">dose toxicity studies (rat and </w:t>
      </w:r>
      <w:proofErr w:type="spellStart"/>
      <w:r w:rsidRPr="00EC6F44">
        <w:t>cynomolgus</w:t>
      </w:r>
      <w:proofErr w:type="spellEnd"/>
      <w:r w:rsidRPr="00EC6F44">
        <w:t xml:space="preserve"> monkey) did not reveal any evidence of withdrawal symptoms after cessation of dosing. Specific dependence studies were conducted in rhesus monkeys and rats that involved an adequate assessment of dependence for this type of drug. These included behaviour assessment in both species, </w:t>
      </w:r>
      <w:proofErr w:type="spellStart"/>
      <w:r w:rsidRPr="00EC6F44">
        <w:t>self administration</w:t>
      </w:r>
      <w:proofErr w:type="spellEnd"/>
      <w:r w:rsidRPr="00EC6F44">
        <w:t xml:space="preserve"> of </w:t>
      </w:r>
      <w:r w:rsidR="00EC20AF">
        <w:t>LDH</w:t>
      </w:r>
      <w:r w:rsidRPr="00EC6F44">
        <w:t xml:space="preserve"> in </w:t>
      </w:r>
      <w:proofErr w:type="spellStart"/>
      <w:r w:rsidRPr="00EC6F44">
        <w:t>pentobarbitone</w:t>
      </w:r>
      <w:proofErr w:type="spellEnd"/>
      <w:r w:rsidR="00DD26CB">
        <w:t xml:space="preserve"> </w:t>
      </w:r>
      <w:r w:rsidRPr="00EC6F44">
        <w:t>dependent monkeys and suppression of barbitone withdrawal symptoms in barbitone</w:t>
      </w:r>
      <w:r w:rsidR="00DD26CB">
        <w:t xml:space="preserve"> </w:t>
      </w:r>
      <w:r w:rsidRPr="00EC6F44">
        <w:t xml:space="preserve">dependent monkeys, and investigation of withdrawal symptoms in rats after giving feed spiked with either </w:t>
      </w:r>
      <w:r w:rsidR="00EC20AF">
        <w:t>LDH</w:t>
      </w:r>
      <w:r w:rsidRPr="00EC6F44">
        <w:t xml:space="preserve"> or diazepam. Overall, there was no evidence for dependency potential.</w:t>
      </w:r>
    </w:p>
    <w:p w:rsidR="00EC6F44" w:rsidRPr="0065562D" w:rsidRDefault="00EC6F44" w:rsidP="0065562D">
      <w:pPr>
        <w:pStyle w:val="Heading4"/>
      </w:pPr>
      <w:r>
        <w:t>Impurities</w:t>
      </w:r>
    </w:p>
    <w:p w:rsidR="00EC6F44" w:rsidRPr="00EC6F44" w:rsidRDefault="00EC6F44" w:rsidP="0065562D">
      <w:r w:rsidRPr="00EC6F44">
        <w:t xml:space="preserve">The maximum daily dose of </w:t>
      </w:r>
      <w:r w:rsidR="00EC20AF">
        <w:t>LDH</w:t>
      </w:r>
      <w:r w:rsidRPr="00EC6F44">
        <w:t xml:space="preserve"> (160 mg/day) is ≤2 g/day, therefore the ICH qualification threshold for impurities is 0.15% (corresponding to 0.24 mg/day intake) as this is lower than 1.0 mg/day intake, and the identification threshold is 0.10%. All impurities in the drug substance are controlled at or below these thresholds.</w:t>
      </w:r>
    </w:p>
    <w:p w:rsidR="00EC6F44" w:rsidRPr="00EC6F44" w:rsidRDefault="00EC6F44" w:rsidP="0065562D">
      <w:r w:rsidRPr="00EC6F44">
        <w:t>As the MRHD of 160 m</w:t>
      </w:r>
      <w:r w:rsidR="00D246B9">
        <w:t xml:space="preserve">g/day lies in the range &gt;100 mg to </w:t>
      </w:r>
      <w:r w:rsidRPr="00EC6F44">
        <w:t>2 g/day, the qualification threshold for degradation products in the medicinal product is 0.2% (corresponding to 0.32 mg/day intake) as this is lower than 3 mg/day intake. All degradation products are control</w:t>
      </w:r>
      <w:r w:rsidR="0065562D">
        <w:t>led at or below this threshold.</w:t>
      </w:r>
    </w:p>
    <w:p w:rsidR="00EC6F44" w:rsidRPr="0065562D" w:rsidRDefault="00EC6F44" w:rsidP="0065562D">
      <w:pPr>
        <w:pStyle w:val="Heading4"/>
      </w:pPr>
      <w:r w:rsidRPr="00D14021">
        <w:t>Paediatric use</w:t>
      </w:r>
    </w:p>
    <w:p w:rsidR="00EC6F44" w:rsidRPr="00EC6F44" w:rsidRDefault="00EC20AF" w:rsidP="0065562D">
      <w:r>
        <w:t>LDH</w:t>
      </w:r>
      <w:r w:rsidR="00EC6F44" w:rsidRPr="00EC6F44">
        <w:t xml:space="preserve"> is not proposed for paediatric use and no specific studies in juvenile animals were submitted. The proposed </w:t>
      </w:r>
      <w:r w:rsidR="00D246B9">
        <w:t>PI</w:t>
      </w:r>
      <w:r w:rsidR="00EC6F44" w:rsidRPr="00EC6F44">
        <w:t xml:space="preserve"> includes a statement ‘The safety and efficacy of </w:t>
      </w:r>
      <w:r w:rsidR="005463E8">
        <w:t>Latuda</w:t>
      </w:r>
      <w:r w:rsidR="00EC6F44" w:rsidRPr="00EC6F44">
        <w:t xml:space="preserve"> in children aged less than 18 years has not been established.’</w:t>
      </w:r>
    </w:p>
    <w:p w:rsidR="00EC6F44" w:rsidRPr="0065562D" w:rsidRDefault="00EC6F44" w:rsidP="0065562D">
      <w:pPr>
        <w:pStyle w:val="Heading4"/>
      </w:pPr>
      <w:proofErr w:type="spellStart"/>
      <w:r>
        <w:t>Phototoxicity</w:t>
      </w:r>
      <w:proofErr w:type="spellEnd"/>
    </w:p>
    <w:p w:rsidR="00EC6F44" w:rsidRPr="00EC6F44" w:rsidRDefault="00EC6F44" w:rsidP="0065562D">
      <w:r w:rsidRPr="00EC6F44">
        <w:t xml:space="preserve">A </w:t>
      </w:r>
      <w:proofErr w:type="spellStart"/>
      <w:r w:rsidRPr="00EC6F44">
        <w:t>phototoxicity</w:t>
      </w:r>
      <w:proofErr w:type="spellEnd"/>
      <w:r w:rsidRPr="00EC6F44">
        <w:t xml:space="preserve"> study was conducted in rats since the absorption spectra revealed that </w:t>
      </w:r>
      <w:r w:rsidR="00EC20AF">
        <w:t>LDH</w:t>
      </w:r>
      <w:r w:rsidRPr="00EC6F44">
        <w:t xml:space="preserve"> absorbs in the ultraviolet range (UVA and UVB) and lurasidone/metabolites are </w:t>
      </w:r>
      <w:r w:rsidRPr="00EC6F44">
        <w:lastRenderedPageBreak/>
        <w:t xml:space="preserve">distributed to the skin and eyes. The study was adequately conducted, with the positive control exhibiting the expected effects. The results for </w:t>
      </w:r>
      <w:r w:rsidR="00EC20AF">
        <w:t>LDH</w:t>
      </w:r>
      <w:r w:rsidRPr="00EC6F44">
        <w:t xml:space="preserve"> were negative.</w:t>
      </w:r>
    </w:p>
    <w:p w:rsidR="00EC6F44" w:rsidRPr="0038014C" w:rsidRDefault="00EC6F44" w:rsidP="0065562D">
      <w:pPr>
        <w:pStyle w:val="Heading4"/>
      </w:pPr>
      <w:bookmarkStart w:id="59" w:name="_Toc295290868"/>
      <w:bookmarkStart w:id="60" w:name="_Toc371689623"/>
      <w:r w:rsidRPr="0038014C">
        <w:t xml:space="preserve">Comments on the </w:t>
      </w:r>
      <w:r w:rsidR="0065562D">
        <w:t>s</w:t>
      </w:r>
      <w:r w:rsidRPr="0038014C">
        <w:t xml:space="preserve">afety </w:t>
      </w:r>
      <w:r w:rsidR="0065562D">
        <w:t>s</w:t>
      </w:r>
      <w:r w:rsidRPr="0038014C">
        <w:t xml:space="preserve">pecification of the </w:t>
      </w:r>
      <w:r w:rsidR="0065562D">
        <w:t>r</w:t>
      </w:r>
      <w:r w:rsidRPr="0038014C">
        <w:t xml:space="preserve">isk </w:t>
      </w:r>
      <w:r w:rsidR="0065562D">
        <w:t>m</w:t>
      </w:r>
      <w:r w:rsidRPr="0038014C">
        <w:t xml:space="preserve">anagement </w:t>
      </w:r>
      <w:r w:rsidR="0065562D" w:rsidRPr="0065562D">
        <w:t>p</w:t>
      </w:r>
      <w:r w:rsidRPr="0065562D">
        <w:t>lan</w:t>
      </w:r>
      <w:bookmarkEnd w:id="59"/>
      <w:bookmarkEnd w:id="60"/>
    </w:p>
    <w:p w:rsidR="00EC6F44" w:rsidRPr="00EC6F44" w:rsidRDefault="00EC6F44" w:rsidP="0065562D">
      <w:r w:rsidRPr="00EC6F44">
        <w:t xml:space="preserve">Results and conclusions drawn from the nonclinical program for </w:t>
      </w:r>
      <w:r w:rsidR="00EC20AF">
        <w:t>LDH</w:t>
      </w:r>
      <w:r w:rsidRPr="00EC6F44">
        <w:t xml:space="preserve"> detailed in the sponsor’s draft Risk Management Plan </w:t>
      </w:r>
      <w:r w:rsidR="00F94E56">
        <w:t xml:space="preserve">(RMP) </w:t>
      </w:r>
      <w:r w:rsidRPr="00EC6F44">
        <w:t xml:space="preserve">are in general concordance with those of the </w:t>
      </w:r>
      <w:r w:rsidR="00F94E56">
        <w:t>n</w:t>
      </w:r>
      <w:r w:rsidRPr="00EC6F44">
        <w:t xml:space="preserve">onclinical </w:t>
      </w:r>
      <w:r w:rsidR="00F94E56">
        <w:t>e</w:t>
      </w:r>
      <w:r w:rsidRPr="00EC6F44">
        <w:t xml:space="preserve">valuator. Important identified risks that were evident from the nonclinical data were potential interaction with strong CYP3A4 inhibitors and inducers, and potential for extrapyramidal symptoms. Given that lurasidone elevates serum prolactin levels in several test species and also humans (a known effect of this class of drugs), it is recommended that the possible adverse effects of </w:t>
      </w:r>
      <w:proofErr w:type="spellStart"/>
      <w:r w:rsidRPr="00EC6F44">
        <w:t>hyperprolactinaemia</w:t>
      </w:r>
      <w:proofErr w:type="spellEnd"/>
      <w:r w:rsidRPr="00EC6F44">
        <w:t xml:space="preserve"> in patients should be considered here; this is referred to the RMP evaluator.</w:t>
      </w:r>
    </w:p>
    <w:p w:rsidR="008E7846" w:rsidRDefault="008E7846" w:rsidP="0065562D">
      <w:pPr>
        <w:pStyle w:val="Heading3"/>
      </w:pPr>
      <w:bookmarkStart w:id="61" w:name="_Toc247691515"/>
      <w:bookmarkStart w:id="62" w:name="_Toc314842499"/>
      <w:bookmarkStart w:id="63" w:name="_Toc392682447"/>
      <w:r>
        <w:t xml:space="preserve">Nonclinical </w:t>
      </w:r>
      <w:r w:rsidR="0065562D">
        <w:t>s</w:t>
      </w:r>
      <w:r>
        <w:t xml:space="preserve">ummary and </w:t>
      </w:r>
      <w:r w:rsidR="0065562D" w:rsidRPr="0065562D">
        <w:t>c</w:t>
      </w:r>
      <w:r w:rsidRPr="0065562D">
        <w:t>onclusions</w:t>
      </w:r>
      <w:bookmarkEnd w:id="61"/>
      <w:bookmarkEnd w:id="62"/>
      <w:bookmarkEnd w:id="63"/>
    </w:p>
    <w:p w:rsidR="00824B7F" w:rsidRPr="0065562D" w:rsidRDefault="00824B7F" w:rsidP="0065562D">
      <w:pPr>
        <w:pStyle w:val="Heading4"/>
      </w:pPr>
      <w:r>
        <w:t>Summary</w:t>
      </w:r>
    </w:p>
    <w:p w:rsidR="00824B7F" w:rsidRPr="00824B7F" w:rsidRDefault="00824B7F" w:rsidP="0065562D">
      <w:pPr>
        <w:pStyle w:val="ListBullet"/>
      </w:pPr>
      <w:proofErr w:type="spellStart"/>
      <w:r w:rsidRPr="00824B7F">
        <w:t>Lurasidone</w:t>
      </w:r>
      <w:proofErr w:type="spellEnd"/>
      <w:r w:rsidRPr="00824B7F">
        <w:t xml:space="preserve"> showed high </w:t>
      </w:r>
      <w:r w:rsidRPr="0065562D">
        <w:t>affinity</w:t>
      </w:r>
      <w:r w:rsidRPr="00824B7F">
        <w:t xml:space="preserve"> for the human D2, 5-HT2A and 5-HT7 receptors, moderate affinity for human 5-HT1A, α2C and D3 receptors, and weaker affinity for human D4.4, α2A and α1A receptors. It showed little/no affinity for human H1 or M1 receptors, or rat 5-HT uptake sites (IC50 ≥1 µM), nor did it inhibit dopamine, 5-HT or noradrenaline reuptake into rat </w:t>
      </w:r>
      <w:proofErr w:type="spellStart"/>
      <w:r w:rsidRPr="00824B7F">
        <w:t>synaptosomes</w:t>
      </w:r>
      <w:proofErr w:type="spellEnd"/>
      <w:r w:rsidRPr="00824B7F">
        <w:t xml:space="preserve"> (IC50 &gt;3 µM). Functional studies revealed partial </w:t>
      </w:r>
      <w:proofErr w:type="spellStart"/>
      <w:r w:rsidRPr="00824B7F">
        <w:t>agonism</w:t>
      </w:r>
      <w:proofErr w:type="spellEnd"/>
      <w:r w:rsidRPr="00824B7F">
        <w:t xml:space="preserve"> at 5-HT1A receptors and antagonism at D2 and 5-HT7 receptors. </w:t>
      </w:r>
      <w:r w:rsidRPr="00010B98">
        <w:rPr>
          <w:i/>
        </w:rPr>
        <w:t>In vivo</w:t>
      </w:r>
      <w:r w:rsidRPr="00824B7F">
        <w:t xml:space="preserve"> studies in mice and rats were consistent with antagonism at the D2 and 5-HT2 receptors. At clinically relevant doses, lurasidone showed activity in tests for anxiolytic activity/mood stabilising action in ra</w:t>
      </w:r>
      <w:r w:rsidR="00010B98">
        <w:t xml:space="preserve">ts and ameliorated scopolamine </w:t>
      </w:r>
      <w:r w:rsidRPr="00824B7F">
        <w:t>and MK-801</w:t>
      </w:r>
      <w:r w:rsidR="00010B98">
        <w:t xml:space="preserve"> </w:t>
      </w:r>
      <w:r w:rsidRPr="00824B7F">
        <w:t xml:space="preserve">induced memory impairment in the </w:t>
      </w:r>
      <w:r w:rsidR="0065562D">
        <w:t>passive avoidance test in rats.</w:t>
      </w:r>
    </w:p>
    <w:p w:rsidR="00824B7F" w:rsidRPr="00824B7F" w:rsidRDefault="00824B7F" w:rsidP="0065562D">
      <w:pPr>
        <w:pStyle w:val="ListBullet"/>
      </w:pPr>
      <w:r w:rsidRPr="00824B7F">
        <w:t xml:space="preserve">Lurasidone showed little/no binding to a limited number of receptors tested (other than dopaminergic, serotonergic and adrenergic α receptors). Inhibition of </w:t>
      </w:r>
      <w:proofErr w:type="spellStart"/>
      <w:r w:rsidRPr="00824B7F">
        <w:t>locomotor</w:t>
      </w:r>
      <w:proofErr w:type="spellEnd"/>
      <w:r w:rsidRPr="00824B7F">
        <w:t xml:space="preserve"> activity in mice and elevation of serum prolactin in rats were the main findings in secondary </w:t>
      </w:r>
      <w:r w:rsidR="0064096A">
        <w:t>PD</w:t>
      </w:r>
      <w:r w:rsidRPr="00824B7F">
        <w:t xml:space="preserve"> studies. Ratios of ED50 values in efficacy tests/ED50 values in tests predictive of extrapyramidal effects were considerably higher for lurasidone than for the comparator drugs suggesting that lurasidone will have a lower propensity to induce extrapyra</w:t>
      </w:r>
      <w:r w:rsidR="0065562D">
        <w:t>midal side effects in patients.</w:t>
      </w:r>
    </w:p>
    <w:p w:rsidR="00824B7F" w:rsidRPr="00824B7F" w:rsidRDefault="00824B7F" w:rsidP="0065562D">
      <w:pPr>
        <w:pStyle w:val="ListBullet"/>
      </w:pPr>
      <w:r w:rsidRPr="00824B7F">
        <w:t>Lurasidone dose</w:t>
      </w:r>
      <w:r w:rsidR="00010B98">
        <w:t xml:space="preserve"> </w:t>
      </w:r>
      <w:r w:rsidRPr="00824B7F">
        <w:t xml:space="preserve">dependently inhibited the </w:t>
      </w:r>
      <w:r w:rsidRPr="0065562D">
        <w:t>rapidly</w:t>
      </w:r>
      <w:r w:rsidRPr="00824B7F">
        <w:t xml:space="preserve"> activating delayed rectifier potassium current in </w:t>
      </w:r>
      <w:proofErr w:type="spellStart"/>
      <w:r w:rsidRPr="00824B7F">
        <w:t>hERG</w:t>
      </w:r>
      <w:proofErr w:type="spellEnd"/>
      <w:r w:rsidRPr="00824B7F">
        <w:t xml:space="preserve"> channels expressed in HEK293 cells, with an IC50 of 108 </w:t>
      </w:r>
      <w:proofErr w:type="spellStart"/>
      <w:r w:rsidRPr="00824B7F">
        <w:t>nM</w:t>
      </w:r>
      <w:proofErr w:type="spellEnd"/>
      <w:r w:rsidRPr="00824B7F">
        <w:t>. However, this did not translate into any notable prolongation of QT/</w:t>
      </w:r>
      <w:proofErr w:type="spellStart"/>
      <w:r w:rsidRPr="00824B7F">
        <w:t>QTc</w:t>
      </w:r>
      <w:proofErr w:type="spellEnd"/>
      <w:r w:rsidRPr="00824B7F">
        <w:t xml:space="preserve"> intervals in </w:t>
      </w:r>
      <w:r w:rsidRPr="007C67D3">
        <w:rPr>
          <w:i/>
        </w:rPr>
        <w:t>in vivo</w:t>
      </w:r>
      <w:r w:rsidRPr="00824B7F">
        <w:t xml:space="preserve"> studies. Safety pharmacology studies did not identify any clinically relevant effects on the CNS, cardiovascular, respiratory, renal or gastrointestinal systems other than those revealed in the toxicity studies.</w:t>
      </w:r>
    </w:p>
    <w:p w:rsidR="00824B7F" w:rsidRPr="00824B7F" w:rsidRDefault="00824B7F" w:rsidP="0065562D">
      <w:pPr>
        <w:pStyle w:val="ListBullet"/>
      </w:pPr>
      <w:r w:rsidRPr="00824B7F">
        <w:t xml:space="preserve">The </w:t>
      </w:r>
      <w:r w:rsidR="007C67D3">
        <w:t>PK</w:t>
      </w:r>
      <w:r w:rsidRPr="00824B7F">
        <w:t xml:space="preserve"> of lurasidone were characterised by rapid absorption in the nonclinical species and humans. Oral bioavailability depended on feeding status in dogs and </w:t>
      </w:r>
      <w:proofErr w:type="spellStart"/>
      <w:r w:rsidRPr="00824B7F">
        <w:t>cynomolgus</w:t>
      </w:r>
      <w:proofErr w:type="spellEnd"/>
      <w:r w:rsidRPr="00824B7F">
        <w:t xml:space="preserve"> monkeys (higher in fed than fasted). </w:t>
      </w:r>
      <w:r w:rsidR="001B7E06" w:rsidRPr="00824B7F">
        <w:t xml:space="preserve">Bioavailability was estimated as 7.6% in rats, </w:t>
      </w:r>
      <w:r w:rsidR="001B7E06">
        <w:rPr>
          <w:rFonts w:hint="eastAsia"/>
          <w:lang w:eastAsia="ja-JP"/>
        </w:rPr>
        <w:t>2</w:t>
      </w:r>
      <w:r w:rsidR="001B7E06" w:rsidRPr="00824B7F">
        <w:t xml:space="preserve">-36% in dogs, and </w:t>
      </w:r>
      <w:r w:rsidR="001B7E06">
        <w:rPr>
          <w:rFonts w:hint="eastAsia"/>
          <w:lang w:eastAsia="ja-JP"/>
        </w:rPr>
        <w:t>0.4</w:t>
      </w:r>
      <w:r w:rsidR="001B7E06" w:rsidRPr="00824B7F">
        <w:t>-</w:t>
      </w:r>
      <w:r w:rsidR="001B7E06">
        <w:rPr>
          <w:rFonts w:hint="eastAsia"/>
          <w:lang w:eastAsia="ja-JP"/>
        </w:rPr>
        <w:t>5.3</w:t>
      </w:r>
      <w:r w:rsidR="001B7E06" w:rsidRPr="00824B7F">
        <w:t>% in monkeys</w:t>
      </w:r>
      <w:r w:rsidRPr="00824B7F">
        <w:t xml:space="preserve">. Lurasidone was relatively rapidly cleared and half life was short in rats (3.7 h) and medium in dogs, monkeys and humans (14-19 h). Radioactivity was rapidly and extensively distributed to tissues after oral administration of </w:t>
      </w:r>
      <w:r w:rsidRPr="002D09AA">
        <w:rPr>
          <w:vertAlign w:val="superscript"/>
        </w:rPr>
        <w:t>14</w:t>
      </w:r>
      <w:r w:rsidRPr="00824B7F">
        <w:t>C-lurasidone (rats and monkeys). There was no evidence of retention of radioactivity in any organ, but there was evidence of melanin binding. Highest concentrations of radioactivity were observed in gastrointestinal tract and its contents, liver, kidney and urinary bladder, while brain had relatively low concentrations. Protein bindin</w:t>
      </w:r>
      <w:r w:rsidR="0065562D">
        <w:t>g was very high in all species.</w:t>
      </w:r>
    </w:p>
    <w:p w:rsidR="00824B7F" w:rsidRPr="00824B7F" w:rsidRDefault="00824B7F" w:rsidP="0065562D">
      <w:pPr>
        <w:pStyle w:val="ListBullet"/>
      </w:pPr>
      <w:r w:rsidRPr="00824B7F">
        <w:lastRenderedPageBreak/>
        <w:t xml:space="preserve">Lurasidone was extensively metabolised to a large number of metabolites in humans and the nonclinical species, with major routes being hydroxylation at the 5 or 6 position of the </w:t>
      </w:r>
      <w:proofErr w:type="spellStart"/>
      <w:r w:rsidRPr="00824B7F">
        <w:t>norbornane</w:t>
      </w:r>
      <w:proofErr w:type="spellEnd"/>
      <w:r w:rsidRPr="00824B7F">
        <w:t xml:space="preserve"> skeleton, S-oxidation of the </w:t>
      </w:r>
      <w:proofErr w:type="spellStart"/>
      <w:r w:rsidRPr="00824B7F">
        <w:t>benzoisothiazole</w:t>
      </w:r>
      <w:proofErr w:type="spellEnd"/>
      <w:r w:rsidRPr="00824B7F">
        <w:t xml:space="preserve"> ring, oxidative N-</w:t>
      </w:r>
      <w:proofErr w:type="spellStart"/>
      <w:r w:rsidRPr="00824B7F">
        <w:t>dealkylation</w:t>
      </w:r>
      <w:proofErr w:type="spellEnd"/>
      <w:r w:rsidRPr="00824B7F">
        <w:t xml:space="preserve"> (cleaving the compound), and N-S reductive cleavage of the </w:t>
      </w:r>
      <w:proofErr w:type="spellStart"/>
      <w:r w:rsidRPr="00824B7F">
        <w:t>benzoisothiazole</w:t>
      </w:r>
      <w:proofErr w:type="spellEnd"/>
      <w:r w:rsidRPr="00824B7F">
        <w:t xml:space="preserve"> ring and S-methylation, or combinations of these routes. No metabolites unique to humans were identified in the </w:t>
      </w:r>
      <w:r w:rsidRPr="00A80D4C">
        <w:rPr>
          <w:i/>
        </w:rPr>
        <w:t>in vitro</w:t>
      </w:r>
      <w:r w:rsidRPr="00824B7F">
        <w:t xml:space="preserve"> incubations with </w:t>
      </w:r>
      <w:proofErr w:type="spellStart"/>
      <w:r w:rsidRPr="00824B7F">
        <w:t>microsomes</w:t>
      </w:r>
      <w:proofErr w:type="spellEnd"/>
      <w:r w:rsidRPr="00824B7F">
        <w:t xml:space="preserve"> or hepatocytes. CYP3A4 was identified as the major CYP </w:t>
      </w:r>
      <w:proofErr w:type="spellStart"/>
      <w:r w:rsidRPr="00824B7F">
        <w:t>isozyme</w:t>
      </w:r>
      <w:proofErr w:type="spellEnd"/>
      <w:r w:rsidRPr="00824B7F">
        <w:t xml:space="preserve"> involved in the metabolism of lurasidone. Excretion was via bile (about 32%, 16% and 25% in rats, dogs and monkeys) and urine, with the extent of urinary </w:t>
      </w:r>
      <w:r w:rsidRPr="0065562D">
        <w:t>excretion</w:t>
      </w:r>
      <w:r w:rsidRPr="00824B7F">
        <w:t xml:space="preserve"> being similar in humans (9-19%) and the nonclinical species. The nonclinical species used served as appropriate models for the assessment of drug toxicity in humans. Lurasidone/metabolites crossed the placenta in rats and there was substantial excretion of lurasidone/metabolites in rat milk. In </w:t>
      </w:r>
      <w:r w:rsidRPr="00A80D4C">
        <w:rPr>
          <w:i/>
        </w:rPr>
        <w:t>in vitro</w:t>
      </w:r>
      <w:r w:rsidRPr="00824B7F">
        <w:t xml:space="preserve"> studies, lurasidone showed a low potential for drug interactions (except with strong inhibitors and inducers of CYP3A4). It showed little/no clinically relevant inhibition/induction of CYP enzymes, and little activity as a human MDR1 substrate.</w:t>
      </w:r>
    </w:p>
    <w:p w:rsidR="00824B7F" w:rsidRPr="00824B7F" w:rsidRDefault="00824B7F" w:rsidP="0065562D">
      <w:pPr>
        <w:pStyle w:val="ListBullet"/>
      </w:pPr>
      <w:r w:rsidRPr="00824B7F">
        <w:t>Single</w:t>
      </w:r>
      <w:r w:rsidR="00A80D4C">
        <w:t xml:space="preserve"> </w:t>
      </w:r>
      <w:r w:rsidRPr="00824B7F">
        <w:t xml:space="preserve">dose toxicity studies were conducted by the oral route in </w:t>
      </w:r>
      <w:r w:rsidRPr="0065562D">
        <w:t>rats</w:t>
      </w:r>
      <w:r w:rsidRPr="00824B7F">
        <w:t xml:space="preserve"> and </w:t>
      </w:r>
      <w:proofErr w:type="spellStart"/>
      <w:r w:rsidRPr="00824B7F">
        <w:t>cynomolgus</w:t>
      </w:r>
      <w:proofErr w:type="spellEnd"/>
      <w:r w:rsidRPr="00824B7F">
        <w:t xml:space="preserve"> monkeys. Lurasidone showed low acute toxicity. I</w:t>
      </w:r>
      <w:r w:rsidR="00A80D4C">
        <w:t xml:space="preserve">n both species, the maximum </w:t>
      </w:r>
      <w:proofErr w:type="spellStart"/>
      <w:r w:rsidR="00A80D4C">
        <w:t xml:space="preserve">non </w:t>
      </w:r>
      <w:r w:rsidRPr="00824B7F">
        <w:t>lethal</w:t>
      </w:r>
      <w:proofErr w:type="spellEnd"/>
      <w:r w:rsidRPr="00824B7F">
        <w:t xml:space="preserve"> dose was ≥ 2 g/kg PO and CNS clinical signs were observed.</w:t>
      </w:r>
    </w:p>
    <w:p w:rsidR="00824B7F" w:rsidRPr="00824B7F" w:rsidRDefault="00824B7F" w:rsidP="0065562D">
      <w:pPr>
        <w:pStyle w:val="ListBullet"/>
      </w:pPr>
      <w:r w:rsidRPr="00824B7F">
        <w:t xml:space="preserve">Repeat dose toxicity </w:t>
      </w:r>
      <w:r w:rsidR="00A80D4C">
        <w:t>studies were conducted in mice (2, 13 weeks), rats (2 weeks [2 studies], 13 weeks [2 studies], 26 weeks), dogs (2, 4, 39 weeks) and cynomolgus monkeys (2 weeks [2 studies]</w:t>
      </w:r>
      <w:r w:rsidRPr="00824B7F">
        <w:t>, 13, 52 weeks</w:t>
      </w:r>
      <w:r w:rsidR="00A80D4C">
        <w:t>)</w:t>
      </w:r>
      <w:r w:rsidRPr="00824B7F">
        <w:t xml:space="preserve"> by the oral </w:t>
      </w:r>
      <w:r w:rsidR="00A80D4C">
        <w:t>route, and in rats and monkeys (2 weeks)</w:t>
      </w:r>
      <w:r w:rsidRPr="00824B7F">
        <w:t xml:space="preserve"> by the IV route. Acceptable</w:t>
      </w:r>
      <w:r w:rsidR="00A80D4C">
        <w:t>/</w:t>
      </w:r>
      <w:r w:rsidRPr="00824B7F">
        <w:t xml:space="preserve">high </w:t>
      </w:r>
      <w:r w:rsidR="00A80D4C">
        <w:t>ERs</w:t>
      </w:r>
      <w:r w:rsidRPr="00824B7F">
        <w:t xml:space="preserve"> were achieved in rodents (up to 8/17 </w:t>
      </w:r>
      <w:r w:rsidR="00A80D4C">
        <w:t>[</w:t>
      </w:r>
      <w:r w:rsidRPr="00824B7F">
        <w:t>males/females</w:t>
      </w:r>
      <w:r w:rsidR="00A80D4C">
        <w:t>]</w:t>
      </w:r>
      <w:r w:rsidRPr="00824B7F">
        <w:t xml:space="preserve"> in the 13</w:t>
      </w:r>
      <w:r w:rsidR="00A80D4C">
        <w:t xml:space="preserve"> </w:t>
      </w:r>
      <w:r w:rsidRPr="00824B7F">
        <w:t xml:space="preserve">week mouse study and up to about 5/15 </w:t>
      </w:r>
      <w:r w:rsidR="00A80D4C">
        <w:t>[</w:t>
      </w:r>
      <w:r w:rsidRPr="00824B7F">
        <w:t>males/females</w:t>
      </w:r>
      <w:r w:rsidR="00A80D4C">
        <w:t>]</w:t>
      </w:r>
      <w:r w:rsidRPr="00824B7F">
        <w:t xml:space="preserve"> in the 26</w:t>
      </w:r>
      <w:r w:rsidR="00A80D4C">
        <w:t xml:space="preserve"> </w:t>
      </w:r>
      <w:r w:rsidRPr="00824B7F">
        <w:t>week rat study), and high exposure ratios were achieved in dogs (up to 36 in the 39</w:t>
      </w:r>
      <w:r w:rsidR="00A80D4C">
        <w:t xml:space="preserve"> </w:t>
      </w:r>
      <w:r w:rsidRPr="00824B7F">
        <w:t>week study), but only low exposure ratios were achieved in monkeys (&lt; 1 in the 52</w:t>
      </w:r>
      <w:r w:rsidR="00A80D4C">
        <w:t xml:space="preserve"> </w:t>
      </w:r>
      <w:r w:rsidRPr="00824B7F">
        <w:t>week study). Adequate exposure ratios for the two main circulating (</w:t>
      </w:r>
      <w:proofErr w:type="spellStart"/>
      <w:r w:rsidRPr="00824B7F">
        <w:t>non</w:t>
      </w:r>
      <w:r w:rsidR="00A80D4C">
        <w:t xml:space="preserve"> </w:t>
      </w:r>
      <w:r w:rsidRPr="00824B7F">
        <w:t>active</w:t>
      </w:r>
      <w:proofErr w:type="spellEnd"/>
      <w:r w:rsidRPr="00824B7F">
        <w:t xml:space="preserve">) human metabolites, ID-20219 and ID-20220, were achieved in mice and rats, and for the active circulating human metabolites, </w:t>
      </w:r>
      <w:r w:rsidR="0065562D">
        <w:t>ID-14283 and ID-14326, in rats.</w:t>
      </w:r>
    </w:p>
    <w:p w:rsidR="00824B7F" w:rsidRPr="00824B7F" w:rsidRDefault="00824B7F" w:rsidP="0065562D">
      <w:pPr>
        <w:pStyle w:val="ListBullet"/>
      </w:pPr>
      <w:r w:rsidRPr="00824B7F">
        <w:t>Major findings in the repeat</w:t>
      </w:r>
      <w:r w:rsidR="00A80D4C">
        <w:t xml:space="preserve"> </w:t>
      </w:r>
      <w:r w:rsidRPr="00824B7F">
        <w:t xml:space="preserve">dose toxicity studies in all species were CNS clinical signs and changes associated with </w:t>
      </w:r>
      <w:proofErr w:type="spellStart"/>
      <w:r w:rsidRPr="00824B7F">
        <w:t>hyperprolactinaemia</w:t>
      </w:r>
      <w:proofErr w:type="spellEnd"/>
      <w:r w:rsidRPr="00824B7F">
        <w:t xml:space="preserve">. CNS findings included </w:t>
      </w:r>
      <w:proofErr w:type="spellStart"/>
      <w:r w:rsidRPr="00824B7F">
        <w:t>hypoactivity</w:t>
      </w:r>
      <w:proofErr w:type="spellEnd"/>
      <w:r w:rsidRPr="00824B7F">
        <w:t xml:space="preserve">/subdued behaviour (predicted clinically), tremors, catalepsy/fixed posture, ptosis and </w:t>
      </w:r>
      <w:proofErr w:type="spellStart"/>
      <w:r w:rsidRPr="00824B7F">
        <w:t>miosis</w:t>
      </w:r>
      <w:proofErr w:type="spellEnd"/>
      <w:r w:rsidRPr="00824B7F">
        <w:t xml:space="preserve">. The most notable changes associated with </w:t>
      </w:r>
      <w:proofErr w:type="spellStart"/>
      <w:r w:rsidRPr="00824B7F">
        <w:t>hyperprolactinaemia</w:t>
      </w:r>
      <w:proofErr w:type="spellEnd"/>
      <w:r w:rsidRPr="00824B7F">
        <w:t xml:space="preserve"> included mammary gland development, ovarian and uterine atrophy, alterations in oestrous cycling, vaginal epithelial </w:t>
      </w:r>
      <w:proofErr w:type="spellStart"/>
      <w:r w:rsidRPr="00824B7F">
        <w:t>mucification</w:t>
      </w:r>
      <w:proofErr w:type="spellEnd"/>
      <w:r w:rsidRPr="00824B7F">
        <w:t xml:space="preserve"> and a reduction in trabecular bone/bone density. There were no major organ toxicities that were considered to be a direct effect of lurasidone. (Increases in serum prolactin were observe</w:t>
      </w:r>
      <w:r w:rsidR="00AB40C6">
        <w:t xml:space="preserve">d in clinical studies – </w:t>
      </w:r>
      <w:r w:rsidRPr="00824B7F">
        <w:t xml:space="preserve">not as marked as with comparators haloperidol and </w:t>
      </w:r>
      <w:proofErr w:type="spellStart"/>
      <w:r w:rsidRPr="00824B7F">
        <w:t>risperidone</w:t>
      </w:r>
      <w:proofErr w:type="spellEnd"/>
      <w:r w:rsidRPr="00824B7F">
        <w:t xml:space="preserve"> </w:t>
      </w:r>
      <w:r w:rsidR="00AB40C6">
        <w:t>–</w:t>
      </w:r>
      <w:r w:rsidRPr="00824B7F">
        <w:t xml:space="preserve"> although the typical resultant adverse effects were apparently not evident).</w:t>
      </w:r>
    </w:p>
    <w:p w:rsidR="00824B7F" w:rsidRPr="00824B7F" w:rsidRDefault="00824B7F" w:rsidP="0065562D">
      <w:pPr>
        <w:pStyle w:val="ListBullet"/>
      </w:pPr>
      <w:r w:rsidRPr="00824B7F">
        <w:t xml:space="preserve">An adequate set of </w:t>
      </w:r>
      <w:proofErr w:type="spellStart"/>
      <w:r w:rsidRPr="00824B7F">
        <w:t>genotoxicity</w:t>
      </w:r>
      <w:proofErr w:type="spellEnd"/>
      <w:r w:rsidRPr="00824B7F">
        <w:t xml:space="preserve"> studies (a bacterial reverse mutation assay, a chromosome aberration assay in Chinese hamster lung cells </w:t>
      </w:r>
      <w:r w:rsidRPr="005130CD">
        <w:rPr>
          <w:i/>
        </w:rPr>
        <w:t>in vitro</w:t>
      </w:r>
      <w:r w:rsidRPr="00824B7F">
        <w:t xml:space="preserve"> and an </w:t>
      </w:r>
      <w:r w:rsidRPr="005130CD">
        <w:rPr>
          <w:i/>
        </w:rPr>
        <w:t>in vivo</w:t>
      </w:r>
      <w:r w:rsidRPr="00824B7F">
        <w:t xml:space="preserve"> mouse micronucleus test) was submitted and results of all studies were negative.</w:t>
      </w:r>
    </w:p>
    <w:p w:rsidR="00824B7F" w:rsidRPr="00824B7F" w:rsidRDefault="00824B7F" w:rsidP="00824B7F">
      <w:pPr>
        <w:pStyle w:val="ListBullet"/>
      </w:pPr>
      <w:r w:rsidRPr="00824B7F">
        <w:t xml:space="preserve">Two year oral carcinogenicity studies were conducted in mice and rats. Increases in the incidence of pituitary adenomas and of malignant mammary gland tumours (carcinomas, </w:t>
      </w:r>
      <w:proofErr w:type="spellStart"/>
      <w:r w:rsidRPr="00824B7F">
        <w:t>adenocanthomas</w:t>
      </w:r>
      <w:proofErr w:type="spellEnd"/>
      <w:r w:rsidRPr="00824B7F">
        <w:t xml:space="preserve"> and </w:t>
      </w:r>
      <w:proofErr w:type="spellStart"/>
      <w:r w:rsidRPr="00824B7F">
        <w:t>carcinosarcomas</w:t>
      </w:r>
      <w:proofErr w:type="spellEnd"/>
      <w:r w:rsidRPr="00824B7F">
        <w:t>) were seen in female mice. Increases in the incidence of mammary gland carcinomas were seen in female rats. These tumours are considered to be prolactin</w:t>
      </w:r>
      <w:r w:rsidR="00362A67">
        <w:t xml:space="preserve"> </w:t>
      </w:r>
      <w:r w:rsidRPr="00824B7F">
        <w:t>mediated, typical for the drug class, and of low clinical relevance.</w:t>
      </w:r>
    </w:p>
    <w:p w:rsidR="00824B7F" w:rsidRPr="00824B7F" w:rsidRDefault="00824B7F" w:rsidP="0065562D">
      <w:pPr>
        <w:pStyle w:val="ListBullet"/>
      </w:pPr>
      <w:r w:rsidRPr="00824B7F">
        <w:lastRenderedPageBreak/>
        <w:t>A full set of reproductive toxicity studies comprising fertility and early embryonic development studies in male and female rats, embryof</w:t>
      </w:r>
      <w:r w:rsidR="00362A67">
        <w:t>o</w:t>
      </w:r>
      <w:r w:rsidRPr="00824B7F">
        <w:t>etal development studies in rats and rabbits, and p</w:t>
      </w:r>
      <w:r w:rsidR="00362A67">
        <w:t>re/</w:t>
      </w:r>
      <w:r w:rsidRPr="00824B7F">
        <w:t xml:space="preserve">postnatal development studies in rats, all by the oral route, was submitted. There was no evidence of an effect on fertility in male rats at oral doses up to 150 mg/kg/day PO (ER ~9). Oestrous cycling in female rats was prolonged at ≥1.5 mg/kg/day (ER ~0.1), and at 150 mg/kg/day PO (ER 9) mating and fertility indices declined, as did corpora </w:t>
      </w:r>
      <w:proofErr w:type="spellStart"/>
      <w:r w:rsidRPr="00824B7F">
        <w:t>lutea</w:t>
      </w:r>
      <w:proofErr w:type="spellEnd"/>
      <w:r w:rsidRPr="00824B7F">
        <w:t>, implantations and live f</w:t>
      </w:r>
      <w:r w:rsidR="00362A67">
        <w:t>o</w:t>
      </w:r>
      <w:r w:rsidRPr="00824B7F">
        <w:t>etuses/dam. These changes were reversible after a 2</w:t>
      </w:r>
      <w:r w:rsidR="00362A67">
        <w:t xml:space="preserve"> </w:t>
      </w:r>
      <w:r w:rsidRPr="00824B7F">
        <w:t>week treatment</w:t>
      </w:r>
      <w:r w:rsidR="00362A67">
        <w:t xml:space="preserve"> </w:t>
      </w:r>
      <w:r w:rsidRPr="00824B7F">
        <w:t>free period. No adverse/teratogenic effects were observed in embryof</w:t>
      </w:r>
      <w:r w:rsidR="00362A67">
        <w:t>o</w:t>
      </w:r>
      <w:r w:rsidRPr="00824B7F">
        <w:t xml:space="preserve">etal development studies in rats or rabbits or in </w:t>
      </w:r>
      <w:r>
        <w:t>the pre</w:t>
      </w:r>
      <w:r w:rsidRPr="00824B7F">
        <w:t>/postnatal studies in rats (respective ERs 1.5, 5 and 0.5).</w:t>
      </w:r>
    </w:p>
    <w:p w:rsidR="00824B7F" w:rsidRPr="00824B7F" w:rsidRDefault="00824B7F" w:rsidP="00824B7F">
      <w:pPr>
        <w:pStyle w:val="ListBullet"/>
      </w:pPr>
      <w:r w:rsidRPr="00824B7F">
        <w:t>Phototoxicity, antigenicity and dependence studies all gave negative results.</w:t>
      </w:r>
    </w:p>
    <w:p w:rsidR="00824B7F" w:rsidRPr="0065562D" w:rsidRDefault="00824B7F" w:rsidP="0065562D">
      <w:pPr>
        <w:pStyle w:val="Heading4"/>
      </w:pPr>
      <w:r>
        <w:t>Conclusions and recommendation</w:t>
      </w:r>
    </w:p>
    <w:p w:rsidR="00824B7F" w:rsidRPr="00824B7F" w:rsidRDefault="00824B7F" w:rsidP="0065562D">
      <w:pPr>
        <w:pStyle w:val="ListBullet"/>
      </w:pPr>
      <w:r w:rsidRPr="00824B7F">
        <w:t xml:space="preserve">There were no major deficiencies in the nonclinical data </w:t>
      </w:r>
      <w:r w:rsidRPr="0065562D">
        <w:t>dossier</w:t>
      </w:r>
      <w:r w:rsidRPr="00824B7F">
        <w:t>.</w:t>
      </w:r>
    </w:p>
    <w:p w:rsidR="00824B7F" w:rsidRPr="00824B7F" w:rsidRDefault="00824B7F" w:rsidP="0065562D">
      <w:pPr>
        <w:pStyle w:val="ListBullet"/>
      </w:pPr>
      <w:r w:rsidRPr="00824B7F">
        <w:t xml:space="preserve">Lurasidone showed high affinity for the human D2, 5-HT2A and 5-HT7 receptors and moderate affinity for human 5-HT1A, α2C and D3 receptors. </w:t>
      </w:r>
      <w:r w:rsidRPr="00A700E3">
        <w:rPr>
          <w:i/>
        </w:rPr>
        <w:t>In vivo</w:t>
      </w:r>
      <w:r w:rsidRPr="00824B7F">
        <w:t xml:space="preserve"> studies in rodents were consistent with antagonism at the D2 and 5-HT2 receptors. Lurasidone showed activity in tests for anxiolytic activity/mood stabilising act</w:t>
      </w:r>
      <w:r w:rsidR="00A700E3">
        <w:t>ion and ameliorated scopolamine</w:t>
      </w:r>
      <w:r w:rsidRPr="00824B7F">
        <w:t xml:space="preserve"> and MK-801</w:t>
      </w:r>
      <w:r w:rsidR="00A700E3">
        <w:t xml:space="preserve"> </w:t>
      </w:r>
      <w:r w:rsidRPr="00824B7F">
        <w:t>induced memory impairment. The nonclinical data support the drug’s use for the treatment of schizophrenia.</w:t>
      </w:r>
    </w:p>
    <w:p w:rsidR="00824B7F" w:rsidRPr="00824B7F" w:rsidRDefault="00824B7F" w:rsidP="0065562D">
      <w:pPr>
        <w:pStyle w:val="ListBullet"/>
      </w:pPr>
      <w:r w:rsidRPr="00824B7F">
        <w:t xml:space="preserve">Secondary </w:t>
      </w:r>
      <w:r w:rsidR="0064096A">
        <w:t>PD</w:t>
      </w:r>
      <w:r w:rsidRPr="00824B7F">
        <w:t xml:space="preserve"> studies suggested that lurasidone may have a lower potential to induce extrapyramidal side effects than comparator drugs. Safety pharmacology studies did not reveal any clinically relevant hazards except for CNS clinical signs and the potential for </w:t>
      </w:r>
      <w:proofErr w:type="spellStart"/>
      <w:r w:rsidRPr="00824B7F">
        <w:t>hyperprolactinaemia</w:t>
      </w:r>
      <w:proofErr w:type="spellEnd"/>
      <w:r w:rsidRPr="00824B7F">
        <w:t>. Lurasidone dose</w:t>
      </w:r>
      <w:r w:rsidR="00A700E3">
        <w:t xml:space="preserve"> </w:t>
      </w:r>
      <w:r w:rsidRPr="00824B7F">
        <w:t xml:space="preserve">dependently inhibited the rapidly activating delayed rectifier potassium current in cloned </w:t>
      </w:r>
      <w:proofErr w:type="spellStart"/>
      <w:r w:rsidRPr="00824B7F">
        <w:t>hERG</w:t>
      </w:r>
      <w:proofErr w:type="spellEnd"/>
      <w:r w:rsidRPr="00824B7F">
        <w:t xml:space="preserve"> channels, but this did not translate into any notable prolongation of QT/</w:t>
      </w:r>
      <w:proofErr w:type="spellStart"/>
      <w:r w:rsidRPr="00824B7F">
        <w:t>QTc</w:t>
      </w:r>
      <w:proofErr w:type="spellEnd"/>
      <w:r w:rsidRPr="00824B7F">
        <w:t xml:space="preserve"> intervals in </w:t>
      </w:r>
      <w:r w:rsidRPr="00A42DB6">
        <w:rPr>
          <w:i/>
        </w:rPr>
        <w:t>in vivo</w:t>
      </w:r>
      <w:r w:rsidRPr="00824B7F">
        <w:t xml:space="preserve"> studies.</w:t>
      </w:r>
    </w:p>
    <w:p w:rsidR="00824B7F" w:rsidRPr="00824B7F" w:rsidRDefault="00824B7F" w:rsidP="0065562D">
      <w:pPr>
        <w:pStyle w:val="ListBullet"/>
      </w:pPr>
      <w:r w:rsidRPr="00824B7F">
        <w:t xml:space="preserve">The nonclinical species used (rats, dogs and </w:t>
      </w:r>
      <w:proofErr w:type="spellStart"/>
      <w:r w:rsidRPr="00824B7F">
        <w:t>cynomolgus</w:t>
      </w:r>
      <w:proofErr w:type="spellEnd"/>
      <w:r w:rsidRPr="00824B7F">
        <w:t xml:space="preserve"> </w:t>
      </w:r>
      <w:r w:rsidRPr="0065562D">
        <w:t>monkeys</w:t>
      </w:r>
      <w:r w:rsidRPr="00824B7F">
        <w:t>) served as appropriate models for the assessment of drug toxicity in humans. Lurasidone is highly protein bound and is largely metabolised by CYP3A4.</w:t>
      </w:r>
    </w:p>
    <w:p w:rsidR="00824B7F" w:rsidRPr="00824B7F" w:rsidRDefault="00824B7F" w:rsidP="0065562D">
      <w:pPr>
        <w:pStyle w:val="ListBullet"/>
      </w:pPr>
      <w:r w:rsidRPr="00824B7F">
        <w:t xml:space="preserve">CNS clinical signs and </w:t>
      </w:r>
      <w:proofErr w:type="spellStart"/>
      <w:r w:rsidRPr="00824B7F">
        <w:t>hyperprolactinaemia</w:t>
      </w:r>
      <w:proofErr w:type="spellEnd"/>
      <w:r w:rsidRPr="00824B7F">
        <w:t xml:space="preserve"> and its consequent effects, particularly on the female reproductive system, were the main findings in </w:t>
      </w:r>
      <w:r w:rsidRPr="0065562D">
        <w:t>the</w:t>
      </w:r>
      <w:r w:rsidRPr="00824B7F">
        <w:t xml:space="preserve"> repeat</w:t>
      </w:r>
      <w:r w:rsidR="00A700E3">
        <w:t xml:space="preserve"> </w:t>
      </w:r>
      <w:r w:rsidRPr="00824B7F">
        <w:t>dose toxicity studies. In patients, somnolence and some increase in serum prolactin have been reported.</w:t>
      </w:r>
    </w:p>
    <w:p w:rsidR="00824B7F" w:rsidRPr="00824B7F" w:rsidRDefault="00824B7F" w:rsidP="0065562D">
      <w:pPr>
        <w:pStyle w:val="ListBullet"/>
      </w:pPr>
      <w:r w:rsidRPr="00824B7F">
        <w:t xml:space="preserve">Lurasidone did not show </w:t>
      </w:r>
      <w:proofErr w:type="spellStart"/>
      <w:r w:rsidRPr="00824B7F">
        <w:t>genotoxic</w:t>
      </w:r>
      <w:proofErr w:type="spellEnd"/>
      <w:r w:rsidRPr="00824B7F">
        <w:t xml:space="preserve"> potential. Prolactin</w:t>
      </w:r>
      <w:r w:rsidR="00A700E3">
        <w:t xml:space="preserve"> </w:t>
      </w:r>
      <w:r w:rsidRPr="0065562D">
        <w:t>mediated</w:t>
      </w:r>
      <w:r w:rsidRPr="00824B7F">
        <w:t xml:space="preserve"> pituitary and mammary gland tumours in rodents are considered a low risk to humans.</w:t>
      </w:r>
    </w:p>
    <w:p w:rsidR="00824B7F" w:rsidRPr="00824B7F" w:rsidRDefault="00824B7F" w:rsidP="0065562D">
      <w:pPr>
        <w:pStyle w:val="ListBullet"/>
      </w:pPr>
      <w:r w:rsidRPr="00824B7F">
        <w:t>Lurasidone had adverse effects on mating, fertility and litter parameters in female rats, but showed no adverse effects on embryof</w:t>
      </w:r>
      <w:r w:rsidR="00A700E3">
        <w:t>o</w:t>
      </w:r>
      <w:r w:rsidRPr="00824B7F">
        <w:t>etal development in rats or rabbits and was not teratogenic. The nonclinical data support the pro</w:t>
      </w:r>
      <w:r w:rsidR="0065562D">
        <w:t>posed pregnancy category of B1.</w:t>
      </w:r>
    </w:p>
    <w:p w:rsidR="00824B7F" w:rsidRPr="00824B7F" w:rsidRDefault="00824B7F" w:rsidP="0065562D">
      <w:pPr>
        <w:pStyle w:val="ListBullet"/>
      </w:pPr>
      <w:r w:rsidRPr="00824B7F">
        <w:t xml:space="preserve"> </w:t>
      </w:r>
      <w:r w:rsidRPr="0065562D">
        <w:t>There</w:t>
      </w:r>
      <w:r w:rsidRPr="00824B7F">
        <w:t xml:space="preserve"> are no nonclinical objections to the registration of </w:t>
      </w:r>
      <w:r w:rsidR="00EC20AF">
        <w:t>LDH</w:t>
      </w:r>
      <w:r w:rsidRPr="00824B7F">
        <w:t xml:space="preserve"> for the treatm</w:t>
      </w:r>
      <w:r w:rsidR="0065562D">
        <w:t>ent of schizophrenia in adults.</w:t>
      </w:r>
    </w:p>
    <w:p w:rsidR="008E7846" w:rsidRPr="00254787" w:rsidRDefault="008E7846" w:rsidP="0065562D">
      <w:pPr>
        <w:pStyle w:val="Heading2"/>
      </w:pPr>
      <w:bookmarkStart w:id="64" w:name="_Toc196046462"/>
      <w:bookmarkStart w:id="65" w:name="_Toc247691516"/>
      <w:bookmarkStart w:id="66" w:name="_Toc314842500"/>
      <w:bookmarkStart w:id="67" w:name="_Toc163441353"/>
      <w:bookmarkStart w:id="68" w:name="_Toc163441348"/>
      <w:bookmarkStart w:id="69" w:name="_Toc392682448"/>
      <w:r>
        <w:t xml:space="preserve">IV. </w:t>
      </w:r>
      <w:r w:rsidRPr="00254787">
        <w:t>Clinical</w:t>
      </w:r>
      <w:bookmarkEnd w:id="64"/>
      <w:r>
        <w:t xml:space="preserve"> </w:t>
      </w:r>
      <w:r w:rsidR="003A7F6C" w:rsidRPr="0065562D">
        <w:t>f</w:t>
      </w:r>
      <w:r w:rsidRPr="0065562D">
        <w:t>indings</w:t>
      </w:r>
      <w:bookmarkEnd w:id="65"/>
      <w:bookmarkEnd w:id="66"/>
      <w:bookmarkEnd w:id="69"/>
    </w:p>
    <w:p w:rsidR="00C8013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A41E26">
      <w:pPr>
        <w:pStyle w:val="Heading3"/>
      </w:pPr>
      <w:bookmarkStart w:id="71" w:name="_Toc247691517"/>
      <w:bookmarkStart w:id="72" w:name="_Toc314842501"/>
      <w:bookmarkStart w:id="73" w:name="_Toc392682449"/>
      <w:r w:rsidRPr="00A41E26">
        <w:lastRenderedPageBreak/>
        <w:t>Introduction</w:t>
      </w:r>
      <w:bookmarkEnd w:id="70"/>
      <w:bookmarkEnd w:id="71"/>
      <w:bookmarkEnd w:id="72"/>
      <w:bookmarkEnd w:id="73"/>
    </w:p>
    <w:p w:rsidR="00605AD4" w:rsidRPr="00605AD4" w:rsidRDefault="00605AD4" w:rsidP="00A41E26">
      <w:pPr>
        <w:pStyle w:val="Heading4"/>
      </w:pPr>
      <w:bookmarkStart w:id="74" w:name="_Toc196046464"/>
      <w:bookmarkStart w:id="75" w:name="_Toc247691518"/>
      <w:bookmarkStart w:id="76" w:name="_Toc314842502"/>
      <w:r w:rsidRPr="00A41E26">
        <w:t>Clinical</w:t>
      </w:r>
      <w:r w:rsidRPr="00605AD4">
        <w:t xml:space="preserve"> </w:t>
      </w:r>
      <w:r w:rsidR="000E55BF">
        <w:t>r</w:t>
      </w:r>
      <w:r w:rsidRPr="00605AD4">
        <w:t>ationale</w:t>
      </w:r>
    </w:p>
    <w:p w:rsidR="007C0CA2" w:rsidRPr="007C0CA2" w:rsidRDefault="007C0CA2" w:rsidP="00A41E26">
      <w:r w:rsidRPr="007C0CA2">
        <w:t xml:space="preserve">Schizophrenia is a severe, chronic psychiatric disorder that affects </w:t>
      </w:r>
      <w:r w:rsidR="00DF4F9B">
        <w:t>~</w:t>
      </w:r>
      <w:r w:rsidRPr="007C0CA2">
        <w:t>1% of the population throughout the world. It is known to cause a high level of disability and reduces life expectancy typically due to associated suicide. The disease is characterised by positive symptoms (delusions, hallucinations, disorganised speech, disorganised or catatonic behaviours) and negative symptoms (affective flattening, restriction in the fluency and productivity of thought and speech and in the initiation of goal</w:t>
      </w:r>
      <w:r w:rsidR="00BC032D">
        <w:t xml:space="preserve"> </w:t>
      </w:r>
      <w:r w:rsidR="00A41E26">
        <w:t>directed behaviour).</w:t>
      </w:r>
    </w:p>
    <w:p w:rsidR="007C0CA2" w:rsidRPr="007C0CA2" w:rsidRDefault="007C0CA2" w:rsidP="00A41E26">
      <w:r w:rsidRPr="007C0CA2">
        <w:t>Treatment options include pharmacological (ant</w:t>
      </w:r>
      <w:r w:rsidR="00BC032D">
        <w:t xml:space="preserve">ipsychotic medications) and </w:t>
      </w:r>
      <w:proofErr w:type="spellStart"/>
      <w:r w:rsidR="00BC032D">
        <w:t xml:space="preserve">non </w:t>
      </w:r>
      <w:r w:rsidRPr="007C0CA2">
        <w:t>pharmacological</w:t>
      </w:r>
      <w:proofErr w:type="spellEnd"/>
      <w:r w:rsidRPr="007C0CA2">
        <w:t xml:space="preserve"> (supportive) treatments. Antipsychotic agents are the mainstay of pharmacological intervention in the treatment of schizophrenia and are </w:t>
      </w:r>
      <w:r w:rsidR="00DF4F9B">
        <w:t xml:space="preserve">considered first </w:t>
      </w:r>
      <w:r w:rsidRPr="007C0CA2">
        <w:t>line treatment. There is large inter</w:t>
      </w:r>
      <w:r w:rsidR="00DF4F9B">
        <w:t xml:space="preserve"> </w:t>
      </w:r>
      <w:r w:rsidRPr="007C0CA2">
        <w:t xml:space="preserve">individual variability in response to these drugs which are required to be taken long term and treatment is frequently a balancing act between therapeutic efficacy and adverse effects. The first generation antipsychotics (“typical” antipsychotics such as haloperidol and </w:t>
      </w:r>
      <w:proofErr w:type="spellStart"/>
      <w:r w:rsidRPr="007C0CA2">
        <w:t>thioridazine</w:t>
      </w:r>
      <w:proofErr w:type="spellEnd"/>
      <w:r w:rsidRPr="007C0CA2">
        <w:t xml:space="preserve">) are known for causing extrapyramidal side effects (rigidity, tremor, restlessness) and may lead to tardive dyskinesia. The second generation, or “atypical”, antipsychotics generally have a lower risk of extrapyramidal side effects and tardive dyskinesia (examples are </w:t>
      </w:r>
      <w:proofErr w:type="spellStart"/>
      <w:r w:rsidRPr="007C0CA2">
        <w:t>risperidone</w:t>
      </w:r>
      <w:proofErr w:type="spellEnd"/>
      <w:r w:rsidRPr="007C0CA2">
        <w:t xml:space="preserve">, </w:t>
      </w:r>
      <w:proofErr w:type="spellStart"/>
      <w:r w:rsidRPr="007C0CA2">
        <w:t>quetiapine</w:t>
      </w:r>
      <w:proofErr w:type="spellEnd"/>
      <w:r w:rsidRPr="007C0CA2">
        <w:t xml:space="preserve">, </w:t>
      </w:r>
      <w:proofErr w:type="spellStart"/>
      <w:r w:rsidRPr="007C0CA2">
        <w:t>aripiprazole</w:t>
      </w:r>
      <w:proofErr w:type="spellEnd"/>
      <w:r w:rsidRPr="007C0CA2">
        <w:t xml:space="preserve"> and </w:t>
      </w:r>
      <w:proofErr w:type="spellStart"/>
      <w:r w:rsidRPr="007C0CA2">
        <w:t>ziprasidone</w:t>
      </w:r>
      <w:proofErr w:type="spellEnd"/>
      <w:r w:rsidRPr="007C0CA2">
        <w:t>). However, they have typically been associated with higher rates of weight gain and metabolic abnormalities. QT prolongation is also reported with a number of these drugs. Schizophrenia is a condition where there is an evident medical need for effective and well tolerated treatments.</w:t>
      </w:r>
    </w:p>
    <w:p w:rsidR="007C0CA2" w:rsidRDefault="007C0CA2" w:rsidP="00A41E26">
      <w:r w:rsidRPr="007C0CA2">
        <w:t>Antipsychotic agents generally all have activity via post</w:t>
      </w:r>
      <w:r w:rsidR="00DF4F9B">
        <w:t xml:space="preserve"> </w:t>
      </w:r>
      <w:r w:rsidRPr="007C0CA2">
        <w:t>synaptic blockade of the brain dopamine D2 receptors. Atypical antipsychotics also have activity in blocking the serotonin 5</w:t>
      </w:r>
      <w:r w:rsidR="00DF4F9B">
        <w:t>-</w:t>
      </w:r>
      <w:r w:rsidRPr="007C0CA2">
        <w:t xml:space="preserve">HT2 receptor. The </w:t>
      </w:r>
      <w:r>
        <w:t>s</w:t>
      </w:r>
      <w:r w:rsidRPr="007C0CA2">
        <w:t>ponsor reporte</w:t>
      </w:r>
      <w:r>
        <w:t>d that:</w:t>
      </w:r>
    </w:p>
    <w:p w:rsidR="007C0CA2" w:rsidRPr="00A41E26" w:rsidRDefault="00DF4F9B" w:rsidP="00A41E26">
      <w:pPr>
        <w:ind w:left="720"/>
        <w:rPr>
          <w:i/>
        </w:rPr>
      </w:pPr>
      <w:r w:rsidRPr="00A41E26">
        <w:rPr>
          <w:i/>
        </w:rPr>
        <w:t>I</w:t>
      </w:r>
      <w:r w:rsidR="007C0CA2" w:rsidRPr="00A41E26">
        <w:rPr>
          <w:i/>
        </w:rPr>
        <w:t xml:space="preserve">n vitro receptor binding studies revealed that lurasidone is an antagonist with high affinity at dopamine D2 receptors and the 5-hydroxytryptamine (serotonin) receptors, 5-HT2A and 5-HT7; is an antagonist with moderate affinity at human α2C </w:t>
      </w:r>
      <w:proofErr w:type="spellStart"/>
      <w:r w:rsidR="007C0CA2" w:rsidRPr="00A41E26">
        <w:rPr>
          <w:i/>
        </w:rPr>
        <w:t>adrenoceptors</w:t>
      </w:r>
      <w:proofErr w:type="spellEnd"/>
      <w:r w:rsidR="007C0CA2" w:rsidRPr="00A41E26">
        <w:rPr>
          <w:i/>
        </w:rPr>
        <w:t xml:space="preserve">; is a partial agonist at serotonin 5-HT1A receptors; and is an antagonist at α2A </w:t>
      </w:r>
      <w:proofErr w:type="spellStart"/>
      <w:r w:rsidR="007C0CA2" w:rsidRPr="00A41E26">
        <w:rPr>
          <w:i/>
        </w:rPr>
        <w:t>adrenoceptors</w:t>
      </w:r>
      <w:proofErr w:type="spellEnd"/>
      <w:r w:rsidR="007C0CA2" w:rsidRPr="00A41E26">
        <w:rPr>
          <w:i/>
        </w:rPr>
        <w:t>. Lurasidone exhibits little or no affinity for histamine H1 and muscarinic M1 receptors.</w:t>
      </w:r>
    </w:p>
    <w:p w:rsidR="007C0CA2" w:rsidRPr="007C0CA2" w:rsidRDefault="007C0CA2" w:rsidP="00A41E26">
      <w:r w:rsidRPr="007C0CA2">
        <w:t>Lurasidone has the drug codes of SM-13496 and MK-3756.</w:t>
      </w:r>
    </w:p>
    <w:p w:rsidR="00605AD4" w:rsidRPr="00A41E26" w:rsidRDefault="00605AD4" w:rsidP="00A41E26">
      <w:pPr>
        <w:pStyle w:val="Heading4"/>
      </w:pPr>
      <w:r w:rsidRPr="00605AD4">
        <w:t>Guidance</w:t>
      </w:r>
    </w:p>
    <w:p w:rsidR="000D6B24" w:rsidRPr="000D6B24" w:rsidRDefault="000D6B24" w:rsidP="00A41E26">
      <w:r w:rsidRPr="000D6B24">
        <w:t>There was no pre</w:t>
      </w:r>
      <w:r>
        <w:t>-</w:t>
      </w:r>
      <w:r w:rsidRPr="000D6B24">
        <w:t>submission meeting held with the TGA. The clinical development program includes efficacy and safety studies which are line with current EMA guidelines on the investigation of medical products for the treat</w:t>
      </w:r>
      <w:r w:rsidR="00DF4F9B">
        <w:t>ment of schizophrenia</w:t>
      </w:r>
      <w:r w:rsidRPr="000D6B24">
        <w:t>.</w:t>
      </w:r>
      <w:r w:rsidR="00D16554">
        <w:rPr>
          <w:rStyle w:val="FootnoteReference"/>
        </w:rPr>
        <w:footnoteReference w:id="25"/>
      </w:r>
    </w:p>
    <w:p w:rsidR="00605AD4" w:rsidRPr="00605AD4" w:rsidRDefault="00605AD4" w:rsidP="00A41E26">
      <w:pPr>
        <w:pStyle w:val="Heading4"/>
      </w:pPr>
      <w:r w:rsidRPr="00605AD4">
        <w:t>Contents of the clinical dossier</w:t>
      </w:r>
    </w:p>
    <w:p w:rsidR="007C0CA2" w:rsidRPr="00B15047" w:rsidRDefault="007C0CA2" w:rsidP="00A41E26">
      <w:r w:rsidRPr="00B15047">
        <w:t>The submission contained the following clinical information:</w:t>
      </w:r>
    </w:p>
    <w:p w:rsidR="007C0CA2" w:rsidRPr="007C0CA2" w:rsidRDefault="007C0CA2" w:rsidP="00A41E26">
      <w:pPr>
        <w:pStyle w:val="ListBullet"/>
      </w:pPr>
      <w:r w:rsidRPr="007C0CA2">
        <w:t xml:space="preserve">31 clinical </w:t>
      </w:r>
      <w:r w:rsidRPr="00A41E26">
        <w:t>pharmacology</w:t>
      </w:r>
      <w:r w:rsidRPr="007C0CA2">
        <w:t xml:space="preserve"> studies, including: 4 bioavailability and bioequivalence studies; 4 healthy subject PK studies ; 3 patient PK studies; 4 intrinsic factor PK studies; 13 extrinsic factor PK studies; 2 healthy subject PD </w:t>
      </w:r>
      <w:r w:rsidR="00A41E26">
        <w:t>studies and 1 patient PD study.</w:t>
      </w:r>
    </w:p>
    <w:p w:rsidR="007C0CA2" w:rsidRPr="007C0CA2" w:rsidRDefault="007C0CA2" w:rsidP="00A41E26">
      <w:pPr>
        <w:pStyle w:val="ListBullet"/>
      </w:pPr>
      <w:r w:rsidRPr="007C0CA2">
        <w:lastRenderedPageBreak/>
        <w:t xml:space="preserve">4 population </w:t>
      </w:r>
      <w:r w:rsidR="0064096A">
        <w:t>PK</w:t>
      </w:r>
      <w:r w:rsidRPr="007C0CA2">
        <w:t xml:space="preserve"> analyses.</w:t>
      </w:r>
    </w:p>
    <w:p w:rsidR="007C0CA2" w:rsidRPr="007C0CA2" w:rsidRDefault="007C0CA2" w:rsidP="00A41E26">
      <w:pPr>
        <w:pStyle w:val="ListBullet"/>
      </w:pPr>
      <w:r w:rsidRPr="007C0CA2">
        <w:t xml:space="preserve">21 clinical efficacy and </w:t>
      </w:r>
      <w:r w:rsidRPr="00A41E26">
        <w:t>safety</w:t>
      </w:r>
      <w:r w:rsidRPr="007C0CA2">
        <w:t xml:space="preserve"> studies:</w:t>
      </w:r>
    </w:p>
    <w:p w:rsidR="007C0CA2" w:rsidRPr="007C0CA2" w:rsidRDefault="007C0CA2" w:rsidP="00A41E26">
      <w:pPr>
        <w:pStyle w:val="ListBullet2"/>
      </w:pPr>
      <w:r w:rsidRPr="007C0CA2">
        <w:t>5 ‘pivotal’ short term, placebo</w:t>
      </w:r>
      <w:r w:rsidR="00425BE6">
        <w:t xml:space="preserve"> </w:t>
      </w:r>
      <w:r w:rsidRPr="007C0CA2">
        <w:t xml:space="preserve">controlled efficacy/safety studies (D1050006, D1050229, D1050196, D1050231, </w:t>
      </w:r>
      <w:proofErr w:type="gramStart"/>
      <w:r w:rsidRPr="007C0CA2">
        <w:t>D1050233</w:t>
      </w:r>
      <w:proofErr w:type="gramEnd"/>
      <w:r w:rsidRPr="007C0CA2">
        <w:t>).</w:t>
      </w:r>
    </w:p>
    <w:p w:rsidR="007C0CA2" w:rsidRPr="007C0CA2" w:rsidRDefault="007C0CA2" w:rsidP="00A41E26">
      <w:pPr>
        <w:pStyle w:val="ListBullet2"/>
      </w:pPr>
      <w:r w:rsidRPr="007C0CA2">
        <w:t xml:space="preserve">2 other short term, </w:t>
      </w:r>
      <w:r w:rsidRPr="00A41E26">
        <w:t>placebo</w:t>
      </w:r>
      <w:r w:rsidR="00425BE6">
        <w:t xml:space="preserve"> </w:t>
      </w:r>
      <w:r w:rsidRPr="007C0CA2">
        <w:t>controlled efficacy/safety studies (D1050049, D1001002).</w:t>
      </w:r>
    </w:p>
    <w:p w:rsidR="007C0CA2" w:rsidRPr="007C0CA2" w:rsidRDefault="007C0CA2" w:rsidP="00A41E26">
      <w:pPr>
        <w:pStyle w:val="ListBullet2"/>
      </w:pPr>
      <w:r w:rsidRPr="007C0CA2">
        <w:t xml:space="preserve">2 </w:t>
      </w:r>
      <w:r w:rsidR="00425BE6">
        <w:t>P</w:t>
      </w:r>
      <w:r w:rsidRPr="007C0CA2">
        <w:t xml:space="preserve">hase II, </w:t>
      </w:r>
      <w:r w:rsidRPr="00A41E26">
        <w:t>uncontrolled</w:t>
      </w:r>
      <w:r w:rsidRPr="007C0CA2">
        <w:t xml:space="preserve"> studies (D1001001, D1001016).</w:t>
      </w:r>
    </w:p>
    <w:p w:rsidR="007C0CA2" w:rsidRPr="007C0CA2" w:rsidRDefault="007C0CA2" w:rsidP="00A41E26">
      <w:pPr>
        <w:pStyle w:val="ListBullet2"/>
      </w:pPr>
      <w:r w:rsidRPr="007C0CA2">
        <w:t xml:space="preserve">3 long term, </w:t>
      </w:r>
      <w:r w:rsidRPr="00A41E26">
        <w:t>controlled</w:t>
      </w:r>
      <w:r w:rsidRPr="007C0CA2">
        <w:t xml:space="preserve"> studies (D1050234, D1050237 D1050254).</w:t>
      </w:r>
    </w:p>
    <w:p w:rsidR="007C0CA2" w:rsidRPr="007C0CA2" w:rsidRDefault="007C0CA2" w:rsidP="00A41E26">
      <w:pPr>
        <w:pStyle w:val="ListBullet2"/>
      </w:pPr>
      <w:r w:rsidRPr="007C0CA2">
        <w:t xml:space="preserve">7 uncontrolled long </w:t>
      </w:r>
      <w:r w:rsidRPr="00A41E26">
        <w:t>term</w:t>
      </w:r>
      <w:r w:rsidRPr="007C0CA2">
        <w:t xml:space="preserve"> clinical studies (D1050229E, D1050231E, D1001036, D1001048, D1050174, D1050199, D1050237E).</w:t>
      </w:r>
    </w:p>
    <w:p w:rsidR="007C0CA2" w:rsidRPr="007C0CA2" w:rsidRDefault="007C0CA2" w:rsidP="00A41E26">
      <w:pPr>
        <w:pStyle w:val="ListBullet2"/>
      </w:pPr>
      <w:r w:rsidRPr="007C0CA2">
        <w:t>2 other efficacy/</w:t>
      </w:r>
      <w:r w:rsidRPr="00A41E26">
        <w:t>safety</w:t>
      </w:r>
      <w:r w:rsidRPr="007C0CA2">
        <w:t xml:space="preserve"> studies (D1050289 and its extension D1050290).</w:t>
      </w:r>
    </w:p>
    <w:p w:rsidR="007C0CA2" w:rsidRPr="007C0CA2" w:rsidRDefault="007C0CA2" w:rsidP="00A41E26">
      <w:pPr>
        <w:pStyle w:val="ListBullet"/>
      </w:pPr>
      <w:r w:rsidRPr="007C0CA2">
        <w:t xml:space="preserve">4 clinical study protocols (D1050238, D1050307, D1001056, </w:t>
      </w:r>
      <w:proofErr w:type="gramStart"/>
      <w:r w:rsidRPr="007C0CA2">
        <w:t>D1001057</w:t>
      </w:r>
      <w:proofErr w:type="gramEnd"/>
      <w:r w:rsidRPr="007C0CA2">
        <w:t>).</w:t>
      </w:r>
    </w:p>
    <w:p w:rsidR="007C0CA2" w:rsidRPr="007C0CA2" w:rsidRDefault="007C0CA2" w:rsidP="00A41E26">
      <w:pPr>
        <w:pStyle w:val="ListBullet"/>
      </w:pPr>
      <w:r w:rsidRPr="007C0CA2">
        <w:t xml:space="preserve">Integrated Summary of </w:t>
      </w:r>
      <w:r w:rsidRPr="00A41E26">
        <w:t>Efficacy</w:t>
      </w:r>
      <w:r w:rsidRPr="007C0CA2">
        <w:t xml:space="preserve"> tables, Integrated Summary of Safety tables, data integration plan and statistical analysis plan for the </w:t>
      </w:r>
      <w:r w:rsidR="004B5BC9" w:rsidRPr="004B5BC9">
        <w:t xml:space="preserve">Integrated Summary of Efficacy </w:t>
      </w:r>
      <w:r w:rsidR="004B5BC9">
        <w:t>(</w:t>
      </w:r>
      <w:r w:rsidRPr="007C0CA2">
        <w:t>ISE</w:t>
      </w:r>
      <w:r w:rsidR="004B5BC9">
        <w:t>)</w:t>
      </w:r>
      <w:r w:rsidRPr="007C0CA2">
        <w:t xml:space="preserve"> and</w:t>
      </w:r>
      <w:r w:rsidR="00AA6E38" w:rsidRPr="00AA6E38">
        <w:t xml:space="preserve"> Integrated Summary of Safety (ISS</w:t>
      </w:r>
      <w:r w:rsidR="00AA6E38">
        <w:t>)</w:t>
      </w:r>
      <w:r w:rsidRPr="007C0CA2">
        <w:t xml:space="preserve">, </w:t>
      </w:r>
      <w:r w:rsidR="001A52B2" w:rsidRPr="001A52B2">
        <w:t>Council for International Organi</w:t>
      </w:r>
      <w:r w:rsidR="001A52B2">
        <w:t>s</w:t>
      </w:r>
      <w:r w:rsidR="001A52B2" w:rsidRPr="001A52B2">
        <w:t xml:space="preserve">ations of Medical Sciences </w:t>
      </w:r>
      <w:r w:rsidR="001A52B2">
        <w:t>(</w:t>
      </w:r>
      <w:r w:rsidRPr="007C0CA2">
        <w:t>CIOMS</w:t>
      </w:r>
      <w:r w:rsidR="001A52B2">
        <w:t>)</w:t>
      </w:r>
      <w:r w:rsidRPr="007C0CA2">
        <w:t xml:space="preserve"> listings in a safety appendix, 5 P</w:t>
      </w:r>
      <w:r w:rsidR="00B72BA6">
        <w:t>eriodic Safety Update Reports (P</w:t>
      </w:r>
      <w:r w:rsidRPr="007C0CA2">
        <w:t>SURs</w:t>
      </w:r>
      <w:r w:rsidR="009F31AE">
        <w:t>)</w:t>
      </w:r>
      <w:r w:rsidRPr="007C0CA2">
        <w:t xml:space="preserve"> and literature references.</w:t>
      </w:r>
    </w:p>
    <w:p w:rsidR="00605AD4" w:rsidRPr="00A41E26" w:rsidRDefault="00605AD4" w:rsidP="00A41E26">
      <w:pPr>
        <w:pStyle w:val="Heading4"/>
      </w:pPr>
      <w:r w:rsidRPr="00605AD4">
        <w:t>Paediatric data</w:t>
      </w:r>
    </w:p>
    <w:p w:rsidR="007C0CA2" w:rsidRPr="00B15047" w:rsidRDefault="007C0CA2" w:rsidP="00A41E26">
      <w:r w:rsidRPr="00B15047">
        <w:t>The submission did not include paediatric data. A Paediatric Investigation Plan (PIP) was included in the dossier. This was approved by the EMA in July 2012. This plan covers the population from 13 to 18 years of age.</w:t>
      </w:r>
    </w:p>
    <w:p w:rsidR="00605AD4" w:rsidRDefault="00605AD4" w:rsidP="00A41E26">
      <w:pPr>
        <w:pStyle w:val="Heading4"/>
      </w:pPr>
      <w:r w:rsidRPr="00605AD4">
        <w:t xml:space="preserve">Good clinical </w:t>
      </w:r>
      <w:r w:rsidRPr="00A41E26">
        <w:t>practice</w:t>
      </w:r>
    </w:p>
    <w:p w:rsidR="000D6B24" w:rsidRPr="000D6B24" w:rsidRDefault="000D6B24" w:rsidP="00A41E26">
      <w:bookmarkStart w:id="77" w:name="_Toc241374282"/>
      <w:r w:rsidRPr="000D6B24">
        <w:t xml:space="preserve">In all clinical study reports the </w:t>
      </w:r>
      <w:r>
        <w:t>s</w:t>
      </w:r>
      <w:r w:rsidRPr="000D6B24">
        <w:t xml:space="preserve">ponsor stated that conduct was in accordance with Good Clinical Practice </w:t>
      </w:r>
      <w:r w:rsidR="00E268ED">
        <w:t xml:space="preserve">(GCP) </w:t>
      </w:r>
      <w:r w:rsidRPr="000D6B24">
        <w:t>guidelines as well as local regulatory and ethical requirements.</w:t>
      </w:r>
    </w:p>
    <w:p w:rsidR="008E7846" w:rsidRPr="00254787" w:rsidRDefault="008E7846" w:rsidP="00A41E26">
      <w:pPr>
        <w:pStyle w:val="Heading3"/>
      </w:pPr>
      <w:bookmarkStart w:id="78" w:name="_Toc392682450"/>
      <w:bookmarkEnd w:id="77"/>
      <w:r w:rsidRPr="00A41E26">
        <w:t>Pharmacokinetics</w:t>
      </w:r>
      <w:bookmarkEnd w:id="67"/>
      <w:bookmarkEnd w:id="74"/>
      <w:bookmarkEnd w:id="75"/>
      <w:bookmarkEnd w:id="76"/>
      <w:bookmarkEnd w:id="78"/>
    </w:p>
    <w:p w:rsidR="00605AD4" w:rsidRPr="00000C91" w:rsidRDefault="00605AD4" w:rsidP="00A41E26">
      <w:pPr>
        <w:pStyle w:val="Heading4"/>
      </w:pPr>
      <w:r w:rsidRPr="00000C91">
        <w:t xml:space="preserve">Studies </w:t>
      </w:r>
      <w:r w:rsidRPr="00A41E26">
        <w:t>providing</w:t>
      </w:r>
      <w:r w:rsidRPr="00000C91">
        <w:t xml:space="preserve"> pharmacokinetic data </w:t>
      </w:r>
    </w:p>
    <w:p w:rsidR="00000C91" w:rsidRPr="00000C91" w:rsidRDefault="00000C91" w:rsidP="00A41E26">
      <w:r>
        <w:t>Table 16</w:t>
      </w:r>
      <w:r w:rsidRPr="00000C91">
        <w:t xml:space="preserve"> shows the studies relating to each </w:t>
      </w:r>
      <w:r w:rsidR="0064096A">
        <w:t>PK</w:t>
      </w:r>
      <w:r w:rsidRPr="00000C91">
        <w:t xml:space="preserve"> topic and the location of each study summary.</w:t>
      </w:r>
    </w:p>
    <w:p w:rsidR="00000C91" w:rsidRPr="00A41E26" w:rsidRDefault="00000C91" w:rsidP="00A41E26">
      <w:pPr>
        <w:pStyle w:val="TableTitle"/>
      </w:pPr>
      <w:r>
        <w:lastRenderedPageBreak/>
        <w:t>Table 16:</w:t>
      </w:r>
      <w:r w:rsidRPr="004C5C28">
        <w:t xml:space="preserve"> </w:t>
      </w:r>
      <w:r w:rsidRPr="00000C91">
        <w:t xml:space="preserve">Submitted </w:t>
      </w:r>
      <w:r w:rsidR="00E268ED">
        <w:t>PK</w:t>
      </w:r>
      <w:r w:rsidRPr="00000C91">
        <w:t xml:space="preserve"> studies</w:t>
      </w:r>
      <w:r>
        <w:t>.</w:t>
      </w:r>
    </w:p>
    <w:p w:rsidR="009E3F7C" w:rsidRDefault="00C85C44" w:rsidP="00A41E26">
      <w:r>
        <w:rPr>
          <w:noProof/>
          <w:lang w:eastAsia="en-AU"/>
        </w:rPr>
        <w:drawing>
          <wp:inline distT="0" distB="0" distL="0" distR="0" wp14:anchorId="75290D8C" wp14:editId="42F99E55">
            <wp:extent cx="4251960" cy="5430520"/>
            <wp:effectExtent l="0" t="0" r="0" b="0"/>
            <wp:docPr id="18" name="Picture 18" descr="Table 16: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6: Submitted PK stud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1960" cy="5430520"/>
                    </a:xfrm>
                    <a:prstGeom prst="rect">
                      <a:avLst/>
                    </a:prstGeom>
                    <a:noFill/>
                    <a:ln>
                      <a:noFill/>
                    </a:ln>
                  </pic:spPr>
                </pic:pic>
              </a:graphicData>
            </a:graphic>
          </wp:inline>
        </w:drawing>
      </w:r>
    </w:p>
    <w:p w:rsidR="000A047E" w:rsidRPr="00B15047" w:rsidRDefault="000A047E" w:rsidP="00A41E26">
      <w:pPr>
        <w:pStyle w:val="TableDescription"/>
      </w:pPr>
      <w:r w:rsidRPr="00B15047">
        <w:t>* Indicates the primary aim of the study.</w:t>
      </w:r>
    </w:p>
    <w:p w:rsidR="000A047E" w:rsidRPr="00B15047" w:rsidRDefault="000A047E" w:rsidP="00A41E26">
      <w:pPr>
        <w:pStyle w:val="TableDescription"/>
      </w:pPr>
      <w:r w:rsidRPr="00B15047">
        <w:t>† Bioequivalence of different formulations.</w:t>
      </w:r>
    </w:p>
    <w:p w:rsidR="000A047E" w:rsidRPr="00B15047" w:rsidRDefault="000A047E" w:rsidP="00A41E26">
      <w:pPr>
        <w:pStyle w:val="TableDescription"/>
      </w:pPr>
      <w:r w:rsidRPr="00B15047">
        <w:t>§ Subjects who would be eligible to receive the drug if approved for the proposed indication.</w:t>
      </w:r>
    </w:p>
    <w:p w:rsidR="000A047E" w:rsidRPr="000A047E" w:rsidRDefault="000A047E" w:rsidP="00A41E26">
      <w:r w:rsidRPr="000A047E">
        <w:t xml:space="preserve">None of the </w:t>
      </w:r>
      <w:r w:rsidR="0089122B">
        <w:t>PK</w:t>
      </w:r>
      <w:r w:rsidRPr="000A047E">
        <w:t xml:space="preserve"> studies had deficiencies that excluded their results from consideration.</w:t>
      </w:r>
    </w:p>
    <w:p w:rsidR="00605AD4" w:rsidRDefault="00605AD4" w:rsidP="00A41E26">
      <w:pPr>
        <w:pStyle w:val="Heading4"/>
      </w:pPr>
      <w:r>
        <w:t xml:space="preserve">Evaluator’s conclusions on </w:t>
      </w:r>
      <w:r w:rsidRPr="00A41E26">
        <w:t>pharmacokinetics</w:t>
      </w:r>
    </w:p>
    <w:p w:rsidR="00724C8A" w:rsidRPr="00724C8A" w:rsidRDefault="00724C8A" w:rsidP="00A41E26">
      <w:r w:rsidRPr="00724C8A">
        <w:t xml:space="preserve">A comprehensive set of studies has established the PK parameters for lurasidone in both healthy subjects and patients with schizophrenia. Lurasidone is rapidly absorbed after oral administration with </w:t>
      </w:r>
      <w:proofErr w:type="spellStart"/>
      <w:r w:rsidRPr="00724C8A">
        <w:t>Tmax</w:t>
      </w:r>
      <w:proofErr w:type="spellEnd"/>
      <w:r w:rsidRPr="00724C8A">
        <w:t xml:space="preserve"> occurring at 1.3-1</w:t>
      </w:r>
      <w:r w:rsidR="00763B0B">
        <w:t>.8 h</w:t>
      </w:r>
      <w:r w:rsidRPr="00724C8A">
        <w:t>. At doses of 20 to 100 mg in healthy volunteers, and at doses of 120 mg to 160 mg in patients with schizophrenia, lurasidone exhibits line</w:t>
      </w:r>
      <w:r w:rsidR="00027F55">
        <w:t xml:space="preserve">ar PK. In the presence of a low </w:t>
      </w:r>
      <w:r w:rsidRPr="00724C8A">
        <w:t xml:space="preserve">fat meal/medium calorie meal, lurasidone </w:t>
      </w:r>
      <w:proofErr w:type="spellStart"/>
      <w:r w:rsidRPr="00724C8A">
        <w:t>Cmax</w:t>
      </w:r>
      <w:proofErr w:type="spellEnd"/>
      <w:r w:rsidRPr="00724C8A">
        <w:t xml:space="preserve"> increased by 2.8</w:t>
      </w:r>
      <w:r w:rsidR="00027F55">
        <w:t xml:space="preserve"> </w:t>
      </w:r>
      <w:r w:rsidRPr="00724C8A">
        <w:t>fold and AUC increased by 2.3</w:t>
      </w:r>
      <w:r w:rsidR="00027F55">
        <w:t xml:space="preserve"> </w:t>
      </w:r>
      <w:r w:rsidRPr="00724C8A">
        <w:t xml:space="preserve">fold (relative to a fasted state). The mean apparent volume of distribution ranges from 3220 L and 4410 L. Lurasidone is highly bound (~99%) to serum proteins. The mean terminal elimination </w:t>
      </w:r>
      <w:proofErr w:type="spellStart"/>
      <w:r w:rsidRPr="00724C8A">
        <w:t>half</w:t>
      </w:r>
      <w:r w:rsidR="00027F55">
        <w:t xml:space="preserve"> </w:t>
      </w:r>
      <w:r w:rsidRPr="00724C8A">
        <w:t>life</w:t>
      </w:r>
      <w:proofErr w:type="spellEnd"/>
      <w:r w:rsidRPr="00724C8A">
        <w:t xml:space="preserve"> of lurasidone ranged from 12.2 to 21 hours in healthy volunteers. </w:t>
      </w:r>
      <w:proofErr w:type="spellStart"/>
      <w:r w:rsidRPr="00724C8A">
        <w:t>Lurasidone’s</w:t>
      </w:r>
      <w:proofErr w:type="spellEnd"/>
      <w:r w:rsidRPr="00724C8A">
        <w:t xml:space="preserve"> activity is primarily due to the parent drug and, to a lesser extent, to the active metabolites ID-14283 and ID-14326 which represent 25% and 3% of the parent exposure, respectively. The major biotransformation pathways are oxidative N-</w:t>
      </w:r>
      <w:proofErr w:type="spellStart"/>
      <w:r w:rsidRPr="00724C8A">
        <w:t>dealkylation</w:t>
      </w:r>
      <w:proofErr w:type="spellEnd"/>
      <w:r w:rsidRPr="00724C8A">
        <w:t xml:space="preserve">, hydroxylation of </w:t>
      </w:r>
      <w:proofErr w:type="spellStart"/>
      <w:r w:rsidRPr="00724C8A">
        <w:lastRenderedPageBreak/>
        <w:t>norbornane</w:t>
      </w:r>
      <w:proofErr w:type="spellEnd"/>
      <w:r w:rsidRPr="00724C8A">
        <w:t xml:space="preserve"> ring and S-oxidation. Approximately 90% of a radioactive dose of lurasidone was recovered with 9.2-19% in urine and 67-80% in faeces, suggesting that lurasidone is primarily eliminated via non</w:t>
      </w:r>
      <w:r w:rsidR="00027F55">
        <w:t xml:space="preserve"> </w:t>
      </w:r>
      <w:r w:rsidRPr="00724C8A">
        <w:t>renal pathways. Mean apparen</w:t>
      </w:r>
      <w:r w:rsidR="0041213F">
        <w:t>t clearance ranges from 175 L/h to 244 L/h</w:t>
      </w:r>
      <w:r w:rsidRPr="00724C8A">
        <w:t xml:space="preserve">. </w:t>
      </w:r>
      <w:r w:rsidRPr="00535C8C">
        <w:rPr>
          <w:i/>
        </w:rPr>
        <w:t>In vitro</w:t>
      </w:r>
      <w:r w:rsidRPr="00724C8A">
        <w:t xml:space="preserve"> and </w:t>
      </w:r>
      <w:r w:rsidRPr="00535C8C">
        <w:rPr>
          <w:i/>
        </w:rPr>
        <w:t>in vivo</w:t>
      </w:r>
      <w:r w:rsidRPr="00724C8A">
        <w:t xml:space="preserve"> data suggest that lurasidone is metabolised primarily by CYP3A4. Accordingly</w:t>
      </w:r>
      <w:r w:rsidR="0041213F">
        <w:t>,</w:t>
      </w:r>
      <w:r w:rsidRPr="00724C8A">
        <w:t xml:space="preserve"> PK parameters of lurasidone are affected by alterations in hepatic and renal function. Thus</w:t>
      </w:r>
      <w:r w:rsidR="0041213F">
        <w:t>,</w:t>
      </w:r>
      <w:r w:rsidRPr="00724C8A">
        <w:t xml:space="preserve"> in patients with severe hepatic impairment (Child-Pugh Class C), systemic exposure is increased by up to 3</w:t>
      </w:r>
      <w:r w:rsidR="0041213F">
        <w:t xml:space="preserve"> </w:t>
      </w:r>
      <w:r w:rsidRPr="00724C8A">
        <w:t>fold. In patients with severe renal impairment (creatinine clearance &lt;30mL/min), systemic exposure is increased by up to 2</w:t>
      </w:r>
      <w:r w:rsidR="0041213F">
        <w:t xml:space="preserve"> </w:t>
      </w:r>
      <w:r w:rsidRPr="00724C8A">
        <w:t>fold.</w:t>
      </w:r>
    </w:p>
    <w:p w:rsidR="00724C8A" w:rsidRPr="00724C8A" w:rsidRDefault="00724C8A" w:rsidP="00A41E26">
      <w:r w:rsidRPr="00724C8A">
        <w:t>Significant drug interactions are noted for co-administrati</w:t>
      </w:r>
      <w:r w:rsidR="0041213F">
        <w:t xml:space="preserve">on with CYP3A4 inhibitors (for example, </w:t>
      </w:r>
      <w:r w:rsidRPr="00724C8A">
        <w:t>ketocon</w:t>
      </w:r>
      <w:r w:rsidR="00EC7284">
        <w:t>azole) and CYP3A4 inducers (for example,</w:t>
      </w:r>
      <w:r w:rsidRPr="00724C8A">
        <w:t xml:space="preserve"> </w:t>
      </w:r>
      <w:proofErr w:type="spellStart"/>
      <w:r w:rsidRPr="00724C8A">
        <w:t>rifampin</w:t>
      </w:r>
      <w:proofErr w:type="spellEnd"/>
      <w:r w:rsidRPr="00724C8A">
        <w:t xml:space="preserve">). There is no </w:t>
      </w:r>
      <w:r w:rsidR="006B7862">
        <w:t>d</w:t>
      </w:r>
      <w:r w:rsidR="006B7862" w:rsidRPr="006B7862">
        <w:t xml:space="preserve">rug-drug interaction </w:t>
      </w:r>
      <w:r w:rsidR="006B7862">
        <w:t xml:space="preserve">(DDI) </w:t>
      </w:r>
      <w:r w:rsidRPr="00724C8A">
        <w:t>study with grapefruit juice which is well recognised to interact with drugs metabolised by CYP3A4.</w:t>
      </w:r>
    </w:p>
    <w:p w:rsidR="008E7846" w:rsidRPr="00A41E26" w:rsidRDefault="008E7846" w:rsidP="00A41E26">
      <w:pPr>
        <w:pStyle w:val="Heading3"/>
      </w:pPr>
      <w:bookmarkStart w:id="79" w:name="_Toc196046481"/>
      <w:bookmarkStart w:id="80" w:name="_Toc247691520"/>
      <w:bookmarkStart w:id="81" w:name="_Toc314842503"/>
      <w:bookmarkStart w:id="82" w:name="_Toc392682451"/>
      <w:r w:rsidRPr="00254787">
        <w:t>Pharmacodynamics</w:t>
      </w:r>
      <w:bookmarkEnd w:id="68"/>
      <w:bookmarkEnd w:id="79"/>
      <w:bookmarkEnd w:id="80"/>
      <w:bookmarkEnd w:id="81"/>
      <w:bookmarkEnd w:id="82"/>
    </w:p>
    <w:p w:rsidR="00605AD4" w:rsidRPr="00A41E26" w:rsidRDefault="00605AD4" w:rsidP="00A41E26">
      <w:pPr>
        <w:pStyle w:val="Heading4"/>
      </w:pPr>
      <w:r>
        <w:t xml:space="preserve">Studies providing </w:t>
      </w:r>
      <w:proofErr w:type="spellStart"/>
      <w:r>
        <w:t>pharmacodynamic</w:t>
      </w:r>
      <w:proofErr w:type="spellEnd"/>
      <w:r>
        <w:t xml:space="preserve"> data</w:t>
      </w:r>
    </w:p>
    <w:p w:rsidR="009E3F7C" w:rsidRDefault="00CE2630" w:rsidP="00A41E26">
      <w:r w:rsidRPr="00CE2630">
        <w:t xml:space="preserve">Table </w:t>
      </w:r>
      <w:r>
        <w:t>17</w:t>
      </w:r>
      <w:r w:rsidRPr="00CE2630">
        <w:t xml:space="preserve"> shows the studies relating to each </w:t>
      </w:r>
      <w:r w:rsidR="006B7862">
        <w:t>PD</w:t>
      </w:r>
      <w:r w:rsidRPr="00CE2630">
        <w:t xml:space="preserve"> topic and the location of each study summary.</w:t>
      </w:r>
    </w:p>
    <w:p w:rsidR="00CE2630" w:rsidRPr="00A41E26" w:rsidRDefault="00CE2630" w:rsidP="00A41E26">
      <w:pPr>
        <w:pStyle w:val="TableTitle"/>
      </w:pPr>
      <w:r>
        <w:t>Table 17:</w:t>
      </w:r>
      <w:r w:rsidRPr="004C5C28">
        <w:t xml:space="preserve"> </w:t>
      </w:r>
      <w:r w:rsidRPr="00CE2630">
        <w:t xml:space="preserve">Submitted </w:t>
      </w:r>
      <w:r w:rsidR="006B7862">
        <w:t>PD</w:t>
      </w:r>
      <w:r w:rsidRPr="00CE2630">
        <w:t xml:space="preserve"> studies</w:t>
      </w:r>
      <w:r>
        <w:t>.</w:t>
      </w:r>
    </w:p>
    <w:p w:rsidR="00CE2630" w:rsidRDefault="00C85C44" w:rsidP="00A41E26">
      <w:r>
        <w:rPr>
          <w:noProof/>
          <w:lang w:eastAsia="en-AU"/>
        </w:rPr>
        <w:drawing>
          <wp:inline distT="0" distB="0" distL="0" distR="0" wp14:anchorId="42CC8A5F" wp14:editId="3BE53415">
            <wp:extent cx="4269105" cy="1682750"/>
            <wp:effectExtent l="0" t="0" r="0" b="0"/>
            <wp:docPr id="19" name="Picture 19" descr="Table 17: Submitted P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7: Submitted PD stud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9105" cy="1682750"/>
                    </a:xfrm>
                    <a:prstGeom prst="rect">
                      <a:avLst/>
                    </a:prstGeom>
                    <a:noFill/>
                    <a:ln>
                      <a:noFill/>
                    </a:ln>
                  </pic:spPr>
                </pic:pic>
              </a:graphicData>
            </a:graphic>
          </wp:inline>
        </w:drawing>
      </w:r>
    </w:p>
    <w:p w:rsidR="00497BF1" w:rsidRPr="00B15047" w:rsidRDefault="00497BF1" w:rsidP="00A41E26">
      <w:pPr>
        <w:pStyle w:val="TableDescription"/>
      </w:pPr>
      <w:r w:rsidRPr="00B15047">
        <w:t>* Indicates the primary aim of the study.</w:t>
      </w:r>
    </w:p>
    <w:p w:rsidR="00497BF1" w:rsidRPr="00B15047" w:rsidRDefault="00497BF1" w:rsidP="00A41E26">
      <w:pPr>
        <w:pStyle w:val="TableDescription"/>
      </w:pPr>
      <w:r w:rsidRPr="00B15047">
        <w:t>§ Subjects who would be eligible to receive the drug if approved for the proposed indication.</w:t>
      </w:r>
    </w:p>
    <w:p w:rsidR="00497BF1" w:rsidRPr="00B15047" w:rsidRDefault="00497BF1" w:rsidP="00A41E26">
      <w:pPr>
        <w:pStyle w:val="TableDescription"/>
      </w:pPr>
      <w:r w:rsidRPr="00B15047">
        <w:t>‡ And adolescents if applicable.</w:t>
      </w:r>
    </w:p>
    <w:p w:rsidR="00497BF1" w:rsidRPr="00497BF1" w:rsidRDefault="00497BF1" w:rsidP="00A41E26">
      <w:r w:rsidRPr="00497BF1">
        <w:t xml:space="preserve">None of the </w:t>
      </w:r>
      <w:r w:rsidR="006B7862">
        <w:t>PD</w:t>
      </w:r>
      <w:r w:rsidRPr="00497BF1">
        <w:t xml:space="preserve"> studies had deficiencies that excluded their results from consideration.</w:t>
      </w:r>
    </w:p>
    <w:p w:rsidR="00605AD4" w:rsidRDefault="00605AD4" w:rsidP="00A41E26">
      <w:pPr>
        <w:pStyle w:val="Heading4"/>
      </w:pPr>
      <w:r>
        <w:t xml:space="preserve">Evaluator’s conclusions on </w:t>
      </w:r>
      <w:r w:rsidRPr="00A41E26">
        <w:t>pharmacodynamics</w:t>
      </w:r>
    </w:p>
    <w:p w:rsidR="00991696" w:rsidRPr="00991696" w:rsidRDefault="00991696" w:rsidP="00D5559F">
      <w:r w:rsidRPr="00991696">
        <w:t xml:space="preserve">The </w:t>
      </w:r>
      <w:r w:rsidR="00B42333">
        <w:t>p</w:t>
      </w:r>
      <w:r w:rsidR="00B42333" w:rsidRPr="00B42333">
        <w:t>ositron emission tomography</w:t>
      </w:r>
      <w:r w:rsidR="00B42333" w:rsidRPr="00991696">
        <w:t xml:space="preserve"> </w:t>
      </w:r>
      <w:r w:rsidR="00B42333">
        <w:t>(</w:t>
      </w:r>
      <w:r w:rsidRPr="00991696">
        <w:t>PET</w:t>
      </w:r>
      <w:r w:rsidR="00B42333">
        <w:t>)</w:t>
      </w:r>
      <w:r w:rsidRPr="00991696">
        <w:t xml:space="preserve"> study showed that lurasidone had approximately 80% occupancy of the dopamine D2 receptor between 60 and 80</w:t>
      </w:r>
      <w:r w:rsidR="00B42333">
        <w:t xml:space="preserve"> </w:t>
      </w:r>
      <w:r w:rsidRPr="00991696">
        <w:t>mg after a single dose in volunteers. Generally, this level of occupancy has been shown to be necessary for therapeutic activity (against positive symptoms) in patients with schizophrenia for other antipsychotic agents. The proposed clinical dose therefore should ensure similar occupancy of this receptor. Occupancy of other receptors notably 5</w:t>
      </w:r>
      <w:r w:rsidR="005C148F">
        <w:t>-</w:t>
      </w:r>
      <w:r w:rsidRPr="00991696">
        <w:t xml:space="preserve">HT2A was not addressed. The </w:t>
      </w:r>
      <w:r w:rsidR="00A42657">
        <w:t>e</w:t>
      </w:r>
      <w:r w:rsidR="00A42657" w:rsidRPr="00D51EEE">
        <w:t>lectroencephalography</w:t>
      </w:r>
      <w:r w:rsidR="00A42657" w:rsidRPr="00991696">
        <w:t xml:space="preserve"> </w:t>
      </w:r>
      <w:r w:rsidR="00A42657">
        <w:t>(</w:t>
      </w:r>
      <w:r w:rsidRPr="00991696">
        <w:t>EEG</w:t>
      </w:r>
      <w:r w:rsidR="00A42657">
        <w:t>)</w:t>
      </w:r>
      <w:r w:rsidRPr="00991696">
        <w:t xml:space="preserve"> and Flicker threshold study would suggest that like other antipsychotic medications lurasidone has sedative effects. The lack of an active comparator drug with k</w:t>
      </w:r>
      <w:r w:rsidR="00D51EEE">
        <w:t xml:space="preserve">nown sedative properties (for example, </w:t>
      </w:r>
      <w:r w:rsidRPr="00991696">
        <w:t>another atypical antipsychotic or diazepam) is a weakness of this study.</w:t>
      </w:r>
    </w:p>
    <w:p w:rsidR="00991696" w:rsidRPr="00991696" w:rsidRDefault="00991696" w:rsidP="00D5559F">
      <w:r w:rsidRPr="00991696">
        <w:t xml:space="preserve">The </w:t>
      </w:r>
      <w:proofErr w:type="spellStart"/>
      <w:r w:rsidRPr="00991696">
        <w:t>QTc</w:t>
      </w:r>
      <w:proofErr w:type="spellEnd"/>
      <w:r w:rsidRPr="00991696">
        <w:t xml:space="preserve"> trial compared the effects of lurasidone 120 mg and lurasidone 600 mg on the QT interval with </w:t>
      </w:r>
      <w:proofErr w:type="spellStart"/>
      <w:r w:rsidRPr="00991696">
        <w:t>ziprasidone</w:t>
      </w:r>
      <w:proofErr w:type="spellEnd"/>
      <w:r w:rsidRPr="00991696">
        <w:t xml:space="preserve"> 160 mg as an active control. It is noted that the FDA evaluation of this study suggests that the results were inconclusiv</w:t>
      </w:r>
      <w:r w:rsidR="00D5559F">
        <w:t>e due to the following reasons:</w:t>
      </w:r>
    </w:p>
    <w:p w:rsidR="00991696" w:rsidRPr="00991696" w:rsidRDefault="00991696" w:rsidP="00D5559F">
      <w:pPr>
        <w:pStyle w:val="ListBullet"/>
      </w:pPr>
      <w:r w:rsidRPr="00991696">
        <w:lastRenderedPageBreak/>
        <w:t>The primary endpoint was inadequately defined. The QT study used time matched mean cha</w:t>
      </w:r>
      <w:r w:rsidR="005C148F">
        <w:t xml:space="preserve">nges from baseline in </w:t>
      </w:r>
      <w:r w:rsidR="005731DC" w:rsidRPr="00E63DC5">
        <w:t xml:space="preserve">corrected QT intervals </w:t>
      </w:r>
      <w:r w:rsidR="005731DC">
        <w:t>(</w:t>
      </w:r>
      <w:proofErr w:type="spellStart"/>
      <w:r w:rsidR="005C148F">
        <w:t>QTcI</w:t>
      </w:r>
      <w:proofErr w:type="spellEnd"/>
      <w:r w:rsidR="005731DC">
        <w:t>)</w:t>
      </w:r>
      <w:r w:rsidR="005C148F">
        <w:t xml:space="preserve"> (that is,</w:t>
      </w:r>
      <w:r w:rsidRPr="00991696">
        <w:t xml:space="preserve"> </w:t>
      </w:r>
      <w:proofErr w:type="spellStart"/>
      <w:r w:rsidRPr="00991696">
        <w:t>ΔQTc</w:t>
      </w:r>
      <w:proofErr w:type="spellEnd"/>
      <w:r w:rsidRPr="00991696">
        <w:t>) as the primary endpoint. The primary variable is inappropriate because it does not account for between</w:t>
      </w:r>
      <w:r w:rsidR="000D2C50">
        <w:t xml:space="preserve"> </w:t>
      </w:r>
      <w:r w:rsidRPr="00991696">
        <w:t>day shifting for ECG signals, which can be pronounced with an 11 day difference between the observati</w:t>
      </w:r>
      <w:r w:rsidR="000D2C50">
        <w:t xml:space="preserve">on day and baseline day. A time matched, baseline corrected, and placebo </w:t>
      </w:r>
      <w:r w:rsidRPr="00991696">
        <w:t xml:space="preserve">adjusted </w:t>
      </w:r>
      <w:proofErr w:type="spellStart"/>
      <w:r w:rsidRPr="00991696">
        <w:t>QTc</w:t>
      </w:r>
      <w:proofErr w:type="spellEnd"/>
      <w:r w:rsidRPr="00991696">
        <w:t xml:space="preserve"> (</w:t>
      </w:r>
      <w:proofErr w:type="spellStart"/>
      <w:r w:rsidRPr="00991696">
        <w:t>ΔΔQTc</w:t>
      </w:r>
      <w:proofErr w:type="spellEnd"/>
      <w:r w:rsidRPr="00991696">
        <w:t xml:space="preserve">) should be used as the primary variable in a parallel thorough QT study. However, this variable cannot </w:t>
      </w:r>
      <w:r w:rsidRPr="00D5559F">
        <w:t>be</w:t>
      </w:r>
      <w:r w:rsidRPr="00991696">
        <w:t xml:space="preserve"> derived from the current trial because of the absence of the placebo arm.</w:t>
      </w:r>
    </w:p>
    <w:p w:rsidR="00991696" w:rsidRPr="00991696" w:rsidRDefault="00991696" w:rsidP="00D5559F">
      <w:pPr>
        <w:pStyle w:val="ListBullet"/>
      </w:pPr>
      <w:r w:rsidRPr="00991696">
        <w:t xml:space="preserve">Assay sensitivity was not established in the trial. The QT study used </w:t>
      </w:r>
      <w:proofErr w:type="spellStart"/>
      <w:r w:rsidRPr="00991696">
        <w:t>ziprasidone</w:t>
      </w:r>
      <w:proofErr w:type="spellEnd"/>
      <w:r w:rsidRPr="00991696">
        <w:t xml:space="preserve"> as active control. The results from </w:t>
      </w:r>
      <w:proofErr w:type="spellStart"/>
      <w:r w:rsidRPr="00991696">
        <w:t>ziprasidone</w:t>
      </w:r>
      <w:proofErr w:type="spellEnd"/>
      <w:r w:rsidRPr="00991696">
        <w:t xml:space="preserve"> arm has two </w:t>
      </w:r>
      <w:proofErr w:type="spellStart"/>
      <w:r w:rsidRPr="00991696">
        <w:t>limitiations</w:t>
      </w:r>
      <w:proofErr w:type="spellEnd"/>
      <w:r w:rsidRPr="00991696">
        <w:t xml:space="preserve">: the results were described by using </w:t>
      </w:r>
      <w:proofErr w:type="spellStart"/>
      <w:r w:rsidRPr="00991696">
        <w:t>ΔQTc</w:t>
      </w:r>
      <w:proofErr w:type="spellEnd"/>
      <w:r w:rsidRPr="00991696">
        <w:t xml:space="preserve"> rather than </w:t>
      </w:r>
      <w:proofErr w:type="spellStart"/>
      <w:r w:rsidRPr="00991696">
        <w:t>ΔΔQTc</w:t>
      </w:r>
      <w:proofErr w:type="spellEnd"/>
      <w:r w:rsidRPr="00991696">
        <w:t xml:space="preserve"> and, at the tested dose level, the </w:t>
      </w:r>
      <w:proofErr w:type="spellStart"/>
      <w:r w:rsidRPr="00991696">
        <w:t>QTc</w:t>
      </w:r>
      <w:proofErr w:type="spellEnd"/>
      <w:r w:rsidRPr="00991696">
        <w:t xml:space="preserve"> interval change appears to be larger than the small chang</w:t>
      </w:r>
      <w:r w:rsidR="000D2C50">
        <w:t>ed defined by ICH E14 guidance.</w:t>
      </w:r>
      <w:r w:rsidR="000D2C50">
        <w:rPr>
          <w:rStyle w:val="FootnoteReference"/>
        </w:rPr>
        <w:footnoteReference w:id="26"/>
      </w:r>
    </w:p>
    <w:p w:rsidR="00991696" w:rsidRPr="00991696" w:rsidRDefault="00991696" w:rsidP="00D5559F">
      <w:r w:rsidRPr="00991696">
        <w:t xml:space="preserve">This identified weakness was not addressed in the data submitted here. Although </w:t>
      </w:r>
      <w:proofErr w:type="spellStart"/>
      <w:r w:rsidRPr="00991696">
        <w:t>ziprasidone</w:t>
      </w:r>
      <w:proofErr w:type="spellEnd"/>
      <w:r w:rsidRPr="00991696">
        <w:t xml:space="preserve"> is associated with </w:t>
      </w:r>
      <w:proofErr w:type="spellStart"/>
      <w:r w:rsidRPr="00991696">
        <w:t>QTc</w:t>
      </w:r>
      <w:proofErr w:type="spellEnd"/>
      <w:r w:rsidRPr="00991696">
        <w:t xml:space="preserve"> prolongation this may not be as reliable (even at the dose used) as the usual choice of </w:t>
      </w:r>
      <w:proofErr w:type="spellStart"/>
      <w:r w:rsidRPr="00991696">
        <w:t>moxifloxacin</w:t>
      </w:r>
      <w:proofErr w:type="spellEnd"/>
      <w:r w:rsidRPr="00991696">
        <w:t xml:space="preserve"> as an agent to induce a </w:t>
      </w:r>
      <w:proofErr w:type="spellStart"/>
      <w:r w:rsidRPr="00991696">
        <w:t>QTc</w:t>
      </w:r>
      <w:proofErr w:type="spellEnd"/>
      <w:r w:rsidRPr="00991696">
        <w:t xml:space="preserve"> change.</w:t>
      </w:r>
    </w:p>
    <w:p w:rsidR="008E7846" w:rsidRDefault="00605AD4" w:rsidP="00D5559F">
      <w:pPr>
        <w:pStyle w:val="Heading3"/>
      </w:pPr>
      <w:bookmarkStart w:id="83" w:name="_Toc392682452"/>
      <w:r>
        <w:t xml:space="preserve">Dosage </w:t>
      </w:r>
      <w:r w:rsidR="00D5559F">
        <w:t>s</w:t>
      </w:r>
      <w:r>
        <w:t xml:space="preserve">election for the </w:t>
      </w:r>
      <w:r w:rsidR="00D5559F">
        <w:t>p</w:t>
      </w:r>
      <w:r>
        <w:t xml:space="preserve">ivotal </w:t>
      </w:r>
      <w:r w:rsidR="00D5559F" w:rsidRPr="00D5559F">
        <w:t>s</w:t>
      </w:r>
      <w:r w:rsidRPr="00D5559F">
        <w:t>tudies</w:t>
      </w:r>
      <w:bookmarkEnd w:id="83"/>
    </w:p>
    <w:p w:rsidR="001E7479" w:rsidRPr="001E7479" w:rsidRDefault="001E7479" w:rsidP="00D5559F">
      <w:r w:rsidRPr="001E7479">
        <w:t xml:space="preserve">Study D1050180 was a </w:t>
      </w:r>
      <w:r w:rsidR="0064096A">
        <w:t>PD</w:t>
      </w:r>
      <w:r w:rsidRPr="001E7479">
        <w:t xml:space="preserve"> study which aimed to determine the dopamine D2 receptor occupancy, using positron emission tomography (PET), of SM-13496 at five single doses (10 to 80 mg) in 20 hea</w:t>
      </w:r>
      <w:r w:rsidR="00D51EEE">
        <w:t>lthy male subjects</w:t>
      </w:r>
      <w:r w:rsidRPr="001E7479">
        <w:t>. The mean D2 receptor occupancy ranged from 41-43% with 10 mg, 51-55% with 20 mg, 63-68% with 40 mg, 77-84% with 60 mg dose and 73-79% with the 80 mg dose. This indicates some dose dependent receptor occupancy rates up to the 60 mg dose. The lower doses of 10 mg and 20mg were found to have low receptor occupancy.</w:t>
      </w:r>
    </w:p>
    <w:p w:rsidR="001E7479" w:rsidRPr="001E7479" w:rsidRDefault="00DB118D" w:rsidP="00D5559F">
      <w:r>
        <w:t xml:space="preserve">Study </w:t>
      </w:r>
      <w:r w:rsidR="001E7479" w:rsidRPr="001E7479">
        <w:t xml:space="preserve">D1001016 was an early </w:t>
      </w:r>
      <w:r>
        <w:t>P</w:t>
      </w:r>
      <w:r w:rsidR="001E7479" w:rsidRPr="001E7479">
        <w:t>hase II, open label, uncontrolled, 8 week exploratory study of a flexible dose regimen to 20 to 80 mg per day of SM-13496 in Japanese patients with schizophreni</w:t>
      </w:r>
      <w:r w:rsidR="00D51EEE">
        <w:t>a</w:t>
      </w:r>
      <w:r w:rsidR="001E7479" w:rsidRPr="001E7479">
        <w:t xml:space="preserve">. It found some evidence of efficacy as measured by change from baseline in the total score on the </w:t>
      </w:r>
      <w:r w:rsidR="00434075" w:rsidRPr="000D532A">
        <w:t>Brief Psychiatric Rating Scale</w:t>
      </w:r>
      <w:r w:rsidR="00434075" w:rsidRPr="001E7479">
        <w:t xml:space="preserve"> </w:t>
      </w:r>
      <w:r w:rsidR="00434075">
        <w:t>(</w:t>
      </w:r>
      <w:r w:rsidR="001E7479" w:rsidRPr="001E7479">
        <w:t>BPRS</w:t>
      </w:r>
      <w:r w:rsidR="00434075">
        <w:t>)</w:t>
      </w:r>
      <w:r w:rsidR="001E7479" w:rsidRPr="001E7479">
        <w:t xml:space="preserve"> and </w:t>
      </w:r>
      <w:r w:rsidR="00434075" w:rsidRPr="00016F33">
        <w:t>Positive and Negative Syndrome Scale</w:t>
      </w:r>
      <w:r w:rsidR="00434075" w:rsidRPr="001E7479">
        <w:t xml:space="preserve"> </w:t>
      </w:r>
      <w:r w:rsidR="00434075">
        <w:t>(</w:t>
      </w:r>
      <w:r w:rsidR="001E7479" w:rsidRPr="001E7479">
        <w:t>PANSS</w:t>
      </w:r>
      <w:r w:rsidR="00434075">
        <w:t>)</w:t>
      </w:r>
      <w:r w:rsidR="001E7479" w:rsidRPr="001E7479">
        <w:t>.</w:t>
      </w:r>
    </w:p>
    <w:p w:rsidR="001E7479" w:rsidRPr="001E7479" w:rsidRDefault="001E7479" w:rsidP="001E7479">
      <w:r w:rsidRPr="001E7479">
        <w:t>Study D100100</w:t>
      </w:r>
      <w:r w:rsidR="00820E38">
        <w:t xml:space="preserve">1 </w:t>
      </w:r>
      <w:r w:rsidRPr="001E7479">
        <w:t>was an 8 week, uncontrolled, double</w:t>
      </w:r>
      <w:r w:rsidR="00201D87">
        <w:t xml:space="preserve"> </w:t>
      </w:r>
      <w:r w:rsidRPr="001E7479">
        <w:t>blind, fixed dose, dose</w:t>
      </w:r>
      <w:r w:rsidR="00201D87">
        <w:t xml:space="preserve"> </w:t>
      </w:r>
      <w:r w:rsidRPr="001E7479">
        <w:t xml:space="preserve">response study which assessed doses of 20 mg, 40 mg, and 80 mg per day in 203 Japanese adults with schizophrenia. The study found no significant differences between doses as measured by a change from baseline to completion (or discontinuation) in total BPRS and PANSS scores. Subjects in the 40 mg and 80 mg groups had significant decreases from baseline BPRS and PANSS scores, while this was not found in the 20 mg group. The rate of safety risks increased with increasing dose and the 80 mg group had a notably higher discontinuation rate than the lower doses (47.5% </w:t>
      </w:r>
      <w:r w:rsidR="00696A56">
        <w:t>versus</w:t>
      </w:r>
      <w:r w:rsidRPr="001E7479">
        <w:t xml:space="preserve"> 38.8% and 30.6%).</w:t>
      </w:r>
    </w:p>
    <w:p w:rsidR="001E7479" w:rsidRPr="001E7479" w:rsidRDefault="001E7479" w:rsidP="00D5559F">
      <w:r w:rsidRPr="001E7479">
        <w:t xml:space="preserve">Study D1050049 was a </w:t>
      </w:r>
      <w:r w:rsidR="00495BB7">
        <w:t>P</w:t>
      </w:r>
      <w:r w:rsidRPr="001E7479">
        <w:t>hase II randomised, double</w:t>
      </w:r>
      <w:r w:rsidR="00495BB7">
        <w:t xml:space="preserve"> </w:t>
      </w:r>
      <w:r w:rsidRPr="001E7479">
        <w:t>blind, placebo controlled, fixed dose study of lurasidone 20 mg, 40 mg and 80 mg, with haloperidol as the active comparator. In this study the 20 mg dose was not found to be effective as measured by cha</w:t>
      </w:r>
      <w:r>
        <w:t>nge from baseline in BPRS score</w:t>
      </w:r>
      <w:r w:rsidRPr="001E7479">
        <w:t>. However</w:t>
      </w:r>
      <w:r w:rsidR="0001495B">
        <w:t>,</w:t>
      </w:r>
      <w:r w:rsidRPr="001E7479">
        <w:t xml:space="preserve"> no active group including haloperidol was found to be significantly different to placebo and so the study was deemed to have failed. Consequently, no conclusions can be drawn from this study on the lack of efficacy of the 20 mg dose.</w:t>
      </w:r>
    </w:p>
    <w:p w:rsidR="001E7479" w:rsidRPr="001E7479" w:rsidRDefault="001E7479" w:rsidP="00D5559F">
      <w:r w:rsidRPr="001E7479">
        <w:t xml:space="preserve">Given the low receptor occupancy in </w:t>
      </w:r>
      <w:proofErr w:type="gramStart"/>
      <w:r w:rsidRPr="001E7479">
        <w:t>D1050180,</w:t>
      </w:r>
      <w:proofErr w:type="gramEnd"/>
      <w:r w:rsidRPr="001E7479">
        <w:t xml:space="preserve"> and the lack of efficacy in D1001001, the </w:t>
      </w:r>
      <w:r w:rsidR="0001495B">
        <w:t>s</w:t>
      </w:r>
      <w:r w:rsidRPr="001E7479">
        <w:t xml:space="preserve">ponsor concluded that 20 mg was </w:t>
      </w:r>
      <w:proofErr w:type="spellStart"/>
      <w:r w:rsidRPr="001E7479">
        <w:t>subtherapeutic</w:t>
      </w:r>
      <w:proofErr w:type="spellEnd"/>
      <w:r w:rsidRPr="001E7479">
        <w:t xml:space="preserve"> in treatment of schizophrenia and </w:t>
      </w:r>
      <w:r w:rsidRPr="001E7479">
        <w:lastRenderedPageBreak/>
        <w:t xml:space="preserve">doses in the range of 40, 80, 120 and 160 mg were assessed in the </w:t>
      </w:r>
      <w:r w:rsidR="00193EFA">
        <w:t>P</w:t>
      </w:r>
      <w:r w:rsidRPr="001E7479">
        <w:t xml:space="preserve">hase III clinical development program. In addition, due to the higher discontinuation rate with the 80 mg dose in D1001001, the </w:t>
      </w:r>
      <w:r w:rsidR="00C839B4">
        <w:t>s</w:t>
      </w:r>
      <w:r w:rsidRPr="001E7479">
        <w:t>ponsor concluded that the 40 mg dose was the most appropriate commencing dose.</w:t>
      </w:r>
    </w:p>
    <w:p w:rsidR="008E7846" w:rsidRPr="00D5559F" w:rsidRDefault="008E7846" w:rsidP="00D5559F">
      <w:pPr>
        <w:pStyle w:val="Heading3"/>
      </w:pPr>
      <w:bookmarkStart w:id="84" w:name="_Toc163441372"/>
      <w:bookmarkStart w:id="85" w:name="_Toc196046485"/>
      <w:bookmarkStart w:id="86" w:name="_Toc247691521"/>
      <w:bookmarkStart w:id="87" w:name="_Toc314842504"/>
      <w:bookmarkStart w:id="88" w:name="_Toc392682453"/>
      <w:r w:rsidRPr="00254787">
        <w:t>Efficacy</w:t>
      </w:r>
      <w:bookmarkEnd w:id="84"/>
      <w:bookmarkEnd w:id="85"/>
      <w:bookmarkEnd w:id="86"/>
      <w:bookmarkEnd w:id="87"/>
      <w:bookmarkEnd w:id="88"/>
    </w:p>
    <w:p w:rsidR="008E7846" w:rsidRDefault="00605AD4" w:rsidP="00D5559F">
      <w:pPr>
        <w:pStyle w:val="Heading4"/>
      </w:pPr>
      <w:bookmarkStart w:id="89" w:name="_Toc184439992"/>
      <w:bookmarkStart w:id="90" w:name="_Toc184440279"/>
      <w:bookmarkStart w:id="91" w:name="_Toc184444657"/>
      <w:bookmarkStart w:id="92" w:name="_Toc196046487"/>
      <w:r>
        <w:t xml:space="preserve">Evaluator’s </w:t>
      </w:r>
      <w:r w:rsidRPr="00D5559F">
        <w:t>conclusions</w:t>
      </w:r>
      <w:r>
        <w:t xml:space="preserve"> on efficacy</w:t>
      </w:r>
    </w:p>
    <w:p w:rsidR="00FB0F05" w:rsidRPr="00FB0F05" w:rsidRDefault="00FB0F05" w:rsidP="00D5559F">
      <w:r w:rsidRPr="00FB0F05">
        <w:t>The clinical development program with lurasidone included 21 trials. There were 5 short term placebo</w:t>
      </w:r>
      <w:r w:rsidR="00EE2993">
        <w:t xml:space="preserve"> </w:t>
      </w:r>
      <w:r w:rsidRPr="00FB0F05">
        <w:t>controlled trials on which the efficacy of lurasidone was based (D1050006, D5050196, D1050229, D1050231 and D1050233). In addition, there were two placebo controlled trials (D1050049 and D1001002) which were deemed “failed” as neither lurasidone (20, 40 and 80 mg</w:t>
      </w:r>
      <w:r w:rsidR="00431E88">
        <w:t xml:space="preserve"> </w:t>
      </w:r>
      <w:r w:rsidRPr="00FB0F05">
        <w:t xml:space="preserve">in D1050049 and 40 and 80 mg in D1001002) nor the active control (haloperidol 10 mg and </w:t>
      </w:r>
      <w:proofErr w:type="spellStart"/>
      <w:r w:rsidRPr="00FB0F05">
        <w:t>risperidone</w:t>
      </w:r>
      <w:proofErr w:type="spellEnd"/>
      <w:r w:rsidRPr="00FB0F05">
        <w:t xml:space="preserve"> 4 mg) was found to significantly differ from placebo.</w:t>
      </w:r>
    </w:p>
    <w:p w:rsidR="00FB0F05" w:rsidRPr="00FB0F05" w:rsidRDefault="00FB0F05" w:rsidP="00D5559F">
      <w:r w:rsidRPr="00FB0F05">
        <w:t xml:space="preserve">In the five studies, fixed doses of 40, 80, 120 and 160 mg were assessed over the 6 week period in adult patients who had a diagnosis of schizophrenia (DSM-IV) for at least </w:t>
      </w:r>
      <w:proofErr w:type="gramStart"/>
      <w:r w:rsidRPr="00FB0F05">
        <w:t>a one</w:t>
      </w:r>
      <w:proofErr w:type="gramEnd"/>
      <w:r w:rsidRPr="00FB0F05">
        <w:t xml:space="preserve"> year duration and who had a current acute exacerbation of psychotic symptoms. To be eligible s</w:t>
      </w:r>
      <w:r w:rsidR="00A90243">
        <w:t>ubjects were required to have a</w:t>
      </w:r>
      <w:r w:rsidRPr="00FB0F05">
        <w:t xml:space="preserve"> minimum score on the PANSS (≥80) or BPRS (≥42) (depending on the study) with a score of ≥4 on two or more of the Positive Symptom Scale </w:t>
      </w:r>
      <w:proofErr w:type="spellStart"/>
      <w:r w:rsidRPr="00FB0F05">
        <w:t>Subscores</w:t>
      </w:r>
      <w:proofErr w:type="spellEnd"/>
      <w:r w:rsidRPr="00FB0F05">
        <w:t xml:space="preserve">. All subjects needed a score of ≥4 on the </w:t>
      </w:r>
      <w:r w:rsidR="001E4E9E" w:rsidRPr="001E4E9E">
        <w:t xml:space="preserve">Clinical Global Impression – Severity of Illness </w:t>
      </w:r>
      <w:r w:rsidR="001E4E9E">
        <w:t>(</w:t>
      </w:r>
      <w:r w:rsidRPr="00FB0F05">
        <w:t>CGI-S</w:t>
      </w:r>
      <w:r w:rsidR="001E4E9E">
        <w:t>)</w:t>
      </w:r>
      <w:r w:rsidRPr="00FB0F05">
        <w:t xml:space="preserve">. Overall, 1795 subjects were included with 506 treated with placebo, 1046 with lurasidone, 123 with olanzapine 15 mg and 120 with </w:t>
      </w:r>
      <w:proofErr w:type="spellStart"/>
      <w:r w:rsidRPr="00FB0F05">
        <w:t>quetiapine</w:t>
      </w:r>
      <w:proofErr w:type="spellEnd"/>
      <w:r w:rsidRPr="00FB0F05">
        <w:t xml:space="preserve"> XR 600 mg. The active comparator in D1050231 and D1050233 was included to assess the study’s sensitivity. Study drug was given in the morning (except in D1050233 when it was given in the evening) with a meal or within 30 minutes of eating.</w:t>
      </w:r>
    </w:p>
    <w:p w:rsidR="00FB0F05" w:rsidRPr="00FB0F05" w:rsidRDefault="00FB0F05" w:rsidP="00FB0F05">
      <w:r w:rsidRPr="00FB0F05">
        <w:t xml:space="preserve">In studies D1050229, D1050231 and D1050233, the primary endpoint was change from baseline to </w:t>
      </w:r>
      <w:r w:rsidR="005D0338">
        <w:t>W</w:t>
      </w:r>
      <w:r w:rsidRPr="00FB0F05">
        <w:t xml:space="preserve">eek 6 in the PANSS total score. This was analysed using a </w:t>
      </w:r>
      <w:r w:rsidR="00CA56D1" w:rsidRPr="00CA56D1">
        <w:t xml:space="preserve">mixed model repeated measures </w:t>
      </w:r>
      <w:r w:rsidR="00CA56D1">
        <w:t>(</w:t>
      </w:r>
      <w:r w:rsidRPr="00FB0F05">
        <w:t>MMRM</w:t>
      </w:r>
      <w:r w:rsidR="00CA56D1">
        <w:t>)</w:t>
      </w:r>
      <w:r w:rsidRPr="00FB0F05">
        <w:t xml:space="preserve"> on the </w:t>
      </w:r>
      <w:r w:rsidR="00CA56D1">
        <w:t>Intent to Treat (</w:t>
      </w:r>
      <w:r w:rsidRPr="00FB0F05">
        <w:t>ITT</w:t>
      </w:r>
      <w:r w:rsidR="00CA56D1">
        <w:t>)</w:t>
      </w:r>
      <w:r w:rsidRPr="00FB0F05">
        <w:t xml:space="preserve"> population (randomised subjects who have taken ≥1 dose of study medication with baseline and ≥1 post</w:t>
      </w:r>
      <w:r w:rsidR="007F3E41">
        <w:t xml:space="preserve"> </w:t>
      </w:r>
      <w:r w:rsidRPr="00FB0F05">
        <w:t xml:space="preserve">baseline efficacy measurement). The MMRM did not use imputed data and missing values were retained as missing. Multiplicity was controlled in the analysis of the primary and key secondary variables. Studies D1050006 and D1050196 used the BPRS as the primary efficacy endpoint which was analysed using </w:t>
      </w:r>
      <w:r w:rsidR="00242EB8">
        <w:t>a</w:t>
      </w:r>
      <w:r w:rsidR="00242EB8" w:rsidRPr="00242EB8">
        <w:t xml:space="preserve">nalysis of covariance </w:t>
      </w:r>
      <w:r w:rsidR="00242EB8">
        <w:t>(</w:t>
      </w:r>
      <w:r w:rsidRPr="00FB0F05">
        <w:t>ANCOVA</w:t>
      </w:r>
      <w:r w:rsidR="00242EB8">
        <w:t>)</w:t>
      </w:r>
      <w:r w:rsidRPr="00FB0F05">
        <w:t xml:space="preserve"> in the ITT population with </w:t>
      </w:r>
      <w:r w:rsidR="00777275">
        <w:t>l</w:t>
      </w:r>
      <w:r w:rsidR="00777275" w:rsidRPr="00777275">
        <w:t xml:space="preserve">ast observation carried forward </w:t>
      </w:r>
      <w:r w:rsidR="00777275">
        <w:t>(</w:t>
      </w:r>
      <w:r w:rsidRPr="00FB0F05">
        <w:t>LOCF</w:t>
      </w:r>
      <w:r w:rsidR="00777275">
        <w:t>)</w:t>
      </w:r>
      <w:r w:rsidRPr="00FB0F05">
        <w:t>.</w:t>
      </w:r>
    </w:p>
    <w:p w:rsidR="00FB0F05" w:rsidRPr="00FB0F05" w:rsidRDefault="00FB0F05" w:rsidP="00D5559F">
      <w:r w:rsidRPr="00FB0F05">
        <w:t>These short term trials were designed in accorda</w:t>
      </w:r>
      <w:r w:rsidR="00BF75FB">
        <w:t>nce with relevant guidelines</w:t>
      </w:r>
      <w:r w:rsidR="00BF75FB">
        <w:rPr>
          <w:rStyle w:val="FootnoteReference"/>
        </w:rPr>
        <w:footnoteReference w:id="27"/>
      </w:r>
      <w:r w:rsidR="00BF75FB">
        <w:t xml:space="preserve"> </w:t>
      </w:r>
      <w:r w:rsidRPr="00FB0F05">
        <w:t>with fixed doses of lurasidone, 6 week duration, an appropriate validated endpoint (PANSS total score and BPRS) and with suitable supporting efficacy parameters (CGI-S).</w:t>
      </w:r>
    </w:p>
    <w:p w:rsidR="00FB0F05" w:rsidRDefault="00FB0F05" w:rsidP="00FB0F05">
      <w:r w:rsidRPr="00FB0F05">
        <w:t xml:space="preserve">A summary of the primary efficacy endpoints in the five studies is presented below in </w:t>
      </w:r>
      <w:r>
        <w:t>Table 18.</w:t>
      </w:r>
    </w:p>
    <w:p w:rsidR="00FB0F05" w:rsidRPr="00117BB1" w:rsidRDefault="00FB0F05" w:rsidP="00117BB1">
      <w:pPr>
        <w:pStyle w:val="TableTitle"/>
      </w:pPr>
      <w:proofErr w:type="gramStart"/>
      <w:r>
        <w:lastRenderedPageBreak/>
        <w:t>Table 18:</w:t>
      </w:r>
      <w:r w:rsidRPr="004C5C28">
        <w:t xml:space="preserve"> </w:t>
      </w:r>
      <w:r>
        <w:t>Summary of results for primary efficacy endpoints.</w:t>
      </w:r>
      <w:proofErr w:type="gramEnd"/>
    </w:p>
    <w:p w:rsidR="00FB0F05" w:rsidRPr="00FB0F05" w:rsidRDefault="00FB0F05" w:rsidP="00117BB1">
      <w:r w:rsidRPr="00FB0F05">
        <w:t xml:space="preserve"> </w:t>
      </w:r>
      <w:r w:rsidR="00C85C44">
        <w:rPr>
          <w:noProof/>
          <w:lang w:eastAsia="en-AU"/>
        </w:rPr>
        <w:drawing>
          <wp:inline distT="0" distB="0" distL="0" distR="0" wp14:anchorId="206C6332" wp14:editId="79263539">
            <wp:extent cx="4532630" cy="1985645"/>
            <wp:effectExtent l="0" t="0" r="1270" b="0"/>
            <wp:docPr id="20" name="Picture 20" descr="Table 18: Summary of results for prim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8: Summary of results for primary efficacy endpoi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2630" cy="1985645"/>
                    </a:xfrm>
                    <a:prstGeom prst="rect">
                      <a:avLst/>
                    </a:prstGeom>
                    <a:noFill/>
                    <a:ln>
                      <a:noFill/>
                    </a:ln>
                  </pic:spPr>
                </pic:pic>
              </a:graphicData>
            </a:graphic>
          </wp:inline>
        </w:drawing>
      </w:r>
    </w:p>
    <w:p w:rsidR="00FB0F05" w:rsidRPr="00FB0F05" w:rsidRDefault="00FB0F05" w:rsidP="00117BB1">
      <w:r w:rsidRPr="00FB0F05">
        <w:t>Study D1050229 assessed the efficacy of lurasidone 40</w:t>
      </w:r>
      <w:r w:rsidR="00BF75FB">
        <w:t xml:space="preserve"> </w:t>
      </w:r>
      <w:r w:rsidRPr="00FB0F05">
        <w:t>mg, 80</w:t>
      </w:r>
      <w:r w:rsidR="00BF75FB">
        <w:t xml:space="preserve"> </w:t>
      </w:r>
      <w:r w:rsidRPr="00FB0F05">
        <w:t xml:space="preserve">mg and 120 mg in 500 chronic schizophrenia patients with an acute psychotic exacerbation. Lurasidone 80 mg was found to result in a significantly greater reduction in the PANSS total score after 6 weeks treatment compared to placebo (difference of -6.4, </w:t>
      </w:r>
      <w:r w:rsidR="003220BE">
        <w:t xml:space="preserve">adjusted </w:t>
      </w:r>
      <w:r w:rsidRPr="00FB0F05">
        <w:t xml:space="preserve">p=0.034). This result was supported by analysis using ANCOVA with LOCF, a significant decrease in the key secondary endpoint of CGI-S at </w:t>
      </w:r>
      <w:r w:rsidR="00647E89">
        <w:t>W</w:t>
      </w:r>
      <w:r w:rsidRPr="00FB0F05">
        <w:t xml:space="preserve">eek 6, as well as in a decrease in the PANSS positive </w:t>
      </w:r>
      <w:proofErr w:type="spellStart"/>
      <w:r w:rsidRPr="00FB0F05">
        <w:t>subscore</w:t>
      </w:r>
      <w:proofErr w:type="spellEnd"/>
      <w:r w:rsidRPr="00FB0F05">
        <w:t xml:space="preserve">. Neither the 40 mg nor 120 mg lurasidone doses were found to have a statistically significant treatment effect on any measure, apart from 120 mg on the PANSS positive </w:t>
      </w:r>
      <w:proofErr w:type="spellStart"/>
      <w:r w:rsidRPr="00FB0F05">
        <w:t>subscore</w:t>
      </w:r>
      <w:proofErr w:type="spellEnd"/>
      <w:r w:rsidRPr="00FB0F05">
        <w:t xml:space="preserve">. No treatment effect was found on the MADRS, PANSS negative or PANSS psychopathology </w:t>
      </w:r>
      <w:proofErr w:type="spellStart"/>
      <w:r w:rsidRPr="00FB0F05">
        <w:t>subscores</w:t>
      </w:r>
      <w:proofErr w:type="spellEnd"/>
      <w:r w:rsidRPr="00FB0F05">
        <w:t>.</w:t>
      </w:r>
    </w:p>
    <w:p w:rsidR="00FB0F05" w:rsidRPr="00FB0F05" w:rsidRDefault="00FB0F05" w:rsidP="00FB0F05">
      <w:r w:rsidRPr="00FB0F05">
        <w:t xml:space="preserve">By contrast, </w:t>
      </w:r>
      <w:r w:rsidR="00F12BDC">
        <w:t>S</w:t>
      </w:r>
      <w:r w:rsidRPr="00FB0F05">
        <w:t xml:space="preserve">tudy D050231 assessed 478 patients and both the lurasidone 40 mg and 120 mg were found to result in a significantly greater reduction in the PANSS total score compared to placebo. This result was supported by a significant reduction in the CGI-S, improvement in PANSS positive, negative and psychopathology </w:t>
      </w:r>
      <w:proofErr w:type="spellStart"/>
      <w:r w:rsidRPr="00FB0F05">
        <w:t>subscores</w:t>
      </w:r>
      <w:proofErr w:type="spellEnd"/>
      <w:r w:rsidRPr="00FB0F05">
        <w:t xml:space="preserve"> and analysis using ANCOVA. There was no significant treatment difference on the MADRS. PANSS responder rates (using a ≥30% reduction definition) were only significant for lurasidone 40 mg. There was no evidence of dose response and no significant differences found between the 40 and 120 mg doses. Assay sensitivity was confirmed by positive responses with the olanzap</w:t>
      </w:r>
      <w:r w:rsidR="00117BB1">
        <w:t>ine group.</w:t>
      </w:r>
    </w:p>
    <w:p w:rsidR="00FB0F05" w:rsidRPr="00FB0F05" w:rsidRDefault="00FB0F05" w:rsidP="00117BB1">
      <w:r w:rsidRPr="00FB0F05">
        <w:t xml:space="preserve">In D1050233, which assessed 488 subjects, both lurasidone 80 mg and 160 mg per day were found to be statistically superior to placebo in reducing the PANSS total score after 6 weeks of treatment. The treatment difference was -11.9 (95% CI: -16.9, -6.9 adjusted p &lt;0.001) for lurasidone 80 mg and -16.2 (95% CI: -21.2, -11.2, adjusted p&lt;0.001) for lurasidone 160 mg. A separation of effect was evident from </w:t>
      </w:r>
      <w:r w:rsidR="00F12BDC">
        <w:t>D</w:t>
      </w:r>
      <w:r w:rsidRPr="00FB0F05">
        <w:t xml:space="preserve">ay 4 through to </w:t>
      </w:r>
      <w:r w:rsidR="00F12BDC">
        <w:t>W</w:t>
      </w:r>
      <w:r w:rsidRPr="00FB0F05">
        <w:t xml:space="preserve">eek 6. Results were robust, being supported </w:t>
      </w:r>
      <w:r w:rsidR="00F12BDC">
        <w:t>by the ANCOVA analysis and the Per Protocol (PP)</w:t>
      </w:r>
      <w:r w:rsidRPr="00FB0F05">
        <w:t xml:space="preserve"> population analysis. Superiority of effect was also demonstrated on the CGI-S, the MADRS, PANSS </w:t>
      </w:r>
      <w:proofErr w:type="spellStart"/>
      <w:r w:rsidRPr="00FB0F05">
        <w:t>subscores</w:t>
      </w:r>
      <w:proofErr w:type="spellEnd"/>
      <w:r w:rsidRPr="00FB0F05">
        <w:t xml:space="preserve"> and PANSS responder rates (≥30% improvement). A positive effect with </w:t>
      </w:r>
      <w:proofErr w:type="spellStart"/>
      <w:r w:rsidRPr="00FB0F05">
        <w:t>quetiapine</w:t>
      </w:r>
      <w:proofErr w:type="spellEnd"/>
      <w:r w:rsidRPr="00FB0F05">
        <w:t xml:space="preserve"> confirmed assay sensitivity. While the effect with lurasidone 160 mg was numerically greater, there were no significant differences found between the doses on the PANSS or CGI-S scores.</w:t>
      </w:r>
    </w:p>
    <w:p w:rsidR="00FB0F05" w:rsidRPr="00FB0F05" w:rsidRDefault="00FB0F05" w:rsidP="00117BB1">
      <w:r w:rsidRPr="00FB0F05">
        <w:t xml:space="preserve">In D1050196, a </w:t>
      </w:r>
      <w:r w:rsidR="007D3192">
        <w:t>P</w:t>
      </w:r>
      <w:r w:rsidRPr="00FB0F05">
        <w:t xml:space="preserve">hase II study in 180 subjects, a significantly better response was found with lurasidone 80 mg over placebo as measured by a change from baseline in the BPRS score in the ITT population with LOCF. Results were supported by analysis of secondary efficacy endpoints including PANSS </w:t>
      </w:r>
      <w:r w:rsidR="007F0F62">
        <w:t xml:space="preserve">total score and </w:t>
      </w:r>
      <w:proofErr w:type="spellStart"/>
      <w:r w:rsidR="007F0F62">
        <w:t>subscores</w:t>
      </w:r>
      <w:proofErr w:type="spellEnd"/>
      <w:r w:rsidR="007F0F62">
        <w:t xml:space="preserve"> and CG</w:t>
      </w:r>
      <w:r w:rsidR="00117BB1">
        <w:t>I-S.</w:t>
      </w:r>
    </w:p>
    <w:p w:rsidR="00FB0F05" w:rsidRPr="00FB0F05" w:rsidRDefault="007F0F62" w:rsidP="00FB0F05">
      <w:r>
        <w:t>In D1050006, a smaller P</w:t>
      </w:r>
      <w:r w:rsidR="00FB0F05" w:rsidRPr="00FB0F05">
        <w:t>hase II study (n</w:t>
      </w:r>
      <w:r w:rsidR="00482EF8">
        <w:t xml:space="preserve"> </w:t>
      </w:r>
      <w:r w:rsidR="00FB0F05" w:rsidRPr="00FB0F05">
        <w:t>=</w:t>
      </w:r>
      <w:r w:rsidR="00482EF8">
        <w:t xml:space="preserve"> </w:t>
      </w:r>
      <w:r w:rsidR="00FB0F05" w:rsidRPr="00FB0F05">
        <w:t>149), lurasidone 40 mg and 120 mg doses had a significant separ</w:t>
      </w:r>
      <w:r w:rsidR="00482EF8">
        <w:t xml:space="preserve">ation from placebo on the BPRS; </w:t>
      </w:r>
      <w:r w:rsidR="00FB0F05" w:rsidRPr="00FB0F05">
        <w:t>however</w:t>
      </w:r>
      <w:r w:rsidR="00482EF8">
        <w:t>,</w:t>
      </w:r>
      <w:r w:rsidR="00FB0F05" w:rsidRPr="00FB0F05">
        <w:t xml:space="preserve"> only the 120 mg dose had a significant improvement on the secondary endpoint of PANSS total score. This study was noted to have a very h</w:t>
      </w:r>
      <w:r w:rsidR="009640E5">
        <w:t>igh discontinuation rate of (59</w:t>
      </w:r>
      <w:r w:rsidR="00FB0F05" w:rsidRPr="00FB0F05">
        <w:t>-70%) which was higher than the 30-</w:t>
      </w:r>
      <w:r w:rsidR="00FB0F05" w:rsidRPr="00FB0F05">
        <w:lastRenderedPageBreak/>
        <w:t>40% seen in the three previously</w:t>
      </w:r>
      <w:r w:rsidR="009640E5">
        <w:t xml:space="preserve"> </w:t>
      </w:r>
      <w:r w:rsidR="00FB0F05" w:rsidRPr="00FB0F05">
        <w:t xml:space="preserve">discussed trials. In addition, there was a reported high rate of concomitant antipsychotic use. Given these factors and the small sample size in each group (15-20 subjects), the evaluator does not agree with the </w:t>
      </w:r>
      <w:r w:rsidR="009640E5">
        <w:t>s</w:t>
      </w:r>
      <w:r w:rsidR="00FB0F05" w:rsidRPr="00FB0F05">
        <w:t>ponsor that this study provides “pivotal” efficacy data for the 40 mg or 120 mg doses.</w:t>
      </w:r>
    </w:p>
    <w:p w:rsidR="00FB0F05" w:rsidRPr="00FB0F05" w:rsidRDefault="00FB0F05" w:rsidP="00117BB1">
      <w:r w:rsidRPr="00FB0F05">
        <w:t>Subgroup analysis on pooled data found that treatment effect was consistent across males and females, race and geographic region (North America and rest of world)</w:t>
      </w:r>
      <w:r w:rsidR="00D12CD4">
        <w:t>.</w:t>
      </w:r>
      <w:r w:rsidRPr="00FB0F05">
        <w:t xml:space="preserve"> There were too few subjects aged over 55 years to draw conclusions for the older population.</w:t>
      </w:r>
    </w:p>
    <w:p w:rsidR="00FB0F05" w:rsidRPr="00FB0F05" w:rsidRDefault="00FB0F05" w:rsidP="00FB0F05">
      <w:r w:rsidRPr="00FB0F05">
        <w:t>There was no clear dose response in the individual trials and pooled data from the 5 short term study comparing doses on PANSS total score and CGI-S score found that only the 160 mg dose was significantly better than the lower doses. The rate of discontinuation due to insufficient clinical response also showed no dose</w:t>
      </w:r>
      <w:r w:rsidR="00D12CD4">
        <w:t xml:space="preserve"> </w:t>
      </w:r>
      <w:r w:rsidRPr="00FB0F05">
        <w:t xml:space="preserve">related trend between 40mg and 160 mg although there was a notably higher rate in the 20 mg group. Evidence from </w:t>
      </w:r>
      <w:r w:rsidR="0064096A">
        <w:t>PD</w:t>
      </w:r>
      <w:r w:rsidRPr="00FB0F05">
        <w:t xml:space="preserve"> studies on receptor occupancy and an early dose response study also support the conclusion that 20 mg is </w:t>
      </w:r>
      <w:proofErr w:type="spellStart"/>
      <w:r w:rsidRPr="00FB0F05">
        <w:t>subtherapeutic</w:t>
      </w:r>
      <w:proofErr w:type="spellEnd"/>
      <w:r w:rsidRPr="00FB0F05">
        <w:t>.</w:t>
      </w:r>
    </w:p>
    <w:p w:rsidR="00FB0F05" w:rsidRPr="00FB0F05" w:rsidRDefault="00FB0F05" w:rsidP="00117BB1">
      <w:r w:rsidRPr="00FB0F05">
        <w:t>There were 2 long term, active</w:t>
      </w:r>
      <w:r w:rsidR="00D12CD4">
        <w:t xml:space="preserve"> </w:t>
      </w:r>
      <w:r w:rsidRPr="00FB0F05">
        <w:t>controlled studies (D1050234, D1050237) which provided the main long term efficacy data. Both studies found comparable efficacy to the active controls on PANSS total score and CGI-S scores. The probability of relapse over 12 months was non</w:t>
      </w:r>
      <w:r w:rsidR="00D12CD4">
        <w:t xml:space="preserve"> </w:t>
      </w:r>
      <w:r w:rsidRPr="00FB0F05">
        <w:t xml:space="preserve">inferior to </w:t>
      </w:r>
      <w:proofErr w:type="spellStart"/>
      <w:r w:rsidRPr="00FB0F05">
        <w:t>quetiaine</w:t>
      </w:r>
      <w:proofErr w:type="spellEnd"/>
      <w:r w:rsidRPr="00FB0F05">
        <w:t xml:space="preserve"> XR but non</w:t>
      </w:r>
      <w:r w:rsidR="00D12CD4">
        <w:t xml:space="preserve"> </w:t>
      </w:r>
      <w:r w:rsidRPr="00FB0F05">
        <w:t xml:space="preserve">inferiority to </w:t>
      </w:r>
      <w:proofErr w:type="spellStart"/>
      <w:r w:rsidRPr="00FB0F05">
        <w:t>risperidone</w:t>
      </w:r>
      <w:proofErr w:type="spellEnd"/>
      <w:r w:rsidRPr="00FB0F05">
        <w:t xml:space="preserve"> was not de</w:t>
      </w:r>
      <w:r w:rsidR="00117BB1">
        <w:t>monstrated.</w:t>
      </w:r>
    </w:p>
    <w:p w:rsidR="00FB0F05" w:rsidRPr="00FB0F05" w:rsidRDefault="00FB0F05" w:rsidP="00FB0F05">
      <w:r w:rsidRPr="00FB0F05">
        <w:t xml:space="preserve">D1050234 was a 12 month extension study of D1050233 in 292 subjects and assessed the </w:t>
      </w:r>
      <w:proofErr w:type="spellStart"/>
      <w:r w:rsidRPr="00FB0F05">
        <w:t>non</w:t>
      </w:r>
      <w:r w:rsidR="00FE79D1">
        <w:t xml:space="preserve"> </w:t>
      </w:r>
      <w:r w:rsidRPr="00FB0F05">
        <w:t>inferiority</w:t>
      </w:r>
      <w:proofErr w:type="spellEnd"/>
      <w:r w:rsidRPr="00FB0F05">
        <w:t xml:space="preserve"> of lurasidone compared to </w:t>
      </w:r>
      <w:proofErr w:type="spellStart"/>
      <w:r w:rsidRPr="00FB0F05">
        <w:t>quetiapine</w:t>
      </w:r>
      <w:proofErr w:type="spellEnd"/>
      <w:r w:rsidRPr="00FB0F05">
        <w:t xml:space="preserve"> XR on the time to relapse. The proportion who relapsed was 21% and 27% in the lurasidone and </w:t>
      </w:r>
      <w:proofErr w:type="spellStart"/>
      <w:r w:rsidRPr="00FB0F05">
        <w:t>quetiapine</w:t>
      </w:r>
      <w:proofErr w:type="spellEnd"/>
      <w:r w:rsidRPr="00FB0F05">
        <w:t xml:space="preserve"> groups, respectively and lurasidone was found to be non</w:t>
      </w:r>
      <w:r w:rsidR="00FE79D1">
        <w:t xml:space="preserve"> </w:t>
      </w:r>
      <w:r w:rsidRPr="00FB0F05">
        <w:t xml:space="preserve">inferior to </w:t>
      </w:r>
      <w:proofErr w:type="spellStart"/>
      <w:r w:rsidRPr="00FB0F05">
        <w:t>quetiapine</w:t>
      </w:r>
      <w:proofErr w:type="spellEnd"/>
      <w:r w:rsidRPr="00FB0F05">
        <w:t xml:space="preserve"> with a HR of 0.73 (95% CI: 0.41, 1.29) which was within the </w:t>
      </w:r>
      <w:proofErr w:type="spellStart"/>
      <w:r w:rsidRPr="00FB0F05">
        <w:t>non</w:t>
      </w:r>
      <w:r w:rsidR="00FE79D1">
        <w:t xml:space="preserve"> </w:t>
      </w:r>
      <w:r w:rsidRPr="00FB0F05">
        <w:t>inferiority</w:t>
      </w:r>
      <w:proofErr w:type="spellEnd"/>
      <w:r w:rsidRPr="00FB0F05">
        <w:t xml:space="preserve"> margin of 1.93. Efficacy was maintained over the 12 months and in general comparable to </w:t>
      </w:r>
      <w:proofErr w:type="spellStart"/>
      <w:r w:rsidRPr="00FB0F05">
        <w:t>quetiapine</w:t>
      </w:r>
      <w:proofErr w:type="spellEnd"/>
      <w:r w:rsidRPr="00FB0F05">
        <w:t xml:space="preserve">. The mean modal dose of lurasidone was 128 mg and of </w:t>
      </w:r>
      <w:proofErr w:type="spellStart"/>
      <w:r w:rsidRPr="00FB0F05">
        <w:t>quetiapine</w:t>
      </w:r>
      <w:proofErr w:type="spellEnd"/>
      <w:r w:rsidRPr="00FB0F05">
        <w:t xml:space="preserve"> was 638 mg.</w:t>
      </w:r>
    </w:p>
    <w:p w:rsidR="00FB0F05" w:rsidRPr="00FB0F05" w:rsidRDefault="00FB0F05" w:rsidP="00117BB1">
      <w:r w:rsidRPr="00FB0F05">
        <w:t xml:space="preserve">Study D1050237 was a randomised controlled 12 month safety study in 629 subjects with stable chronic schizophrenia or schizoaffective disorder. It compared lurasidone to </w:t>
      </w:r>
      <w:proofErr w:type="spellStart"/>
      <w:r w:rsidRPr="00FB0F05">
        <w:t>risperidone</w:t>
      </w:r>
      <w:proofErr w:type="spellEnd"/>
      <w:r w:rsidRPr="00FB0F05">
        <w:t xml:space="preserve"> and assessed relapse and efficacy as secondary endpoints. The proportion of subjects who relapsed was 20% and 16% in the lurasidone and </w:t>
      </w:r>
      <w:proofErr w:type="spellStart"/>
      <w:r w:rsidRPr="00FB0F05">
        <w:t>risperidone</w:t>
      </w:r>
      <w:proofErr w:type="spellEnd"/>
      <w:r w:rsidRPr="00FB0F05">
        <w:t xml:space="preserve"> groups, respectively, with a hazard ratio </w:t>
      </w:r>
      <w:r w:rsidR="00FE79D1">
        <w:t xml:space="preserve">(HR) </w:t>
      </w:r>
      <w:r w:rsidRPr="00FB0F05">
        <w:t>of 1.31 (95% CI: 0.87, 1.97, p</w:t>
      </w:r>
      <w:r w:rsidR="00FE79D1">
        <w:t xml:space="preserve"> </w:t>
      </w:r>
      <w:r w:rsidRPr="00FB0F05">
        <w:t>=</w:t>
      </w:r>
      <w:r w:rsidR="00FE79D1">
        <w:t xml:space="preserve"> </w:t>
      </w:r>
      <w:r w:rsidRPr="00FB0F05">
        <w:t xml:space="preserve">0.194) which did not meet the </w:t>
      </w:r>
      <w:proofErr w:type="spellStart"/>
      <w:r w:rsidRPr="00FB0F05">
        <w:t>non</w:t>
      </w:r>
      <w:r w:rsidR="00FE79D1">
        <w:t xml:space="preserve"> </w:t>
      </w:r>
      <w:r w:rsidRPr="00FB0F05">
        <w:t>inferiority</w:t>
      </w:r>
      <w:proofErr w:type="spellEnd"/>
      <w:r w:rsidRPr="00FB0F05">
        <w:t xml:space="preserve"> criteria of 1.6. The relapse rat</w:t>
      </w:r>
      <w:r w:rsidR="00EB15D9">
        <w:t>es were lower than estimated (50</w:t>
      </w:r>
      <w:r w:rsidRPr="00FB0F05">
        <w:t xml:space="preserve">% lurasidone and 35% </w:t>
      </w:r>
      <w:proofErr w:type="spellStart"/>
      <w:r w:rsidRPr="00FB0F05">
        <w:t>risperidone</w:t>
      </w:r>
      <w:proofErr w:type="spellEnd"/>
      <w:r w:rsidRPr="00FB0F05">
        <w:t>) and this may have affected results. There was, however, no significant treatment difference on change in total PANSS or CGI-S scores.</w:t>
      </w:r>
    </w:p>
    <w:p w:rsidR="00FB0F05" w:rsidRPr="00FB0F05" w:rsidRDefault="00FB0F05" w:rsidP="00FB0F05">
      <w:r w:rsidRPr="00FB0F05">
        <w:t xml:space="preserve">There were 7 long term uncontrolled studies </w:t>
      </w:r>
      <w:r w:rsidR="00B24245">
        <w:t xml:space="preserve">– </w:t>
      </w:r>
      <w:r w:rsidRPr="00FB0F05">
        <w:t xml:space="preserve">D1050229Ext, D1050231Ext, D1001036, D1001048, D1050174, D1050199 and D1050237Ext </w:t>
      </w:r>
      <w:r w:rsidR="00B24245">
        <w:t xml:space="preserve">– </w:t>
      </w:r>
      <w:r w:rsidRPr="00FB0F05">
        <w:t>which found in general that efficacy was maintained although the studies were subject to high withdrawal rates.</w:t>
      </w:r>
    </w:p>
    <w:p w:rsidR="00FB0F05" w:rsidRPr="00FB0F05" w:rsidRDefault="00FB0F05" w:rsidP="00117BB1">
      <w:r w:rsidRPr="00FB0F05">
        <w:t xml:space="preserve">Efficacy of lurasidone when switched from another antipsychotic was assessed in a 6 week, open label, uncontrolled </w:t>
      </w:r>
      <w:r w:rsidR="00B24245">
        <w:t>S</w:t>
      </w:r>
      <w:r w:rsidRPr="00FB0F05">
        <w:t>tudy 240 subjects with stable but symptomatic schizophrenia or schizoaffective disorder (D1050289 and its extension D1050290). Dose was initiated at 40 or 80 mg. The overall study discontinuation rate was 17.5% and the treatment failure rate was low at 7.9% with a median time to failure of 21 days (95% CI: 7, 25)</w:t>
      </w:r>
      <w:r w:rsidR="00EB15D9">
        <w:t xml:space="preserve"> among the 19 subjects who failed the treatment of lurasidone</w:t>
      </w:r>
      <w:r w:rsidRPr="00FB0F05">
        <w:t xml:space="preserve">. Those that did not titrate to 80 mg at </w:t>
      </w:r>
      <w:r w:rsidR="00A00DA5">
        <w:t>W</w:t>
      </w:r>
      <w:r w:rsidRPr="00FB0F05">
        <w:t>eek 2 appeared to have a higher rate of failure due to exacerbation of underlying disease.</w:t>
      </w:r>
    </w:p>
    <w:p w:rsidR="00FB0F05" w:rsidRPr="00FB0F05" w:rsidRDefault="00FB0F05" w:rsidP="00117BB1">
      <w:r w:rsidRPr="00FB0F05">
        <w:t xml:space="preserve">Study D1050254 was an early phase exploratory safety study of 120 mg compared to </w:t>
      </w:r>
      <w:proofErr w:type="spellStart"/>
      <w:r w:rsidRPr="00FB0F05">
        <w:t>ziprasidone</w:t>
      </w:r>
      <w:proofErr w:type="spellEnd"/>
      <w:r w:rsidRPr="00FB0F05">
        <w:t xml:space="preserve"> 160 mg over a 3 week treatment period in chronic stable schizophrenics. The study was not found to provide robust efficacy data.</w:t>
      </w:r>
    </w:p>
    <w:p w:rsidR="00FB0F05" w:rsidRPr="00FB0F05" w:rsidRDefault="00FB0F05" w:rsidP="00117BB1">
      <w:r w:rsidRPr="00FB0F05">
        <w:t xml:space="preserve">Overall, efficacy has been demonstrated for the four doses, 40 mg, 80 mg, 120 mg and 160 mg. The 80 mg dose had had its efficacy replicated, the 40 mg and 120 mg doses have shown efficacy in two of three studies although one of these studies was noted to have </w:t>
      </w:r>
      <w:r w:rsidRPr="00FB0F05">
        <w:lastRenderedPageBreak/>
        <w:t xml:space="preserve">methodological issues. The 160 mg dose has only had efficacy confirmed in one trial. Lurasidone shows not evident dose response in terms of efficacy and there were no significant benefits in terms of enhanced efficacy with higher over lower doses, apart from 160 mg. The 20 mg dose shows evidence of being </w:t>
      </w:r>
      <w:proofErr w:type="spellStart"/>
      <w:r w:rsidRPr="00FB0F05">
        <w:t>subtherapeutic</w:t>
      </w:r>
      <w:proofErr w:type="spellEnd"/>
      <w:r w:rsidRPr="00FB0F05">
        <w:t>.</w:t>
      </w:r>
    </w:p>
    <w:p w:rsidR="008E7846" w:rsidRPr="00117BB1" w:rsidRDefault="008E7846" w:rsidP="00117BB1">
      <w:pPr>
        <w:pStyle w:val="Heading3"/>
      </w:pPr>
      <w:bookmarkStart w:id="93" w:name="_Toc163441378"/>
      <w:bookmarkStart w:id="94" w:name="_Toc196046495"/>
      <w:bookmarkStart w:id="95" w:name="_Toc247691522"/>
      <w:bookmarkStart w:id="96" w:name="_Toc314842505"/>
      <w:bookmarkStart w:id="97" w:name="_Toc392682454"/>
      <w:bookmarkEnd w:id="89"/>
      <w:bookmarkEnd w:id="90"/>
      <w:bookmarkEnd w:id="91"/>
      <w:bookmarkEnd w:id="92"/>
      <w:r w:rsidRPr="002E238E">
        <w:t>Safety</w:t>
      </w:r>
      <w:bookmarkEnd w:id="93"/>
      <w:bookmarkEnd w:id="94"/>
      <w:bookmarkEnd w:id="95"/>
      <w:bookmarkEnd w:id="96"/>
      <w:bookmarkEnd w:id="97"/>
    </w:p>
    <w:p w:rsidR="00605AD4" w:rsidRDefault="00605AD4" w:rsidP="00117BB1">
      <w:pPr>
        <w:pStyle w:val="Heading4"/>
      </w:pPr>
      <w:bookmarkStart w:id="98" w:name="_Toc247691524"/>
      <w:bookmarkStart w:id="99" w:name="_Toc314842508"/>
      <w:bookmarkStart w:id="100" w:name="_Toc196046504"/>
      <w:bookmarkStart w:id="101" w:name="_Toc163441390"/>
      <w:r w:rsidRPr="00605AD4">
        <w:t xml:space="preserve">Studies providing </w:t>
      </w:r>
      <w:r w:rsidRPr="00117BB1">
        <w:t>safety</w:t>
      </w:r>
      <w:r w:rsidRPr="00605AD4">
        <w:t xml:space="preserve"> data</w:t>
      </w:r>
    </w:p>
    <w:p w:rsidR="00A961B9" w:rsidRPr="00A961B9" w:rsidRDefault="00A961B9" w:rsidP="00117BB1">
      <w:r w:rsidRPr="00A961B9">
        <w:t>The summary of clinical safety covered data from 52 clinical trials which included 5607 subjects with schizophrenia (3473 treated with lurasidone, 724 treated with placebo and 1410 treated with other medications). Study duration ranged from 3 weeks to 22 months and evaluated doses of lurasidone from 20 to 160 mg/day.</w:t>
      </w:r>
    </w:p>
    <w:p w:rsidR="00A961B9" w:rsidRPr="00A961B9" w:rsidRDefault="00A961B9" w:rsidP="00117BB1">
      <w:r w:rsidRPr="00A961B9">
        <w:t xml:space="preserve">Data were </w:t>
      </w:r>
      <w:r w:rsidR="00D267D9">
        <w:t>pooled in the following groups</w:t>
      </w:r>
      <w:r w:rsidRPr="00A961B9">
        <w:t>:</w:t>
      </w:r>
    </w:p>
    <w:p w:rsidR="00A961B9" w:rsidRPr="00A961B9" w:rsidRDefault="00A961B9" w:rsidP="00117BB1">
      <w:pPr>
        <w:pStyle w:val="ListBullet"/>
      </w:pPr>
      <w:r w:rsidRPr="00A961B9">
        <w:t xml:space="preserve">P23STC: Short term </w:t>
      </w:r>
      <w:r w:rsidR="00A00DA5">
        <w:t>P</w:t>
      </w:r>
      <w:r w:rsidRPr="00A961B9">
        <w:t xml:space="preserve">hase II/III </w:t>
      </w:r>
      <w:r w:rsidRPr="00117BB1">
        <w:t>double</w:t>
      </w:r>
      <w:r w:rsidRPr="00A961B9">
        <w:t xml:space="preserve"> blind placebo controlled studies (D1050006, D1050196, D1050229, D1050231, D1030233, D1001002, </w:t>
      </w:r>
      <w:proofErr w:type="gramStart"/>
      <w:r w:rsidRPr="00A961B9">
        <w:t>D1050049</w:t>
      </w:r>
      <w:proofErr w:type="gramEnd"/>
      <w:r w:rsidRPr="00A961B9">
        <w:t>). These 7 studies included 1508 subjects treated with lurasidone, 708 with placebo</w:t>
      </w:r>
      <w:r w:rsidR="00FD20CB">
        <w:t>,</w:t>
      </w:r>
      <w:r w:rsidRPr="00A961B9">
        <w:t xml:space="preserve"> and 378 with the comparators.</w:t>
      </w:r>
    </w:p>
    <w:p w:rsidR="00A961B9" w:rsidRPr="00A961B9" w:rsidRDefault="00A961B9" w:rsidP="00117BB1">
      <w:pPr>
        <w:pStyle w:val="ListBullet"/>
      </w:pPr>
      <w:r w:rsidRPr="00A961B9">
        <w:t xml:space="preserve">P23LTC: Long term, 52 week, </w:t>
      </w:r>
      <w:r w:rsidR="00FD20CB">
        <w:t>P</w:t>
      </w:r>
      <w:r w:rsidRPr="00A961B9">
        <w:t xml:space="preserve">hase </w:t>
      </w:r>
      <w:r w:rsidRPr="00117BB1">
        <w:t>III</w:t>
      </w:r>
      <w:r w:rsidRPr="00A961B9">
        <w:t>, double</w:t>
      </w:r>
      <w:r w:rsidR="00FD20CB">
        <w:t xml:space="preserve"> </w:t>
      </w:r>
      <w:r w:rsidRPr="00A961B9">
        <w:t>blind</w:t>
      </w:r>
      <w:r w:rsidR="00FD20CB">
        <w:t>,</w:t>
      </w:r>
      <w:r w:rsidRPr="00A961B9">
        <w:t xml:space="preserve"> active</w:t>
      </w:r>
      <w:r w:rsidR="00FD20CB">
        <w:t xml:space="preserve"> </w:t>
      </w:r>
      <w:r w:rsidRPr="00A961B9">
        <w:t>controlled studies (D1050234, D1050237). These included 624 subjects treated with lurasidone and 284 with active comparators.</w:t>
      </w:r>
    </w:p>
    <w:p w:rsidR="00A961B9" w:rsidRPr="00A961B9" w:rsidRDefault="00A961B9" w:rsidP="00117BB1">
      <w:pPr>
        <w:pStyle w:val="ListBullet"/>
      </w:pPr>
      <w:r w:rsidRPr="00A961B9">
        <w:t xml:space="preserve">P23AU: Uncontrolled </w:t>
      </w:r>
      <w:r w:rsidR="007C6319">
        <w:t>P</w:t>
      </w:r>
      <w:r w:rsidRPr="00A961B9">
        <w:t xml:space="preserve">hase II/III </w:t>
      </w:r>
      <w:r w:rsidRPr="00117BB1">
        <w:t>studies</w:t>
      </w:r>
      <w:r w:rsidRPr="00A961B9">
        <w:t xml:space="preserve"> (D1001061, D1001001, D1001036, D1001048, D1001017, D1050174, D1050199, D1050229E, D1050231E, D1050237E, D1050289, </w:t>
      </w:r>
      <w:proofErr w:type="gramStart"/>
      <w:r w:rsidRPr="00A961B9">
        <w:t>D1050290</w:t>
      </w:r>
      <w:proofErr w:type="gramEnd"/>
      <w:r w:rsidRPr="00A961B9">
        <w:t>). These included 1071 su</w:t>
      </w:r>
      <w:r w:rsidR="00117BB1">
        <w:t xml:space="preserve">bjects treated with </w:t>
      </w:r>
      <w:proofErr w:type="spellStart"/>
      <w:r w:rsidR="00117BB1">
        <w:t>lurasidone</w:t>
      </w:r>
      <w:proofErr w:type="spellEnd"/>
      <w:r w:rsidR="00117BB1">
        <w:t>.</w:t>
      </w:r>
    </w:p>
    <w:p w:rsidR="00A961B9" w:rsidRPr="00A961B9" w:rsidRDefault="00A961B9" w:rsidP="00117BB1">
      <w:pPr>
        <w:pStyle w:val="ListBullet"/>
      </w:pPr>
      <w:r w:rsidRPr="00A961B9">
        <w:t xml:space="preserve">P23STO: Other </w:t>
      </w:r>
      <w:r w:rsidR="007C6319">
        <w:t>P</w:t>
      </w:r>
      <w:r w:rsidRPr="00A961B9">
        <w:t xml:space="preserve">hase II/III studies (D1050254) which included 150 subjects </w:t>
      </w:r>
      <w:r w:rsidRPr="00117BB1">
        <w:t>treated</w:t>
      </w:r>
      <w:r w:rsidRPr="00A961B9">
        <w:t xml:space="preserve"> with lurasidone and 151 treated with </w:t>
      </w:r>
      <w:proofErr w:type="spellStart"/>
      <w:r w:rsidRPr="00A961B9">
        <w:t>ziprasidone</w:t>
      </w:r>
      <w:proofErr w:type="spellEnd"/>
      <w:r w:rsidRPr="00A961B9">
        <w:t>.</w:t>
      </w:r>
    </w:p>
    <w:p w:rsidR="00A961B9" w:rsidRPr="00A961B9" w:rsidRDefault="00A961B9" w:rsidP="00117BB1">
      <w:pPr>
        <w:pStyle w:val="ListBullet"/>
      </w:pPr>
      <w:r w:rsidRPr="00A961B9">
        <w:t xml:space="preserve">P23ALL: The above 4 groups of </w:t>
      </w:r>
      <w:r w:rsidR="007C6319">
        <w:t>P</w:t>
      </w:r>
      <w:r w:rsidRPr="00A961B9">
        <w:t>hase II/III studies combined. These included 3202 lurasidone</w:t>
      </w:r>
      <w:r w:rsidR="007C6319">
        <w:t xml:space="preserve"> </w:t>
      </w:r>
      <w:r w:rsidRPr="00A961B9">
        <w:t>treated subjects.</w:t>
      </w:r>
    </w:p>
    <w:p w:rsidR="00A961B9" w:rsidRPr="00A961B9" w:rsidRDefault="00A961B9" w:rsidP="00117BB1">
      <w:pPr>
        <w:pStyle w:val="ListBullet"/>
      </w:pPr>
      <w:r w:rsidRPr="00A961B9">
        <w:t xml:space="preserve">P1NON: </w:t>
      </w:r>
      <w:proofErr w:type="gramStart"/>
      <w:r w:rsidRPr="00A961B9">
        <w:t>Phase</w:t>
      </w:r>
      <w:proofErr w:type="gramEnd"/>
      <w:r w:rsidRPr="00A961B9">
        <w:t xml:space="preserve"> I non</w:t>
      </w:r>
      <w:r w:rsidR="007C6319">
        <w:t xml:space="preserve"> </w:t>
      </w:r>
      <w:r w:rsidRPr="00A961B9">
        <w:t xml:space="preserve">schizophrenia (21 studies, 371 </w:t>
      </w:r>
      <w:proofErr w:type="spellStart"/>
      <w:r w:rsidRPr="00A961B9">
        <w:t>lurasidone</w:t>
      </w:r>
      <w:proofErr w:type="spellEnd"/>
      <w:r w:rsidR="007C6319">
        <w:t xml:space="preserve"> </w:t>
      </w:r>
      <w:r w:rsidRPr="00A961B9">
        <w:t xml:space="preserve">treated </w:t>
      </w:r>
      <w:r w:rsidRPr="00117BB1">
        <w:t>subjects</w:t>
      </w:r>
      <w:r w:rsidRPr="00A961B9">
        <w:t>).</w:t>
      </w:r>
    </w:p>
    <w:p w:rsidR="00A961B9" w:rsidRPr="00A961B9" w:rsidRDefault="00A961B9" w:rsidP="00A961B9">
      <w:pPr>
        <w:pStyle w:val="ListBullet"/>
      </w:pPr>
      <w:r w:rsidRPr="00A961B9">
        <w:t xml:space="preserve">P1SCH: </w:t>
      </w:r>
      <w:proofErr w:type="gramStart"/>
      <w:r w:rsidRPr="00A961B9">
        <w:t>Phase</w:t>
      </w:r>
      <w:proofErr w:type="gramEnd"/>
      <w:r w:rsidRPr="00A961B9">
        <w:t xml:space="preserve"> I schizophrenia (9 studies, 300 lurasidone</w:t>
      </w:r>
      <w:r w:rsidR="007C6319">
        <w:t xml:space="preserve"> </w:t>
      </w:r>
      <w:r w:rsidRPr="00A961B9">
        <w:t>treated subjects).</w:t>
      </w:r>
    </w:p>
    <w:p w:rsidR="00A961B9" w:rsidRPr="00A961B9" w:rsidRDefault="00A961B9" w:rsidP="00117BB1">
      <w:r w:rsidRPr="00A961B9">
        <w:t>In the short term placebo</w:t>
      </w:r>
      <w:r w:rsidR="007C6319">
        <w:t xml:space="preserve"> </w:t>
      </w:r>
      <w:r w:rsidRPr="00A961B9">
        <w:t>controlled efficacy studies, the following safety data were collected: adverse event (AE) monitoring, physical examination, blood pressure, body weight, body mass index (B</w:t>
      </w:r>
      <w:r w:rsidR="007C6319">
        <w:t xml:space="preserve">MI), 12 lead </w:t>
      </w:r>
      <w:r w:rsidRPr="00A961B9">
        <w:t xml:space="preserve">ECG, laboratory safety studies including prolactin, the Barnes </w:t>
      </w:r>
      <w:proofErr w:type="spellStart"/>
      <w:r w:rsidRPr="00A961B9">
        <w:t>Akathisia</w:t>
      </w:r>
      <w:proofErr w:type="spellEnd"/>
      <w:r w:rsidRPr="00A961B9">
        <w:t xml:space="preserve"> Scale (BAS),</w:t>
      </w:r>
      <w:r w:rsidR="00A041F2">
        <w:rPr>
          <w:rStyle w:val="FootnoteReference"/>
        </w:rPr>
        <w:footnoteReference w:id="28"/>
      </w:r>
      <w:r w:rsidRPr="00A961B9">
        <w:t xml:space="preserve"> the Abnormal Involuntary Movement Scale (AIMS)</w:t>
      </w:r>
      <w:r>
        <w:rPr>
          <w:rStyle w:val="FootnoteReference"/>
        </w:rPr>
        <w:footnoteReference w:id="29"/>
      </w:r>
      <w:r w:rsidRPr="00A961B9">
        <w:t xml:space="preserve"> and the Simpson-Angus Scale (SAS)</w:t>
      </w:r>
      <w:r w:rsidR="00027289">
        <w:t>.</w:t>
      </w:r>
      <w:r w:rsidR="00027289">
        <w:rPr>
          <w:rStyle w:val="FootnoteReference"/>
        </w:rPr>
        <w:footnoteReference w:id="30"/>
      </w:r>
    </w:p>
    <w:p w:rsidR="00A961B9" w:rsidRPr="00A961B9" w:rsidRDefault="00A961B9" w:rsidP="00117BB1">
      <w:r w:rsidRPr="00A961B9">
        <w:t xml:space="preserve">The other </w:t>
      </w:r>
      <w:r w:rsidR="007C6319">
        <w:t>P</w:t>
      </w:r>
      <w:r w:rsidRPr="00A961B9">
        <w:t>hase II/III studies provided data on AEs, clinical chemistry and haematology, physical examination and vital signs, ECGs, the BAS</w:t>
      </w:r>
      <w:r w:rsidR="00183E94">
        <w:t>,</w:t>
      </w:r>
      <w:r w:rsidR="00117BB1">
        <w:t xml:space="preserve"> and the AIMS.</w:t>
      </w:r>
    </w:p>
    <w:p w:rsidR="00A961B9" w:rsidRPr="00A961B9" w:rsidRDefault="00A961B9" w:rsidP="00117BB1">
      <w:r w:rsidRPr="00A961B9">
        <w:lastRenderedPageBreak/>
        <w:t>Study D1050237 assessed safety as a primary outcome. Study D1050254 also assessed safety as the primary endpoint.</w:t>
      </w:r>
    </w:p>
    <w:p w:rsidR="00A961B9" w:rsidRPr="00A961B9" w:rsidRDefault="00415450" w:rsidP="00A961B9">
      <w:r>
        <w:t>AEs</w:t>
      </w:r>
      <w:r w:rsidR="00A961B9" w:rsidRPr="00A961B9">
        <w:t xml:space="preserve"> were reported as treatment emergent AEs (TEAEs) which were defined as AEs (newly occurring or an exacerbation of </w:t>
      </w:r>
      <w:proofErr w:type="spellStart"/>
      <w:r w:rsidR="00A961B9" w:rsidRPr="00A961B9">
        <w:t>pre</w:t>
      </w:r>
      <w:r w:rsidR="004964E0">
        <w:t xml:space="preserve"> </w:t>
      </w:r>
      <w:r w:rsidR="00A961B9" w:rsidRPr="00A961B9">
        <w:t>existing</w:t>
      </w:r>
      <w:proofErr w:type="spellEnd"/>
      <w:r w:rsidR="00A961B9" w:rsidRPr="00A961B9">
        <w:t xml:space="preserve"> conditions) with a start date on or after the date of the first dose of study medication through seven days after study medication discontinuation.</w:t>
      </w:r>
    </w:p>
    <w:p w:rsidR="00A961B9" w:rsidRPr="00A961B9" w:rsidRDefault="00A961B9" w:rsidP="00117BB1">
      <w:r w:rsidRPr="00A961B9">
        <w:t>Laboratory tests included clinical chemistry, prolactin, fasting lipids, fasting gluco</w:t>
      </w:r>
      <w:r w:rsidR="00117BB1">
        <w:t>se, haematology and urinalysis.</w:t>
      </w:r>
    </w:p>
    <w:p w:rsidR="00A961B9" w:rsidRPr="00A961B9" w:rsidRDefault="00A961B9" w:rsidP="00117BB1">
      <w:r w:rsidRPr="00A961B9">
        <w:t>AEs of particular interest included extrapyramidal symptoms (EPS), metabolic event</w:t>
      </w:r>
      <w:r w:rsidR="007C0D6E">
        <w:t>s (effects on glucose, lipids</w:t>
      </w:r>
      <w:r w:rsidR="00461D7E">
        <w:t xml:space="preserve">), neurological events (for example, </w:t>
      </w:r>
      <w:r w:rsidRPr="00A961B9">
        <w:t xml:space="preserve">somnolence, dystonia) and hypersensitivity events. Preferred terms were clustered to capture these events. EPS events included </w:t>
      </w:r>
      <w:proofErr w:type="spellStart"/>
      <w:r w:rsidRPr="00A961B9">
        <w:t>akathisia</w:t>
      </w:r>
      <w:proofErr w:type="spellEnd"/>
      <w:r w:rsidRPr="00A961B9">
        <w:t xml:space="preserve">, </w:t>
      </w:r>
      <w:proofErr w:type="spellStart"/>
      <w:r w:rsidRPr="00A961B9">
        <w:t>bradykinesia</w:t>
      </w:r>
      <w:proofErr w:type="spellEnd"/>
      <w:r w:rsidRPr="00A961B9">
        <w:t xml:space="preserve">, cog wheel rigidity, drooling, dystonia, extrapyramidal disorder, </w:t>
      </w:r>
      <w:proofErr w:type="spellStart"/>
      <w:r w:rsidRPr="00A961B9">
        <w:t>hypokinesia</w:t>
      </w:r>
      <w:proofErr w:type="spellEnd"/>
      <w:r w:rsidRPr="00A961B9">
        <w:t xml:space="preserve">, muscle rigidity, oculogyric crisis, </w:t>
      </w:r>
      <w:proofErr w:type="spellStart"/>
      <w:r w:rsidRPr="00A961B9">
        <w:t>oromandibular</w:t>
      </w:r>
      <w:proofErr w:type="spellEnd"/>
      <w:r w:rsidRPr="00A961B9">
        <w:t xml:space="preserve"> dystonia, </w:t>
      </w:r>
      <w:proofErr w:type="gramStart"/>
      <w:r w:rsidRPr="00A961B9">
        <w:t>parkinsonism</w:t>
      </w:r>
      <w:proofErr w:type="gramEnd"/>
      <w:r w:rsidRPr="00A961B9">
        <w:t xml:space="preserve">, psychomotor retardation, restlessness, tongue spasm, torticollis, tremor and </w:t>
      </w:r>
      <w:proofErr w:type="spellStart"/>
      <w:r w:rsidRPr="00A961B9">
        <w:t>trismus</w:t>
      </w:r>
      <w:proofErr w:type="spellEnd"/>
      <w:r w:rsidRPr="00A961B9">
        <w:t>.</w:t>
      </w:r>
    </w:p>
    <w:p w:rsidR="00A961B9" w:rsidRPr="00A961B9" w:rsidRDefault="00A961B9" w:rsidP="00117BB1">
      <w:r w:rsidRPr="00A961B9">
        <w:t xml:space="preserve">Metabolic events included blood glucose increased, blood triglycerides increased, diabetes mellitus, glucose tolerance impaired, glycosuria, glucose urine present, HbA1c increased, </w:t>
      </w:r>
      <w:proofErr w:type="spellStart"/>
      <w:r w:rsidRPr="00A961B9">
        <w:t>hyperglycemia</w:t>
      </w:r>
      <w:proofErr w:type="spellEnd"/>
      <w:r w:rsidRPr="00A961B9">
        <w:t xml:space="preserve">, </w:t>
      </w:r>
      <w:proofErr w:type="spellStart"/>
      <w:r w:rsidRPr="00A961B9">
        <w:t>hyperlipidemia</w:t>
      </w:r>
      <w:proofErr w:type="spellEnd"/>
      <w:r w:rsidRPr="00A961B9">
        <w:t>, hypertriglyceridemia, metabolic syndrome, impaired fasting glucose, type 2 diabetes mellitus and weight increased.</w:t>
      </w:r>
    </w:p>
    <w:p w:rsidR="00A961B9" w:rsidRPr="00A961B9" w:rsidRDefault="00A961B9" w:rsidP="00117BB1">
      <w:r w:rsidRPr="00A961B9">
        <w:t>All cases of confirmed bone fracture regardless o</w:t>
      </w:r>
      <w:r w:rsidR="00E25831">
        <w:t xml:space="preserve">f seriousness were reported as serious </w:t>
      </w:r>
      <w:r w:rsidR="00035694">
        <w:t>AEs</w:t>
      </w:r>
      <w:r w:rsidR="00E25831">
        <w:t xml:space="preserve"> (SAEs)</w:t>
      </w:r>
      <w:r w:rsidR="00035694">
        <w:t xml:space="preserve">. If possible a dual energy </w:t>
      </w:r>
      <w:proofErr w:type="gramStart"/>
      <w:r w:rsidR="00035694">
        <w:t>X</w:t>
      </w:r>
      <w:proofErr w:type="gramEnd"/>
      <w:r w:rsidR="00035694">
        <w:t xml:space="preserve"> </w:t>
      </w:r>
      <w:r w:rsidRPr="00A961B9">
        <w:t>ray absorptiometry (DEXA) scan was performed together with urine and blood collection for vitamin D, C-</w:t>
      </w:r>
      <w:proofErr w:type="spellStart"/>
      <w:r w:rsidRPr="00A961B9">
        <w:t>telopeptide</w:t>
      </w:r>
      <w:proofErr w:type="spellEnd"/>
      <w:r w:rsidRPr="00A961B9">
        <w:t>, N-</w:t>
      </w:r>
      <w:proofErr w:type="spellStart"/>
      <w:r w:rsidRPr="00A961B9">
        <w:t>telopeptide</w:t>
      </w:r>
      <w:proofErr w:type="spellEnd"/>
      <w:r w:rsidRPr="00A961B9">
        <w:t xml:space="preserve">, </w:t>
      </w:r>
      <w:proofErr w:type="spellStart"/>
      <w:r w:rsidRPr="00A961B9">
        <w:t>osteocalcin</w:t>
      </w:r>
      <w:proofErr w:type="spellEnd"/>
      <w:r w:rsidRPr="00A961B9">
        <w:t xml:space="preserve"> and bone alkaline phosphatise (ALP).</w:t>
      </w:r>
    </w:p>
    <w:p w:rsidR="00A961B9" w:rsidRPr="00A961B9" w:rsidRDefault="00A961B9" w:rsidP="00117BB1">
      <w:r w:rsidRPr="00A961B9">
        <w:t>The Columbia Suicide Severity Rating Scale (C-SSRS) was assessed in the short</w:t>
      </w:r>
      <w:r w:rsidR="00730DB4">
        <w:t xml:space="preserve"> </w:t>
      </w:r>
      <w:r w:rsidRPr="00A961B9">
        <w:t>term, double</w:t>
      </w:r>
      <w:r w:rsidR="00730DB4">
        <w:t xml:space="preserve"> </w:t>
      </w:r>
      <w:r w:rsidRPr="00A961B9">
        <w:t>blind, placebo</w:t>
      </w:r>
      <w:r w:rsidR="00730DB4">
        <w:t xml:space="preserve"> </w:t>
      </w:r>
      <w:r w:rsidRPr="00A961B9">
        <w:t>controlled study (D1050233), in the long</w:t>
      </w:r>
      <w:r w:rsidR="00730DB4">
        <w:t xml:space="preserve"> </w:t>
      </w:r>
      <w:r w:rsidRPr="00A961B9">
        <w:t>term controlled study (D1050237) and in recent studies in the P23ALL study grouping (D1050229E, D1050231E, D1050234, D1050237E, D1050289, and D1050290).</w:t>
      </w:r>
    </w:p>
    <w:p w:rsidR="00A961B9" w:rsidRPr="00A961B9" w:rsidRDefault="00A961B9" w:rsidP="00117BB1">
      <w:proofErr w:type="spellStart"/>
      <w:r w:rsidRPr="00A961B9">
        <w:t>Opthalmological</w:t>
      </w:r>
      <w:proofErr w:type="spellEnd"/>
      <w:r w:rsidRPr="00A961B9">
        <w:t xml:space="preserve"> examination including </w:t>
      </w:r>
      <w:proofErr w:type="spellStart"/>
      <w:r w:rsidRPr="00A961B9">
        <w:t>fundoscopy</w:t>
      </w:r>
      <w:proofErr w:type="spellEnd"/>
      <w:r w:rsidRPr="00A961B9">
        <w:t xml:space="preserve"> and </w:t>
      </w:r>
      <w:proofErr w:type="spellStart"/>
      <w:r w:rsidRPr="00A961B9">
        <w:t>biomicroscopy</w:t>
      </w:r>
      <w:proofErr w:type="spellEnd"/>
      <w:r w:rsidRPr="00A961B9">
        <w:t xml:space="preserve"> was conducted in study D1050006 and D1050237.</w:t>
      </w:r>
    </w:p>
    <w:p w:rsidR="00A961B9" w:rsidRPr="00A961B9" w:rsidRDefault="00A961B9" w:rsidP="00117BB1">
      <w:r w:rsidRPr="00A961B9">
        <w:t xml:space="preserve">Measures of bone turnover were assessed for all subjects in </w:t>
      </w:r>
      <w:r w:rsidR="00730DB4">
        <w:t>S</w:t>
      </w:r>
      <w:r w:rsidRPr="00A961B9">
        <w:t>tudies D1050049, D1050174, D1050196, D1050199, D1050237, D1050237E, D1001001, and D1001036.</w:t>
      </w:r>
    </w:p>
    <w:p w:rsidR="00605AD4" w:rsidRDefault="00605AD4" w:rsidP="00605AD4">
      <w:pPr>
        <w:pStyle w:val="Heading4"/>
      </w:pPr>
      <w:r w:rsidRPr="00605AD4">
        <w:t>Patient exposure</w:t>
      </w:r>
    </w:p>
    <w:p w:rsidR="00D267D9" w:rsidRPr="00D267D9" w:rsidRDefault="00D267D9" w:rsidP="001B7A36">
      <w:r w:rsidRPr="00D267D9">
        <w:t xml:space="preserve">The P23STC studies included 1508 subjects who received lurasidone with a mean exposure of 31.7 days (SD 14.4 days). The P23LTC studies included 624 subjects who received lurasidone with a mean (SD) exposure of 216.4 (14.54) days. Most subjects in this grouping received lurasidone 40 mg (43.8%) or 80 mg (36.1%). In P23ALL, the mean exposure duration to lurasidone was 138 days (range: 1 to 729 days), median exposure was 45 days and 471 subjects had ≥364 days exposure. Total exposure was </w:t>
      </w:r>
      <w:r w:rsidR="00C37A29">
        <w:t>1212 patient years</w:t>
      </w:r>
      <w:r w:rsidR="001B7A36">
        <w:t>.</w:t>
      </w:r>
    </w:p>
    <w:p w:rsidR="00D267D9" w:rsidRPr="00D267D9" w:rsidRDefault="00D267D9" w:rsidP="001B7A36">
      <w:r w:rsidRPr="00D267D9">
        <w:t xml:space="preserve">There were 671 subjects exposed to lurasidone in the </w:t>
      </w:r>
      <w:r w:rsidR="00C37A29">
        <w:t>P</w:t>
      </w:r>
      <w:r w:rsidRPr="00D267D9">
        <w:t xml:space="preserve">hase I studies. Single doses ranged from 0.1 mg to 100 mg and repeated doses up to 600 mg per day for &lt;1 week. The mean duration of exposure to lurasidone in </w:t>
      </w:r>
      <w:proofErr w:type="spellStart"/>
      <w:r w:rsidRPr="00D267D9">
        <w:t>non</w:t>
      </w:r>
      <w:r w:rsidR="00C37A29">
        <w:t xml:space="preserve"> </w:t>
      </w:r>
      <w:r w:rsidRPr="00D267D9">
        <w:t>schizophrenia</w:t>
      </w:r>
      <w:proofErr w:type="spellEnd"/>
      <w:r w:rsidRPr="00D267D9">
        <w:t xml:space="preserve"> subjects was 2.4 days and in schizophrenia subjects was 12.4 days.</w:t>
      </w:r>
    </w:p>
    <w:p w:rsidR="00D267D9" w:rsidRPr="00D267D9" w:rsidRDefault="00D267D9" w:rsidP="001B7A36">
      <w:r w:rsidRPr="00D267D9">
        <w:t xml:space="preserve">In the P23STC studies, the mean age of subjects receiving lurasidone was 40 years with 89% aged </w:t>
      </w:r>
      <w:proofErr w:type="gramStart"/>
      <w:r w:rsidRPr="00D267D9">
        <w:t>under</w:t>
      </w:r>
      <w:proofErr w:type="gramEnd"/>
      <w:r w:rsidRPr="00D267D9">
        <w:t xml:space="preserve"> 55 years and only 29 subjects aged 65 years or older. Most subjects were male (71%) and 38% were White, 30% Black/African American and 28% Asian. Demographics were similar in the long term controlled population.</w:t>
      </w:r>
    </w:p>
    <w:p w:rsidR="00605AD4" w:rsidRDefault="00605AD4" w:rsidP="001B7A36">
      <w:pPr>
        <w:pStyle w:val="Heading4"/>
      </w:pPr>
      <w:r w:rsidRPr="00605AD4">
        <w:lastRenderedPageBreak/>
        <w:t>Safety issues with the potential for major regulatory impact</w:t>
      </w:r>
    </w:p>
    <w:p w:rsidR="00500084" w:rsidRPr="001B7A36" w:rsidRDefault="00500084" w:rsidP="001B7A36">
      <w:pPr>
        <w:pStyle w:val="Heading5"/>
      </w:pPr>
      <w:bookmarkStart w:id="102" w:name="_Toc272414684"/>
      <w:bookmarkStart w:id="103" w:name="_Toc290846322"/>
      <w:bookmarkStart w:id="104" w:name="_Ref359501692"/>
      <w:bookmarkStart w:id="105" w:name="_Toc371067100"/>
      <w:r w:rsidRPr="00500084">
        <w:t>Cardiovascular safety</w:t>
      </w:r>
      <w:bookmarkEnd w:id="102"/>
      <w:bookmarkEnd w:id="103"/>
      <w:bookmarkEnd w:id="104"/>
      <w:bookmarkEnd w:id="105"/>
    </w:p>
    <w:p w:rsidR="00500084" w:rsidRPr="001B7A36" w:rsidRDefault="00500084" w:rsidP="001B7A36">
      <w:pPr>
        <w:pStyle w:val="Heading6"/>
      </w:pPr>
      <w:r w:rsidRPr="00500084">
        <w:t xml:space="preserve">QT </w:t>
      </w:r>
      <w:r w:rsidR="001B7A36">
        <w:t>p</w:t>
      </w:r>
      <w:r w:rsidRPr="00500084">
        <w:t>rolongation</w:t>
      </w:r>
    </w:p>
    <w:p w:rsidR="00500084" w:rsidRPr="00500084" w:rsidRDefault="00500084" w:rsidP="001B7A36">
      <w:r w:rsidRPr="00500084">
        <w:t>In the P23STC population</w:t>
      </w:r>
      <w:r w:rsidR="00C56A87">
        <w:t>,</w:t>
      </w:r>
      <w:r w:rsidRPr="00500084">
        <w:t xml:space="preserve"> the rate of </w:t>
      </w:r>
      <w:proofErr w:type="spellStart"/>
      <w:r w:rsidRPr="00500084">
        <w:t>QTcB</w:t>
      </w:r>
      <w:proofErr w:type="spellEnd"/>
      <w:r w:rsidRPr="00500084">
        <w:t xml:space="preserve"> prolongation (male </w:t>
      </w:r>
      <w:proofErr w:type="spellStart"/>
      <w:r w:rsidRPr="00500084">
        <w:t>QTc</w:t>
      </w:r>
      <w:proofErr w:type="spellEnd"/>
      <w:r w:rsidRPr="00500084">
        <w:t xml:space="preserve"> &gt;450 </w:t>
      </w:r>
      <w:proofErr w:type="spellStart"/>
      <w:r w:rsidRPr="00500084">
        <w:t>msec</w:t>
      </w:r>
      <w:proofErr w:type="spellEnd"/>
      <w:r w:rsidRPr="00500084">
        <w:t xml:space="preserve">, female </w:t>
      </w:r>
      <w:proofErr w:type="spellStart"/>
      <w:r w:rsidRPr="00500084">
        <w:t>QTc</w:t>
      </w:r>
      <w:proofErr w:type="spellEnd"/>
      <w:r w:rsidRPr="00500084">
        <w:t xml:space="preserve"> &gt;470 </w:t>
      </w:r>
      <w:proofErr w:type="spellStart"/>
      <w:r w:rsidRPr="00500084">
        <w:t>msec</w:t>
      </w:r>
      <w:proofErr w:type="spellEnd"/>
      <w:r w:rsidRPr="00500084">
        <w:t xml:space="preserve">) was 3.9% and 3.5% in the lurasidone and placebo groups, respectively. The rate of </w:t>
      </w:r>
      <w:proofErr w:type="spellStart"/>
      <w:r w:rsidRPr="00500084">
        <w:t>QTcB</w:t>
      </w:r>
      <w:proofErr w:type="spellEnd"/>
      <w:r w:rsidRPr="00500084">
        <w:t xml:space="preserve"> </w:t>
      </w:r>
      <w:r w:rsidR="00C83C91">
        <w:t>prolongation was 4.5%, 5.8%, 4.6</w:t>
      </w:r>
      <w:r w:rsidRPr="00500084">
        <w:t xml:space="preserve">% and 6.2% in the haloperidol, olanzapine, </w:t>
      </w:r>
      <w:proofErr w:type="spellStart"/>
      <w:r w:rsidRPr="00500084">
        <w:t>quetiapine</w:t>
      </w:r>
      <w:proofErr w:type="spellEnd"/>
      <w:r w:rsidRPr="00500084">
        <w:t xml:space="preserve"> XR, </w:t>
      </w:r>
      <w:proofErr w:type="spellStart"/>
      <w:r w:rsidRPr="00500084">
        <w:t>risperidone</w:t>
      </w:r>
      <w:proofErr w:type="spellEnd"/>
      <w:r w:rsidRPr="00500084">
        <w:t xml:space="preserve"> groups, respectively. The rate of </w:t>
      </w:r>
      <w:proofErr w:type="spellStart"/>
      <w:r w:rsidRPr="00500084">
        <w:t>QTcF</w:t>
      </w:r>
      <w:proofErr w:type="spellEnd"/>
      <w:r w:rsidRPr="00500084">
        <w:t xml:space="preserve"> prolongation was 1.0% and 0.3% in the lurasidone and placebo groups and 1.5%, 0%, 0%, and 4.6% in the four active groups, respectively.</w:t>
      </w:r>
    </w:p>
    <w:p w:rsidR="00500084" w:rsidRPr="00500084" w:rsidRDefault="00500084" w:rsidP="001B7A36">
      <w:r w:rsidRPr="00500084">
        <w:t xml:space="preserve">In the P23LTC population, the rate of </w:t>
      </w:r>
      <w:proofErr w:type="spellStart"/>
      <w:r w:rsidRPr="00500084">
        <w:t>QTcB</w:t>
      </w:r>
      <w:proofErr w:type="spellEnd"/>
      <w:r w:rsidRPr="00500084">
        <w:t xml:space="preserve"> prolongation with flexible dosing was 6.2%, 13.9%, 4.6% in the lurasidone, </w:t>
      </w:r>
      <w:proofErr w:type="spellStart"/>
      <w:r w:rsidRPr="00500084">
        <w:t>risperidone</w:t>
      </w:r>
      <w:proofErr w:type="spellEnd"/>
      <w:r w:rsidRPr="00500084">
        <w:t xml:space="preserve"> and </w:t>
      </w:r>
      <w:proofErr w:type="spellStart"/>
      <w:r w:rsidRPr="00500084">
        <w:t>quetiapine</w:t>
      </w:r>
      <w:proofErr w:type="spellEnd"/>
      <w:r w:rsidRPr="00500084">
        <w:t xml:space="preserve"> XR groups, respectively. In the P23ALL population, the overall rate of </w:t>
      </w:r>
      <w:proofErr w:type="spellStart"/>
      <w:r w:rsidRPr="00500084">
        <w:t>QTcB</w:t>
      </w:r>
      <w:proofErr w:type="spellEnd"/>
      <w:r w:rsidRPr="00500084">
        <w:t xml:space="preserve"> and </w:t>
      </w:r>
      <w:proofErr w:type="spellStart"/>
      <w:r w:rsidRPr="00500084">
        <w:t>QTcF</w:t>
      </w:r>
      <w:proofErr w:type="spellEnd"/>
      <w:r w:rsidRPr="00500084">
        <w:t xml:space="preserve"> prolongation was 6.0% and 1.3%.</w:t>
      </w:r>
    </w:p>
    <w:p w:rsidR="00500084" w:rsidRPr="00500084" w:rsidRDefault="00500084" w:rsidP="001B7A36">
      <w:r w:rsidRPr="00500084">
        <w:t xml:space="preserve">A subgroup of subjects with increased cardiovascular risk was identified by the investigator (age ≥55 years, CV disease or prior MI). In this group in P23STC, the rate of </w:t>
      </w:r>
      <w:proofErr w:type="spellStart"/>
      <w:r w:rsidRPr="00500084">
        <w:t>QTcB</w:t>
      </w:r>
      <w:proofErr w:type="spellEnd"/>
      <w:r w:rsidRPr="00500084">
        <w:t xml:space="preserve"> prolongation was 10.4% and 7.7% and </w:t>
      </w:r>
      <w:proofErr w:type="spellStart"/>
      <w:r w:rsidRPr="00500084">
        <w:t>QTcF</w:t>
      </w:r>
      <w:proofErr w:type="spellEnd"/>
      <w:r w:rsidRPr="00500084">
        <w:t xml:space="preserve"> prolongation was 5.2% and 0% in the lurasidone and placebo groups, respectively. In the P23LTC population, this group had a rate of </w:t>
      </w:r>
      <w:proofErr w:type="spellStart"/>
      <w:r w:rsidRPr="00500084">
        <w:t>QTcB</w:t>
      </w:r>
      <w:proofErr w:type="spellEnd"/>
      <w:r w:rsidRPr="00500084">
        <w:t xml:space="preserve"> prolongation of 10.0%, 33.3% and 22.2% in the lurasidone, </w:t>
      </w:r>
      <w:proofErr w:type="spellStart"/>
      <w:r w:rsidRPr="00500084">
        <w:t>risperidone</w:t>
      </w:r>
      <w:proofErr w:type="spellEnd"/>
      <w:r w:rsidRPr="00500084">
        <w:t xml:space="preserve"> and </w:t>
      </w:r>
      <w:proofErr w:type="spellStart"/>
      <w:r w:rsidRPr="00500084">
        <w:t>quetiapine</w:t>
      </w:r>
      <w:proofErr w:type="spellEnd"/>
      <w:r w:rsidRPr="00500084">
        <w:t xml:space="preserve"> XR groups, respectively.</w:t>
      </w:r>
    </w:p>
    <w:p w:rsidR="00500084" w:rsidRPr="00500084" w:rsidRDefault="00C56A87" w:rsidP="001B7A36">
      <w:r>
        <w:t>A thorough QT study (D1050249</w:t>
      </w:r>
      <w:r w:rsidR="00500084" w:rsidRPr="00500084">
        <w:t xml:space="preserve">) with lurasidone 120 mg and 600 mg per day over 11 days was conducted in 73 patients with schizophrenia or schizoaffective disorder. None of the subjects in the lurasidone groups had an absolute </w:t>
      </w:r>
      <w:proofErr w:type="spellStart"/>
      <w:r w:rsidR="00500084" w:rsidRPr="00500084">
        <w:t>QTc</w:t>
      </w:r>
      <w:proofErr w:type="spellEnd"/>
      <w:r w:rsidR="00500084" w:rsidRPr="00500084">
        <w:t xml:space="preserve"> above 450 </w:t>
      </w:r>
      <w:proofErr w:type="spellStart"/>
      <w:r w:rsidR="00500084" w:rsidRPr="00500084">
        <w:t>msec</w:t>
      </w:r>
      <w:proofErr w:type="spellEnd"/>
      <w:r w:rsidR="00500084" w:rsidRPr="00500084">
        <w:t xml:space="preserve"> or ch</w:t>
      </w:r>
      <w:r>
        <w:t xml:space="preserve">ange from baseline of &gt;60 </w:t>
      </w:r>
      <w:proofErr w:type="spellStart"/>
      <w:r>
        <w:t>msec</w:t>
      </w:r>
      <w:proofErr w:type="spellEnd"/>
      <w:r>
        <w:t xml:space="preserve">; </w:t>
      </w:r>
      <w:r w:rsidR="00500084" w:rsidRPr="00500084">
        <w:t>however</w:t>
      </w:r>
      <w:r>
        <w:t>,</w:t>
      </w:r>
      <w:r w:rsidR="00500084" w:rsidRPr="00500084">
        <w:t xml:space="preserve"> administration of lurasidone at a therapeutic dose of 120 mg prolonged the heart rate corrected QT intervals with a mean change from baseline of 9.4 </w:t>
      </w:r>
      <w:proofErr w:type="spellStart"/>
      <w:r w:rsidR="00500084" w:rsidRPr="00500084">
        <w:t>msec</w:t>
      </w:r>
      <w:proofErr w:type="spellEnd"/>
      <w:r w:rsidR="00500084" w:rsidRPr="00500084">
        <w:t xml:space="preserve"> with the maximum upper bound of the two-sided 90%</w:t>
      </w:r>
      <w:r>
        <w:t xml:space="preserve"> CI </w:t>
      </w:r>
      <w:proofErr w:type="spellStart"/>
      <w:r>
        <w:t>ΔQTcI</w:t>
      </w:r>
      <w:proofErr w:type="spellEnd"/>
      <w:r>
        <w:t xml:space="preserve"> of 14.7 </w:t>
      </w:r>
      <w:proofErr w:type="spellStart"/>
      <w:r>
        <w:t>msec</w:t>
      </w:r>
      <w:proofErr w:type="spellEnd"/>
      <w:r>
        <w:t xml:space="preserve"> at 2 h</w:t>
      </w:r>
      <w:r w:rsidR="00500084" w:rsidRPr="00500084">
        <w:t xml:space="preserve"> post dose. </w:t>
      </w:r>
      <w:proofErr w:type="spellStart"/>
      <w:r w:rsidR="00500084" w:rsidRPr="00500084">
        <w:t>Supratherapeutic</w:t>
      </w:r>
      <w:proofErr w:type="spellEnd"/>
      <w:r w:rsidR="00500084" w:rsidRPr="00500084">
        <w:t xml:space="preserve"> dose of lurasidone 600 mg (titrated regimen) prolonged the </w:t>
      </w:r>
      <w:proofErr w:type="spellStart"/>
      <w:r w:rsidR="00500084" w:rsidRPr="00500084">
        <w:t>QTc</w:t>
      </w:r>
      <w:proofErr w:type="spellEnd"/>
      <w:r w:rsidR="00500084" w:rsidRPr="00500084">
        <w:t xml:space="preserve"> intervals, but to a lesser extent than the therapeutic dose, with a mean change from baseline of 5.8 </w:t>
      </w:r>
      <w:proofErr w:type="spellStart"/>
      <w:r w:rsidR="00500084" w:rsidRPr="00500084">
        <w:t>msec</w:t>
      </w:r>
      <w:proofErr w:type="spellEnd"/>
      <w:r w:rsidR="00500084" w:rsidRPr="00500084">
        <w:t xml:space="preserve"> and the upper bound of the two</w:t>
      </w:r>
      <w:r>
        <w:t xml:space="preserve"> </w:t>
      </w:r>
      <w:r w:rsidR="00500084" w:rsidRPr="00500084">
        <w:t xml:space="preserve">sided 90% </w:t>
      </w:r>
      <w:r>
        <w:t xml:space="preserve">CI </w:t>
      </w:r>
      <w:proofErr w:type="spellStart"/>
      <w:r>
        <w:t>ΔQTcI</w:t>
      </w:r>
      <w:proofErr w:type="spellEnd"/>
      <w:r>
        <w:t xml:space="preserve"> was 11.5 </w:t>
      </w:r>
      <w:proofErr w:type="spellStart"/>
      <w:r>
        <w:t>msec</w:t>
      </w:r>
      <w:proofErr w:type="spellEnd"/>
      <w:r>
        <w:t xml:space="preserve"> at 4 h</w:t>
      </w:r>
      <w:r w:rsidR="00500084" w:rsidRPr="00500084">
        <w:t xml:space="preserve"> post dose. The study did not have a placebo group and due to </w:t>
      </w:r>
      <w:proofErr w:type="spellStart"/>
      <w:r w:rsidR="00500084" w:rsidRPr="00500084">
        <w:t>intersubject</w:t>
      </w:r>
      <w:proofErr w:type="spellEnd"/>
      <w:r w:rsidR="00500084" w:rsidRPr="00500084">
        <w:t xml:space="preserve"> variability the findings are not conclusive and concentration </w:t>
      </w:r>
      <w:proofErr w:type="spellStart"/>
      <w:r w:rsidR="00500084" w:rsidRPr="00500084">
        <w:t>QTc</w:t>
      </w:r>
      <w:proofErr w:type="spellEnd"/>
      <w:r w:rsidR="00500084" w:rsidRPr="00500084">
        <w:t xml:space="preserve"> response modelling was undertaken. The model demonstrated a small dose response but did not find that the doses of 120 mg or 600 mg were associated with </w:t>
      </w:r>
      <w:proofErr w:type="spellStart"/>
      <w:r w:rsidR="00500084" w:rsidRPr="00500084">
        <w:t>QTc</w:t>
      </w:r>
      <w:proofErr w:type="spellEnd"/>
      <w:r w:rsidR="00500084" w:rsidRPr="00500084">
        <w:t xml:space="preserve"> prolongation as the upper bound of the 90% CI was</w:t>
      </w:r>
      <w:r w:rsidR="001B7A36">
        <w:t xml:space="preserve"> &lt;10 msec.</w:t>
      </w:r>
    </w:p>
    <w:p w:rsidR="00500084" w:rsidRDefault="00500084" w:rsidP="001B7A36">
      <w:r w:rsidRPr="00500084">
        <w:t xml:space="preserve">The </w:t>
      </w:r>
      <w:r>
        <w:t>s</w:t>
      </w:r>
      <w:r w:rsidRPr="00500084">
        <w:t xml:space="preserve">ponsor also submitted an “Expert summary review of the effect of lurasidone on cardiac repolarisation” in the Summary of Clinical Efficacy which </w:t>
      </w:r>
      <w:r>
        <w:t>concluded that</w:t>
      </w:r>
      <w:r w:rsidR="00DE7B78">
        <w:t>:</w:t>
      </w:r>
    </w:p>
    <w:p w:rsidR="00500084" w:rsidRPr="001B7A36" w:rsidRDefault="00DE7B78" w:rsidP="001B7A36">
      <w:pPr>
        <w:ind w:left="720"/>
        <w:rPr>
          <w:i/>
        </w:rPr>
      </w:pPr>
      <w:r w:rsidRPr="001B7A36">
        <w:rPr>
          <w:i/>
        </w:rPr>
        <w:t>L</w:t>
      </w:r>
      <w:r w:rsidR="00500084" w:rsidRPr="001B7A36">
        <w:rPr>
          <w:i/>
        </w:rPr>
        <w:t xml:space="preserve">urasidone is devoid of any clinically relevant effect on </w:t>
      </w:r>
      <w:proofErr w:type="spellStart"/>
      <w:r w:rsidR="00500084" w:rsidRPr="001B7A36">
        <w:rPr>
          <w:i/>
        </w:rPr>
        <w:t>QTc</w:t>
      </w:r>
      <w:proofErr w:type="spellEnd"/>
      <w:r w:rsidR="00500084" w:rsidRPr="001B7A36">
        <w:rPr>
          <w:i/>
        </w:rPr>
        <w:t xml:space="preserve"> interval.</w:t>
      </w:r>
    </w:p>
    <w:p w:rsidR="00500084" w:rsidRPr="00500084" w:rsidRDefault="00500084" w:rsidP="001B7A36">
      <w:r w:rsidRPr="00500084">
        <w:t>In the P23ALL population (1212 patient years exposure), the following clinical cardiovascular events occurred: syncope (0.2%, n</w:t>
      </w:r>
      <w:r w:rsidR="00AA3A13">
        <w:t xml:space="preserve"> </w:t>
      </w:r>
      <w:r w:rsidRPr="00500084">
        <w:t>=</w:t>
      </w:r>
      <w:r w:rsidR="00AA3A13">
        <w:t xml:space="preserve"> </w:t>
      </w:r>
      <w:r w:rsidRPr="00500084">
        <w:t>8), loss of consciousness (&lt;0.1%), complex partial seizures (&lt;0.1%), convulsion (0.2%), sudden death (0.1%, n</w:t>
      </w:r>
      <w:r w:rsidR="00AA3A13">
        <w:t xml:space="preserve"> </w:t>
      </w:r>
      <w:r w:rsidRPr="00500084">
        <w:t>=</w:t>
      </w:r>
      <w:r w:rsidR="00AA3A13">
        <w:t xml:space="preserve"> </w:t>
      </w:r>
      <w:r w:rsidRPr="00500084">
        <w:t xml:space="preserve">3) and ventricular </w:t>
      </w:r>
      <w:proofErr w:type="spellStart"/>
      <w:r w:rsidRPr="00500084">
        <w:t>extrasystoles</w:t>
      </w:r>
      <w:proofErr w:type="spellEnd"/>
      <w:r w:rsidRPr="00500084">
        <w:t xml:space="preserve"> (0.2%, n</w:t>
      </w:r>
      <w:r w:rsidR="00AA3A13">
        <w:t xml:space="preserve"> </w:t>
      </w:r>
      <w:r w:rsidRPr="00500084">
        <w:t>=</w:t>
      </w:r>
      <w:r w:rsidR="00AA3A13">
        <w:t xml:space="preserve"> </w:t>
      </w:r>
      <w:r w:rsidRPr="00500084">
        <w:t xml:space="preserve">6). No clinically meaningful increases in the </w:t>
      </w:r>
      <w:proofErr w:type="spellStart"/>
      <w:r w:rsidRPr="00500084">
        <w:t>QTc</w:t>
      </w:r>
      <w:proofErr w:type="spellEnd"/>
      <w:r w:rsidRPr="00500084">
        <w:t xml:space="preserve"> duration were reported with these cases. There were no reported cases of ventricular tachycardia, fibrillation, flutt</w:t>
      </w:r>
      <w:r w:rsidR="00AA3A13">
        <w:t xml:space="preserve">er or torsades de pointes. Post </w:t>
      </w:r>
      <w:r w:rsidRPr="00500084">
        <w:t>marketing data provided did not reveal any signals relating to QT prolongation.</w:t>
      </w:r>
    </w:p>
    <w:p w:rsidR="00500084" w:rsidRPr="00500084" w:rsidRDefault="00500084" w:rsidP="001B7A36">
      <w:r w:rsidRPr="00500084">
        <w:t xml:space="preserve">In terms of major cardiovascular events (MACE) in P23ALL, there was one (&lt;0.1%) myocardial infarction, 3 (&lt;0.1%) </w:t>
      </w:r>
      <w:proofErr w:type="spellStart"/>
      <w:r w:rsidRPr="00500084">
        <w:t>atrioventricular</w:t>
      </w:r>
      <w:proofErr w:type="spellEnd"/>
      <w:r w:rsidRPr="00500084">
        <w:t xml:space="preserve"> block first degree, 1 (&lt;0.1%) </w:t>
      </w:r>
      <w:proofErr w:type="spellStart"/>
      <w:r w:rsidRPr="00500084">
        <w:t>atrioventricular</w:t>
      </w:r>
      <w:proofErr w:type="spellEnd"/>
      <w:r w:rsidRPr="00500084">
        <w:t xml:space="preserve"> block, 1 (&lt;0.1%) bundle branch block, and 1</w:t>
      </w:r>
      <w:r w:rsidR="00E75790">
        <w:t xml:space="preserve"> </w:t>
      </w:r>
      <w:r w:rsidRPr="00500084">
        <w:t xml:space="preserve">(&lt;0.1%) reported left bundle branch block. There were 3 cases (&lt;0.1%) of stroke, one cerebrovascular haematoma and 2 pulmonary embolisms (one was “possible” and was </w:t>
      </w:r>
      <w:proofErr w:type="gramStart"/>
      <w:r w:rsidRPr="00500084">
        <w:t>fatal,</w:t>
      </w:r>
      <w:proofErr w:type="gramEnd"/>
      <w:r w:rsidRPr="00500084">
        <w:t xml:space="preserve"> the other was associated with chest trauma). In </w:t>
      </w:r>
      <w:r w:rsidR="007C3317">
        <w:t xml:space="preserve">the </w:t>
      </w:r>
      <w:r w:rsidRPr="00500084">
        <w:t xml:space="preserve">P23STC population, orthostatic hypotension occurred in 0.3% of lurasidone subjects compared to 1.6% of the olanzapine and 2.5% of the </w:t>
      </w:r>
      <w:proofErr w:type="spellStart"/>
      <w:r w:rsidRPr="00500084">
        <w:t>quetiapine</w:t>
      </w:r>
      <w:proofErr w:type="spellEnd"/>
      <w:r w:rsidRPr="00500084">
        <w:t xml:space="preserve"> XR group. The rate in P23ALL was 0.3%.</w:t>
      </w:r>
    </w:p>
    <w:p w:rsidR="00605AD4" w:rsidRPr="001B7A36" w:rsidRDefault="00605AD4" w:rsidP="001B7A36">
      <w:pPr>
        <w:pStyle w:val="Heading4"/>
      </w:pPr>
      <w:r w:rsidRPr="00605AD4">
        <w:lastRenderedPageBreak/>
        <w:t>Post</w:t>
      </w:r>
      <w:r w:rsidR="00246B48">
        <w:t xml:space="preserve"> </w:t>
      </w:r>
      <w:r w:rsidRPr="00605AD4">
        <w:t>marketing data</w:t>
      </w:r>
    </w:p>
    <w:p w:rsidR="00500084" w:rsidRPr="00500084" w:rsidRDefault="00500084" w:rsidP="001B7A36">
      <w:proofErr w:type="spellStart"/>
      <w:r w:rsidRPr="00500084">
        <w:t>Lurasidone</w:t>
      </w:r>
      <w:proofErr w:type="spellEnd"/>
      <w:r w:rsidRPr="00500084">
        <w:t xml:space="preserve"> was launched in the US in February 2011 and in Canada in September 2012.</w:t>
      </w:r>
      <w:r w:rsidR="009712D4">
        <w:t xml:space="preserve"> </w:t>
      </w:r>
      <w:r w:rsidRPr="00500084">
        <w:t>The Summary of Clinical Safety summarised post</w:t>
      </w:r>
      <w:r w:rsidR="00246B48">
        <w:t xml:space="preserve"> marketing data to the </w:t>
      </w:r>
      <w:proofErr w:type="spellStart"/>
      <w:r w:rsidR="00246B48">
        <w:t>cut</w:t>
      </w:r>
      <w:r w:rsidRPr="00500084">
        <w:t>off</w:t>
      </w:r>
      <w:proofErr w:type="spellEnd"/>
      <w:r w:rsidRPr="00500084">
        <w:t xml:space="preserve"> date of 30 June 2012. Five individual PSURs were also included covering the period from January 2011 to April 2012. As of 30 June 2012, the estimated exposure was 386,900 patients representing 32,241 person</w:t>
      </w:r>
      <w:r w:rsidR="00246B48">
        <w:t xml:space="preserve"> </w:t>
      </w:r>
      <w:r w:rsidRPr="00500084">
        <w:t xml:space="preserve">years. There have been 1505 serious and </w:t>
      </w:r>
      <w:proofErr w:type="spellStart"/>
      <w:r w:rsidRPr="00500084">
        <w:t>non</w:t>
      </w:r>
      <w:r w:rsidR="00246B48">
        <w:t xml:space="preserve"> </w:t>
      </w:r>
      <w:r w:rsidRPr="00500084">
        <w:t>serious</w:t>
      </w:r>
      <w:proofErr w:type="spellEnd"/>
      <w:r w:rsidRPr="00500084">
        <w:t xml:space="preserve"> adverse drug reactions reported in 723 patients. Most were in the psychiatric, nervous system, gastrointe</w:t>
      </w:r>
      <w:r w:rsidR="00246B48">
        <w:t>stinal and general disorders System Organ Class (SOC)</w:t>
      </w:r>
      <w:r w:rsidRPr="00500084">
        <w:t xml:space="preserve">. The most frequently reported reactions were nausea, </w:t>
      </w:r>
      <w:proofErr w:type="spellStart"/>
      <w:r w:rsidRPr="00500084">
        <w:t>akathisia</w:t>
      </w:r>
      <w:proofErr w:type="spellEnd"/>
      <w:r w:rsidRPr="00500084">
        <w:t>, insomnia, rash and anxiety. There were 194 serious reactions with the most frequent being suicidal ideation (n</w:t>
      </w:r>
      <w:r w:rsidR="00246B48">
        <w:t xml:space="preserve"> </w:t>
      </w:r>
      <w:r w:rsidRPr="00500084">
        <w:t>=</w:t>
      </w:r>
      <w:r w:rsidR="00246B48">
        <w:t xml:space="preserve"> </w:t>
      </w:r>
      <w:r w:rsidRPr="00500084">
        <w:t>9), convulsion (n</w:t>
      </w:r>
      <w:r w:rsidR="00246B48">
        <w:t xml:space="preserve"> </w:t>
      </w:r>
      <w:r w:rsidRPr="00500084">
        <w:t>=</w:t>
      </w:r>
      <w:r w:rsidR="00246B48">
        <w:t xml:space="preserve"> </w:t>
      </w:r>
      <w:r w:rsidRPr="00500084">
        <w:t>9), death (n</w:t>
      </w:r>
      <w:r w:rsidR="00246B48">
        <w:t xml:space="preserve"> </w:t>
      </w:r>
      <w:r w:rsidRPr="00500084">
        <w:t>=</w:t>
      </w:r>
      <w:r w:rsidR="00246B48">
        <w:t xml:space="preserve"> </w:t>
      </w:r>
      <w:r w:rsidRPr="00500084">
        <w:t>7), auditory hallucination (n</w:t>
      </w:r>
      <w:r w:rsidR="00246B48">
        <w:t xml:space="preserve"> </w:t>
      </w:r>
      <w:r w:rsidRPr="00500084">
        <w:t>=</w:t>
      </w:r>
      <w:r w:rsidR="00246B48">
        <w:t xml:space="preserve"> </w:t>
      </w:r>
      <w:r w:rsidRPr="00500084">
        <w:t>6) and psychotic disorder (n</w:t>
      </w:r>
      <w:r w:rsidR="00246B48">
        <w:t xml:space="preserve"> </w:t>
      </w:r>
      <w:r w:rsidRPr="00500084">
        <w:t>=</w:t>
      </w:r>
      <w:r w:rsidR="00246B48">
        <w:t xml:space="preserve"> </w:t>
      </w:r>
      <w:r w:rsidRPr="00500084">
        <w:t>6).</w:t>
      </w:r>
    </w:p>
    <w:p w:rsidR="00500084" w:rsidRPr="00500084" w:rsidRDefault="00500084" w:rsidP="001B7A36">
      <w:r w:rsidRPr="00500084">
        <w:t>There 6 serious and 151 non</w:t>
      </w:r>
      <w:r w:rsidR="00706D10">
        <w:t xml:space="preserve"> </w:t>
      </w:r>
      <w:r w:rsidRPr="00500084">
        <w:t xml:space="preserve">serious reports of extrapyramidal symptoms. The 6 serious cases were: 3 </w:t>
      </w:r>
      <w:proofErr w:type="spellStart"/>
      <w:r w:rsidRPr="00500084">
        <w:t>akathisia</w:t>
      </w:r>
      <w:proofErr w:type="spellEnd"/>
      <w:r w:rsidRPr="00500084">
        <w:t xml:space="preserve">, 2 dystonia and 1 </w:t>
      </w:r>
      <w:proofErr w:type="spellStart"/>
      <w:r w:rsidRPr="00500084">
        <w:t>oromandibular</w:t>
      </w:r>
      <w:proofErr w:type="spellEnd"/>
      <w:r w:rsidRPr="00500084">
        <w:t xml:space="preserve"> </w:t>
      </w:r>
      <w:r w:rsidR="00706D10">
        <w:t xml:space="preserve">dystonia. The most frequent non </w:t>
      </w:r>
      <w:r w:rsidRPr="00500084">
        <w:t xml:space="preserve">serious cases were </w:t>
      </w:r>
      <w:proofErr w:type="spellStart"/>
      <w:r w:rsidRPr="00500084">
        <w:t>akathisia</w:t>
      </w:r>
      <w:proofErr w:type="spellEnd"/>
      <w:r w:rsidRPr="00500084">
        <w:t>, tremor, restlessness and dystonia. There were no reported cases of drug interactions. There were 4 serious and 14 non</w:t>
      </w:r>
      <w:r w:rsidR="00706D10">
        <w:t xml:space="preserve"> </w:t>
      </w:r>
      <w:r w:rsidRPr="00500084">
        <w:t>serious reports of angioedema and related symptoms. There were 16 serious and 81 non</w:t>
      </w:r>
      <w:r w:rsidR="00706D10">
        <w:t xml:space="preserve"> </w:t>
      </w:r>
      <w:r w:rsidRPr="00500084">
        <w:t>serious reports of neuroleptic malignant syndrome and related terms. There was one serious and 35 non</w:t>
      </w:r>
      <w:r w:rsidR="00706D10">
        <w:t xml:space="preserve"> </w:t>
      </w:r>
      <w:r w:rsidRPr="00500084">
        <w:t xml:space="preserve">serious </w:t>
      </w:r>
      <w:proofErr w:type="gramStart"/>
      <w:r w:rsidRPr="00500084">
        <w:t>reports</w:t>
      </w:r>
      <w:proofErr w:type="gramEnd"/>
      <w:r w:rsidRPr="00500084">
        <w:t xml:space="preserve"> of tardive dyskinesia and related symptoms.</w:t>
      </w:r>
    </w:p>
    <w:p w:rsidR="00500084" w:rsidRPr="00500084" w:rsidRDefault="00500084" w:rsidP="001B7A36">
      <w:r w:rsidRPr="00500084">
        <w:t>There were 38 pregnancies recorded of which 26 have no outcome data and 2 delivered healthy babies. In the 10 other cases, 7 were non</w:t>
      </w:r>
      <w:r w:rsidR="00706D10">
        <w:t xml:space="preserve"> </w:t>
      </w:r>
      <w:r w:rsidRPr="00500084">
        <w:t>serious and the outcome was not reported. There were 3 serious cases: one spontaneous abortion at 6 weeks, one spontaneous abortion at unknown gestation and one exacerbation of schizoaffective disorder.</w:t>
      </w:r>
    </w:p>
    <w:p w:rsidR="00500084" w:rsidRPr="00500084" w:rsidRDefault="00500084" w:rsidP="001B7A36">
      <w:r w:rsidRPr="00500084">
        <w:t>There were 8 reports of overdoses, 7 were intentional (2 of which were fatal) and in one case the patient was prescribed 360 mg per day. There were 2 bone fractures, one associated with an attempted suicide and the other following a fall.</w:t>
      </w:r>
    </w:p>
    <w:p w:rsidR="00500084" w:rsidRPr="00500084" w:rsidRDefault="00500084" w:rsidP="001B7A36">
      <w:r w:rsidRPr="00500084">
        <w:t xml:space="preserve">There were 12 reported deaths. The cause was unknown in 6 </w:t>
      </w:r>
      <w:proofErr w:type="gramStart"/>
      <w:r w:rsidRPr="00500084">
        <w:t>cases,</w:t>
      </w:r>
      <w:proofErr w:type="gramEnd"/>
      <w:r w:rsidRPr="00500084">
        <w:t xml:space="preserve"> there were 3 suicides, one homicide, one an unspecified infection and one “ill with anaemia”.</w:t>
      </w:r>
    </w:p>
    <w:p w:rsidR="00605AD4" w:rsidRPr="001B7A36" w:rsidRDefault="00605AD4" w:rsidP="001B7A36">
      <w:pPr>
        <w:pStyle w:val="Heading4"/>
      </w:pPr>
      <w:r w:rsidRPr="00605AD4">
        <w:t>Evaluator’s conclusions on safety</w:t>
      </w:r>
    </w:p>
    <w:p w:rsidR="00E63DC5" w:rsidRPr="00E63DC5" w:rsidRDefault="00E63DC5" w:rsidP="001B7A36">
      <w:r w:rsidRPr="00E63DC5">
        <w:t xml:space="preserve">The safety data for lurasidone was derived from 52 clinical trials which included 5607 subjects with schizophrenia (3473 treated with lurasidone, 724 treated with placebo, and 1410 treated with other medications). Study duration ranged from 3 weeks to 22 months and evaluated doses of lurasidone from 20 mg to 160 mg/day. There were 471 subjects who had ≥364 </w:t>
      </w:r>
      <w:proofErr w:type="gramStart"/>
      <w:r w:rsidRPr="00E63DC5">
        <w:t>days</w:t>
      </w:r>
      <w:proofErr w:type="gramEnd"/>
      <w:r w:rsidRPr="00E63DC5">
        <w:t xml:space="preserve"> exposure and the total exposure was 1212 patient</w:t>
      </w:r>
      <w:r w:rsidR="00FB437C">
        <w:t xml:space="preserve"> </w:t>
      </w:r>
      <w:r w:rsidRPr="00E63DC5">
        <w:t>years.</w:t>
      </w:r>
    </w:p>
    <w:p w:rsidR="00E63DC5" w:rsidRPr="00E63DC5" w:rsidRDefault="00E63DC5" w:rsidP="001B7A36">
      <w:r w:rsidRPr="00E63DC5">
        <w:t>The main data pools were:</w:t>
      </w:r>
    </w:p>
    <w:p w:rsidR="00E63DC5" w:rsidRPr="007C3317" w:rsidRDefault="00E63DC5" w:rsidP="001B7A36">
      <w:pPr>
        <w:pStyle w:val="ListBullet"/>
      </w:pPr>
      <w:r w:rsidRPr="007C3317">
        <w:t xml:space="preserve">P23STC: Short term </w:t>
      </w:r>
      <w:r w:rsidR="00FB437C" w:rsidRPr="001B7A36">
        <w:t>P</w:t>
      </w:r>
      <w:r w:rsidRPr="001B7A36">
        <w:t>hase</w:t>
      </w:r>
      <w:r w:rsidRPr="007C3317">
        <w:t xml:space="preserve"> II/III double blind placebo controlled studies (D1050006, D1050196, D1050229, D1050231, D1030233, D1001002, </w:t>
      </w:r>
      <w:proofErr w:type="gramStart"/>
      <w:r w:rsidRPr="007C3317">
        <w:t>D1050049</w:t>
      </w:r>
      <w:proofErr w:type="gramEnd"/>
      <w:r w:rsidRPr="007C3317">
        <w:t>) which included 1508 subjects treated with lurasidone, 708 with placebo and 378 with comparators. The mean exposure duration was 31.7 days.</w:t>
      </w:r>
    </w:p>
    <w:p w:rsidR="00E63DC5" w:rsidRPr="007C3317" w:rsidRDefault="00E63DC5" w:rsidP="001B7A36">
      <w:pPr>
        <w:pStyle w:val="ListBullet"/>
      </w:pPr>
      <w:r w:rsidRPr="007C3317">
        <w:t xml:space="preserve">P23LTC: Long term, 52 week, </w:t>
      </w:r>
      <w:r w:rsidR="00FB437C" w:rsidRPr="007C3317">
        <w:t>P</w:t>
      </w:r>
      <w:r w:rsidRPr="007C3317">
        <w:t>hase III double blind active</w:t>
      </w:r>
      <w:r w:rsidR="00FB437C" w:rsidRPr="007C3317">
        <w:t xml:space="preserve"> </w:t>
      </w:r>
      <w:r w:rsidRPr="007C3317">
        <w:t xml:space="preserve">controlled studies (D1050234, D1050237) which included 624 subjects treated with lurasidone, 85 with </w:t>
      </w:r>
      <w:proofErr w:type="spellStart"/>
      <w:r w:rsidRPr="007C3317">
        <w:t>quetiapine</w:t>
      </w:r>
      <w:proofErr w:type="spellEnd"/>
      <w:r w:rsidRPr="007C3317">
        <w:t xml:space="preserve"> and 199 with </w:t>
      </w:r>
      <w:proofErr w:type="spellStart"/>
      <w:r w:rsidRPr="007C3317">
        <w:t>risperidone</w:t>
      </w:r>
      <w:proofErr w:type="spellEnd"/>
      <w:r w:rsidRPr="007C3317">
        <w:t>. Dosing was flexible and the mean exposure duration was 216 days.</w:t>
      </w:r>
    </w:p>
    <w:p w:rsidR="00E63DC5" w:rsidRPr="00E63DC5" w:rsidRDefault="00E63DC5" w:rsidP="001B7A36">
      <w:pPr>
        <w:pStyle w:val="ListBullet"/>
      </w:pPr>
      <w:r w:rsidRPr="007C3317">
        <w:t xml:space="preserve">P23ALL: All </w:t>
      </w:r>
      <w:r w:rsidR="00FB437C" w:rsidRPr="007C3317">
        <w:t>P</w:t>
      </w:r>
      <w:r w:rsidRPr="007C3317">
        <w:t>hase II/</w:t>
      </w:r>
      <w:r w:rsidRPr="001B7A36">
        <w:t>III</w:t>
      </w:r>
      <w:r w:rsidRPr="007C3317">
        <w:t xml:space="preserve"> studies combined (controlled and uncontrolled) which included 3202 subjects treated with lurasidone with </w:t>
      </w:r>
      <w:proofErr w:type="gramStart"/>
      <w:r w:rsidRPr="007C3317">
        <w:t>a mean</w:t>
      </w:r>
      <w:proofErr w:type="gramEnd"/>
      <w:r w:rsidRPr="007C3317">
        <w:t xml:space="preserve"> exposure duration of 138</w:t>
      </w:r>
      <w:r w:rsidRPr="00E63DC5">
        <w:t xml:space="preserve"> days.</w:t>
      </w:r>
    </w:p>
    <w:p w:rsidR="00E63DC5" w:rsidRPr="00E63DC5" w:rsidRDefault="00E63DC5" w:rsidP="001B7A36">
      <w:r w:rsidRPr="00E63DC5">
        <w:t>There were 19 reported deaths in the clinical development program with 13 (0.4%) in subjects treated with lurasidone that were treatment</w:t>
      </w:r>
      <w:r w:rsidR="00FB437C">
        <w:t xml:space="preserve"> </w:t>
      </w:r>
      <w:r w:rsidRPr="00E63DC5">
        <w:t xml:space="preserve">emergent. The rate of death was 1.07 </w:t>
      </w:r>
      <w:r w:rsidRPr="00E63DC5">
        <w:lastRenderedPageBreak/>
        <w:t>per 100 patient</w:t>
      </w:r>
      <w:r w:rsidR="00FB437C">
        <w:t xml:space="preserve"> </w:t>
      </w:r>
      <w:r w:rsidRPr="00E63DC5">
        <w:t xml:space="preserve">years. There were 5 suicides, </w:t>
      </w:r>
      <w:r w:rsidR="00FB437C">
        <w:t>1</w:t>
      </w:r>
      <w:r w:rsidRPr="00E63DC5">
        <w:t xml:space="preserve"> thermal burn, </w:t>
      </w:r>
      <w:r w:rsidR="00FB437C">
        <w:t>1</w:t>
      </w:r>
      <w:r w:rsidRPr="00E63DC5">
        <w:t xml:space="preserve"> road traffic accident, </w:t>
      </w:r>
      <w:r w:rsidR="00FB437C">
        <w:t>1</w:t>
      </w:r>
      <w:r w:rsidRPr="00E63DC5">
        <w:t xml:space="preserve"> septic shock with respiratory failure</w:t>
      </w:r>
      <w:r w:rsidR="00FB437C">
        <w:t>,</w:t>
      </w:r>
      <w:r w:rsidRPr="00E63DC5">
        <w:t xml:space="preserve"> and 5 cardiovascular deaths. These latter deaths were: coronary artery occlusion and diffuse ventricular interstitial fibrosis; sudden death due to presumed pulmonary embolism or myocardial infarction; presumed cardiac arrhythmia due to </w:t>
      </w:r>
      <w:proofErr w:type="spellStart"/>
      <w:r w:rsidRPr="00E63DC5">
        <w:t>hypoplastic</w:t>
      </w:r>
      <w:proofErr w:type="spellEnd"/>
      <w:r w:rsidRPr="00E63DC5">
        <w:t xml:space="preserve"> right coronary artery and cardiomegaly; sudden death due to presumed acute cardiac failure; and sudden death due to brainstem and pericardial haemorrhage. There was no consistent pattern to these deaths. There were </w:t>
      </w:r>
      <w:r w:rsidR="000010E7">
        <w:t>2</w:t>
      </w:r>
      <w:r w:rsidRPr="00E63DC5">
        <w:t xml:space="preserve"> deaths on comparators: bronchopneumonia in an </w:t>
      </w:r>
      <w:r w:rsidR="00FB437C">
        <w:t xml:space="preserve">olanzapine </w:t>
      </w:r>
      <w:r w:rsidRPr="00E63DC5">
        <w:t>treated</w:t>
      </w:r>
      <w:r w:rsidR="000010E7">
        <w:t>,</w:t>
      </w:r>
      <w:r w:rsidRPr="00E63DC5">
        <w:t xml:space="preserve"> and cardiac arrest in a </w:t>
      </w:r>
      <w:proofErr w:type="spellStart"/>
      <w:r w:rsidRPr="00E63DC5">
        <w:t>ziprasidone</w:t>
      </w:r>
      <w:proofErr w:type="spellEnd"/>
      <w:r w:rsidR="000010E7">
        <w:t xml:space="preserve"> </w:t>
      </w:r>
      <w:r w:rsidRPr="00E63DC5">
        <w:t>treated subject.</w:t>
      </w:r>
    </w:p>
    <w:p w:rsidR="00E63DC5" w:rsidRPr="00E63DC5" w:rsidRDefault="00E63DC5" w:rsidP="001B7A36">
      <w:r w:rsidRPr="00E63DC5">
        <w:t xml:space="preserve">In the short term studies, the rate of SAEs (4.6%) was comparable to placebo and active comparators (5.6% and 2.5-4.9%) apart from haloperidol which had a slightly higher rate (6.9%). While there did not appear to be a dose response in the rate of SAEs, the highest rate was with the 120 mg dose (6.2% compared to 3.2-5.6% with the other doses). In the long term controlled population, the rate of SAEs was comparable to </w:t>
      </w:r>
      <w:proofErr w:type="spellStart"/>
      <w:r w:rsidRPr="00E63DC5">
        <w:t>risperidone</w:t>
      </w:r>
      <w:proofErr w:type="spellEnd"/>
      <w:r w:rsidRPr="00E63DC5">
        <w:t xml:space="preserve"> (10.6% </w:t>
      </w:r>
      <w:r w:rsidR="00696A56">
        <w:t>versus</w:t>
      </w:r>
      <w:r w:rsidRPr="00E63DC5">
        <w:t xml:space="preserve"> 10.1%) and less than </w:t>
      </w:r>
      <w:proofErr w:type="spellStart"/>
      <w:r w:rsidRPr="00E63DC5">
        <w:t>quetiapine</w:t>
      </w:r>
      <w:proofErr w:type="spellEnd"/>
      <w:r w:rsidRPr="00E63DC5">
        <w:t xml:space="preserve"> XR (20%). The most frequent SAEs in the long term population were psychotic disorder (3%), schizophrenia (2.1%), suicidal ideation (0.3%), agitation (0.3%), anxiety (0.3%), </w:t>
      </w:r>
      <w:proofErr w:type="gramStart"/>
      <w:r w:rsidRPr="00E63DC5">
        <w:t>parkinsonism</w:t>
      </w:r>
      <w:proofErr w:type="gramEnd"/>
      <w:r w:rsidRPr="00E63DC5">
        <w:t xml:space="preserve"> (0.3%), fall (0.5%) and rib fracture (0.3%).</w:t>
      </w:r>
    </w:p>
    <w:p w:rsidR="00E63DC5" w:rsidRPr="00E63DC5" w:rsidRDefault="00E63DC5" w:rsidP="001B7A36">
      <w:r w:rsidRPr="00E63DC5">
        <w:t xml:space="preserve">The rate of discontinuation of study medication due to TEAEs was similar to the active comparators in the short term studies (9.5% </w:t>
      </w:r>
      <w:r w:rsidR="00696A56">
        <w:t>versus</w:t>
      </w:r>
      <w:r w:rsidRPr="00E63DC5">
        <w:t xml:space="preserve"> 9.3-11.1%) except for </w:t>
      </w:r>
      <w:proofErr w:type="spellStart"/>
      <w:r w:rsidRPr="00E63DC5">
        <w:t>quetiapine</w:t>
      </w:r>
      <w:proofErr w:type="spellEnd"/>
      <w:r w:rsidRPr="00E63DC5">
        <w:t xml:space="preserve"> XR which had a lower rate (3.4%). The highest rate of TEAE</w:t>
      </w:r>
      <w:r w:rsidR="000010E7">
        <w:t xml:space="preserve"> </w:t>
      </w:r>
      <w:r w:rsidRPr="00E63DC5">
        <w:t xml:space="preserve">related discontinuation was in the lurasidone 120 mg dose (13.7%) compared to 6.6-9.9% in the 40, 80 or 160 mg dose. In the long term studies, the discontinuation rate was comparable to </w:t>
      </w:r>
      <w:proofErr w:type="spellStart"/>
      <w:r w:rsidRPr="00E63DC5">
        <w:t>quetiapine</w:t>
      </w:r>
      <w:proofErr w:type="spellEnd"/>
      <w:r w:rsidRPr="00E63DC5">
        <w:t xml:space="preserve"> and </w:t>
      </w:r>
      <w:proofErr w:type="spellStart"/>
      <w:r w:rsidRPr="00E63DC5">
        <w:t>risperiodone</w:t>
      </w:r>
      <w:proofErr w:type="spellEnd"/>
      <w:r w:rsidRPr="00E63DC5">
        <w:t xml:space="preserve"> (18.4% </w:t>
      </w:r>
      <w:r w:rsidR="00696A56">
        <w:t>versus</w:t>
      </w:r>
      <w:r w:rsidRPr="00E63DC5">
        <w:t xml:space="preserve"> 22.4% and 16.1%). The most frequent events leading to discontinuation were schizophrenia, psychotic disorder, </w:t>
      </w:r>
      <w:proofErr w:type="spellStart"/>
      <w:r w:rsidRPr="00E63DC5">
        <w:t>akasthisia</w:t>
      </w:r>
      <w:proofErr w:type="spellEnd"/>
      <w:r w:rsidRPr="00E63DC5">
        <w:t>, dystonia, agitation, anxiety, insomnia, dyskinesia, somnolence, nausea and vomiting.</w:t>
      </w:r>
    </w:p>
    <w:p w:rsidR="00E63DC5" w:rsidRPr="00E63DC5" w:rsidRDefault="00E63DC5" w:rsidP="001B7A36">
      <w:r w:rsidRPr="00E63DC5">
        <w:t xml:space="preserve">The adverse event profile was as would be expected with this class of drug. The most frequent TEAEs were headache, </w:t>
      </w:r>
      <w:proofErr w:type="spellStart"/>
      <w:r w:rsidRPr="00E63DC5">
        <w:t>akathisia</w:t>
      </w:r>
      <w:proofErr w:type="spellEnd"/>
      <w:r w:rsidRPr="00E63DC5">
        <w:t>, nausea, insomnia, somnolence, sedation, vomiting, schizophrenia, agitation, anxiety and constipation. A dose</w:t>
      </w:r>
      <w:r w:rsidR="00D509B4">
        <w:t xml:space="preserve"> </w:t>
      </w:r>
      <w:r w:rsidRPr="00E63DC5">
        <w:t xml:space="preserve">response relationship was seen with </w:t>
      </w:r>
      <w:proofErr w:type="spellStart"/>
      <w:r w:rsidRPr="00E63DC5">
        <w:t>akathisia</w:t>
      </w:r>
      <w:proofErr w:type="spellEnd"/>
      <w:r w:rsidRPr="00E63DC5">
        <w:t xml:space="preserve"> and somnolence. Most events were mild or moderate with 7.7% of events in the short term studies deemed severe in nature.</w:t>
      </w:r>
    </w:p>
    <w:p w:rsidR="00E63DC5" w:rsidRPr="00E63DC5" w:rsidRDefault="00E63DC5" w:rsidP="001B7A36">
      <w:r w:rsidRPr="00E63DC5">
        <w:t xml:space="preserve">The rate of EPS TEAEs with lurasidone was high (25% in the short term studies), greater than </w:t>
      </w:r>
      <w:proofErr w:type="spellStart"/>
      <w:r w:rsidRPr="00E63DC5">
        <w:t>quetiapine</w:t>
      </w:r>
      <w:proofErr w:type="spellEnd"/>
      <w:r w:rsidRPr="00E63DC5">
        <w:t xml:space="preserve"> (7.6%), similar to </w:t>
      </w:r>
      <w:proofErr w:type="spellStart"/>
      <w:r w:rsidRPr="00E63DC5">
        <w:t>olanzepine</w:t>
      </w:r>
      <w:proofErr w:type="spellEnd"/>
      <w:r w:rsidRPr="00E63DC5">
        <w:t xml:space="preserve"> (23%) and </w:t>
      </w:r>
      <w:proofErr w:type="spellStart"/>
      <w:r w:rsidRPr="00E63DC5">
        <w:t>risperidone</w:t>
      </w:r>
      <w:proofErr w:type="spellEnd"/>
      <w:r w:rsidRPr="00E63DC5">
        <w:t xml:space="preserve"> (28%) and less than haloperidol (54%). This was also reflected in the long term studies with similar rates to </w:t>
      </w:r>
      <w:proofErr w:type="spellStart"/>
      <w:r w:rsidRPr="00E63DC5">
        <w:t>risperidone</w:t>
      </w:r>
      <w:proofErr w:type="spellEnd"/>
      <w:r w:rsidRPr="00E63DC5">
        <w:t xml:space="preserve"> (25% </w:t>
      </w:r>
      <w:r w:rsidR="00696A56">
        <w:t>versus</w:t>
      </w:r>
      <w:r w:rsidRPr="00E63DC5">
        <w:t xml:space="preserve"> 23%). The </w:t>
      </w:r>
      <w:proofErr w:type="spellStart"/>
      <w:r w:rsidRPr="00E63DC5">
        <w:t>akathisia</w:t>
      </w:r>
      <w:proofErr w:type="spellEnd"/>
      <w:r w:rsidRPr="00E63DC5">
        <w:t xml:space="preserve"> rate in the short term studies (12.9%) was greater than with olanzapine (7.4%) and </w:t>
      </w:r>
      <w:proofErr w:type="spellStart"/>
      <w:r w:rsidRPr="00E63DC5">
        <w:t>quetiapine</w:t>
      </w:r>
      <w:proofErr w:type="spellEnd"/>
      <w:r w:rsidRPr="00E63DC5">
        <w:t xml:space="preserve"> XR (1.7%), lower than with haloperidol (19.4%) and similar to </w:t>
      </w:r>
      <w:proofErr w:type="spellStart"/>
      <w:r w:rsidRPr="00E63DC5">
        <w:t>risperidone</w:t>
      </w:r>
      <w:proofErr w:type="spellEnd"/>
      <w:r w:rsidRPr="00E63DC5">
        <w:t xml:space="preserve"> (13.8%). In the long term studies, </w:t>
      </w:r>
      <w:proofErr w:type="spellStart"/>
      <w:r w:rsidRPr="00E63DC5">
        <w:t>akathisia</w:t>
      </w:r>
      <w:proofErr w:type="spellEnd"/>
      <w:r w:rsidRPr="00E63DC5">
        <w:t xml:space="preserve"> was the most frequent TEAE with higher rates than with </w:t>
      </w:r>
      <w:proofErr w:type="spellStart"/>
      <w:r w:rsidRPr="00E63DC5">
        <w:t>quetiapine</w:t>
      </w:r>
      <w:proofErr w:type="spellEnd"/>
      <w:r w:rsidRPr="00E63DC5">
        <w:t xml:space="preserve"> or </w:t>
      </w:r>
      <w:proofErr w:type="spellStart"/>
      <w:r w:rsidRPr="00E63DC5">
        <w:t>risperidone</w:t>
      </w:r>
      <w:proofErr w:type="spellEnd"/>
      <w:r w:rsidRPr="00E63DC5">
        <w:t xml:space="preserve"> (13.6% </w:t>
      </w:r>
      <w:r w:rsidR="00696A56">
        <w:t>versus</w:t>
      </w:r>
      <w:r w:rsidRPr="00E63DC5">
        <w:t xml:space="preserve"> 2.4%, 8.0%).</w:t>
      </w:r>
    </w:p>
    <w:p w:rsidR="00E63DC5" w:rsidRPr="00E63DC5" w:rsidRDefault="00E63DC5" w:rsidP="001B7A36">
      <w:r w:rsidRPr="00E63DC5">
        <w:t>In the P23ALL population, the rate of tardive dyskinesia was 0.3% and there was one case (&lt;0.1%) of neuroleptic malignant syndrome. There were 5 reported convulsions (0.2%) in the P23ALL population and one complex partial seizure (&lt;0.1%).</w:t>
      </w:r>
    </w:p>
    <w:p w:rsidR="00E63DC5" w:rsidRPr="00E63DC5" w:rsidRDefault="00E63DC5" w:rsidP="001B7A36">
      <w:r w:rsidRPr="00E63DC5">
        <w:t>The risk of hypersensitivity reactions was present with one case (&lt;0.1%) of serious angioedema, one rash and one pruritus, all of which led to treatment discontinuation.</w:t>
      </w:r>
    </w:p>
    <w:p w:rsidR="00E63DC5" w:rsidRPr="00E63DC5" w:rsidRDefault="00E63DC5" w:rsidP="001B7A36">
      <w:r w:rsidRPr="00E63DC5">
        <w:t>The notable change in laboratory data was an increase in prolactin, particularly with the higher lurasidone doses of 120 and 160 mg and there appeared to be a dose</w:t>
      </w:r>
      <w:r w:rsidR="00F403B9">
        <w:t xml:space="preserve"> </w:t>
      </w:r>
      <w:r w:rsidRPr="00E63DC5">
        <w:t>response in the shift from normal/low to high prolactin levels. In the short term studies, the rate of markedly abnormal prolactin (≥5x ULN) was 2.7% with lurasidone which was comparable to haloperidol (4.8%)</w:t>
      </w:r>
      <w:proofErr w:type="gramStart"/>
      <w:r w:rsidRPr="00E63DC5">
        <w:t>,</w:t>
      </w:r>
      <w:proofErr w:type="gramEnd"/>
      <w:r w:rsidRPr="00E63DC5">
        <w:t xml:space="preserve"> higher than </w:t>
      </w:r>
      <w:proofErr w:type="spellStart"/>
      <w:r w:rsidRPr="00E63DC5">
        <w:t>olanzepine</w:t>
      </w:r>
      <w:proofErr w:type="spellEnd"/>
      <w:r w:rsidRPr="00E63DC5">
        <w:t xml:space="preserve"> and </w:t>
      </w:r>
      <w:proofErr w:type="spellStart"/>
      <w:r w:rsidRPr="00E63DC5">
        <w:t>quetiapine</w:t>
      </w:r>
      <w:proofErr w:type="spellEnd"/>
      <w:r w:rsidRPr="00E63DC5">
        <w:t xml:space="preserve"> (0%) and notably lower than </w:t>
      </w:r>
      <w:proofErr w:type="spellStart"/>
      <w:r w:rsidRPr="00E63DC5">
        <w:t>risperidone</w:t>
      </w:r>
      <w:proofErr w:type="spellEnd"/>
      <w:r w:rsidRPr="00E63DC5">
        <w:t xml:space="preserve"> (29.7%). In P23ALL, the rate of TEAEs of elevated prolactin or abnormal prolactin was 3.1% and &lt;0.1%, respectively. TEAEs of </w:t>
      </w:r>
      <w:proofErr w:type="spellStart"/>
      <w:r w:rsidRPr="00E63DC5">
        <w:t>galactorrhoea</w:t>
      </w:r>
      <w:proofErr w:type="spellEnd"/>
      <w:r w:rsidRPr="00E63DC5">
        <w:t xml:space="preserve">, amenorrhoea and </w:t>
      </w:r>
      <w:r w:rsidRPr="00E63DC5">
        <w:lastRenderedPageBreak/>
        <w:t>erectile dysfunction occurred in &lt;0.1%, 0.3% and 0.3% of lurasidone subjects, respectively. There were no c</w:t>
      </w:r>
      <w:r w:rsidR="001B7A36">
        <w:t xml:space="preserve">ases of </w:t>
      </w:r>
      <w:proofErr w:type="spellStart"/>
      <w:r w:rsidR="001B7A36">
        <w:t>gynaecomastia</w:t>
      </w:r>
      <w:proofErr w:type="spellEnd"/>
      <w:r w:rsidR="001B7A36">
        <w:t xml:space="preserve"> reported.</w:t>
      </w:r>
    </w:p>
    <w:p w:rsidR="00E63DC5" w:rsidRPr="00E63DC5" w:rsidRDefault="00E63DC5" w:rsidP="001B7A36">
      <w:r w:rsidRPr="00E63DC5">
        <w:t xml:space="preserve">The rate of bone fractures was 0.7% in P23ALL, there was one reported case of </w:t>
      </w:r>
      <w:proofErr w:type="spellStart"/>
      <w:r w:rsidRPr="00E63DC5">
        <w:t>osteopaenia</w:t>
      </w:r>
      <w:proofErr w:type="spellEnd"/>
      <w:r w:rsidRPr="00E63DC5">
        <w:t xml:space="preserve"> (&lt;0.1%) and none of osteoporosis. There were no notable changes on markers of bone turnover. Bone density DXA scans were performed in one study and in 97 lurasidone subjects there was no notable mean change in BMD after 12 months treatment.</w:t>
      </w:r>
    </w:p>
    <w:p w:rsidR="00E63DC5" w:rsidRPr="00E63DC5" w:rsidRDefault="00E63DC5" w:rsidP="001B7A36">
      <w:r w:rsidRPr="00E63DC5">
        <w:t>Changes in liver function, and in particular increased transaminases, were in line with placebo and there wer</w:t>
      </w:r>
      <w:r w:rsidR="00AE770F">
        <w:t>e no cases of elevated liver function tests (LFTs)</w:t>
      </w:r>
      <w:r w:rsidRPr="00E63DC5">
        <w:t xml:space="preserve"> meeting </w:t>
      </w:r>
      <w:proofErr w:type="spellStart"/>
      <w:r w:rsidRPr="00E63DC5">
        <w:t>Hy’s</w:t>
      </w:r>
      <w:proofErr w:type="spellEnd"/>
      <w:r w:rsidRPr="00E63DC5">
        <w:t xml:space="preserve"> Law criteria.</w:t>
      </w:r>
    </w:p>
    <w:p w:rsidR="00E63DC5" w:rsidRPr="00E63DC5" w:rsidRDefault="00E63DC5" w:rsidP="001B7A36">
      <w:r w:rsidRPr="00E63DC5">
        <w:t>Renal function showed a dose</w:t>
      </w:r>
      <w:r w:rsidR="00E606DF">
        <w:t xml:space="preserve"> </w:t>
      </w:r>
      <w:r w:rsidRPr="00E63DC5">
        <w:t xml:space="preserve">dependent effect on increased creatinine in the short term studies, particularly with the 120 and 160 mg doses. In the long term controlled studies, the rate of markedly abnormal creatinine was 0.2% with lurasidone with no cases reported with </w:t>
      </w:r>
      <w:proofErr w:type="spellStart"/>
      <w:r w:rsidRPr="00E63DC5">
        <w:t>risperidone</w:t>
      </w:r>
      <w:proofErr w:type="spellEnd"/>
      <w:r w:rsidRPr="00E63DC5">
        <w:t xml:space="preserve"> or </w:t>
      </w:r>
      <w:proofErr w:type="spellStart"/>
      <w:r w:rsidRPr="00E63DC5">
        <w:t>quetiapine</w:t>
      </w:r>
      <w:proofErr w:type="spellEnd"/>
      <w:r w:rsidRPr="00E63DC5">
        <w:t xml:space="preserve">. Shifts from normal/low to high creatinine occurred in 5.2%, 2.4% and 4.3% of the lurasidone, </w:t>
      </w:r>
      <w:proofErr w:type="spellStart"/>
      <w:r w:rsidRPr="00E63DC5">
        <w:t>risperidone</w:t>
      </w:r>
      <w:proofErr w:type="spellEnd"/>
      <w:r w:rsidRPr="00E63DC5">
        <w:t xml:space="preserve"> and </w:t>
      </w:r>
      <w:proofErr w:type="spellStart"/>
      <w:r w:rsidRPr="00E63DC5">
        <w:t>quetiapine</w:t>
      </w:r>
      <w:proofErr w:type="spellEnd"/>
      <w:r w:rsidRPr="00E63DC5">
        <w:t xml:space="preserve"> groups, respectively. There were 2 cases of renal failure (&lt;0.1%) in P23ALL.</w:t>
      </w:r>
    </w:p>
    <w:p w:rsidR="00E63DC5" w:rsidRPr="00E63DC5" w:rsidRDefault="00E63DC5" w:rsidP="001B7A36">
      <w:r w:rsidRPr="00E63DC5">
        <w:t xml:space="preserve">The rate of markedly abnormal CK was similar between lurasidone, placebo and the active comparators </w:t>
      </w:r>
      <w:proofErr w:type="spellStart"/>
      <w:r w:rsidRPr="00E63DC5">
        <w:t>haloperiodol</w:t>
      </w:r>
      <w:proofErr w:type="spellEnd"/>
      <w:r w:rsidRPr="00E63DC5">
        <w:t xml:space="preserve"> and </w:t>
      </w:r>
      <w:proofErr w:type="spellStart"/>
      <w:r w:rsidRPr="00E63DC5">
        <w:t>olanzepine</w:t>
      </w:r>
      <w:proofErr w:type="spellEnd"/>
      <w:r w:rsidRPr="00E63DC5">
        <w:t xml:space="preserve">. There were 2 reported TEAEs of </w:t>
      </w:r>
      <w:proofErr w:type="spellStart"/>
      <w:r w:rsidRPr="00E63DC5">
        <w:t>rhabdomyolysis</w:t>
      </w:r>
      <w:proofErr w:type="spellEnd"/>
      <w:r w:rsidRPr="00E63DC5">
        <w:t xml:space="preserve">, one mild, </w:t>
      </w:r>
      <w:proofErr w:type="gramStart"/>
      <w:r w:rsidRPr="00E63DC5">
        <w:t>one</w:t>
      </w:r>
      <w:proofErr w:type="gramEnd"/>
      <w:r w:rsidRPr="00E63DC5">
        <w:t xml:space="preserve"> severe, both leading to discontinuation.</w:t>
      </w:r>
    </w:p>
    <w:p w:rsidR="00E63DC5" w:rsidRPr="00E63DC5" w:rsidRDefault="00E63DC5" w:rsidP="001B7A36">
      <w:r w:rsidRPr="00E63DC5">
        <w:t xml:space="preserve">There were no notable effects on lipids, glucose or haematological parameters. Urinalysis was unremarkable. Metabolic TEAEs occurred at a lower rate than </w:t>
      </w:r>
      <w:proofErr w:type="spellStart"/>
      <w:r w:rsidRPr="00E63DC5">
        <w:t>olanzepine</w:t>
      </w:r>
      <w:proofErr w:type="spellEnd"/>
      <w:r w:rsidRPr="00E63DC5">
        <w:t xml:space="preserve"> (3.2% </w:t>
      </w:r>
      <w:r w:rsidR="00696A56">
        <w:t>versus</w:t>
      </w:r>
      <w:r w:rsidRPr="00E63DC5">
        <w:t xml:space="preserve"> 24.6%) primarily due to the higher rate of increased weight with </w:t>
      </w:r>
      <w:proofErr w:type="spellStart"/>
      <w:r w:rsidRPr="00E63DC5">
        <w:t>olanzepine</w:t>
      </w:r>
      <w:proofErr w:type="spellEnd"/>
      <w:r w:rsidRPr="00E63DC5">
        <w:t>.</w:t>
      </w:r>
    </w:p>
    <w:p w:rsidR="00E63DC5" w:rsidRPr="00E63DC5" w:rsidRDefault="00E63DC5" w:rsidP="001B7A36">
      <w:r w:rsidRPr="00E63DC5">
        <w:t xml:space="preserve">Vital signs indicated some orthostatic changes with a rate of orthostatic hypotension in the short term trials of 1.5% which was slightly higher than placebo (0.7%), </w:t>
      </w:r>
      <w:proofErr w:type="spellStart"/>
      <w:r w:rsidRPr="00E63DC5">
        <w:t>olanzepine</w:t>
      </w:r>
      <w:proofErr w:type="spellEnd"/>
      <w:r w:rsidRPr="00E63DC5">
        <w:t xml:space="preserve"> (0.8%) and </w:t>
      </w:r>
      <w:proofErr w:type="spellStart"/>
      <w:r w:rsidRPr="00E63DC5">
        <w:t>quetiapine</w:t>
      </w:r>
      <w:proofErr w:type="spellEnd"/>
      <w:r w:rsidRPr="00E63DC5">
        <w:t xml:space="preserve"> (0.9%).</w:t>
      </w:r>
    </w:p>
    <w:p w:rsidR="00E63DC5" w:rsidRPr="00E63DC5" w:rsidRDefault="00E63DC5" w:rsidP="001B7A36">
      <w:r w:rsidRPr="00E63DC5">
        <w:t xml:space="preserve">Weight change was much less marked with lurasidone than with </w:t>
      </w:r>
      <w:proofErr w:type="spellStart"/>
      <w:r w:rsidRPr="00E63DC5">
        <w:t>olanzepine</w:t>
      </w:r>
      <w:proofErr w:type="spellEnd"/>
      <w:r w:rsidRPr="00E63DC5">
        <w:t xml:space="preserve"> or </w:t>
      </w:r>
      <w:proofErr w:type="spellStart"/>
      <w:r w:rsidRPr="00E63DC5">
        <w:t>quetiapine</w:t>
      </w:r>
      <w:proofErr w:type="spellEnd"/>
      <w:r w:rsidRPr="00E63DC5">
        <w:t xml:space="preserve">. The mean weight change in P23STC was 0.43 kg compared to 4.15 kg with olanzapine, 2.09 kg with </w:t>
      </w:r>
      <w:proofErr w:type="spellStart"/>
      <w:r w:rsidRPr="00E63DC5">
        <w:t>quetiapine</w:t>
      </w:r>
      <w:proofErr w:type="spellEnd"/>
      <w:r w:rsidRPr="00E63DC5">
        <w:t xml:space="preserve"> and 0.2 kg with </w:t>
      </w:r>
      <w:proofErr w:type="spellStart"/>
      <w:r w:rsidRPr="00E63DC5">
        <w:t>risperidone</w:t>
      </w:r>
      <w:proofErr w:type="spellEnd"/>
      <w:r w:rsidRPr="00E63DC5">
        <w:t xml:space="preserve">. In the long term studies, the mean weight change was -0.64kg and in P23ALL, increased weight was reported as a TEAE </w:t>
      </w:r>
      <w:r w:rsidR="001B7A36">
        <w:t xml:space="preserve">in 4.2% of </w:t>
      </w:r>
      <w:proofErr w:type="spellStart"/>
      <w:r w:rsidR="001B7A36">
        <w:t>lurasidone</w:t>
      </w:r>
      <w:proofErr w:type="spellEnd"/>
      <w:r w:rsidR="001B7A36">
        <w:t xml:space="preserve"> subjects.</w:t>
      </w:r>
    </w:p>
    <w:p w:rsidR="00E63DC5" w:rsidRPr="00E63DC5" w:rsidRDefault="00E63DC5" w:rsidP="001B7A36">
      <w:r w:rsidRPr="00E63DC5">
        <w:t xml:space="preserve">Movement disorders were assessed using three rating scales. Shift in the Simpson-Angus rating scale was similar to </w:t>
      </w:r>
      <w:proofErr w:type="spellStart"/>
      <w:r w:rsidRPr="00E63DC5">
        <w:t>olanzepine</w:t>
      </w:r>
      <w:proofErr w:type="spellEnd"/>
      <w:r w:rsidRPr="00E63DC5">
        <w:t xml:space="preserve"> and less than with haloperidol. The Barnes </w:t>
      </w:r>
      <w:proofErr w:type="spellStart"/>
      <w:r w:rsidRPr="00E63DC5">
        <w:t>Akathisia</w:t>
      </w:r>
      <w:proofErr w:type="spellEnd"/>
      <w:r w:rsidRPr="00E63DC5">
        <w:t xml:space="preserve"> rating scale showed a dose</w:t>
      </w:r>
      <w:r w:rsidR="00520C5E">
        <w:t xml:space="preserve"> </w:t>
      </w:r>
      <w:r w:rsidRPr="00E63DC5">
        <w:t xml:space="preserve">related increase to 120 mg, and the rate of worsening on this scale was higher than seen with </w:t>
      </w:r>
      <w:proofErr w:type="spellStart"/>
      <w:r w:rsidRPr="00E63DC5">
        <w:t>olanzepine</w:t>
      </w:r>
      <w:proofErr w:type="spellEnd"/>
      <w:r w:rsidRPr="00E63DC5">
        <w:t xml:space="preserve"> and </w:t>
      </w:r>
      <w:proofErr w:type="spellStart"/>
      <w:r w:rsidRPr="00E63DC5">
        <w:t>quetiapine</w:t>
      </w:r>
      <w:proofErr w:type="spellEnd"/>
      <w:r w:rsidRPr="00E63DC5">
        <w:t xml:space="preserve"> but less than haloperidol. The </w:t>
      </w:r>
      <w:r w:rsidR="00520C5E">
        <w:t>AIMS</w:t>
      </w:r>
      <w:r w:rsidRPr="00E63DC5">
        <w:t xml:space="preserve"> showed change from normal to abnormal in line with placebo and less than haloperidol in the short term and an overall rate of worsening of 2.2% in the P23ALL population.</w:t>
      </w:r>
    </w:p>
    <w:p w:rsidR="00E63DC5" w:rsidRPr="00E63DC5" w:rsidRDefault="00E63DC5" w:rsidP="001B7A36">
      <w:proofErr w:type="spellStart"/>
      <w:r w:rsidRPr="00E63DC5">
        <w:t>Opthalmological</w:t>
      </w:r>
      <w:proofErr w:type="spellEnd"/>
      <w:r w:rsidRPr="00E63DC5">
        <w:t xml:space="preserve"> assessment was undertaken in a subgroup of D1050237 and in this limited dataset (</w:t>
      </w:r>
      <w:r w:rsidR="00520C5E">
        <w:t xml:space="preserve">~110 lurasidone </w:t>
      </w:r>
      <w:r w:rsidRPr="00E63DC5">
        <w:t>treated subjects) there were no notable s</w:t>
      </w:r>
      <w:r w:rsidR="001B7A36">
        <w:t>afety signals.</w:t>
      </w:r>
    </w:p>
    <w:p w:rsidR="00E63DC5" w:rsidRPr="00E63DC5" w:rsidRDefault="00520C5E" w:rsidP="001B7A36">
      <w:r>
        <w:t>In the short term studies the</w:t>
      </w:r>
      <w:r w:rsidR="00E63DC5" w:rsidRPr="00E63DC5">
        <w:t xml:space="preserve"> rate of </w:t>
      </w:r>
      <w:proofErr w:type="spellStart"/>
      <w:r w:rsidR="00E63DC5" w:rsidRPr="00E63DC5">
        <w:t>QTcB</w:t>
      </w:r>
      <w:proofErr w:type="spellEnd"/>
      <w:r w:rsidR="00E63DC5" w:rsidRPr="00E63DC5">
        <w:t xml:space="preserve"> increase was similar to placebo (3.9% </w:t>
      </w:r>
      <w:r w:rsidR="00696A56">
        <w:t>versus</w:t>
      </w:r>
      <w:r w:rsidR="00E63DC5" w:rsidRPr="00E63DC5">
        <w:t xml:space="preserve"> 3.5%) and less than </w:t>
      </w:r>
      <w:proofErr w:type="spellStart"/>
      <w:r w:rsidR="00E63DC5" w:rsidRPr="00E63DC5">
        <w:t>risperidone</w:t>
      </w:r>
      <w:proofErr w:type="spellEnd"/>
      <w:r w:rsidR="00E63DC5" w:rsidRPr="00E63DC5">
        <w:t xml:space="preserve"> (6.2%) and in the P23LCT population the rate of </w:t>
      </w:r>
      <w:proofErr w:type="spellStart"/>
      <w:r w:rsidR="00E63DC5" w:rsidRPr="00E63DC5">
        <w:t>QTcB</w:t>
      </w:r>
      <w:proofErr w:type="spellEnd"/>
      <w:r w:rsidR="00E63DC5" w:rsidRPr="00E63DC5">
        <w:t xml:space="preserve"> prolongation was (6.2%) was again less than </w:t>
      </w:r>
      <w:proofErr w:type="spellStart"/>
      <w:r w:rsidR="00E63DC5" w:rsidRPr="00E63DC5">
        <w:t>risperidone</w:t>
      </w:r>
      <w:proofErr w:type="spellEnd"/>
      <w:r w:rsidR="00E63DC5" w:rsidRPr="00E63DC5">
        <w:t xml:space="preserve"> and in line with </w:t>
      </w:r>
      <w:proofErr w:type="spellStart"/>
      <w:r w:rsidR="00E63DC5" w:rsidRPr="00E63DC5">
        <w:t>quetiapine</w:t>
      </w:r>
      <w:proofErr w:type="spellEnd"/>
      <w:r w:rsidR="00E63DC5" w:rsidRPr="00E63DC5">
        <w:t xml:space="preserve"> (4.6%). A thorough QT study, which assessed doses of 120 mg and 600 mg, found that both doses prolonged the heart rate </w:t>
      </w:r>
      <w:proofErr w:type="spellStart"/>
      <w:r w:rsidR="00E63DC5" w:rsidRPr="00E63DC5">
        <w:t>QTcI</w:t>
      </w:r>
      <w:proofErr w:type="spellEnd"/>
      <w:r w:rsidR="00E63DC5" w:rsidRPr="00E63DC5">
        <w:t xml:space="preserve"> with the upper bound of the 90% CI at 14.7 </w:t>
      </w:r>
      <w:proofErr w:type="spellStart"/>
      <w:r w:rsidR="00E63DC5" w:rsidRPr="00E63DC5">
        <w:t>msec</w:t>
      </w:r>
      <w:proofErr w:type="spellEnd"/>
      <w:r w:rsidR="00E63DC5" w:rsidRPr="00E63DC5">
        <w:t xml:space="preserve"> and 11.5 </w:t>
      </w:r>
      <w:proofErr w:type="spellStart"/>
      <w:r w:rsidR="00E63DC5" w:rsidRPr="00E63DC5">
        <w:t>msec</w:t>
      </w:r>
      <w:proofErr w:type="spellEnd"/>
      <w:r w:rsidR="00E63DC5" w:rsidRPr="00E63DC5">
        <w:t xml:space="preserve">, respectively. The study did not have a placebo group and due to </w:t>
      </w:r>
      <w:proofErr w:type="spellStart"/>
      <w:r w:rsidR="00E63DC5" w:rsidRPr="00E63DC5">
        <w:t>intersubject</w:t>
      </w:r>
      <w:proofErr w:type="spellEnd"/>
      <w:r w:rsidR="00E63DC5" w:rsidRPr="00E63DC5">
        <w:t xml:space="preserve"> variability the findings are not conclusive. Concentration </w:t>
      </w:r>
      <w:proofErr w:type="spellStart"/>
      <w:r w:rsidR="00E63DC5" w:rsidRPr="00E63DC5">
        <w:t>QTc</w:t>
      </w:r>
      <w:proofErr w:type="spellEnd"/>
      <w:r w:rsidR="00E63DC5" w:rsidRPr="00E63DC5">
        <w:t xml:space="preserve"> response modelling found a small dose response but no significant </w:t>
      </w:r>
      <w:proofErr w:type="spellStart"/>
      <w:r w:rsidR="00E63DC5" w:rsidRPr="00E63DC5">
        <w:t>QTc</w:t>
      </w:r>
      <w:proofErr w:type="spellEnd"/>
      <w:r w:rsidR="00E63DC5" w:rsidRPr="00E63DC5">
        <w:t xml:space="preserve"> prolongation with either dose as the upper bound of the 90% CI was &lt;10 msec. There were no events in the clinical program considered related to QT prolongation.</w:t>
      </w:r>
    </w:p>
    <w:p w:rsidR="00E63DC5" w:rsidRPr="00E63DC5" w:rsidRDefault="00E63DC5" w:rsidP="001B7A36">
      <w:r w:rsidRPr="00E63DC5">
        <w:lastRenderedPageBreak/>
        <w:t>Post</w:t>
      </w:r>
      <w:r w:rsidR="00BD2B6C">
        <w:t xml:space="preserve"> </w:t>
      </w:r>
      <w:r w:rsidRPr="00E63DC5">
        <w:t xml:space="preserve">marketing data was provided for the period of February 2011 to June 2012 in North America and in the estimated 32,241 person </w:t>
      </w:r>
      <w:proofErr w:type="gramStart"/>
      <w:r w:rsidRPr="00E63DC5">
        <w:t>years</w:t>
      </w:r>
      <w:proofErr w:type="gramEnd"/>
      <w:r w:rsidRPr="00E63DC5">
        <w:t xml:space="preserve"> exposure there have been 1505 adverse drug reactions reported in 723 patients. The profile of events was in line with the safety database and no new signals were evident.</w:t>
      </w:r>
    </w:p>
    <w:p w:rsidR="00E63DC5" w:rsidRPr="00E63DC5" w:rsidRDefault="00E63DC5" w:rsidP="001B7A36">
      <w:r w:rsidRPr="00E63DC5">
        <w:t xml:space="preserve">There are very limited data in pregnant women and due to the potential for </w:t>
      </w:r>
      <w:r w:rsidR="00057F27">
        <w:t>developmental toxicity from non</w:t>
      </w:r>
      <w:r w:rsidRPr="00E63DC5">
        <w:t>clinical studies lurasidone should not be used in pregnancy or lactation. The safety of lurasidone was similar between males and females and across racial groups of White, Black and Other. There were too few subjects over 65 years to be able to draw conclusions on safety in the elderly population. Subjects with renal, hepatic or cardiac impairment were excluded from the clinical trials. There were also no safety subgroup analyses in such subjects so the potential risks in these groups are not able to be qualified.</w:t>
      </w:r>
    </w:p>
    <w:p w:rsidR="00E63DC5" w:rsidRPr="00E63DC5" w:rsidRDefault="00E63DC5" w:rsidP="001B7A36">
      <w:r w:rsidRPr="00E63DC5">
        <w:t>Due to the CYP3A4 metabolism of lurasidone it is contraindicated with strong inhibitors or inducers of CYP3A4 and a lower dose recommended in the presence of moderate inhibitors.</w:t>
      </w:r>
    </w:p>
    <w:p w:rsidR="00E63DC5" w:rsidRPr="00E63DC5" w:rsidRDefault="00E63DC5" w:rsidP="001B7A36">
      <w:r w:rsidRPr="00E63DC5">
        <w:t xml:space="preserve">There were no cases of withdrawal syndrome in the </w:t>
      </w:r>
      <w:r w:rsidR="00057F27">
        <w:t>P</w:t>
      </w:r>
      <w:r w:rsidRPr="00E63DC5">
        <w:t>hase II/III clinical program although this was not specifically assessed.</w:t>
      </w:r>
    </w:p>
    <w:p w:rsidR="00E63DC5" w:rsidRPr="00E63DC5" w:rsidRDefault="00E63DC5" w:rsidP="001B7A36">
      <w:r w:rsidRPr="00E63DC5">
        <w:t xml:space="preserve">Overall, the safety profile of lurasidone was in line with other atypical antipsychotics and appears comparable to </w:t>
      </w:r>
      <w:proofErr w:type="spellStart"/>
      <w:r w:rsidRPr="00E63DC5">
        <w:t>risperidone</w:t>
      </w:r>
      <w:proofErr w:type="spellEnd"/>
      <w:r w:rsidRPr="00E63DC5">
        <w:t>.</w:t>
      </w:r>
    </w:p>
    <w:p w:rsidR="00605AD4" w:rsidRPr="001B7A36" w:rsidRDefault="00605AD4" w:rsidP="001F73D3">
      <w:pPr>
        <w:pStyle w:val="Heading3"/>
        <w:rPr>
          <w:rFonts w:eastAsia="Cambria"/>
        </w:rPr>
      </w:pPr>
      <w:bookmarkStart w:id="106" w:name="_Toc392682455"/>
      <w:r w:rsidRPr="00605AD4">
        <w:rPr>
          <w:rFonts w:eastAsia="Cambria"/>
        </w:rPr>
        <w:t xml:space="preserve">First </w:t>
      </w:r>
      <w:r w:rsidR="001F73D3">
        <w:rPr>
          <w:rFonts w:eastAsia="Cambria"/>
        </w:rPr>
        <w:t>r</w:t>
      </w:r>
      <w:r w:rsidRPr="00605AD4">
        <w:rPr>
          <w:rFonts w:eastAsia="Cambria"/>
        </w:rPr>
        <w:t xml:space="preserve">ound </w:t>
      </w:r>
      <w:r w:rsidR="001F73D3">
        <w:rPr>
          <w:rFonts w:eastAsia="Cambria"/>
        </w:rPr>
        <w:t>b</w:t>
      </w:r>
      <w:r w:rsidRPr="00605AD4">
        <w:rPr>
          <w:rFonts w:eastAsia="Cambria"/>
        </w:rPr>
        <w:t>enefit-</w:t>
      </w:r>
      <w:r w:rsidR="001F73D3">
        <w:rPr>
          <w:rFonts w:eastAsia="Cambria"/>
        </w:rPr>
        <w:t>r</w:t>
      </w:r>
      <w:r w:rsidRPr="00605AD4">
        <w:rPr>
          <w:rFonts w:eastAsia="Cambria"/>
        </w:rPr>
        <w:t xml:space="preserve">isk </w:t>
      </w:r>
      <w:r w:rsidR="001F73D3" w:rsidRPr="001F73D3">
        <w:rPr>
          <w:rFonts w:eastAsia="Cambria"/>
        </w:rPr>
        <w:t>a</w:t>
      </w:r>
      <w:r w:rsidRPr="001F73D3">
        <w:rPr>
          <w:rFonts w:eastAsia="Cambria"/>
        </w:rPr>
        <w:t>ssessment</w:t>
      </w:r>
      <w:bookmarkEnd w:id="106"/>
    </w:p>
    <w:p w:rsidR="00605AD4" w:rsidRDefault="00605AD4" w:rsidP="001F73D3">
      <w:pPr>
        <w:pStyle w:val="Heading4"/>
      </w:pPr>
      <w:r w:rsidRPr="00605AD4">
        <w:t>First round assessment of benefits</w:t>
      </w:r>
    </w:p>
    <w:p w:rsidR="00E83DC5" w:rsidRPr="00E83DC5" w:rsidRDefault="00E83DC5" w:rsidP="001F73D3">
      <w:r w:rsidRPr="00E83DC5">
        <w:t>The benefits of lurasidone in the proposed usage are:</w:t>
      </w:r>
    </w:p>
    <w:p w:rsidR="00E83DC5" w:rsidRPr="00E83DC5" w:rsidRDefault="00E83DC5" w:rsidP="001F73D3">
      <w:pPr>
        <w:pStyle w:val="ListBullet"/>
      </w:pPr>
      <w:r w:rsidRPr="00E83DC5">
        <w:t xml:space="preserve">The efficacy in </w:t>
      </w:r>
      <w:r w:rsidRPr="001F73D3">
        <w:t>treatment</w:t>
      </w:r>
      <w:r w:rsidRPr="00E83DC5">
        <w:t xml:space="preserve"> of acute schizophrenia which was superior to placebo and demonstrated in 5 short term (6 week) controlled studies. This efficacy was</w:t>
      </w:r>
      <w:r w:rsidR="00431E88">
        <w:t xml:space="preserve"> </w:t>
      </w:r>
      <w:r w:rsidRPr="00E83DC5">
        <w:t>comparable to active controls (</w:t>
      </w:r>
      <w:proofErr w:type="spellStart"/>
      <w:r w:rsidRPr="00E83DC5">
        <w:t>olanzepine</w:t>
      </w:r>
      <w:proofErr w:type="spellEnd"/>
      <w:r w:rsidRPr="00E83DC5">
        <w:t xml:space="preserve"> and </w:t>
      </w:r>
      <w:proofErr w:type="spellStart"/>
      <w:r w:rsidRPr="00E83DC5">
        <w:t>quetiapine</w:t>
      </w:r>
      <w:proofErr w:type="spellEnd"/>
      <w:r w:rsidRPr="00E83DC5">
        <w:t xml:space="preserve"> XR) although this was not formally assessed.</w:t>
      </w:r>
    </w:p>
    <w:p w:rsidR="00E83DC5" w:rsidRPr="00E83DC5" w:rsidRDefault="00E83DC5" w:rsidP="001F73D3">
      <w:pPr>
        <w:pStyle w:val="ListBullet"/>
      </w:pPr>
      <w:r w:rsidRPr="00E83DC5">
        <w:t xml:space="preserve">Efficacy was </w:t>
      </w:r>
      <w:r w:rsidRPr="001F73D3">
        <w:t>demonstrated</w:t>
      </w:r>
      <w:r w:rsidRPr="00E83DC5">
        <w:t xml:space="preserve"> for the doses of 40 mg, 80 mg, 120 mg and 160 mg once daily. The 80 mg dose had the efficacy replicated however efficacy of the 160 mg dose was only demonstrated in one study and the study in which the efficacy was replicated for the 40 mg and 120 mg doses had methodological issues and the third study with these doses was negative.</w:t>
      </w:r>
    </w:p>
    <w:p w:rsidR="00E83DC5" w:rsidRPr="00E83DC5" w:rsidRDefault="00E83DC5" w:rsidP="001F73D3">
      <w:pPr>
        <w:pStyle w:val="ListBullet"/>
      </w:pPr>
      <w:r w:rsidRPr="00E83DC5">
        <w:t>Long term maintenance efficacy was demonstrated in one long term controlled study where lurasidone was found to be non</w:t>
      </w:r>
      <w:r w:rsidR="00F9662A">
        <w:t xml:space="preserve"> </w:t>
      </w:r>
      <w:r w:rsidRPr="00E83DC5">
        <w:t xml:space="preserve">inferior to </w:t>
      </w:r>
      <w:proofErr w:type="spellStart"/>
      <w:r w:rsidRPr="00E83DC5">
        <w:t>quetiapine</w:t>
      </w:r>
      <w:proofErr w:type="spellEnd"/>
      <w:r w:rsidRPr="00E83DC5">
        <w:t xml:space="preserve"> XR in the time to relapse. A second long term controlled study did not, howeve</w:t>
      </w:r>
      <w:r w:rsidR="00FB422F">
        <w:t xml:space="preserve">r, find that lurasidone was non </w:t>
      </w:r>
      <w:r w:rsidRPr="00E83DC5">
        <w:t xml:space="preserve">inferior to </w:t>
      </w:r>
      <w:proofErr w:type="spellStart"/>
      <w:r w:rsidRPr="00E83DC5">
        <w:t>risperidone</w:t>
      </w:r>
      <w:proofErr w:type="spellEnd"/>
      <w:r w:rsidRPr="00E83DC5">
        <w:t xml:space="preserve"> in time to relapse.</w:t>
      </w:r>
    </w:p>
    <w:p w:rsidR="00E83DC5" w:rsidRPr="00E83DC5" w:rsidRDefault="00E83DC5" w:rsidP="001F73D3">
      <w:pPr>
        <w:pStyle w:val="ListBullet"/>
      </w:pPr>
      <w:r w:rsidRPr="00E83DC5">
        <w:t xml:space="preserve">Subjects were able to </w:t>
      </w:r>
      <w:r w:rsidRPr="001F73D3">
        <w:t>switch</w:t>
      </w:r>
      <w:r w:rsidRPr="00E83DC5">
        <w:t xml:space="preserve"> to lurasidone from other anti-psychotics with a low treatment failure rate at 6 weeks.</w:t>
      </w:r>
    </w:p>
    <w:p w:rsidR="00E83DC5" w:rsidRPr="00E83DC5" w:rsidRDefault="00E83DC5" w:rsidP="001F73D3">
      <w:pPr>
        <w:pStyle w:val="ListBullet"/>
      </w:pPr>
      <w:r w:rsidRPr="00E83DC5">
        <w:t xml:space="preserve">There were less </w:t>
      </w:r>
      <w:r w:rsidRPr="001F73D3">
        <w:t>metabolic</w:t>
      </w:r>
      <w:r w:rsidRPr="00E83DC5">
        <w:t xml:space="preserve"> effects of hyperglycaemia, increased weight and increased lipids compared to other atypical antipsychotics.</w:t>
      </w:r>
    </w:p>
    <w:p w:rsidR="00E83DC5" w:rsidRPr="00E83DC5" w:rsidRDefault="00E83DC5" w:rsidP="001F73D3">
      <w:pPr>
        <w:pStyle w:val="ListBullet"/>
      </w:pPr>
      <w:r w:rsidRPr="00E83DC5">
        <w:t>There were no evident effects on haematological parameters.</w:t>
      </w:r>
    </w:p>
    <w:p w:rsidR="00E83DC5" w:rsidRPr="00E83DC5" w:rsidRDefault="00E83DC5" w:rsidP="001F73D3">
      <w:pPr>
        <w:pStyle w:val="ListBullet"/>
      </w:pPr>
      <w:r w:rsidRPr="00E83DC5">
        <w:t xml:space="preserve">A safety profile in line </w:t>
      </w:r>
      <w:r w:rsidRPr="001F73D3">
        <w:t>with</w:t>
      </w:r>
      <w:r w:rsidRPr="00E83DC5">
        <w:t xml:space="preserve"> what is known for atypical antipsychotics.</w:t>
      </w:r>
    </w:p>
    <w:p w:rsidR="00605AD4" w:rsidRDefault="00605AD4" w:rsidP="001F73D3">
      <w:pPr>
        <w:pStyle w:val="Heading4"/>
      </w:pPr>
      <w:r w:rsidRPr="00605AD4">
        <w:t>First round assessment of risks</w:t>
      </w:r>
    </w:p>
    <w:p w:rsidR="00E83DC5" w:rsidRPr="00E83DC5" w:rsidRDefault="00E83DC5" w:rsidP="001F73D3">
      <w:r w:rsidRPr="00E83DC5">
        <w:t>The risks of lurasidone in the proposed usage are:</w:t>
      </w:r>
    </w:p>
    <w:p w:rsidR="00E83DC5" w:rsidRPr="00E83DC5" w:rsidRDefault="00E83DC5" w:rsidP="001F73D3">
      <w:pPr>
        <w:pStyle w:val="ListBullet"/>
      </w:pPr>
      <w:r w:rsidRPr="00E83DC5">
        <w:t>No consistent dose</w:t>
      </w:r>
      <w:r w:rsidR="00FB422F">
        <w:t xml:space="preserve"> </w:t>
      </w:r>
      <w:r w:rsidRPr="001F73D3">
        <w:t>response</w:t>
      </w:r>
      <w:r w:rsidRPr="00E83DC5">
        <w:t xml:space="preserve"> across doses of 40 to 120 mg per day.</w:t>
      </w:r>
    </w:p>
    <w:p w:rsidR="00E83DC5" w:rsidRPr="00E83DC5" w:rsidRDefault="00E83DC5" w:rsidP="001F73D3">
      <w:pPr>
        <w:pStyle w:val="ListBullet"/>
      </w:pPr>
      <w:r w:rsidRPr="00E83DC5">
        <w:lastRenderedPageBreak/>
        <w:t xml:space="preserve">Extrapyramidal </w:t>
      </w:r>
      <w:r w:rsidRPr="001F73D3">
        <w:t>symptoms</w:t>
      </w:r>
      <w:r w:rsidRPr="00E83DC5">
        <w:t xml:space="preserve">, </w:t>
      </w:r>
      <w:proofErr w:type="spellStart"/>
      <w:r w:rsidRPr="00E83DC5">
        <w:t>akathisia</w:t>
      </w:r>
      <w:proofErr w:type="spellEnd"/>
      <w:r w:rsidRPr="00E83DC5">
        <w:t xml:space="preserve">, </w:t>
      </w:r>
      <w:proofErr w:type="gramStart"/>
      <w:r w:rsidRPr="00E83DC5">
        <w:t>parkinsonism</w:t>
      </w:r>
      <w:proofErr w:type="gramEnd"/>
      <w:r w:rsidRPr="00E83DC5">
        <w:t>, and dystonia, were present with a lower frequency than haloperidol but higher than some othe</w:t>
      </w:r>
      <w:r w:rsidR="00FB422F">
        <w:t xml:space="preserve">r atypical antipsychotics (for example, </w:t>
      </w:r>
      <w:proofErr w:type="spellStart"/>
      <w:r w:rsidRPr="00E83DC5">
        <w:t>quetiapine</w:t>
      </w:r>
      <w:proofErr w:type="spellEnd"/>
      <w:r w:rsidRPr="00E83DC5">
        <w:t xml:space="preserve"> XR).</w:t>
      </w:r>
    </w:p>
    <w:p w:rsidR="00E83DC5" w:rsidRPr="00E83DC5" w:rsidRDefault="00E83DC5" w:rsidP="001F73D3">
      <w:pPr>
        <w:pStyle w:val="ListBullet"/>
      </w:pPr>
      <w:r w:rsidRPr="00E83DC5">
        <w:t xml:space="preserve">Neuroleptic malignant </w:t>
      </w:r>
      <w:r w:rsidRPr="001F73D3">
        <w:t>syndrome</w:t>
      </w:r>
      <w:r w:rsidR="001F73D3">
        <w:t>.</w:t>
      </w:r>
    </w:p>
    <w:p w:rsidR="00E83DC5" w:rsidRPr="00E83DC5" w:rsidRDefault="001F73D3" w:rsidP="001F73D3">
      <w:pPr>
        <w:pStyle w:val="ListBullet"/>
      </w:pPr>
      <w:r>
        <w:t>Tardive dyskinesia.</w:t>
      </w:r>
    </w:p>
    <w:p w:rsidR="00E83DC5" w:rsidRPr="00E83DC5" w:rsidRDefault="00E83DC5" w:rsidP="001F73D3">
      <w:pPr>
        <w:pStyle w:val="ListBullet"/>
      </w:pPr>
      <w:proofErr w:type="spellStart"/>
      <w:r w:rsidRPr="00E83DC5">
        <w:t>Angiooedema</w:t>
      </w:r>
      <w:proofErr w:type="spellEnd"/>
      <w:r w:rsidRPr="00E83DC5">
        <w:t xml:space="preserve"> and </w:t>
      </w:r>
      <w:r w:rsidRPr="001F73D3">
        <w:t>hypersensitivity</w:t>
      </w:r>
      <w:r w:rsidRPr="00E83DC5">
        <w:t xml:space="preserve"> reactions.</w:t>
      </w:r>
    </w:p>
    <w:p w:rsidR="00E83DC5" w:rsidRPr="00E83DC5" w:rsidRDefault="00E83DC5" w:rsidP="001F73D3">
      <w:pPr>
        <w:pStyle w:val="ListBullet"/>
      </w:pPr>
      <w:proofErr w:type="spellStart"/>
      <w:r w:rsidRPr="001F73D3">
        <w:t>Hyperprolactinaemia</w:t>
      </w:r>
      <w:proofErr w:type="spellEnd"/>
      <w:r w:rsidRPr="00E83DC5">
        <w:t xml:space="preserve">. There was however no evident risks of resultant effects such as </w:t>
      </w:r>
      <w:proofErr w:type="spellStart"/>
      <w:r w:rsidRPr="00E83DC5">
        <w:t>galactorrhoea</w:t>
      </w:r>
      <w:proofErr w:type="spellEnd"/>
      <w:r w:rsidRPr="00E83DC5">
        <w:t xml:space="preserve">, amenorrhoea, erectile dysfunction, </w:t>
      </w:r>
      <w:proofErr w:type="spellStart"/>
      <w:r w:rsidRPr="00E83DC5">
        <w:t>gynaecomastia</w:t>
      </w:r>
      <w:proofErr w:type="spellEnd"/>
      <w:r w:rsidRPr="00E83DC5">
        <w:t xml:space="preserve"> reported, or effects on bone metabolism with fractures, osteoporosis or </w:t>
      </w:r>
      <w:proofErr w:type="spellStart"/>
      <w:r w:rsidRPr="00E83DC5">
        <w:t>osteopaenia</w:t>
      </w:r>
      <w:proofErr w:type="spellEnd"/>
      <w:r w:rsidRPr="00E83DC5">
        <w:t>.</w:t>
      </w:r>
    </w:p>
    <w:p w:rsidR="00E83DC5" w:rsidRPr="00E83DC5" w:rsidRDefault="00E83DC5" w:rsidP="001F73D3">
      <w:pPr>
        <w:pStyle w:val="ListBullet"/>
      </w:pPr>
      <w:r w:rsidRPr="00E83DC5">
        <w:t xml:space="preserve">A modest increase </w:t>
      </w:r>
      <w:r w:rsidRPr="001F73D3">
        <w:t>in</w:t>
      </w:r>
      <w:r w:rsidRPr="00E83DC5">
        <w:t xml:space="preserve"> creatinine was noted particularly with the highest lurasidone doses although there was no evident risk of renal insufficiency or renal impairment. Patients with renal impairment were excluded from the clinical trials and are at risk of increased exposure. The safety risks in this population have not been elucidated.</w:t>
      </w:r>
    </w:p>
    <w:p w:rsidR="00E83DC5" w:rsidRPr="00E83DC5" w:rsidRDefault="00E83DC5" w:rsidP="001F73D3">
      <w:pPr>
        <w:pStyle w:val="ListBullet"/>
      </w:pPr>
      <w:r w:rsidRPr="00E83DC5">
        <w:t xml:space="preserve">Somnolence and the resultant risks with impairment of judgement and motor skills and in using </w:t>
      </w:r>
      <w:r w:rsidRPr="001F73D3">
        <w:t>machinery</w:t>
      </w:r>
      <w:r w:rsidRPr="00E83DC5">
        <w:t>.</w:t>
      </w:r>
    </w:p>
    <w:p w:rsidR="00E83DC5" w:rsidRPr="00E83DC5" w:rsidRDefault="00E83DC5" w:rsidP="001F73D3">
      <w:pPr>
        <w:pStyle w:val="ListBullet"/>
      </w:pPr>
      <w:r w:rsidRPr="00E83DC5">
        <w:t xml:space="preserve">Interaction with </w:t>
      </w:r>
      <w:r w:rsidRPr="001F73D3">
        <w:t>strong</w:t>
      </w:r>
      <w:r w:rsidRPr="00E83DC5">
        <w:t xml:space="preserve"> CYP3A4 inhibitors and inducers.</w:t>
      </w:r>
    </w:p>
    <w:p w:rsidR="00E83DC5" w:rsidRPr="00E83DC5" w:rsidRDefault="00E83DC5" w:rsidP="001F73D3">
      <w:pPr>
        <w:pStyle w:val="ListBullet"/>
      </w:pPr>
      <w:r w:rsidRPr="00E83DC5">
        <w:t xml:space="preserve">Low levels of QT </w:t>
      </w:r>
      <w:r w:rsidRPr="001F73D3">
        <w:t>prolongation</w:t>
      </w:r>
      <w:r w:rsidRPr="00E83DC5">
        <w:t xml:space="preserve"> was found in the thorough QT trial with higher doses of 120 mg and 600 mg, although this prolongation was not supported by exposure response modelling nor clinical signals in the </w:t>
      </w:r>
      <w:r w:rsidR="00BC3C13">
        <w:t>P</w:t>
      </w:r>
      <w:r w:rsidRPr="00E83DC5">
        <w:t>hase II and III program.</w:t>
      </w:r>
    </w:p>
    <w:p w:rsidR="00E83DC5" w:rsidRPr="00E83DC5" w:rsidRDefault="00E83DC5" w:rsidP="001F73D3">
      <w:pPr>
        <w:pStyle w:val="ListBullet"/>
      </w:pPr>
      <w:r w:rsidRPr="00E83DC5">
        <w:t xml:space="preserve">Orthostatic hypotension and, as patients with cardiac impairment were excluded from trials, the risks in </w:t>
      </w:r>
      <w:r w:rsidRPr="001F73D3">
        <w:t>this</w:t>
      </w:r>
      <w:r w:rsidRPr="00E83DC5">
        <w:t xml:space="preserve"> population are not established.</w:t>
      </w:r>
    </w:p>
    <w:p w:rsidR="00E83DC5" w:rsidRPr="00E83DC5" w:rsidRDefault="00E83DC5" w:rsidP="001F73D3">
      <w:pPr>
        <w:pStyle w:val="ListBullet"/>
      </w:pPr>
      <w:r w:rsidRPr="00E83DC5">
        <w:t xml:space="preserve">Patients with </w:t>
      </w:r>
      <w:r w:rsidRPr="001F73D3">
        <w:t>hepatic</w:t>
      </w:r>
      <w:r w:rsidRPr="00E83DC5">
        <w:t xml:space="preserve"> impairment are at risk of increased exposure and as they were excluded from the trials the risk has not been </w:t>
      </w:r>
      <w:r w:rsidR="001F73D3">
        <w:t>established in this population.</w:t>
      </w:r>
    </w:p>
    <w:p w:rsidR="00E83DC5" w:rsidRPr="00E83DC5" w:rsidRDefault="00E83DC5" w:rsidP="001F73D3">
      <w:pPr>
        <w:pStyle w:val="ListBullet"/>
      </w:pPr>
      <w:r w:rsidRPr="00E83DC5">
        <w:t xml:space="preserve">Possible effects on the eye, although there were no signals in the subjects </w:t>
      </w:r>
      <w:r w:rsidRPr="001F73D3">
        <w:t>where</w:t>
      </w:r>
      <w:r w:rsidRPr="00E83DC5">
        <w:t xml:space="preserve"> ophthalmological assessments were undertaken.</w:t>
      </w:r>
    </w:p>
    <w:p w:rsidR="00E83DC5" w:rsidRPr="00E83DC5" w:rsidRDefault="00E83DC5" w:rsidP="001F73D3">
      <w:pPr>
        <w:pStyle w:val="ListBullet"/>
      </w:pPr>
      <w:r w:rsidRPr="00E83DC5">
        <w:t>Possibility of withdrawal effects. This was not seen in development program although it was not specifically assessed.</w:t>
      </w:r>
    </w:p>
    <w:p w:rsidR="00E83DC5" w:rsidRPr="00E83DC5" w:rsidRDefault="00E83DC5" w:rsidP="001F73D3">
      <w:pPr>
        <w:pStyle w:val="ListBullet"/>
      </w:pPr>
      <w:r w:rsidRPr="00E83DC5">
        <w:t xml:space="preserve">Missing data on the elderly (≥ 65 years), pregnant or lactating women, and </w:t>
      </w:r>
      <w:r w:rsidRPr="001F73D3">
        <w:t>children</w:t>
      </w:r>
      <w:r w:rsidRPr="00E83DC5">
        <w:t xml:space="preserve"> or adolescents.</w:t>
      </w:r>
    </w:p>
    <w:p w:rsidR="00E83DC5" w:rsidRPr="00E83DC5" w:rsidRDefault="00E83DC5" w:rsidP="001F73D3">
      <w:pPr>
        <w:pStyle w:val="ListBullet"/>
      </w:pPr>
      <w:r w:rsidRPr="00E83DC5">
        <w:t>Dementia-related psychosis is a reported risk with atypical anti</w:t>
      </w:r>
      <w:r w:rsidR="0028775C">
        <w:t xml:space="preserve"> </w:t>
      </w:r>
      <w:r w:rsidRPr="00E83DC5">
        <w:t>psychotics. Elderly with dementia were excluded from the trials.</w:t>
      </w:r>
    </w:p>
    <w:p w:rsidR="00E83DC5" w:rsidRPr="00E83DC5" w:rsidRDefault="00E83DC5" w:rsidP="001F73D3">
      <w:pPr>
        <w:pStyle w:val="ListBullet"/>
      </w:pPr>
      <w:r w:rsidRPr="00E83DC5">
        <w:t>Suicide attempt in patients with schizophrenia and the risk of overdose with the medication.</w:t>
      </w:r>
    </w:p>
    <w:p w:rsidR="00605AD4" w:rsidRPr="001F73D3" w:rsidRDefault="00605AD4" w:rsidP="001F73D3">
      <w:pPr>
        <w:pStyle w:val="Heading4"/>
      </w:pPr>
      <w:r w:rsidRPr="00605AD4">
        <w:t>First round assessment of benefit-risk balance</w:t>
      </w:r>
    </w:p>
    <w:p w:rsidR="003E1C89" w:rsidRPr="003E1C89" w:rsidRDefault="003E1C89" w:rsidP="001F73D3">
      <w:r w:rsidRPr="003E1C89">
        <w:t xml:space="preserve">Over the development program of lurasidone, </w:t>
      </w:r>
      <w:r w:rsidR="0028775C">
        <w:t>s</w:t>
      </w:r>
      <w:r w:rsidRPr="003E1C89">
        <w:t xml:space="preserve">ponsorship has altered and there have been a number of formulations changes. The clinical efficacy and safety studies were conducted with Group B formulation and bioequivalence was demonstrated to the commercial formulation (Group C) for the 40 mg and 120 mg tablets. Based on similar dissolution profiles and linear </w:t>
      </w:r>
      <w:r w:rsidR="0064096A">
        <w:t>PK</w:t>
      </w:r>
      <w:r w:rsidRPr="003E1C89">
        <w:t>, bioequivalence is assumed for the other dose strengths of 20 mg and 80 mg.</w:t>
      </w:r>
    </w:p>
    <w:p w:rsidR="003E1C89" w:rsidRPr="003E1C89" w:rsidRDefault="003E1C89" w:rsidP="001F73D3">
      <w:r w:rsidRPr="003E1C89">
        <w:lastRenderedPageBreak/>
        <w:t>The clinical trials in the lurasidone development program were designed in line wit</w:t>
      </w:r>
      <w:r w:rsidR="00605113">
        <w:t>h current guidelines</w:t>
      </w:r>
      <w:r w:rsidR="00605113">
        <w:rPr>
          <w:rStyle w:val="FootnoteReference"/>
        </w:rPr>
        <w:footnoteReference w:id="31"/>
      </w:r>
      <w:r w:rsidR="00605113">
        <w:t xml:space="preserve"> </w:t>
      </w:r>
      <w:r w:rsidRPr="003E1C89">
        <w:t>and relevant methodological points were: use of validated appropriate rating scales which cover a broad range of symptoms</w:t>
      </w:r>
      <w:r w:rsidR="00605113">
        <w:t xml:space="preserve"> </w:t>
      </w:r>
      <w:r w:rsidRPr="003E1C89">
        <w:t xml:space="preserve">(BPRS in 2 studies and PANSS total score in 3 studies); use of CGI-S as a key secondary endpoint; use of fixed dose, parallel group design, placebo control and assay sensitivity with active controls; and </w:t>
      </w:r>
      <w:proofErr w:type="gramStart"/>
      <w:r w:rsidRPr="003E1C89">
        <w:t>an</w:t>
      </w:r>
      <w:proofErr w:type="gramEnd"/>
      <w:r w:rsidRPr="003E1C89">
        <w:t xml:space="preserve"> appropriate study duration of 6 weeks for a short term trial. The </w:t>
      </w:r>
      <w:r w:rsidR="008E045C">
        <w:t>s</w:t>
      </w:r>
      <w:r w:rsidRPr="003E1C89">
        <w:t xml:space="preserve">ponsor did however frequently use response rates defined as a ≥20% improvement in PANSS total score. This level is not felt to be a sufficient response to be clinically meaningful and </w:t>
      </w:r>
      <w:r w:rsidR="008E045C">
        <w:t>≥30% is preferred</w:t>
      </w:r>
      <w:r w:rsidRPr="003E1C89">
        <w:t>.</w:t>
      </w:r>
      <w:r w:rsidR="008E045C">
        <w:rPr>
          <w:rStyle w:val="FootnoteReference"/>
        </w:rPr>
        <w:footnoteReference w:id="32"/>
      </w:r>
    </w:p>
    <w:p w:rsidR="003E1C89" w:rsidRPr="003E1C89" w:rsidRDefault="003E1C89" w:rsidP="001F73D3">
      <w:r w:rsidRPr="003E1C89">
        <w:t xml:space="preserve">The efficacy of lurasidone in treatment of acute psychosis was on the whole demonstrated in the short term trials with separation from placebo on the PANSS total score and CGI-S. In addition, responder rates on PANSS total score were reported from 48% to 67% using the ≥20% improvement definition and, where available, from 47% to 63% using ≥30% improvement. Treatment effect was noted to be variable. There were two trials (one of 40 and 80 mg lurasidone with </w:t>
      </w:r>
      <w:proofErr w:type="spellStart"/>
      <w:r w:rsidRPr="003E1C89">
        <w:t>risperidone</w:t>
      </w:r>
      <w:proofErr w:type="spellEnd"/>
      <w:r w:rsidRPr="003E1C89">
        <w:t xml:space="preserve"> as the active control and the other of 20, 40 and 80 mg lurasidone with haloperidol as the active control) which failed to show any product separating significantly from placebo. One of these trials had a high discontinuation rate and some imbalances between groups. Apart from this, the reasons for these failures were not evident and a question has been raised. Efficacy was most consistently demonstrated with the 80 mg dose as positive data were seen in three trials. Efficacy of 160 mg was only demonstrated in one trial and efficacy of the 40 mg and 120 mg doses was demonstrated in one trial, replicated in a second trial with methodological issues and failed to separate from placebo in a third trial.</w:t>
      </w:r>
    </w:p>
    <w:p w:rsidR="003E1C89" w:rsidRPr="003E1C89" w:rsidRDefault="003E1C89" w:rsidP="001F73D3">
      <w:r w:rsidRPr="003E1C89">
        <w:t>Efficacy was demonstrated in one long term controlled trial where treatment with lurasidone was found to be non</w:t>
      </w:r>
      <w:r w:rsidR="00805802">
        <w:t xml:space="preserve"> </w:t>
      </w:r>
      <w:r w:rsidRPr="003E1C89">
        <w:t xml:space="preserve">inferior to </w:t>
      </w:r>
      <w:proofErr w:type="spellStart"/>
      <w:r w:rsidRPr="003E1C89">
        <w:t>quetiapine</w:t>
      </w:r>
      <w:proofErr w:type="spellEnd"/>
      <w:r w:rsidRPr="003E1C89">
        <w:t xml:space="preserve"> XR in time to relapse. By contrast, in the second long term controlled trials non</w:t>
      </w:r>
      <w:r w:rsidR="00805802">
        <w:t xml:space="preserve"> </w:t>
      </w:r>
      <w:r w:rsidRPr="003E1C89">
        <w:t xml:space="preserve">inferiority on time to relapse was not found when compared to </w:t>
      </w:r>
      <w:proofErr w:type="spellStart"/>
      <w:r w:rsidRPr="003E1C89">
        <w:t>risperidone</w:t>
      </w:r>
      <w:proofErr w:type="spellEnd"/>
      <w:r w:rsidRPr="003E1C89">
        <w:t xml:space="preserve">. This finding in the latter trial may have, in part, been a result of lower than predicted relapse rates. For maintenance therapy, subjects were required to have either successfully completed the 6 week short term study or have been clinically stable prior to entry. This needs to be reflected in the Clinical Trial section of the draft </w:t>
      </w:r>
      <w:r>
        <w:t>PI</w:t>
      </w:r>
      <w:r w:rsidRPr="003E1C89">
        <w:t>.</w:t>
      </w:r>
    </w:p>
    <w:p w:rsidR="003E1C89" w:rsidRPr="003E1C89" w:rsidRDefault="003E1C89" w:rsidP="003E1C89">
      <w:r w:rsidRPr="003E1C89">
        <w:t xml:space="preserve">As noted by the </w:t>
      </w:r>
      <w:r w:rsidR="00805802">
        <w:t>s</w:t>
      </w:r>
      <w:r w:rsidRPr="003E1C89">
        <w:t>ponsor, current data on the demographics of the Australian schizophrenic population are not available. A recent large survey of people living with psychotic illness, of which 47.0% had schizophrenia and 17.5% schizoaffective disorder, found that the highest prevalence was in males aged 25-34 years and then in those aged 35-44 and 45-</w:t>
      </w:r>
      <w:r w:rsidR="0068194D">
        <w:t>54 years</w:t>
      </w:r>
      <w:r w:rsidRPr="003E1C89">
        <w:t>.</w:t>
      </w:r>
      <w:r w:rsidR="0068194D">
        <w:rPr>
          <w:rStyle w:val="FootnoteReference"/>
        </w:rPr>
        <w:footnoteReference w:id="33"/>
      </w:r>
      <w:r w:rsidRPr="003E1C89">
        <w:t xml:space="preserve"> Two thirds of the population surveyed had illness onset before the age of 25 and 61.5% had experienced multiple episodes. The most common symptoms were delusions and hallucinations. One quarter (24.0%) of people with psychosis </w:t>
      </w:r>
      <w:proofErr w:type="gramStart"/>
      <w:r w:rsidRPr="003E1C89">
        <w:t>were</w:t>
      </w:r>
      <w:proofErr w:type="gramEnd"/>
      <w:r w:rsidRPr="003E1C89">
        <w:t xml:space="preserve"> at high risk of cardiovascular disease, 30.1% had asthma and 20.5% diabetes. Almost half (45.1%) of the people with psychotic illness were obese. Smoking, alcohol and drug abuse were frequent. There are similarities between this profile and the population studied in the lurasidone program in terms of age, gender and disease characteristics. Nonetheless, the notable risk of cardiovascular disease in the Australian population with psychotic illness has not been covered in the development program due to the exclusion of subjects with clinically significant cardiovascular disease and, in some trials, of unstable diabetics.</w:t>
      </w:r>
    </w:p>
    <w:p w:rsidR="003E1C89" w:rsidRPr="003E1C89" w:rsidRDefault="003E1C89" w:rsidP="001F73D3">
      <w:r w:rsidRPr="003E1C89">
        <w:lastRenderedPageBreak/>
        <w:t xml:space="preserve">In terms of cardiovascular safety, there was a low level of QT prolongation in the thorough QT trial with 120 and 600 mg doses although this prolongation was not supported by exposure response modelling nor any clinical signals in the </w:t>
      </w:r>
      <w:r w:rsidR="004904EB">
        <w:t>P</w:t>
      </w:r>
      <w:r w:rsidRPr="003E1C89">
        <w:t xml:space="preserve">hase II and III program. It is still recommended that an appropriate precaution is included in the PI. This should state that lurasidone should not be used with other drugs which may prolong the QT interval, in patients with cardiac arrhythmias, or in patients who may be at risk of torsades de pointes or sudden death when given </w:t>
      </w:r>
      <w:proofErr w:type="spellStart"/>
      <w:r w:rsidRPr="003E1C89">
        <w:t>QTc</w:t>
      </w:r>
      <w:proofErr w:type="spellEnd"/>
      <w:r w:rsidRPr="003E1C89">
        <w:t xml:space="preserve"> </w:t>
      </w:r>
      <w:r w:rsidR="004904EB">
        <w:t xml:space="preserve">interval prolonging drugs (for example, </w:t>
      </w:r>
      <w:r w:rsidRPr="003E1C89">
        <w:t>congenital prolongation of the QT interval).</w:t>
      </w:r>
    </w:p>
    <w:p w:rsidR="003E1C89" w:rsidRPr="003E1C89" w:rsidRDefault="003E1C89" w:rsidP="003E1C89">
      <w:r w:rsidRPr="003E1C89">
        <w:t>Given the population with psychotic illness are reported to have a high cardiovascular risk, it was encouraging that there were less metabolic effects than some other atypical antipsychotics as well as less weight gain. There was a risk of orthostatic hypotension and this risk has been included in the precautions together with a statement that lurasidone should be used with caution in patients with cardiovascular disease. The evaluator recommends however that the precaution in this latter group should be more prominent and given a distinct entry.</w:t>
      </w:r>
    </w:p>
    <w:p w:rsidR="003E1C89" w:rsidRPr="003E1C89" w:rsidRDefault="003E1C89" w:rsidP="001F73D3">
      <w:r w:rsidRPr="003E1C89">
        <w:t xml:space="preserve">The proposed indication is “treatment of schizophrenia”. The evaluator agrees that there are sufficient efficacy data to cover both acute and maintenance therapy so the broad indication is acceptable. As the development program was limited to an adult population this should be </w:t>
      </w:r>
      <w:r w:rsidR="004904EB">
        <w:t>included in the indication, that is,</w:t>
      </w:r>
      <w:r w:rsidRPr="003E1C89">
        <w:t xml:space="preserve"> treatment of adults with schizophrenia.</w:t>
      </w:r>
    </w:p>
    <w:p w:rsidR="003E1C89" w:rsidRPr="003E1C89" w:rsidRDefault="003E1C89" w:rsidP="003E1C89">
      <w:r w:rsidRPr="003E1C89">
        <w:t xml:space="preserve">Across doses of 40 to 120 mg per day, no consistent dose response on efficacy parameters was demonstrated. In pooled analyses, only the 160 mg dose was found to be significant better than the lower doses, and in head-to-head comparison in individual trials there was no differentiation between doses. Given the clinical imperative to use the lowest possible effective dose with acceptable tolerability, it is not clear to the evaluator when the 120 mg dose would be used over a lower dose and in what situations a treating psychiatrist would titrate. The recommended starting dose is 40 mg and it is expected that the majority of patients will be treated with the 40 and 80 mg doses. Nonetheless, the </w:t>
      </w:r>
      <w:r w:rsidR="00874560">
        <w:t>s</w:t>
      </w:r>
      <w:r w:rsidRPr="003E1C89">
        <w:t>ponsor needs to provide further justification of the benefit of the higher over lower doses and detail the situations in which up titration should be undertaken. This also needs to be covered in the PI.</w:t>
      </w:r>
    </w:p>
    <w:p w:rsidR="003E1C89" w:rsidRPr="003E1C89" w:rsidRDefault="003E1C89" w:rsidP="001F73D3">
      <w:r w:rsidRPr="003E1C89">
        <w:t xml:space="preserve">The </w:t>
      </w:r>
      <w:r w:rsidR="00061F11">
        <w:t>s</w:t>
      </w:r>
      <w:r w:rsidRPr="003E1C89">
        <w:t>ponsor is not proposing to register the 120 mg tablet. Due to a potential benefit of increased compliance with one tablet over two or three, should the 120 mg dose be approved, the evaluator would recommend that this strength tablet be available.</w:t>
      </w:r>
    </w:p>
    <w:p w:rsidR="003E1C89" w:rsidRPr="003E1C89" w:rsidRDefault="003E1C89" w:rsidP="001F73D3">
      <w:r w:rsidRPr="003E1C89">
        <w:t xml:space="preserve">The safety database of lurasidone was sufficient as the </w:t>
      </w:r>
      <w:r w:rsidR="00874560">
        <w:t>P</w:t>
      </w:r>
      <w:r w:rsidRPr="003E1C89">
        <w:t>hase II and III studies included 3202 subjects treated with lurasidone, with 1212 patient</w:t>
      </w:r>
      <w:r w:rsidR="00874560">
        <w:t xml:space="preserve"> </w:t>
      </w:r>
      <w:proofErr w:type="gramStart"/>
      <w:r w:rsidRPr="003E1C89">
        <w:t>years</w:t>
      </w:r>
      <w:proofErr w:type="gramEnd"/>
      <w:r w:rsidRPr="003E1C89">
        <w:t xml:space="preserve"> exposure and 471 subjects had ≥364 days of exposure. Overall, the safety profile was as would be expected from an atypical antipsychotic. The adverse effect rates were notably higher than placebo, though in line with the other agents depending on which parameter</w:t>
      </w:r>
      <w:r w:rsidR="00D12A26">
        <w:t>s</w:t>
      </w:r>
      <w:r w:rsidRPr="003E1C89">
        <w:t xml:space="preserve"> w</w:t>
      </w:r>
      <w:r w:rsidR="00D12A26">
        <w:t>ere</w:t>
      </w:r>
      <w:r w:rsidRPr="003E1C89">
        <w:t xml:space="preserve"> being compared. Post-marketing data from an estimated 32,000 patient </w:t>
      </w:r>
      <w:proofErr w:type="gramStart"/>
      <w:r w:rsidRPr="003E1C89">
        <w:t>years</w:t>
      </w:r>
      <w:proofErr w:type="gramEnd"/>
      <w:r w:rsidRPr="003E1C89">
        <w:t xml:space="preserve"> exposure, did not reveal any new safety signals. Of the 13 (0.4%) </w:t>
      </w:r>
      <w:proofErr w:type="gramStart"/>
      <w:r w:rsidRPr="003E1C89">
        <w:t>treatment</w:t>
      </w:r>
      <w:proofErr w:type="gramEnd"/>
      <w:r w:rsidRPr="003E1C89">
        <w:t xml:space="preserve"> emergent deaths in lurasidone</w:t>
      </w:r>
      <w:r w:rsidR="00783764">
        <w:t xml:space="preserve"> </w:t>
      </w:r>
      <w:r w:rsidRPr="003E1C89">
        <w:t>treated subjects, 5 were adjudicated as cardiovascular and the three classed as “sudden death” had probable alternative causes. Overall there was no particular pattern evident for the deaths.</w:t>
      </w:r>
    </w:p>
    <w:p w:rsidR="003E1C89" w:rsidRPr="003E1C89" w:rsidRDefault="003E1C89" w:rsidP="001F73D3">
      <w:r w:rsidRPr="003E1C89">
        <w:t xml:space="preserve">Discontinuation rates in schizophrenia trials are known to be relative high, however the discontinuation rate due to adverse events was acceptable (9.5% in the short term studies) and comparable to other atypical antipsychotics assessed. The main reasons were schizophrenia and </w:t>
      </w:r>
      <w:proofErr w:type="spellStart"/>
      <w:r w:rsidRPr="003E1C89">
        <w:t>akathisia</w:t>
      </w:r>
      <w:proofErr w:type="spellEnd"/>
      <w:r w:rsidRPr="003E1C89">
        <w:t xml:space="preserve">, dystonia and agitation. Extrapyramidal symptoms (such as </w:t>
      </w:r>
      <w:proofErr w:type="spellStart"/>
      <w:r w:rsidRPr="003E1C89">
        <w:t>akathisia</w:t>
      </w:r>
      <w:proofErr w:type="spellEnd"/>
      <w:r w:rsidRPr="003E1C89">
        <w:t xml:space="preserve">, </w:t>
      </w:r>
      <w:proofErr w:type="gramStart"/>
      <w:r w:rsidRPr="003E1C89">
        <w:t>parkinsonism</w:t>
      </w:r>
      <w:proofErr w:type="gramEnd"/>
      <w:r w:rsidRPr="003E1C89">
        <w:t xml:space="preserve"> and dystonia) were found to be dose</w:t>
      </w:r>
      <w:r w:rsidR="00783764">
        <w:t xml:space="preserve"> </w:t>
      </w:r>
      <w:r w:rsidRPr="003E1C89">
        <w:t>related (highest rate with 120 mg) and occurred at a lower frequency than haloperidol but higher than some othe</w:t>
      </w:r>
      <w:r w:rsidR="00783764">
        <w:t xml:space="preserve">r atypical antipsychotics (for example, </w:t>
      </w:r>
      <w:proofErr w:type="spellStart"/>
      <w:r w:rsidRPr="003E1C89">
        <w:t>quetiapine</w:t>
      </w:r>
      <w:proofErr w:type="spellEnd"/>
      <w:r w:rsidRPr="003E1C89">
        <w:t xml:space="preserve"> XR). It is important that the dose</w:t>
      </w:r>
      <w:r w:rsidR="00783764">
        <w:t xml:space="preserve"> </w:t>
      </w:r>
      <w:r w:rsidRPr="003E1C89">
        <w:t xml:space="preserve">related effects on EPS and use the lowest possible dose are adequately covered in the PI. Risks of </w:t>
      </w:r>
      <w:r w:rsidRPr="003E1C89">
        <w:lastRenderedPageBreak/>
        <w:t>neuroleptic malignant syndrome and tardive dyskinesia were also present and have been detailed in the PI.</w:t>
      </w:r>
    </w:p>
    <w:p w:rsidR="003E1C89" w:rsidRPr="003E1C89" w:rsidRDefault="003E1C89" w:rsidP="001F73D3">
      <w:r w:rsidRPr="003E1C89">
        <w:t xml:space="preserve">The risk of </w:t>
      </w:r>
      <w:proofErr w:type="spellStart"/>
      <w:r w:rsidRPr="003E1C89">
        <w:t>hyperprolactinaemia</w:t>
      </w:r>
      <w:proofErr w:type="spellEnd"/>
      <w:r w:rsidRPr="003E1C89">
        <w:t xml:space="preserve"> is known with this class of drug and, while seen with lurasidone, resultant adverse effects such as amenorrhoea and </w:t>
      </w:r>
      <w:proofErr w:type="spellStart"/>
      <w:r w:rsidRPr="003E1C89">
        <w:t>gynaecomastia</w:t>
      </w:r>
      <w:proofErr w:type="spellEnd"/>
      <w:r w:rsidRPr="003E1C89">
        <w:t xml:space="preserve">, or effects on bone metabolism were not evident. The level of </w:t>
      </w:r>
      <w:proofErr w:type="spellStart"/>
      <w:r w:rsidRPr="003E1C89">
        <w:t>hyperprolactinaemia</w:t>
      </w:r>
      <w:proofErr w:type="spellEnd"/>
      <w:r w:rsidRPr="003E1C89">
        <w:t xml:space="preserve"> was less than wit</w:t>
      </w:r>
      <w:r w:rsidR="001F73D3">
        <w:t xml:space="preserve">h </w:t>
      </w:r>
      <w:proofErr w:type="spellStart"/>
      <w:r w:rsidR="001F73D3">
        <w:t>haloperiodol</w:t>
      </w:r>
      <w:proofErr w:type="spellEnd"/>
      <w:r w:rsidR="001F73D3">
        <w:t xml:space="preserve"> and </w:t>
      </w:r>
      <w:proofErr w:type="spellStart"/>
      <w:r w:rsidR="001F73D3">
        <w:t>risperidone</w:t>
      </w:r>
      <w:proofErr w:type="spellEnd"/>
      <w:r w:rsidR="001F73D3">
        <w:t>.</w:t>
      </w:r>
    </w:p>
    <w:p w:rsidR="003E1C89" w:rsidRPr="003E1C89" w:rsidRDefault="003E1C89" w:rsidP="003E1C89">
      <w:r w:rsidRPr="003E1C89">
        <w:t xml:space="preserve">A modest increase in creatinine particularly with the higher doses was noted in the clinical trials. This did not appear to result in an increased risk of renal impairment or renal failure. Patients with renal impairment were found to have higher exposure to lurasidone and the </w:t>
      </w:r>
      <w:r w:rsidR="00783764">
        <w:t>s</w:t>
      </w:r>
      <w:r w:rsidRPr="003E1C89">
        <w:t>ponsor is proposing a lower starting dose of 20 mg in those with moderate to severe impairment and maximum dose of 80 mg. Given the 2</w:t>
      </w:r>
      <w:r w:rsidR="00783764">
        <w:t xml:space="preserve"> </w:t>
      </w:r>
      <w:r w:rsidRPr="003E1C89">
        <w:t>fold increase in lurasidone exposure in patients with severe renal impairment, this dose reduction is acceptable. The population of moderate or severe renal impairment were excluded from the development program and consequently, the safety profile in this group has not been elucidated. Given the proposal to treat this population further safety data on this group would be useful to assess benefit-risk balance and the population should also be monitored through the risk management system.</w:t>
      </w:r>
    </w:p>
    <w:p w:rsidR="003E1C89" w:rsidRPr="003E1C89" w:rsidRDefault="003E1C89" w:rsidP="001F73D3">
      <w:r w:rsidRPr="003E1C89">
        <w:t>Similarly, mild, moderate and severe hepatic impairment increases the lurasidone exposure 1.5, 1.7 and 3.0 fold, respectively and patients with clinically significant liver disease were not studied in the development program. The proposed dosage reduction in patients with hepatic impairment (20 mg starting dose and 80 mg maximum dose in moderate impairment and 40 mg in severe impairment) is acceptable. As with renal impairment, subgroup analysis of safety data in patients with hepatic impairment should be presented in order to assess the risk-benefit and the population monitored in the risk management system</w:t>
      </w:r>
      <w:r w:rsidR="001F73D3">
        <w:t>.</w:t>
      </w:r>
    </w:p>
    <w:p w:rsidR="003E1C89" w:rsidRPr="003E1C89" w:rsidRDefault="003E1C89" w:rsidP="003E1C89">
      <w:r w:rsidRPr="003E1C89">
        <w:t xml:space="preserve">The possibility of a suicide attempt is inherent in patients with schizophrenia. Prescriptions should be written for the smallest quantity of tablets, consistent with good patient management, in order to reduce the risk of overdose. This has been adequately covered in the PI. The risk of </w:t>
      </w:r>
      <w:proofErr w:type="spellStart"/>
      <w:r w:rsidRPr="003E1C89">
        <w:t>angiooedema</w:t>
      </w:r>
      <w:proofErr w:type="spellEnd"/>
      <w:r w:rsidRPr="003E1C89">
        <w:t xml:space="preserve"> and hypersensitivity reactions was low and has been covered in the Adverse Effects section of the PI. Significant drug interactions were noted for co-administrat</w:t>
      </w:r>
      <w:r w:rsidR="00783764">
        <w:t>ion with CYP3A4 inhibitors (for example,</w:t>
      </w:r>
      <w:r w:rsidRPr="003E1C89">
        <w:t xml:space="preserve"> ketoconazole) and CYP3A4 inducers (</w:t>
      </w:r>
      <w:r w:rsidR="00967456">
        <w:t>for example,</w:t>
      </w:r>
      <w:r w:rsidR="00967456" w:rsidRPr="003E1C89">
        <w:t xml:space="preserve"> </w:t>
      </w:r>
      <w:proofErr w:type="spellStart"/>
      <w:r w:rsidRPr="003E1C89">
        <w:t>rifampin</w:t>
      </w:r>
      <w:proofErr w:type="spellEnd"/>
      <w:r w:rsidRPr="003E1C89">
        <w:t xml:space="preserve">) and these risks have been covered in the draft PI with contraindications with strong inhibitors or inducers and lower dosage with moderate inhibitors. The risk of concomitant grapefruit juice has not been included in the PI or CMI and </w:t>
      </w:r>
      <w:proofErr w:type="gramStart"/>
      <w:r w:rsidRPr="003E1C89">
        <w:t>this needs</w:t>
      </w:r>
      <w:proofErr w:type="gramEnd"/>
      <w:r w:rsidRPr="003E1C89">
        <w:t xml:space="preserve"> to be addressed</w:t>
      </w:r>
      <w:r w:rsidR="003D4065">
        <w:t xml:space="preserve"> by the sponsor</w:t>
      </w:r>
      <w:r w:rsidRPr="003E1C89">
        <w:t>.</w:t>
      </w:r>
    </w:p>
    <w:p w:rsidR="003E1C89" w:rsidRPr="003E1C89" w:rsidRDefault="003E1C89" w:rsidP="001F73D3">
      <w:r w:rsidRPr="003E1C89">
        <w:t xml:space="preserve">The Adverse Effects data in the PI currently covers only adverse reactions and this needs to be amended, in line with TGA guidelines, to include all </w:t>
      </w:r>
      <w:r w:rsidR="00681099">
        <w:t>AEs</w:t>
      </w:r>
      <w:r w:rsidRPr="003E1C89">
        <w:t>.</w:t>
      </w:r>
    </w:p>
    <w:p w:rsidR="003E1C89" w:rsidRPr="003E1C89" w:rsidRDefault="003E1C89" w:rsidP="003E1C89">
      <w:r w:rsidRPr="003E1C89">
        <w:t>Safety and efficacy data in the elderly (≥ 65 years), pregnant or lactating women, and children or adolescents are lacking. These issues need to be adequately covered in the PI. The possibility of withdrawal effects were not seen however this risk was not specifically assessed and should be monitored in the RMP.</w:t>
      </w:r>
    </w:p>
    <w:p w:rsidR="003E1C89" w:rsidRPr="003E1C89" w:rsidRDefault="003E1C89" w:rsidP="001F73D3">
      <w:r w:rsidRPr="003E1C89">
        <w:t xml:space="preserve">There were several precautions which were not present in the draft PI and, despite the low risk seen with </w:t>
      </w:r>
      <w:proofErr w:type="gramStart"/>
      <w:r w:rsidRPr="003E1C89">
        <w:t>lurasidone,</w:t>
      </w:r>
      <w:proofErr w:type="gramEnd"/>
      <w:r w:rsidRPr="003E1C89">
        <w:t xml:space="preserve"> the evaluator believes they should be still listed in this section with appropriate, relevant data. These include: the risk of cerebrovascular adverse reactions in the elderly with dementia (as opposed to mortality in this group which has been included); QT prolongation and cardiovascular disease; weight gain; hyperglycaemia and diabetes; dyslipidaemia; body temperature regulation; and dysphagia.</w:t>
      </w:r>
    </w:p>
    <w:p w:rsidR="003E1C89" w:rsidRPr="003E1C89" w:rsidRDefault="003E1C89" w:rsidP="001F73D3">
      <w:r w:rsidRPr="003E1C89">
        <w:t xml:space="preserve">In summary, the efficacy of lurasidone has been demonstrated at doses of 40, 80, 120 and 160 mg per day with a safety profile consistent with what is known for atypical antipsychotics and as such the evaluator finds the benefit-risk balance of lurasidone is </w:t>
      </w:r>
      <w:proofErr w:type="gramStart"/>
      <w:r w:rsidRPr="003E1C89">
        <w:lastRenderedPageBreak/>
        <w:t>favourable</w:t>
      </w:r>
      <w:proofErr w:type="gramEnd"/>
      <w:r w:rsidRPr="003E1C89">
        <w:t xml:space="preserve"> in the usage of “treatment of adults with schizophrenia”.</w:t>
      </w:r>
      <w:r w:rsidR="00431E88">
        <w:t xml:space="preserve"> </w:t>
      </w:r>
      <w:r w:rsidRPr="003E1C89">
        <w:t xml:space="preserve">The commencing dose of 40 mg is accepted as the lowest effective dose. The lack of dose response on efficacy parameters and lack of differentiation between doses, except for the highest dose of 160 mg, means that there is no clear evidence as to when the dose should be titrated. As with efficacy, safety risks did not always demonstrate a dose-response (notable exceptions were </w:t>
      </w:r>
      <w:proofErr w:type="spellStart"/>
      <w:r w:rsidRPr="003E1C89">
        <w:t>akathisia</w:t>
      </w:r>
      <w:proofErr w:type="spellEnd"/>
      <w:r w:rsidRPr="003E1C89">
        <w:t xml:space="preserve"> and somnolence). Nonetheless, the 120 mg dose did have overall a worse safety profile than the lower doses. This concern needs further explanation from the Sponsor together with a discussion on dose adjustment in the product information. Should the 120 mg dose be approved, in order to potentially aid with compliance, the evaluator recommends</w:t>
      </w:r>
      <w:r w:rsidR="00D90734">
        <w:t xml:space="preserve"> marketing of the 120 mg tablet</w:t>
      </w:r>
      <w:r w:rsidR="001F73D3">
        <w:t>.</w:t>
      </w:r>
    </w:p>
    <w:p w:rsidR="00605AD4" w:rsidRPr="00605AD4" w:rsidRDefault="00605AD4" w:rsidP="00097E62">
      <w:pPr>
        <w:pStyle w:val="Heading3"/>
        <w:rPr>
          <w:rFonts w:eastAsia="Cambria"/>
        </w:rPr>
      </w:pPr>
      <w:bookmarkStart w:id="107" w:name="_Toc392682456"/>
      <w:r w:rsidRPr="00605AD4">
        <w:rPr>
          <w:rFonts w:eastAsia="Cambria"/>
        </w:rPr>
        <w:t xml:space="preserve">First </w:t>
      </w:r>
      <w:r w:rsidR="00097E62">
        <w:rPr>
          <w:rFonts w:eastAsia="Cambria"/>
        </w:rPr>
        <w:t>r</w:t>
      </w:r>
      <w:r w:rsidRPr="00605AD4">
        <w:rPr>
          <w:rFonts w:eastAsia="Cambria"/>
        </w:rPr>
        <w:t xml:space="preserve">ound </w:t>
      </w:r>
      <w:r w:rsidR="00097E62">
        <w:rPr>
          <w:rFonts w:eastAsia="Cambria"/>
        </w:rPr>
        <w:t>r</w:t>
      </w:r>
      <w:r w:rsidRPr="00605AD4">
        <w:rPr>
          <w:rFonts w:eastAsia="Cambria"/>
        </w:rPr>
        <w:t xml:space="preserve">ecommendation </w:t>
      </w:r>
      <w:r w:rsidR="00097E62">
        <w:rPr>
          <w:rFonts w:eastAsia="Cambria"/>
        </w:rPr>
        <w:t>r</w:t>
      </w:r>
      <w:r w:rsidRPr="001F73D3">
        <w:rPr>
          <w:rFonts w:eastAsia="Cambria"/>
        </w:rPr>
        <w:t>egarding</w:t>
      </w:r>
      <w:r w:rsidRPr="00605AD4">
        <w:rPr>
          <w:rFonts w:eastAsia="Cambria"/>
        </w:rPr>
        <w:t xml:space="preserve"> </w:t>
      </w:r>
      <w:r w:rsidR="00097E62" w:rsidRPr="00097E62">
        <w:rPr>
          <w:rFonts w:eastAsia="Cambria"/>
        </w:rPr>
        <w:t>a</w:t>
      </w:r>
      <w:r w:rsidRPr="00097E62">
        <w:rPr>
          <w:rFonts w:eastAsia="Cambria"/>
        </w:rPr>
        <w:t>uthorisation</w:t>
      </w:r>
      <w:bookmarkEnd w:id="107"/>
    </w:p>
    <w:p w:rsidR="00061F11" w:rsidRPr="00061F11" w:rsidRDefault="00061F11" w:rsidP="00097E62">
      <w:r w:rsidRPr="00061F11">
        <w:t xml:space="preserve">As further information on dosage titration is required, the evaluator recommends that this be reviewed prior to any decision on authorisation. In addition, </w:t>
      </w:r>
      <w:r w:rsidR="004C0028">
        <w:t xml:space="preserve">clinical </w:t>
      </w:r>
      <w:r w:rsidRPr="00061F11">
        <w:t xml:space="preserve">questions </w:t>
      </w:r>
      <w:r w:rsidR="004C0028">
        <w:t>in next section</w:t>
      </w:r>
      <w:r w:rsidR="006B3D0F">
        <w:t xml:space="preserve"> together</w:t>
      </w:r>
      <w:r w:rsidRPr="00061F11">
        <w:t xml:space="preserve"> with comments on the PI and CMI need to be addressed. At this stage, subject to satisfactory responses, the lower doses of 20 mg, 40 mg and 80 mg are approvable in the indication of “treatment of adults with schizophrenia”.</w:t>
      </w:r>
    </w:p>
    <w:p w:rsidR="00605AD4" w:rsidRPr="00097E62" w:rsidRDefault="00605AD4" w:rsidP="00097E62">
      <w:pPr>
        <w:pStyle w:val="Heading3"/>
        <w:rPr>
          <w:rFonts w:eastAsia="Cambria"/>
        </w:rPr>
      </w:pPr>
      <w:bookmarkStart w:id="108" w:name="_Toc392682457"/>
      <w:r w:rsidRPr="00605AD4">
        <w:rPr>
          <w:rFonts w:eastAsia="Cambria"/>
        </w:rPr>
        <w:t xml:space="preserve">Clinical </w:t>
      </w:r>
      <w:r w:rsidR="00097E62">
        <w:rPr>
          <w:rFonts w:eastAsia="Cambria"/>
        </w:rPr>
        <w:t>q</w:t>
      </w:r>
      <w:r w:rsidRPr="00605AD4">
        <w:rPr>
          <w:rFonts w:eastAsia="Cambria"/>
        </w:rPr>
        <w:t>uestions</w:t>
      </w:r>
      <w:bookmarkEnd w:id="108"/>
    </w:p>
    <w:p w:rsidR="006B3D0F" w:rsidRPr="00B15047" w:rsidRDefault="006B3D0F" w:rsidP="00097E62">
      <w:pPr>
        <w:pStyle w:val="Heading4"/>
      </w:pPr>
      <w:bookmarkStart w:id="109" w:name="_Ref272312341"/>
      <w:bookmarkStart w:id="110" w:name="_Toc272414700"/>
      <w:bookmarkStart w:id="111" w:name="_Toc290846340"/>
      <w:bookmarkStart w:id="112" w:name="_Toc371067117"/>
      <w:r w:rsidRPr="00097E62">
        <w:t>Additional</w:t>
      </w:r>
      <w:r w:rsidRPr="00B15047">
        <w:t xml:space="preserve"> expert input</w:t>
      </w:r>
      <w:bookmarkEnd w:id="109"/>
      <w:bookmarkEnd w:id="110"/>
      <w:bookmarkEnd w:id="111"/>
      <w:bookmarkEnd w:id="112"/>
    </w:p>
    <w:p w:rsidR="006B3D0F" w:rsidRPr="007C3317" w:rsidRDefault="006B3D0F" w:rsidP="00097E62">
      <w:proofErr w:type="gramStart"/>
      <w:r w:rsidRPr="007C3317">
        <w:t>None.</w:t>
      </w:r>
      <w:proofErr w:type="gramEnd"/>
    </w:p>
    <w:p w:rsidR="006B3D0F" w:rsidRPr="00B15047" w:rsidRDefault="006B3D0F" w:rsidP="00097E62">
      <w:pPr>
        <w:pStyle w:val="Heading4"/>
      </w:pPr>
      <w:bookmarkStart w:id="113" w:name="_Ref269908779"/>
      <w:bookmarkStart w:id="114" w:name="_Toc272414701"/>
      <w:bookmarkStart w:id="115" w:name="_Toc290846341"/>
      <w:bookmarkStart w:id="116" w:name="_Toc371067118"/>
      <w:r w:rsidRPr="00B15047">
        <w:t xml:space="preserve">Clinical </w:t>
      </w:r>
      <w:r w:rsidRPr="00097E62">
        <w:t>questions</w:t>
      </w:r>
      <w:bookmarkEnd w:id="113"/>
      <w:bookmarkEnd w:id="114"/>
      <w:bookmarkEnd w:id="115"/>
      <w:bookmarkEnd w:id="116"/>
    </w:p>
    <w:p w:rsidR="006B3D0F" w:rsidRPr="00B15047" w:rsidRDefault="006B3D0F" w:rsidP="00097E62">
      <w:pPr>
        <w:pStyle w:val="Heading5"/>
      </w:pPr>
      <w:bookmarkStart w:id="117" w:name="_Toc272414702"/>
      <w:bookmarkStart w:id="118" w:name="_Toc290846342"/>
      <w:bookmarkStart w:id="119" w:name="_Toc371067119"/>
      <w:r w:rsidRPr="00097E62">
        <w:t>Pharmacokinetics</w:t>
      </w:r>
      <w:bookmarkEnd w:id="117"/>
      <w:bookmarkEnd w:id="118"/>
      <w:bookmarkEnd w:id="119"/>
    </w:p>
    <w:p w:rsidR="006B3D0F" w:rsidRPr="007C3317" w:rsidRDefault="006B3D0F" w:rsidP="00097E62">
      <w:proofErr w:type="gramStart"/>
      <w:r w:rsidRPr="007C3317">
        <w:t>None.</w:t>
      </w:r>
      <w:proofErr w:type="gramEnd"/>
    </w:p>
    <w:p w:rsidR="006B3D0F" w:rsidRPr="00B15047" w:rsidRDefault="006B3D0F" w:rsidP="00097E62">
      <w:pPr>
        <w:pStyle w:val="Heading5"/>
      </w:pPr>
      <w:bookmarkStart w:id="120" w:name="_Toc272414703"/>
      <w:bookmarkStart w:id="121" w:name="_Toc290846343"/>
      <w:bookmarkStart w:id="122" w:name="_Toc371067120"/>
      <w:r w:rsidRPr="00097E62">
        <w:t>Pharmacodynamics</w:t>
      </w:r>
      <w:bookmarkEnd w:id="120"/>
      <w:bookmarkEnd w:id="121"/>
      <w:bookmarkEnd w:id="122"/>
    </w:p>
    <w:p w:rsidR="006B3D0F" w:rsidRPr="006B3D0F" w:rsidRDefault="006B3D0F" w:rsidP="00097E62">
      <w:proofErr w:type="gramStart"/>
      <w:r w:rsidRPr="006B3D0F">
        <w:t>None.</w:t>
      </w:r>
      <w:proofErr w:type="gramEnd"/>
    </w:p>
    <w:p w:rsidR="006B3D0F" w:rsidRPr="00097E62" w:rsidRDefault="006B3D0F" w:rsidP="00097E62">
      <w:pPr>
        <w:pStyle w:val="Heading5"/>
      </w:pPr>
      <w:bookmarkStart w:id="123" w:name="_Toc272414704"/>
      <w:bookmarkStart w:id="124" w:name="_Toc290846344"/>
      <w:bookmarkStart w:id="125" w:name="_Toc371067121"/>
      <w:r w:rsidRPr="00B15047">
        <w:t>Efficacy</w:t>
      </w:r>
      <w:bookmarkEnd w:id="123"/>
      <w:bookmarkEnd w:id="124"/>
      <w:bookmarkEnd w:id="125"/>
    </w:p>
    <w:p w:rsidR="006B3D0F" w:rsidRPr="006B3D0F" w:rsidRDefault="006B3D0F" w:rsidP="00097E62">
      <w:r>
        <w:t xml:space="preserve">Q1. </w:t>
      </w:r>
      <w:r w:rsidRPr="006B3D0F">
        <w:t xml:space="preserve">There were two short term studies in the clinical development program which failed (D1050049 and D1001002). Can the </w:t>
      </w:r>
      <w:r>
        <w:t>s</w:t>
      </w:r>
      <w:r w:rsidRPr="006B3D0F">
        <w:t>ponsor provide any clarity as to why this occurred? If so, discuss the factors.</w:t>
      </w:r>
    </w:p>
    <w:p w:rsidR="006B3D0F" w:rsidRPr="006B3D0F" w:rsidRDefault="006B3D0F" w:rsidP="00097E62">
      <w:r>
        <w:t xml:space="preserve">Q2. </w:t>
      </w:r>
      <w:r w:rsidRPr="006B3D0F">
        <w:t xml:space="preserve">There was no consistent dose response across doses of 40 to 120 mg per day demonstrated with lurasidone. In pooled analyses, the 160 mg dose was found to be significant over the lower doses, however in head-to-head comparisons in individual trials there were no significant differences between doses of 40 mg and 120 mg. In addition, the safety profile of the 120 mg dose was in general worse than the lower doses. Given the clinical imperative to use the lowest possible effective dose with acceptable tolerability, it is not clear to the evaluator when the 120 mg dose would be used over a lower dose and in what situations a treating doctor would titrate. Provide further justification of the benefit of the higher over lower doses, when they should be used and detail the situations in which up titration should be undertaken. This information would also need to be reflected in the </w:t>
      </w:r>
      <w:r w:rsidRPr="00A83B8E">
        <w:rPr>
          <w:i/>
        </w:rPr>
        <w:t>Dosage and Administration</w:t>
      </w:r>
      <w:r w:rsidR="00097E62">
        <w:t xml:space="preserve"> section of the draft PI.</w:t>
      </w:r>
    </w:p>
    <w:p w:rsidR="006B3D0F" w:rsidRPr="00097E62" w:rsidRDefault="006B3D0F" w:rsidP="00097E62">
      <w:pPr>
        <w:pStyle w:val="Heading5"/>
      </w:pPr>
      <w:bookmarkStart w:id="126" w:name="_Toc272414705"/>
      <w:bookmarkStart w:id="127" w:name="_Toc290846345"/>
      <w:bookmarkStart w:id="128" w:name="_Toc371067122"/>
      <w:r w:rsidRPr="00B15047">
        <w:t>Safety</w:t>
      </w:r>
      <w:bookmarkEnd w:id="126"/>
      <w:bookmarkEnd w:id="127"/>
      <w:bookmarkEnd w:id="128"/>
    </w:p>
    <w:p w:rsidR="006B3D0F" w:rsidRPr="006B3D0F" w:rsidRDefault="006B3D0F" w:rsidP="00097E62">
      <w:r>
        <w:t xml:space="preserve">Q3. </w:t>
      </w:r>
      <w:r w:rsidRPr="006B3D0F">
        <w:t>Mild, moderate and severe hepatic impairment increases the lurasidone exposure 1.5</w:t>
      </w:r>
      <w:r w:rsidR="00A83B8E">
        <w:t xml:space="preserve">, 1.7 and 3.0 </w:t>
      </w:r>
      <w:r w:rsidRPr="006B3D0F">
        <w:t>fold, respectively. Impaired hepatic fu</w:t>
      </w:r>
      <w:r w:rsidR="00D15EBF">
        <w:t>nction was an exclusion criterion</w:t>
      </w:r>
      <w:r w:rsidRPr="006B3D0F">
        <w:t xml:space="preserve"> in the clinical trials. No subgroup analysis of safety data in subjects with hepatic impairment was </w:t>
      </w:r>
      <w:r w:rsidRPr="006B3D0F">
        <w:lastRenderedPageBreak/>
        <w:t>undertaken. What w</w:t>
      </w:r>
      <w:r w:rsidR="00A83B8E">
        <w:t>as</w:t>
      </w:r>
      <w:r w:rsidRPr="006B3D0F">
        <w:t xml:space="preserve"> the number of subjects with hepatic impairment in the pooled safety population? Is it sufficient to undertake a subgroup analysis? If so, provide an analysis of safety parameters in this subgroup, with comparisons to the population with normal hepatic function, so that the benefit-risk may be asses</w:t>
      </w:r>
      <w:r w:rsidR="00097E62">
        <w:t>sed in this patient population.</w:t>
      </w:r>
    </w:p>
    <w:p w:rsidR="006B3D0F" w:rsidRPr="006B3D0F" w:rsidRDefault="006B3D0F" w:rsidP="00097E62">
      <w:r>
        <w:t xml:space="preserve">Q4. </w:t>
      </w:r>
      <w:r w:rsidRPr="006B3D0F">
        <w:t>Mild, moderate and severe renal impairment alt</w:t>
      </w:r>
      <w:r w:rsidR="00A83B8E">
        <w:t xml:space="preserve">ers the lurasidone exposure 1.5, 1.9 </w:t>
      </w:r>
      <w:r w:rsidRPr="006B3D0F">
        <w:t>and 2.0</w:t>
      </w:r>
      <w:r w:rsidR="00A83B8E">
        <w:t xml:space="preserve"> </w:t>
      </w:r>
      <w:r w:rsidRPr="006B3D0F">
        <w:t>fold, respectively. As in the previous question, provide a summary of this population that is present in the pooled safety database and, if sufficient in number, summarise the safety in this subgroup compared to the populat</w:t>
      </w:r>
      <w:r w:rsidR="00097E62">
        <w:t>ion with normal renal function.</w:t>
      </w:r>
    </w:p>
    <w:p w:rsidR="00605AD4" w:rsidRPr="00605AD4" w:rsidRDefault="00605AD4" w:rsidP="00097E62">
      <w:pPr>
        <w:pStyle w:val="Heading3"/>
        <w:rPr>
          <w:rFonts w:eastAsia="Cambria"/>
        </w:rPr>
      </w:pPr>
      <w:bookmarkStart w:id="129" w:name="_Toc392682458"/>
      <w:r w:rsidRPr="00605AD4">
        <w:rPr>
          <w:rFonts w:eastAsia="Cambria"/>
        </w:rPr>
        <w:t xml:space="preserve">Second </w:t>
      </w:r>
      <w:r w:rsidR="00097E62">
        <w:rPr>
          <w:rFonts w:eastAsia="Cambria"/>
        </w:rPr>
        <w:t>r</w:t>
      </w:r>
      <w:r w:rsidRPr="00605AD4">
        <w:rPr>
          <w:rFonts w:eastAsia="Cambria"/>
        </w:rPr>
        <w:t xml:space="preserve">ound </w:t>
      </w:r>
      <w:r w:rsidR="00097E62">
        <w:rPr>
          <w:rFonts w:eastAsia="Cambria"/>
        </w:rPr>
        <w:t>e</w:t>
      </w:r>
      <w:r w:rsidRPr="00605AD4">
        <w:rPr>
          <w:rFonts w:eastAsia="Cambria"/>
        </w:rPr>
        <w:t xml:space="preserve">valuation of </w:t>
      </w:r>
      <w:r w:rsidR="00097E62">
        <w:rPr>
          <w:rFonts w:eastAsia="Cambria"/>
        </w:rPr>
        <w:t>c</w:t>
      </w:r>
      <w:r w:rsidRPr="00605AD4">
        <w:rPr>
          <w:rFonts w:eastAsia="Cambria"/>
        </w:rPr>
        <w:t xml:space="preserve">linical </w:t>
      </w:r>
      <w:r w:rsidR="00097E62">
        <w:rPr>
          <w:rFonts w:eastAsia="Cambria"/>
        </w:rPr>
        <w:t>d</w:t>
      </w:r>
      <w:r w:rsidRPr="00605AD4">
        <w:rPr>
          <w:rFonts w:eastAsia="Cambria"/>
        </w:rPr>
        <w:t xml:space="preserve">ata in </w:t>
      </w:r>
      <w:r w:rsidR="00097E62">
        <w:rPr>
          <w:rFonts w:eastAsia="Cambria"/>
        </w:rPr>
        <w:t>r</w:t>
      </w:r>
      <w:r w:rsidRPr="00605AD4">
        <w:rPr>
          <w:rFonts w:eastAsia="Cambria"/>
        </w:rPr>
        <w:t xml:space="preserve">esponse to </w:t>
      </w:r>
      <w:r w:rsidR="00097E62" w:rsidRPr="00097E62">
        <w:rPr>
          <w:rFonts w:eastAsia="Cambria"/>
        </w:rPr>
        <w:t>q</w:t>
      </w:r>
      <w:r w:rsidRPr="00097E62">
        <w:rPr>
          <w:rFonts w:eastAsia="Cambria"/>
        </w:rPr>
        <w:t>uestions</w:t>
      </w:r>
      <w:bookmarkEnd w:id="129"/>
    </w:p>
    <w:p w:rsidR="00515E81" w:rsidRPr="002E1BE0" w:rsidRDefault="00515E81" w:rsidP="00097E62">
      <w:r w:rsidRPr="002E1BE0">
        <w:t xml:space="preserve">The </w:t>
      </w:r>
      <w:r w:rsidR="002E1BE0" w:rsidRPr="002E1BE0">
        <w:t>s</w:t>
      </w:r>
      <w:r w:rsidRPr="002E1BE0">
        <w:t xml:space="preserve">ponsor submitted a response to the first round of evaluation dated 7 October 2013. The response was compiled by Dainippon Sumitomo </w:t>
      </w:r>
      <w:proofErr w:type="spellStart"/>
      <w:r w:rsidRPr="002E1BE0">
        <w:t>Pharma</w:t>
      </w:r>
      <w:proofErr w:type="spellEnd"/>
      <w:r w:rsidRPr="002E1BE0">
        <w:t xml:space="preserve"> and </w:t>
      </w:r>
      <w:proofErr w:type="spellStart"/>
      <w:r w:rsidRPr="002E1BE0">
        <w:t>Sunovion</w:t>
      </w:r>
      <w:proofErr w:type="spellEnd"/>
      <w:r w:rsidRPr="002E1BE0">
        <w:t xml:space="preserve"> Pharmaceuticals Inc. The response also included literature references, proposed revised PI and CMI and revised Australian Specific Annex </w:t>
      </w:r>
      <w:r w:rsidR="00DD434A">
        <w:t xml:space="preserve">(ASA) </w:t>
      </w:r>
      <w:r w:rsidRPr="002E1BE0">
        <w:t xml:space="preserve">to the EU </w:t>
      </w:r>
      <w:r w:rsidR="00DD434A">
        <w:t>RMP</w:t>
      </w:r>
      <w:r w:rsidRPr="002E1BE0">
        <w:t xml:space="preserve">. The questions and the </w:t>
      </w:r>
      <w:r w:rsidR="00097E62">
        <w:t>responses are summarised below.</w:t>
      </w:r>
    </w:p>
    <w:p w:rsidR="00515E81" w:rsidRPr="00097E62" w:rsidRDefault="002E1BE0" w:rsidP="00097E62">
      <w:pPr>
        <w:pStyle w:val="Heading4"/>
      </w:pPr>
      <w:r>
        <w:t>Q</w:t>
      </w:r>
      <w:r w:rsidR="00515E81" w:rsidRPr="00F925CD">
        <w:t>1. Failed studies</w:t>
      </w:r>
    </w:p>
    <w:p w:rsidR="00515E81" w:rsidRPr="00097E62" w:rsidRDefault="00515E81" w:rsidP="00097E62">
      <w:pPr>
        <w:rPr>
          <w:i/>
        </w:rPr>
      </w:pPr>
      <w:r w:rsidRPr="00097E62">
        <w:rPr>
          <w:i/>
        </w:rPr>
        <w:t xml:space="preserve">There were two short term studies in the clinical development program which failed (D1050049 and D1001002). Can the </w:t>
      </w:r>
      <w:r w:rsidR="00DD434A" w:rsidRPr="00097E62">
        <w:rPr>
          <w:i/>
        </w:rPr>
        <w:t>s</w:t>
      </w:r>
      <w:r w:rsidRPr="00097E62">
        <w:rPr>
          <w:i/>
        </w:rPr>
        <w:t>ponsor provide any clarity as to why this occurred? If so, discuss the factors.</w:t>
      </w:r>
    </w:p>
    <w:p w:rsidR="00515E81" w:rsidRPr="00097E62" w:rsidRDefault="008C58A6" w:rsidP="00097E62">
      <w:pPr>
        <w:pStyle w:val="Heading5"/>
      </w:pPr>
      <w:r>
        <w:t>Sponsor response</w:t>
      </w:r>
    </w:p>
    <w:p w:rsidR="00515E81" w:rsidRPr="002E1BE0" w:rsidRDefault="00515E81" w:rsidP="00097E62">
      <w:r w:rsidRPr="002E1BE0">
        <w:t>Efficacy was demonstrated in 5 controlled trials. Two studies found no assay sensitivity and so clinical inferences or conclusions cannot be made regarding efficacy of luras</w:t>
      </w:r>
      <w:r w:rsidR="00FF5C01">
        <w:t xml:space="preserve">idone. </w:t>
      </w:r>
      <w:r w:rsidRPr="002E1BE0">
        <w:t>The sponsor cannot provide any clarity as to why these studies failed</w:t>
      </w:r>
      <w:r w:rsidR="00FF5C01">
        <w:t>.</w:t>
      </w:r>
    </w:p>
    <w:p w:rsidR="00515E81" w:rsidRPr="00F925CD" w:rsidRDefault="008C58A6" w:rsidP="00097E62">
      <w:pPr>
        <w:pStyle w:val="Heading5"/>
      </w:pPr>
      <w:r>
        <w:t xml:space="preserve">Evaluator </w:t>
      </w:r>
      <w:r w:rsidRPr="00097E62">
        <w:t>comments</w:t>
      </w:r>
    </w:p>
    <w:p w:rsidR="002E1BE0" w:rsidRDefault="00515E81" w:rsidP="00097E62">
      <w:r w:rsidRPr="002E1BE0">
        <w:t>No comments.</w:t>
      </w:r>
    </w:p>
    <w:p w:rsidR="00515E81" w:rsidRPr="002E1BE0" w:rsidRDefault="002E1BE0" w:rsidP="00097E62">
      <w:pPr>
        <w:pStyle w:val="Heading4"/>
        <w:rPr>
          <w:rStyle w:val="Heading4Char"/>
          <w:b/>
          <w:bCs/>
        </w:rPr>
      </w:pPr>
      <w:r>
        <w:rPr>
          <w:rStyle w:val="Heading4Char"/>
          <w:b/>
          <w:bCs/>
        </w:rPr>
        <w:t>Q</w:t>
      </w:r>
      <w:r w:rsidR="00515E81" w:rsidRPr="002E1BE0">
        <w:rPr>
          <w:rStyle w:val="Heading4Char"/>
          <w:b/>
          <w:bCs/>
        </w:rPr>
        <w:t xml:space="preserve">2. Dose </w:t>
      </w:r>
      <w:r w:rsidR="00097E62" w:rsidRPr="00097E62">
        <w:rPr>
          <w:rStyle w:val="Heading4Char"/>
          <w:b/>
          <w:bCs/>
        </w:rPr>
        <w:t>r</w:t>
      </w:r>
      <w:r w:rsidR="00515E81" w:rsidRPr="00097E62">
        <w:rPr>
          <w:rStyle w:val="Heading4Char"/>
          <w:b/>
          <w:bCs/>
        </w:rPr>
        <w:t>ationale</w:t>
      </w:r>
    </w:p>
    <w:p w:rsidR="00515E81" w:rsidRPr="00097E62" w:rsidRDefault="00515E81" w:rsidP="00097E62">
      <w:pPr>
        <w:rPr>
          <w:i/>
        </w:rPr>
      </w:pPr>
      <w:r w:rsidRPr="00097E62">
        <w:rPr>
          <w:i/>
        </w:rPr>
        <w:t xml:space="preserve">There was no consistent dose response across doses of 40 to 120 mg per day demonstrated with lurasidone. In pooled analyses, the 160 mg dose was found to be significant over the lower doses, however in head-to-head comparisons in individual trials there were no significant differences between doses of 40 mg and 120 mg. In addition, the safety profile of the 120 mg dose was in general worse than the lower doses. Given the clinical imperative to use the lowest possible effective dose with acceptable tolerability, it is not clear to the evaluator when the 120 mg dose would be used over a lower dose and in what situations a treating doctor would titrate. Provide further justification of the benefit of the higher over lower doses, when they should be used and detail the situations in which up titration should be undertaken. This information would also need to be reflected in the Dosage and Administration </w:t>
      </w:r>
      <w:r w:rsidR="00097E62">
        <w:rPr>
          <w:i/>
        </w:rPr>
        <w:t>section of the draft PI.</w:t>
      </w:r>
    </w:p>
    <w:p w:rsidR="00515E81" w:rsidRPr="00097E62" w:rsidRDefault="003679BE" w:rsidP="00097E62">
      <w:pPr>
        <w:pStyle w:val="Heading5"/>
      </w:pPr>
      <w:r>
        <w:t>Sponsor response</w:t>
      </w:r>
    </w:p>
    <w:p w:rsidR="003679BE" w:rsidRDefault="00515E81" w:rsidP="00097E62">
      <w:r w:rsidRPr="003679BE">
        <w:t>The sponsor agreed that there did not appear to be a consi</w:t>
      </w:r>
      <w:r w:rsidR="003679BE">
        <w:t>stent dose response and stated:</w:t>
      </w:r>
    </w:p>
    <w:p w:rsidR="00515E81" w:rsidRPr="00097E62" w:rsidRDefault="00515E81" w:rsidP="00097E62">
      <w:pPr>
        <w:ind w:left="720"/>
        <w:rPr>
          <w:i/>
        </w:rPr>
      </w:pPr>
      <w:r w:rsidRPr="00097E62">
        <w:rPr>
          <w:i/>
        </w:rPr>
        <w:t xml:space="preserve">Results of these analyses for both PANSS and CGI-S consistently showed superior efficacy of the 160 mg dose group compared to the 40, 80 and 120 mg dose groups (95% confidence interval [CI] did not include 0). Pairwise comparisons for PANSS </w:t>
      </w:r>
      <w:r w:rsidRPr="00097E62">
        <w:rPr>
          <w:i/>
        </w:rPr>
        <w:lastRenderedPageBreak/>
        <w:t>Total and CGI-S score change indicated no significant efficacy differences between the 40, 80 and 120 mg dose groups.</w:t>
      </w:r>
    </w:p>
    <w:p w:rsidR="00515E81" w:rsidRPr="003C7785" w:rsidRDefault="00515E81" w:rsidP="00097E62">
      <w:r w:rsidRPr="003C7785">
        <w:t>A responder analysis was provided (based on ≥20% improvement from baseline in PANSS total score or BPRS score) for t</w:t>
      </w:r>
      <w:r w:rsidR="00734D78">
        <w:t>he 5 main studies</w:t>
      </w:r>
      <w:r w:rsidRPr="003C7785">
        <w:t xml:space="preserve">. This showed the proportion of responders with 80 mg and 160 mg from study D1050233 was 65% and 79%, respectively. The </w:t>
      </w:r>
      <w:r w:rsidR="00734D78">
        <w:t>s</w:t>
      </w:r>
      <w:r w:rsidRPr="003C7785">
        <w:t>ponsor claims this is a clinically relevant difference.</w:t>
      </w:r>
    </w:p>
    <w:p w:rsidR="00515E81" w:rsidRPr="003C7785" w:rsidRDefault="00515E81" w:rsidP="00097E62">
      <w:r w:rsidRPr="003C7785">
        <w:t>Further commentary was made on D2 receptor occupancy and that the target of 65-75% peak blockade is achieved with doses of 40 mg and higher.</w:t>
      </w:r>
    </w:p>
    <w:p w:rsidR="003C7785" w:rsidRPr="00200CCC" w:rsidRDefault="00515E81" w:rsidP="00097E62">
      <w:r w:rsidRPr="00200CCC">
        <w:t>Safety risks were acknowledged</w:t>
      </w:r>
      <w:r w:rsidR="003C7785" w:rsidRPr="00200CCC">
        <w:t>:</w:t>
      </w:r>
    </w:p>
    <w:p w:rsidR="00515E81" w:rsidRPr="00097E62" w:rsidRDefault="00515E81" w:rsidP="00097E62">
      <w:pPr>
        <w:ind w:left="720"/>
        <w:rPr>
          <w:i/>
        </w:rPr>
      </w:pPr>
      <w:r w:rsidRPr="00097E62">
        <w:rPr>
          <w:i/>
        </w:rPr>
        <w:t xml:space="preserve">The results of the development program also support the safety and tolerability of lurasidone at 40, 80, 120 and 160 mg/day. However, there is evidence for a dose-relationship for certain adverse events, particularly </w:t>
      </w:r>
      <w:proofErr w:type="spellStart"/>
      <w:r w:rsidRPr="00097E62">
        <w:rPr>
          <w:i/>
        </w:rPr>
        <w:t>akathisia</w:t>
      </w:r>
      <w:proofErr w:type="spellEnd"/>
      <w:r w:rsidRPr="00097E62">
        <w:rPr>
          <w:i/>
        </w:rPr>
        <w:t xml:space="preserve"> and somnolence. In addition, higher overall discontinuation rates were observed in pooled short</w:t>
      </w:r>
      <w:r w:rsidR="00734D78" w:rsidRPr="00097E62">
        <w:rPr>
          <w:i/>
        </w:rPr>
        <w:t xml:space="preserve"> </w:t>
      </w:r>
      <w:r w:rsidRPr="00097E62">
        <w:rPr>
          <w:i/>
        </w:rPr>
        <w:t>term studies at 120 mg/day compared to lower doses. Taken together, these results suggest that the initial and target daily dose of lurasidone should be 40 mg or 80 mg. Lurasidone dose may be increased up to 160 mg/day, based on clinical judgment including the severity of presenting symptoms, treatment response and tolerability, which will vary among pat</w:t>
      </w:r>
      <w:r w:rsidR="003C7785" w:rsidRPr="00097E62">
        <w:rPr>
          <w:i/>
        </w:rPr>
        <w:t>ients.</w:t>
      </w:r>
    </w:p>
    <w:p w:rsidR="006642C6" w:rsidRPr="006642C6" w:rsidRDefault="006642C6" w:rsidP="00097E62">
      <w:r w:rsidRPr="006642C6">
        <w:t>The sponsor concludes that:</w:t>
      </w:r>
    </w:p>
    <w:p w:rsidR="00515E81" w:rsidRPr="00097E62" w:rsidRDefault="00515E81" w:rsidP="00097E62">
      <w:pPr>
        <w:ind w:left="720"/>
        <w:rPr>
          <w:i/>
        </w:rPr>
      </w:pPr>
      <w:r w:rsidRPr="00097E62">
        <w:rPr>
          <w:i/>
        </w:rPr>
        <w:t>The availability of a wide effective dose range for lurasidone (40-160 mg/d</w:t>
      </w:r>
      <w:r w:rsidR="00734D78" w:rsidRPr="00097E62">
        <w:rPr>
          <w:i/>
        </w:rPr>
        <w:t>ay</w:t>
      </w:r>
      <w:r w:rsidRPr="00097E62">
        <w:rPr>
          <w:i/>
        </w:rPr>
        <w:t>) for the treatment of schizophrenia will substantially aid prescribers by permitting flexibility of dosing when making treatment decisions for i</w:t>
      </w:r>
      <w:r w:rsidR="006642C6" w:rsidRPr="00097E62">
        <w:rPr>
          <w:i/>
        </w:rPr>
        <w:t>ndividual patients.</w:t>
      </w:r>
    </w:p>
    <w:p w:rsidR="00515E81" w:rsidRPr="006642C6" w:rsidRDefault="00515E81" w:rsidP="00097E62">
      <w:r w:rsidRPr="006642C6">
        <w:t xml:space="preserve">The </w:t>
      </w:r>
      <w:r w:rsidR="00734D78">
        <w:t>s</w:t>
      </w:r>
      <w:r w:rsidRPr="006642C6">
        <w:t>ponsor agreed with the evaluator to alter the Dosage and Administration section of the</w:t>
      </w:r>
      <w:r w:rsidR="00097E62">
        <w:t xml:space="preserve"> PI with the following wording:</w:t>
      </w:r>
    </w:p>
    <w:p w:rsidR="00515E81" w:rsidRPr="00097E62" w:rsidRDefault="00515E81" w:rsidP="00097E62">
      <w:pPr>
        <w:ind w:left="720"/>
        <w:rPr>
          <w:i/>
        </w:rPr>
      </w:pPr>
      <w:r w:rsidRPr="00097E62">
        <w:rPr>
          <w:i/>
        </w:rPr>
        <w:t xml:space="preserve">The efficacy of </w:t>
      </w:r>
      <w:r w:rsidR="00734D78" w:rsidRPr="00097E62">
        <w:rPr>
          <w:i/>
        </w:rPr>
        <w:t>Latuda</w:t>
      </w:r>
      <w:r w:rsidRPr="00097E62">
        <w:rPr>
          <w:i/>
        </w:rPr>
        <w:t xml:space="preserve"> has been established at doses of 40, 80, 120 and 160 mg/day. The recommended starting dose is 40 mg once daily. Initial dose t</w:t>
      </w:r>
      <w:r w:rsidR="00734D78" w:rsidRPr="00097E62">
        <w:rPr>
          <w:i/>
        </w:rPr>
        <w:t>itration is not required. Latuda</w:t>
      </w:r>
      <w:r w:rsidRPr="00097E62">
        <w:rPr>
          <w:i/>
        </w:rPr>
        <w:t xml:space="preserve"> is effective in a dose range of 40 mg per day to 160 mg once daily. </w:t>
      </w:r>
      <w:r w:rsidRPr="00097E62">
        <w:rPr>
          <w:b/>
          <w:i/>
        </w:rPr>
        <w:t>Patients should be treated with the lowest effective dose that provides optimal clinical response and tolerability, which is expected to be 40 mg or 80 mg once daily for most patients. In the 6</w:t>
      </w:r>
      <w:r w:rsidR="00734D78" w:rsidRPr="00097E62">
        <w:rPr>
          <w:b/>
          <w:i/>
        </w:rPr>
        <w:t xml:space="preserve"> </w:t>
      </w:r>
      <w:r w:rsidRPr="00097E62">
        <w:rPr>
          <w:b/>
          <w:i/>
        </w:rPr>
        <w:t xml:space="preserve">week controlled trials, there was no suggestion of added benefit with the 120 mg/day dose compared to 40 and 80 mg/day. In the pooled analyses, added benefit occurred at 160 mg/day compared to lower doses. Doses above 80 mg may be considered for certain patients based on individual clinical judgement. </w:t>
      </w:r>
      <w:r w:rsidRPr="00097E62">
        <w:rPr>
          <w:i/>
        </w:rPr>
        <w:t>The maximum recommended dose is 160 mg/day. L</w:t>
      </w:r>
      <w:r w:rsidR="00734D78" w:rsidRPr="00097E62">
        <w:rPr>
          <w:i/>
        </w:rPr>
        <w:t>atuda</w:t>
      </w:r>
      <w:r w:rsidRPr="00097E62">
        <w:rPr>
          <w:i/>
        </w:rPr>
        <w:t xml:space="preserve"> should be taken with food.</w:t>
      </w:r>
    </w:p>
    <w:p w:rsidR="00515E81" w:rsidRPr="00097E62" w:rsidRDefault="00B90738" w:rsidP="00097E62">
      <w:pPr>
        <w:pStyle w:val="Heading5"/>
      </w:pPr>
      <w:r>
        <w:t>Evaluator comments</w:t>
      </w:r>
    </w:p>
    <w:p w:rsidR="00515E81" w:rsidRPr="00B90738" w:rsidRDefault="00515E81" w:rsidP="00097E62">
      <w:r w:rsidRPr="00B90738">
        <w:t>The evaluator believes the benefit-risk balance of the 120 mg and 160 mg doses is marginal but acknowledges that a small group of patients may achieve a clinical response with the higher dose. It is noted again that 20% improvement in PANSS total score is lower than the CHMP</w:t>
      </w:r>
      <w:r w:rsidR="00734D78">
        <w:t xml:space="preserve"> </w:t>
      </w:r>
      <w:r w:rsidRPr="00B90738">
        <w:t>recommended 30% to be classed as clinically relevant improvement. Nonetheless, the evaluator finds that the revised wording on dosage adequately explains the situation with the higher two doses and is acceptable.</w:t>
      </w:r>
    </w:p>
    <w:p w:rsidR="00515E81" w:rsidRPr="00E65EE5" w:rsidRDefault="005C681D" w:rsidP="00E65EE5">
      <w:pPr>
        <w:pStyle w:val="Heading4"/>
      </w:pPr>
      <w:r>
        <w:t>Q</w:t>
      </w:r>
      <w:r w:rsidR="00515E81" w:rsidRPr="00F925CD">
        <w:t xml:space="preserve">3. Hepatic </w:t>
      </w:r>
      <w:r w:rsidR="00E65EE5">
        <w:t>i</w:t>
      </w:r>
      <w:r w:rsidR="00515E81" w:rsidRPr="00F925CD">
        <w:t>mpairment</w:t>
      </w:r>
    </w:p>
    <w:p w:rsidR="00515E81" w:rsidRPr="00E65EE5" w:rsidRDefault="00515E81" w:rsidP="00E65EE5">
      <w:pPr>
        <w:rPr>
          <w:i/>
        </w:rPr>
      </w:pPr>
      <w:r w:rsidRPr="00E65EE5">
        <w:rPr>
          <w:i/>
        </w:rPr>
        <w:t>Mild, moderate and severe hepatic impairment increa</w:t>
      </w:r>
      <w:r w:rsidR="00D15EBF" w:rsidRPr="00E65EE5">
        <w:rPr>
          <w:i/>
        </w:rPr>
        <w:t xml:space="preserve">ses the lurasidone exposure 1.5, 1.7 </w:t>
      </w:r>
      <w:r w:rsidRPr="00E65EE5">
        <w:rPr>
          <w:i/>
        </w:rPr>
        <w:t>and 3.0</w:t>
      </w:r>
      <w:r w:rsidR="00D15EBF" w:rsidRPr="00E65EE5">
        <w:rPr>
          <w:i/>
        </w:rPr>
        <w:t xml:space="preserve"> </w:t>
      </w:r>
      <w:r w:rsidRPr="00E65EE5">
        <w:rPr>
          <w:i/>
        </w:rPr>
        <w:t>fold, respectively. Impaired hepatic fu</w:t>
      </w:r>
      <w:r w:rsidR="00D15EBF" w:rsidRPr="00E65EE5">
        <w:rPr>
          <w:i/>
        </w:rPr>
        <w:t>nction was an exclusion criterion</w:t>
      </w:r>
      <w:r w:rsidRPr="00E65EE5">
        <w:rPr>
          <w:i/>
        </w:rPr>
        <w:t xml:space="preserve"> in the clinical trials. No subgroup analysis of safety data in subjects with hepatic impairment was undertaken. What w</w:t>
      </w:r>
      <w:r w:rsidR="00D15EBF" w:rsidRPr="00E65EE5">
        <w:rPr>
          <w:i/>
        </w:rPr>
        <w:t>as</w:t>
      </w:r>
      <w:r w:rsidRPr="00E65EE5">
        <w:rPr>
          <w:i/>
        </w:rPr>
        <w:t xml:space="preserve"> the number of subjects with hepatic impairment in the pooled safety population? Is it sufficient to undertake a subgroup analysis? If so, provide an analysis of </w:t>
      </w:r>
      <w:r w:rsidRPr="00E65EE5">
        <w:rPr>
          <w:i/>
        </w:rPr>
        <w:lastRenderedPageBreak/>
        <w:t>safety parameters in this subgroup, with comparisons to the population with normal hepatic function, so that the benefit-risk may be asses</w:t>
      </w:r>
      <w:r w:rsidR="00E65EE5">
        <w:rPr>
          <w:i/>
        </w:rPr>
        <w:t>sed in this patient population.</w:t>
      </w:r>
    </w:p>
    <w:p w:rsidR="00515E81" w:rsidRPr="00E65EE5" w:rsidRDefault="00F55B2E" w:rsidP="00E65EE5">
      <w:pPr>
        <w:pStyle w:val="Heading5"/>
      </w:pPr>
      <w:r>
        <w:t>Sponsor response</w:t>
      </w:r>
    </w:p>
    <w:p w:rsidR="00F55B2E" w:rsidRDefault="00515E81" w:rsidP="00E65EE5">
      <w:r w:rsidRPr="00F55B2E">
        <w:t xml:space="preserve">The </w:t>
      </w:r>
      <w:r w:rsidR="003F77C1">
        <w:t>s</w:t>
      </w:r>
      <w:r w:rsidRPr="00F55B2E">
        <w:t xml:space="preserve">ponsor discussed </w:t>
      </w:r>
      <w:r w:rsidR="00C83C91">
        <w:t>S</w:t>
      </w:r>
      <w:r w:rsidRPr="00F55B2E">
        <w:t>tudy D1050264 a single dose (20 mg) PK study in 21 subjects with moderate hepatic impai</w:t>
      </w:r>
      <w:r w:rsidR="00F55B2E">
        <w:t xml:space="preserve">rment. The </w:t>
      </w:r>
      <w:r w:rsidR="003F77C1">
        <w:t>s</w:t>
      </w:r>
      <w:r w:rsidR="00F55B2E">
        <w:t>ponsor stated that:</w:t>
      </w:r>
    </w:p>
    <w:p w:rsidR="00515E81" w:rsidRPr="00E65EE5" w:rsidRDefault="00515E81" w:rsidP="00E65EE5">
      <w:pPr>
        <w:ind w:left="720"/>
        <w:rPr>
          <w:i/>
        </w:rPr>
      </w:pPr>
      <w:r w:rsidRPr="00E65EE5">
        <w:rPr>
          <w:i/>
        </w:rPr>
        <w:t>No dose adjustment for L</w:t>
      </w:r>
      <w:r w:rsidR="009D0981" w:rsidRPr="00E65EE5">
        <w:rPr>
          <w:i/>
        </w:rPr>
        <w:t>atuda</w:t>
      </w:r>
      <w:r w:rsidRPr="00E65EE5">
        <w:rPr>
          <w:i/>
        </w:rPr>
        <w:t xml:space="preserve"> is required in patients with mild hepatic impairment. Dose adjustment is recommended in moderate (creatinine clearance: 30 to &lt;50 mL/min) and severe hepatic impairment (creatinine clearance: &lt;30 mL/min) patients. The recommended starting dose is 20 mg. The dose in moderate hepatic impairment patients should not exceed 80 mg and the dose in severe hepatic impairment patients shou</w:t>
      </w:r>
      <w:r w:rsidR="00F55B2E" w:rsidRPr="00E65EE5">
        <w:rPr>
          <w:i/>
        </w:rPr>
        <w:t>ld not exceed 40 mg once daily.</w:t>
      </w:r>
    </w:p>
    <w:p w:rsidR="00515E81" w:rsidRPr="00F925CD" w:rsidRDefault="00811C34" w:rsidP="00E65EE5">
      <w:pPr>
        <w:pStyle w:val="Heading5"/>
      </w:pPr>
      <w:r>
        <w:t xml:space="preserve">Evaluator </w:t>
      </w:r>
      <w:r w:rsidRPr="00E65EE5">
        <w:t>comments</w:t>
      </w:r>
    </w:p>
    <w:p w:rsidR="00515E81" w:rsidRPr="00811C34" w:rsidRDefault="00515E81" w:rsidP="00E65EE5">
      <w:r w:rsidRPr="00811C34">
        <w:t xml:space="preserve">The </w:t>
      </w:r>
      <w:r w:rsidR="009D0981">
        <w:t>s</w:t>
      </w:r>
      <w:r w:rsidRPr="00811C34">
        <w:t>ponsor did not answer the question regarding the number of subjects in the pooled safety population with hepatic impairment or provide any subgroup analyses in this population. (Typographical errors regarding definitions of</w:t>
      </w:r>
      <w:r w:rsidR="009D0981">
        <w:t xml:space="preserve"> hepatic impairment were noted.)</w:t>
      </w:r>
    </w:p>
    <w:p w:rsidR="00515E81" w:rsidRPr="00811C34" w:rsidRDefault="00515E81" w:rsidP="00E65EE5">
      <w:r w:rsidRPr="00811C34">
        <w:t>Labelling is adequate regarding the need for dose reduction in patients with moderate and severe hepatic impairment. A statement should be included in the PI that there are limited clinical data in patients with hepatic impairment. Given the lack of clinical data, safety in this population must be also be monitored in the risk management system.</w:t>
      </w:r>
    </w:p>
    <w:p w:rsidR="00515E81" w:rsidRPr="00F925CD" w:rsidRDefault="00811C34" w:rsidP="00E65EE5">
      <w:pPr>
        <w:pStyle w:val="Heading4"/>
      </w:pPr>
      <w:r>
        <w:t>Q</w:t>
      </w:r>
      <w:r w:rsidR="00E65EE5">
        <w:t xml:space="preserve">4. Renal </w:t>
      </w:r>
      <w:r w:rsidR="00E65EE5" w:rsidRPr="00E65EE5">
        <w:t>i</w:t>
      </w:r>
      <w:r w:rsidR="00515E81" w:rsidRPr="00E65EE5">
        <w:t>mpairment</w:t>
      </w:r>
    </w:p>
    <w:p w:rsidR="00515E81" w:rsidRPr="00E65EE5" w:rsidRDefault="00515E81" w:rsidP="00E65EE5">
      <w:pPr>
        <w:rPr>
          <w:i/>
        </w:rPr>
      </w:pPr>
      <w:r w:rsidRPr="00E65EE5">
        <w:rPr>
          <w:i/>
        </w:rPr>
        <w:t>Mild, moderate and severe renal impairment alters the lurasidone exposure 1.5</w:t>
      </w:r>
      <w:r w:rsidR="009D0981" w:rsidRPr="00E65EE5">
        <w:rPr>
          <w:i/>
        </w:rPr>
        <w:t xml:space="preserve">, 1.9 and 2.0 </w:t>
      </w:r>
      <w:r w:rsidRPr="00E65EE5">
        <w:rPr>
          <w:i/>
        </w:rPr>
        <w:t>fold, respectively. As in the previous question, provide a summary of this population that is present in the pooled safety database and, if sufficient in number, summarise the safety in this subgroup compared to the populat</w:t>
      </w:r>
      <w:r w:rsidR="00E65EE5">
        <w:rPr>
          <w:i/>
        </w:rPr>
        <w:t>ion with normal renal function.</w:t>
      </w:r>
    </w:p>
    <w:p w:rsidR="00515E81" w:rsidRPr="00E65EE5" w:rsidRDefault="00811C34" w:rsidP="00E65EE5">
      <w:pPr>
        <w:pStyle w:val="Heading5"/>
      </w:pPr>
      <w:r>
        <w:t>Sponsor response</w:t>
      </w:r>
    </w:p>
    <w:p w:rsidR="00811C34" w:rsidRDefault="00515E81" w:rsidP="00E65EE5">
      <w:r w:rsidRPr="00811C34">
        <w:t xml:space="preserve">The </w:t>
      </w:r>
      <w:r w:rsidR="009D0981">
        <w:t>s</w:t>
      </w:r>
      <w:r w:rsidRPr="00811C34">
        <w:t xml:space="preserve">ponsor discussed </w:t>
      </w:r>
      <w:r w:rsidR="006E238D">
        <w:t>S</w:t>
      </w:r>
      <w:r w:rsidRPr="00811C34">
        <w:t xml:space="preserve">tudy D1050265 a single dose (40 mg) PK study in 27 subjects with mild, moderate and severe renal impairment. The </w:t>
      </w:r>
      <w:r w:rsidR="00505035">
        <w:t>s</w:t>
      </w:r>
      <w:r w:rsidRPr="00811C34">
        <w:t>ponsor s</w:t>
      </w:r>
      <w:r w:rsidR="00811C34">
        <w:t>tated that:</w:t>
      </w:r>
    </w:p>
    <w:p w:rsidR="00515E81" w:rsidRPr="00E65EE5" w:rsidRDefault="00811C34" w:rsidP="00E65EE5">
      <w:pPr>
        <w:ind w:left="720"/>
        <w:rPr>
          <w:i/>
        </w:rPr>
      </w:pPr>
      <w:r w:rsidRPr="00E65EE5">
        <w:rPr>
          <w:i/>
        </w:rPr>
        <w:t>M</w:t>
      </w:r>
      <w:r w:rsidR="00515E81" w:rsidRPr="00E65EE5">
        <w:rPr>
          <w:i/>
        </w:rPr>
        <w:t>inimal effect on lurasidone exposure in subjects with renal impairment was observed after administration of a single dose of lurasidone 40 mg. No dose adjustment for lurasidone is required in patients with mild renal impairment. In patients with moderate or severe renal impairment (creatinine clearance: &lt;50 ml/min), the recommended starting dose is 20 mg and the maximum dose shou</w:t>
      </w:r>
      <w:r w:rsidRPr="00E65EE5">
        <w:rPr>
          <w:i/>
        </w:rPr>
        <w:t>ld not exceed 80 mg once daily.</w:t>
      </w:r>
    </w:p>
    <w:p w:rsidR="00515E81" w:rsidRPr="00E65EE5" w:rsidRDefault="00505035" w:rsidP="00E65EE5">
      <w:pPr>
        <w:pStyle w:val="Heading5"/>
      </w:pPr>
      <w:r>
        <w:t>Evaluator comments</w:t>
      </w:r>
    </w:p>
    <w:p w:rsidR="00515E81" w:rsidRPr="00505035" w:rsidRDefault="00515E81" w:rsidP="00E65EE5">
      <w:r w:rsidRPr="00505035">
        <w:t xml:space="preserve">The </w:t>
      </w:r>
      <w:r w:rsidR="00505035">
        <w:t>s</w:t>
      </w:r>
      <w:r w:rsidRPr="00505035">
        <w:t>ponsor did not provide a safety summary for the population with renal impairment from pooled safety data. Labelling on dose reduction in the group is satisfactory. A statement should be included in the PI that there are limited clinical data in patients with renal impairment. As with hepatic impairment, safety in patients with renal impairment should be monitored.</w:t>
      </w:r>
    </w:p>
    <w:p w:rsidR="00605AD4" w:rsidRPr="00605AD4" w:rsidRDefault="00605AD4" w:rsidP="00E65EE5">
      <w:pPr>
        <w:pStyle w:val="Heading3"/>
        <w:rPr>
          <w:rFonts w:eastAsia="Cambria"/>
        </w:rPr>
      </w:pPr>
      <w:bookmarkStart w:id="130" w:name="_Toc392682459"/>
      <w:r w:rsidRPr="00605AD4">
        <w:rPr>
          <w:rFonts w:eastAsia="Cambria"/>
        </w:rPr>
        <w:t xml:space="preserve">Second </w:t>
      </w:r>
      <w:r w:rsidR="00E65EE5">
        <w:rPr>
          <w:rFonts w:eastAsia="Cambria"/>
        </w:rPr>
        <w:t>r</w:t>
      </w:r>
      <w:r w:rsidRPr="00605AD4">
        <w:rPr>
          <w:rFonts w:eastAsia="Cambria"/>
        </w:rPr>
        <w:t xml:space="preserve">ound </w:t>
      </w:r>
      <w:r w:rsidR="00E65EE5">
        <w:rPr>
          <w:rFonts w:eastAsia="Cambria"/>
        </w:rPr>
        <w:t>b</w:t>
      </w:r>
      <w:r w:rsidRPr="00E65EE5">
        <w:rPr>
          <w:rFonts w:eastAsia="Cambria"/>
        </w:rPr>
        <w:t>enefit</w:t>
      </w:r>
      <w:r w:rsidRPr="00605AD4">
        <w:rPr>
          <w:rFonts w:eastAsia="Cambria"/>
        </w:rPr>
        <w:t>-</w:t>
      </w:r>
      <w:r w:rsidR="00E65EE5">
        <w:rPr>
          <w:rFonts w:eastAsia="Cambria"/>
        </w:rPr>
        <w:t>r</w:t>
      </w:r>
      <w:r w:rsidRPr="00605AD4">
        <w:rPr>
          <w:rFonts w:eastAsia="Cambria"/>
        </w:rPr>
        <w:t xml:space="preserve">isk </w:t>
      </w:r>
      <w:r w:rsidR="00E65EE5" w:rsidRPr="00E65EE5">
        <w:rPr>
          <w:rFonts w:eastAsia="Cambria"/>
        </w:rPr>
        <w:t>a</w:t>
      </w:r>
      <w:r w:rsidRPr="00E65EE5">
        <w:rPr>
          <w:rFonts w:eastAsia="Cambria"/>
        </w:rPr>
        <w:t>ssessment</w:t>
      </w:r>
      <w:bookmarkEnd w:id="130"/>
    </w:p>
    <w:p w:rsidR="00A875FF" w:rsidRPr="00B15047" w:rsidRDefault="00A875FF" w:rsidP="00E65EE5">
      <w:pPr>
        <w:pStyle w:val="Heading4"/>
      </w:pPr>
      <w:bookmarkStart w:id="131" w:name="_Toc272414709"/>
      <w:bookmarkStart w:id="132" w:name="_Toc290846349"/>
      <w:bookmarkStart w:id="133" w:name="_Toc371067126"/>
      <w:r w:rsidRPr="00B15047">
        <w:t>Second round assessment of benefits</w:t>
      </w:r>
      <w:bookmarkEnd w:id="131"/>
      <w:bookmarkEnd w:id="132"/>
      <w:bookmarkEnd w:id="133"/>
    </w:p>
    <w:p w:rsidR="00A875FF" w:rsidRPr="00A875FF" w:rsidRDefault="00A875FF" w:rsidP="00E65EE5">
      <w:r w:rsidRPr="00A875FF">
        <w:t>The benefits of lurasidone in the proposed usage remain unchanged from the first round evaluation.</w:t>
      </w:r>
    </w:p>
    <w:p w:rsidR="00A875FF" w:rsidRPr="00F925CD" w:rsidRDefault="00A875FF" w:rsidP="00E65EE5">
      <w:pPr>
        <w:pStyle w:val="Heading4"/>
      </w:pPr>
      <w:bookmarkStart w:id="134" w:name="_Toc272414710"/>
      <w:bookmarkStart w:id="135" w:name="_Toc290846350"/>
      <w:bookmarkStart w:id="136" w:name="_Toc371067127"/>
      <w:r w:rsidRPr="00F925CD">
        <w:lastRenderedPageBreak/>
        <w:t xml:space="preserve">Second round </w:t>
      </w:r>
      <w:r w:rsidRPr="00E65EE5">
        <w:t>assessment</w:t>
      </w:r>
      <w:r w:rsidRPr="00F925CD">
        <w:t xml:space="preserve"> of risks</w:t>
      </w:r>
      <w:bookmarkEnd w:id="134"/>
      <w:bookmarkEnd w:id="135"/>
      <w:bookmarkEnd w:id="136"/>
    </w:p>
    <w:p w:rsidR="00A875FF" w:rsidRPr="00A875FF" w:rsidRDefault="00A875FF" w:rsidP="00E65EE5">
      <w:bookmarkStart w:id="137" w:name="_Toc272414711"/>
      <w:bookmarkStart w:id="138" w:name="_Toc290846351"/>
      <w:r w:rsidRPr="00A875FF">
        <w:t>The risks of lurasidone in the proposed usage remain unchanged from the first round evaluation.</w:t>
      </w:r>
    </w:p>
    <w:p w:rsidR="00A875FF" w:rsidRPr="00F925CD" w:rsidRDefault="00A875FF" w:rsidP="00E65EE5">
      <w:pPr>
        <w:pStyle w:val="Heading4"/>
      </w:pPr>
      <w:bookmarkStart w:id="139" w:name="_Toc371067128"/>
      <w:r w:rsidRPr="00F925CD">
        <w:t xml:space="preserve">Second round </w:t>
      </w:r>
      <w:r w:rsidRPr="00E65EE5">
        <w:t>assessment</w:t>
      </w:r>
      <w:r w:rsidRPr="00F925CD">
        <w:t xml:space="preserve"> of benefit-risk balance</w:t>
      </w:r>
      <w:bookmarkEnd w:id="137"/>
      <w:bookmarkEnd w:id="138"/>
      <w:bookmarkEnd w:id="139"/>
    </w:p>
    <w:p w:rsidR="00A875FF" w:rsidRPr="00A875FF" w:rsidRDefault="00A875FF" w:rsidP="00E65EE5">
      <w:r w:rsidRPr="00A875FF">
        <w:t xml:space="preserve">At the end of the first round evaluation the main outstanding issue with lurasidone was the lack of dose response in terms of efficacy and a potentially poorer safety profile with the higher doses. This led to a question on the benefit-risk balance for the higher doses. The </w:t>
      </w:r>
      <w:r w:rsidR="006905D8">
        <w:t>s</w:t>
      </w:r>
      <w:r w:rsidRPr="00A875FF">
        <w:t>ponsor agreed with the evaluator’s conclusions on this but argued that there are still patients who may derive a clinical benefit with the higher doses of 120 and 160 mg. In light of this, revised labelling was proposed to inf</w:t>
      </w:r>
      <w:r w:rsidR="00E65EE5">
        <w:t>orm prescribers of these facts:</w:t>
      </w:r>
    </w:p>
    <w:p w:rsidR="00A875FF" w:rsidRPr="00E65EE5" w:rsidRDefault="00A875FF" w:rsidP="00E65EE5">
      <w:pPr>
        <w:ind w:left="720"/>
        <w:rPr>
          <w:i/>
        </w:rPr>
      </w:pPr>
      <w:r w:rsidRPr="00E65EE5">
        <w:rPr>
          <w:i/>
        </w:rPr>
        <w:t>Patients should be treated with the lowest effective dose that provides optimal clinical response and tolerability, which is expected to be 40 mg or 80 mg once daily for most patients. In the 6</w:t>
      </w:r>
      <w:r w:rsidR="006756F1" w:rsidRPr="00E65EE5">
        <w:rPr>
          <w:i/>
        </w:rPr>
        <w:t xml:space="preserve"> </w:t>
      </w:r>
      <w:r w:rsidRPr="00E65EE5">
        <w:rPr>
          <w:i/>
        </w:rPr>
        <w:t>week controlled trials, there was no suggestion of added benefit with the 120 mg/day dose compared to 40 and 80 mg/day. In the pooled analyses, added benefit occurred at 160 mg/day compared to lower doses. Doses above 80 mg may be considered for certain patients based on individual clinical judgement.</w:t>
      </w:r>
    </w:p>
    <w:p w:rsidR="00A875FF" w:rsidRPr="00A875FF" w:rsidRDefault="00A875FF" w:rsidP="00E65EE5">
      <w:r w:rsidRPr="00A875FF">
        <w:t>This statement adequately covers the issues and concerns associated with dose titration and the higher doses of 120 and 160 mg per day. Given these additional warnings, the evaluator finds that the benefit-risk balance of lurasidone 20, 40, 80, 120 and 160 mg per day is favourable in the indication of “treatment of adults with schizophrenia”.</w:t>
      </w:r>
    </w:p>
    <w:p w:rsidR="00200CCC" w:rsidRPr="00605AD4" w:rsidRDefault="00200CCC" w:rsidP="00E65EE5">
      <w:pPr>
        <w:pStyle w:val="Heading3"/>
        <w:rPr>
          <w:rFonts w:eastAsia="Cambria"/>
        </w:rPr>
      </w:pPr>
      <w:bookmarkStart w:id="140" w:name="_Toc392682460"/>
      <w:r>
        <w:rPr>
          <w:rFonts w:eastAsia="Cambria"/>
        </w:rPr>
        <w:t>Second</w:t>
      </w:r>
      <w:r w:rsidRPr="00605AD4">
        <w:rPr>
          <w:rFonts w:eastAsia="Cambria"/>
        </w:rPr>
        <w:t xml:space="preserve"> </w:t>
      </w:r>
      <w:r w:rsidR="00E65EE5">
        <w:rPr>
          <w:rFonts w:eastAsia="Cambria"/>
        </w:rPr>
        <w:t>r</w:t>
      </w:r>
      <w:r w:rsidRPr="00605AD4">
        <w:rPr>
          <w:rFonts w:eastAsia="Cambria"/>
        </w:rPr>
        <w:t xml:space="preserve">ound </w:t>
      </w:r>
      <w:r w:rsidR="00E65EE5">
        <w:rPr>
          <w:rFonts w:eastAsia="Cambria"/>
        </w:rPr>
        <w:t>r</w:t>
      </w:r>
      <w:r w:rsidRPr="00605AD4">
        <w:rPr>
          <w:rFonts w:eastAsia="Cambria"/>
        </w:rPr>
        <w:t xml:space="preserve">ecommendation </w:t>
      </w:r>
      <w:r w:rsidR="00E65EE5">
        <w:rPr>
          <w:rFonts w:eastAsia="Cambria"/>
        </w:rPr>
        <w:t>r</w:t>
      </w:r>
      <w:r w:rsidRPr="00605AD4">
        <w:rPr>
          <w:rFonts w:eastAsia="Cambria"/>
        </w:rPr>
        <w:t xml:space="preserve">egarding </w:t>
      </w:r>
      <w:r w:rsidR="00E65EE5" w:rsidRPr="00E65EE5">
        <w:rPr>
          <w:rFonts w:eastAsia="Cambria"/>
        </w:rPr>
        <w:t>a</w:t>
      </w:r>
      <w:r w:rsidRPr="00E65EE5">
        <w:rPr>
          <w:rFonts w:eastAsia="Cambria"/>
        </w:rPr>
        <w:t>uthorisation</w:t>
      </w:r>
      <w:bookmarkEnd w:id="140"/>
    </w:p>
    <w:p w:rsidR="00200CCC" w:rsidRPr="00200CCC" w:rsidRDefault="00200CCC" w:rsidP="00E65EE5">
      <w:r w:rsidRPr="00200CCC">
        <w:t xml:space="preserve">The evaluator recommends authorisation of lurasidone for the “treatment of adults with schizophrenia” subject to all changes to the PI and CMI </w:t>
      </w:r>
      <w:r w:rsidR="00E65EE5">
        <w:t>being satisfactorily addressed.</w:t>
      </w:r>
    </w:p>
    <w:p w:rsidR="008E7846" w:rsidRPr="00E65EE5" w:rsidRDefault="008E7846" w:rsidP="00E65EE5">
      <w:pPr>
        <w:pStyle w:val="Heading2"/>
      </w:pPr>
      <w:bookmarkStart w:id="141" w:name="_Toc392682461"/>
      <w:r w:rsidRPr="00E41208">
        <w:t xml:space="preserve">V. </w:t>
      </w:r>
      <w:proofErr w:type="spellStart"/>
      <w:r w:rsidRPr="00E41208">
        <w:t>Pharmacovigilance</w:t>
      </w:r>
      <w:proofErr w:type="spellEnd"/>
      <w:r w:rsidRPr="00E41208">
        <w:t xml:space="preserve"> </w:t>
      </w:r>
      <w:r>
        <w:t>f</w:t>
      </w:r>
      <w:r w:rsidRPr="00E41208">
        <w:t>indings</w:t>
      </w:r>
      <w:bookmarkEnd w:id="98"/>
      <w:bookmarkEnd w:id="99"/>
      <w:bookmarkEnd w:id="141"/>
    </w:p>
    <w:p w:rsidR="008E7846" w:rsidRDefault="000E55BF" w:rsidP="00532B26">
      <w:pPr>
        <w:pStyle w:val="Heading3"/>
        <w:rPr>
          <w:lang w:eastAsia="en-AU"/>
        </w:rPr>
      </w:pPr>
      <w:bookmarkStart w:id="142" w:name="_Toc247691526"/>
      <w:bookmarkStart w:id="143" w:name="_Toc314842509"/>
      <w:bookmarkStart w:id="144" w:name="_Toc392682462"/>
      <w:r>
        <w:rPr>
          <w:lang w:eastAsia="en-AU"/>
        </w:rPr>
        <w:t xml:space="preserve">Risk </w:t>
      </w:r>
      <w:r w:rsidR="00532B26">
        <w:rPr>
          <w:lang w:eastAsia="en-AU"/>
        </w:rPr>
        <w:t>m</w:t>
      </w:r>
      <w:r w:rsidR="008E7846">
        <w:rPr>
          <w:lang w:eastAsia="en-AU"/>
        </w:rPr>
        <w:t xml:space="preserve">anagement </w:t>
      </w:r>
      <w:r w:rsidR="00532B26" w:rsidRPr="00532B26">
        <w:t>p</w:t>
      </w:r>
      <w:r w:rsidR="008E7846" w:rsidRPr="00532B26">
        <w:t>lan</w:t>
      </w:r>
      <w:bookmarkEnd w:id="142"/>
      <w:bookmarkEnd w:id="143"/>
      <w:bookmarkEnd w:id="144"/>
    </w:p>
    <w:p w:rsidR="008E7846" w:rsidRPr="005905D8" w:rsidRDefault="008E7846" w:rsidP="00532B26">
      <w:r w:rsidRPr="005905D8">
        <w:t>The sponsor submitted a Risk Management Plan</w:t>
      </w:r>
      <w:r w:rsidR="006F25B8" w:rsidRPr="005905D8">
        <w:t xml:space="preserve"> (</w:t>
      </w:r>
      <w:r w:rsidR="008B26A4">
        <w:t>EU-RMP Version 1.0</w:t>
      </w:r>
      <w:r w:rsidR="00A86D1F">
        <w:t xml:space="preserve"> dated</w:t>
      </w:r>
      <w:r w:rsidR="008B26A4">
        <w:t xml:space="preserve"> 31</w:t>
      </w:r>
      <w:r w:rsidR="005905D8" w:rsidRPr="005905D8">
        <w:t xml:space="preserve"> August 2012</w:t>
      </w:r>
      <w:r w:rsidR="00A86D1F">
        <w:t>,</w:t>
      </w:r>
      <w:r w:rsidR="005905D8" w:rsidRPr="005905D8">
        <w:t xml:space="preserve"> with an </w:t>
      </w:r>
      <w:r w:rsidR="006756F1">
        <w:t>ASA</w:t>
      </w:r>
      <w:r w:rsidR="005905D8" w:rsidRPr="005905D8">
        <w:t xml:space="preserve"> dated March 2013</w:t>
      </w:r>
      <w:r w:rsidR="006F25B8" w:rsidRPr="005905D8">
        <w:t>)</w:t>
      </w:r>
      <w:r w:rsidRPr="005905D8">
        <w:t xml:space="preserve"> which was reviewed by the TGA’s Office of Product Review (OPR).</w:t>
      </w:r>
    </w:p>
    <w:p w:rsidR="008E7846" w:rsidRPr="00532B26" w:rsidRDefault="003A7F6C" w:rsidP="00532B26">
      <w:pPr>
        <w:pStyle w:val="Heading4"/>
      </w:pPr>
      <w:r>
        <w:rPr>
          <w:lang w:eastAsia="en-AU"/>
        </w:rPr>
        <w:t>Safety s</w:t>
      </w:r>
      <w:r w:rsidR="008E7846">
        <w:rPr>
          <w:lang w:eastAsia="en-AU"/>
        </w:rPr>
        <w:t>pecification</w:t>
      </w:r>
    </w:p>
    <w:p w:rsidR="008E7846" w:rsidRDefault="008E7846" w:rsidP="00532B2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E546EA">
        <w:rPr>
          <w:lang w:eastAsia="en-AU"/>
        </w:rPr>
        <w:t>19</w:t>
      </w:r>
      <w:r>
        <w:rPr>
          <w:lang w:eastAsia="en-AU"/>
        </w:rPr>
        <w:t>.</w:t>
      </w:r>
    </w:p>
    <w:p w:rsidR="00E546EA" w:rsidRPr="00532B26" w:rsidRDefault="00E546EA" w:rsidP="00532B26">
      <w:pPr>
        <w:pStyle w:val="TableTitle"/>
      </w:pPr>
      <w:proofErr w:type="gramStart"/>
      <w:r>
        <w:lastRenderedPageBreak/>
        <w:t>Table 19:</w:t>
      </w:r>
      <w:r w:rsidRPr="004C5C28">
        <w:t xml:space="preserve"> </w:t>
      </w:r>
      <w:r>
        <w:t xml:space="preserve">Ongoing safety concerns for </w:t>
      </w:r>
      <w:proofErr w:type="spellStart"/>
      <w:r>
        <w:t>Latuda</w:t>
      </w:r>
      <w:proofErr w:type="spellEnd"/>
      <w:r>
        <w:t>.</w:t>
      </w:r>
      <w:proofErr w:type="gramEnd"/>
    </w:p>
    <w:p w:rsidR="00E546EA" w:rsidRDefault="00C85C44" w:rsidP="00532B26">
      <w:pPr>
        <w:rPr>
          <w:lang w:eastAsia="en-AU"/>
        </w:rPr>
      </w:pPr>
      <w:r>
        <w:rPr>
          <w:noProof/>
          <w:lang w:eastAsia="en-AU"/>
        </w:rPr>
        <w:drawing>
          <wp:inline distT="0" distB="0" distL="0" distR="0" wp14:anchorId="1FA2C20D" wp14:editId="41FB1F00">
            <wp:extent cx="4824730" cy="2115185"/>
            <wp:effectExtent l="0" t="0" r="0" b="0"/>
            <wp:docPr id="21" name="Picture 21" descr="Table 19: Ongoing safety concerns for Lat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9: Ongoing safety concerns for Latu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4730" cy="2115185"/>
                    </a:xfrm>
                    <a:prstGeom prst="rect">
                      <a:avLst/>
                    </a:prstGeom>
                    <a:noFill/>
                    <a:ln>
                      <a:noFill/>
                    </a:ln>
                  </pic:spPr>
                </pic:pic>
              </a:graphicData>
            </a:graphic>
          </wp:inline>
        </w:drawing>
      </w:r>
    </w:p>
    <w:p w:rsidR="002F3917" w:rsidRPr="00532B26" w:rsidRDefault="002F3917" w:rsidP="00532B26">
      <w:pPr>
        <w:pStyle w:val="Heading5"/>
      </w:pPr>
      <w:r w:rsidRPr="00835E0F">
        <w:t>O</w:t>
      </w:r>
      <w:r>
        <w:t>PR reviewer comment</w:t>
      </w:r>
    </w:p>
    <w:p w:rsidR="002F3917" w:rsidRPr="002F3917" w:rsidRDefault="002F3917" w:rsidP="00532B26">
      <w:r w:rsidRPr="002F3917">
        <w:t>Notwithsta</w:t>
      </w:r>
      <w:r w:rsidR="002B05C3">
        <w:t>nding the evaluation of the non</w:t>
      </w:r>
      <w:r w:rsidRPr="002F3917">
        <w:t>clinical and clinical asp</w:t>
      </w:r>
      <w:r w:rsidR="00F251BC">
        <w:t>ects of the Safety Specification</w:t>
      </w:r>
      <w:r w:rsidRPr="002F3917">
        <w:t>, this is not acceptable as a complete list of ongoing safety concerns.</w:t>
      </w:r>
    </w:p>
    <w:p w:rsidR="002F3917" w:rsidRPr="007C27DB" w:rsidRDefault="002F3917" w:rsidP="00532B26">
      <w:r w:rsidRPr="007C27DB">
        <w:t>Currently, clinical data investigating the tolerability and safety profile of lurasidone have been limited to short-term studies and minimal compara</w:t>
      </w:r>
      <w:r w:rsidR="007C3317">
        <w:t>tive studies</w:t>
      </w:r>
      <w:r w:rsidRPr="007C27DB">
        <w:t>.</w:t>
      </w:r>
      <w:r w:rsidR="007C3317">
        <w:rPr>
          <w:rStyle w:val="FootnoteReference"/>
        </w:rPr>
        <w:footnoteReference w:id="34"/>
      </w:r>
      <w:r w:rsidRPr="007C27DB">
        <w:t xml:space="preserve"> In light of this, it is important to include the well characterised consequences of drugs that block the D2 receptor in the list of ongoing safety concerns. Although some studies have not shown significant signals for certain safety concerns for lurasidone, such as weight gain</w:t>
      </w:r>
      <w:r w:rsidR="00202D46">
        <w:t xml:space="preserve"> </w:t>
      </w:r>
      <w:r w:rsidRPr="007C27DB">
        <w:t xml:space="preserve">and </w:t>
      </w:r>
      <w:proofErr w:type="spellStart"/>
      <w:r w:rsidRPr="007C27DB">
        <w:t>QTc</w:t>
      </w:r>
      <w:proofErr w:type="spellEnd"/>
      <w:r w:rsidRPr="007C27DB">
        <w:t xml:space="preserve"> prolongation</w:t>
      </w:r>
      <w:r w:rsidR="00202D46">
        <w:t>,</w:t>
      </w:r>
      <w:r w:rsidR="00202D46">
        <w:rPr>
          <w:rStyle w:val="FootnoteReference"/>
        </w:rPr>
        <w:footnoteReference w:id="35"/>
      </w:r>
      <w:r w:rsidRPr="007C27DB">
        <w:t xml:space="preserve"> additional studies including long</w:t>
      </w:r>
      <w:r w:rsidR="00202D46">
        <w:t xml:space="preserve"> t</w:t>
      </w:r>
      <w:r w:rsidRPr="007C27DB">
        <w:t>erm trials are required before this can be appropriately removed from the list of ongoing safety concerns for lurasidone.</w:t>
      </w:r>
    </w:p>
    <w:p w:rsidR="002F3917" w:rsidRPr="002F3917" w:rsidRDefault="002F3917" w:rsidP="00532B26">
      <w:r w:rsidRPr="002F3917">
        <w:t>The safety concerns listed below should be further elucidated through appropriate pharmacovigilance and risk minimisation activities, unless the sponsor can provide compelling justification for their exclusion:</w:t>
      </w:r>
    </w:p>
    <w:p w:rsidR="002F3917" w:rsidRPr="00835E0F" w:rsidRDefault="002F3917" w:rsidP="00532B26">
      <w:pPr>
        <w:pStyle w:val="ListBullet"/>
      </w:pPr>
      <w:r w:rsidRPr="00835E0F">
        <w:t>Somnolence:</w:t>
      </w:r>
    </w:p>
    <w:p w:rsidR="002F3917" w:rsidRPr="00835E0F" w:rsidRDefault="002F3917" w:rsidP="00532B26">
      <w:pPr>
        <w:pStyle w:val="ListBullet2"/>
      </w:pPr>
      <w:r w:rsidRPr="00835E0F">
        <w:t xml:space="preserve">In </w:t>
      </w:r>
      <w:r w:rsidR="003F192C">
        <w:t>S</w:t>
      </w:r>
      <w:r w:rsidRPr="00835E0F">
        <w:t xml:space="preserve">tudy P23STC, the number (%) </w:t>
      </w:r>
      <w:r w:rsidRPr="00532B26">
        <w:t>of</w:t>
      </w:r>
      <w:r w:rsidRPr="00835E0F">
        <w:t xml:space="preserve"> lurasidone</w:t>
      </w:r>
      <w:r w:rsidR="00A243D1">
        <w:t xml:space="preserve"> </w:t>
      </w:r>
      <w:r w:rsidRPr="00835E0F">
        <w:t>treated subjects who experienced somnolence was 17.0% compared to 7.1% of placebo subjects. In P23LTC</w:t>
      </w:r>
      <w:r w:rsidR="00A243D1">
        <w:t>,</w:t>
      </w:r>
      <w:r w:rsidRPr="00835E0F">
        <w:t xml:space="preserve"> 10.1% of lurasidone treated subjects experienced somnolence compared to 4.7% subjects on </w:t>
      </w:r>
      <w:proofErr w:type="spellStart"/>
      <w:r w:rsidRPr="00835E0F">
        <w:t>quetiapine</w:t>
      </w:r>
      <w:proofErr w:type="spellEnd"/>
      <w:r>
        <w:t>.</w:t>
      </w:r>
    </w:p>
    <w:p w:rsidR="002F3917" w:rsidRPr="00835E0F" w:rsidRDefault="002F3917" w:rsidP="00532B26">
      <w:pPr>
        <w:pStyle w:val="ListBullet2"/>
      </w:pPr>
      <w:r w:rsidRPr="00835E0F">
        <w:t>Sanford</w:t>
      </w:r>
      <w:r w:rsidR="008F0030">
        <w:rPr>
          <w:rStyle w:val="FootnoteReference"/>
        </w:rPr>
        <w:footnoteReference w:id="36"/>
      </w:r>
      <w:r w:rsidRPr="00835E0F">
        <w:t xml:space="preserve"> reports somnolence as </w:t>
      </w:r>
      <w:r w:rsidRPr="00532B26">
        <w:t>one</w:t>
      </w:r>
      <w:r w:rsidRPr="00835E0F">
        <w:t xml:space="preserve"> of the most frequently occurring </w:t>
      </w:r>
      <w:r w:rsidR="00A243D1">
        <w:t>AEs</w:t>
      </w:r>
      <w:r w:rsidRPr="00835E0F">
        <w:t xml:space="preserve"> in the 6</w:t>
      </w:r>
      <w:r w:rsidR="00A243D1">
        <w:t xml:space="preserve"> </w:t>
      </w:r>
      <w:r w:rsidRPr="00835E0F">
        <w:t>week placebo controlled trials with lurasidone.</w:t>
      </w:r>
    </w:p>
    <w:p w:rsidR="002F3917" w:rsidRPr="00835E0F" w:rsidRDefault="002F3917" w:rsidP="00532B26">
      <w:pPr>
        <w:pStyle w:val="ListBullet2"/>
      </w:pPr>
      <w:r w:rsidRPr="00835E0F">
        <w:t xml:space="preserve">This is a well characterised </w:t>
      </w:r>
      <w:r w:rsidRPr="00532B26">
        <w:t>pharmacological</w:t>
      </w:r>
      <w:r w:rsidRPr="00835E0F">
        <w:t xml:space="preserve"> class effect.</w:t>
      </w:r>
    </w:p>
    <w:p w:rsidR="002F3917" w:rsidRDefault="002F3917" w:rsidP="00532B26">
      <w:pPr>
        <w:pStyle w:val="ListBullet"/>
      </w:pPr>
      <w:proofErr w:type="spellStart"/>
      <w:r w:rsidRPr="00835E0F">
        <w:rPr>
          <w:rFonts w:eastAsia="TimesNewRoman"/>
          <w:lang w:eastAsia="en-AU"/>
        </w:rPr>
        <w:t>Hyperprolactinaemia</w:t>
      </w:r>
      <w:proofErr w:type="spellEnd"/>
      <w:r>
        <w:rPr>
          <w:rFonts w:eastAsia="TimesNewRoman"/>
          <w:lang w:eastAsia="en-AU"/>
        </w:rPr>
        <w:t xml:space="preserve"> and </w:t>
      </w:r>
      <w:r w:rsidR="00A243D1">
        <w:t>AE</w:t>
      </w:r>
      <w:r w:rsidRPr="00A41331">
        <w:t xml:space="preserve">s related </w:t>
      </w:r>
      <w:r w:rsidRPr="00532B26">
        <w:t>t</w:t>
      </w:r>
      <w:r w:rsidR="00A243D1" w:rsidRPr="00532B26">
        <w:t>o</w:t>
      </w:r>
      <w:r w:rsidR="00A243D1">
        <w:t xml:space="preserve"> </w:t>
      </w:r>
      <w:proofErr w:type="spellStart"/>
      <w:r w:rsidR="00A243D1">
        <w:t>hyperprolactinaemia</w:t>
      </w:r>
      <w:proofErr w:type="spellEnd"/>
      <w:r w:rsidR="00A243D1">
        <w:t xml:space="preserve"> (for example, </w:t>
      </w:r>
      <w:r w:rsidRPr="00A41331">
        <w:t>reproductive system abnormalities, decreased bone mineralisation)</w:t>
      </w:r>
    </w:p>
    <w:p w:rsidR="002F3917" w:rsidRPr="006F4400" w:rsidRDefault="00A243D1" w:rsidP="00532B26">
      <w:pPr>
        <w:pStyle w:val="ListBullet2"/>
      </w:pPr>
      <w:proofErr w:type="spellStart"/>
      <w:r>
        <w:t>Potkin</w:t>
      </w:r>
      <w:proofErr w:type="spellEnd"/>
      <w:r>
        <w:t xml:space="preserve"> and colleagues</w:t>
      </w:r>
      <w:r>
        <w:rPr>
          <w:rStyle w:val="FootnoteReference"/>
        </w:rPr>
        <w:footnoteReference w:id="37"/>
      </w:r>
      <w:r>
        <w:t xml:space="preserve"> </w:t>
      </w:r>
      <w:r w:rsidR="002F3917" w:rsidRPr="006F4400">
        <w:t xml:space="preserve">showed </w:t>
      </w:r>
      <w:r w:rsidR="002F3917" w:rsidRPr="00532B26">
        <w:t>that</w:t>
      </w:r>
      <w:r w:rsidR="002F3917" w:rsidRPr="006F4400">
        <w:t xml:space="preserve"> there was a higher incidence of “marked” elevations in prolactin in lurasidone treated patients (27%) compared to those on </w:t>
      </w:r>
      <w:proofErr w:type="spellStart"/>
      <w:r w:rsidR="002F3917" w:rsidRPr="006F4400">
        <w:lastRenderedPageBreak/>
        <w:t>ziprasidone</w:t>
      </w:r>
      <w:proofErr w:type="spellEnd"/>
      <w:r w:rsidR="002F3917" w:rsidRPr="006F4400">
        <w:t xml:space="preserve"> (16%</w:t>
      </w:r>
      <w:r>
        <w:t>)</w:t>
      </w:r>
      <w:r w:rsidR="002F3917" w:rsidRPr="006F4400">
        <w:t xml:space="preserve">. This finding was also reflected in the results of a </w:t>
      </w:r>
      <w:proofErr w:type="spellStart"/>
      <w:proofErr w:type="gramStart"/>
      <w:r w:rsidR="002F3917" w:rsidRPr="006F4400">
        <w:t>me</w:t>
      </w:r>
      <w:r>
        <w:t>ta</w:t>
      </w:r>
      <w:proofErr w:type="gramEnd"/>
      <w:r w:rsidR="00BA7C0A">
        <w:t xml:space="preserve"> </w:t>
      </w:r>
      <w:r>
        <w:t>analysis</w:t>
      </w:r>
      <w:proofErr w:type="spellEnd"/>
      <w:r>
        <w:t xml:space="preserve"> by </w:t>
      </w:r>
      <w:proofErr w:type="spellStart"/>
      <w:r>
        <w:t>Leucht</w:t>
      </w:r>
      <w:proofErr w:type="spellEnd"/>
      <w:r>
        <w:t xml:space="preserve"> and colleagues</w:t>
      </w:r>
      <w:r w:rsidR="002F3917" w:rsidRPr="006F4400">
        <w:t>.</w:t>
      </w:r>
      <w:r w:rsidR="0088611D">
        <w:rPr>
          <w:rStyle w:val="FootnoteReference"/>
        </w:rPr>
        <w:footnoteReference w:id="38"/>
      </w:r>
    </w:p>
    <w:p w:rsidR="002F3917" w:rsidRPr="005407CC" w:rsidRDefault="0088611D" w:rsidP="00532B26">
      <w:pPr>
        <w:pStyle w:val="ListBullet2"/>
      </w:pPr>
      <w:r>
        <w:t>Owen</w:t>
      </w:r>
      <w:r>
        <w:rPr>
          <w:rStyle w:val="FootnoteReference"/>
        </w:rPr>
        <w:footnoteReference w:id="39"/>
      </w:r>
      <w:r>
        <w:t xml:space="preserve"> notes</w:t>
      </w:r>
      <w:r w:rsidR="002F3917">
        <w:t xml:space="preserve"> that raised prolactin levels in short</w:t>
      </w:r>
      <w:r>
        <w:t xml:space="preserve"> </w:t>
      </w:r>
      <w:r w:rsidR="002F3917">
        <w:t xml:space="preserve">term </w:t>
      </w:r>
      <w:r w:rsidR="002F3917" w:rsidRPr="00532B26">
        <w:t>studies</w:t>
      </w:r>
      <w:r w:rsidR="002F3917">
        <w:t xml:space="preserve"> were dose</w:t>
      </w:r>
      <w:r>
        <w:t xml:space="preserve"> </w:t>
      </w:r>
      <w:r w:rsidR="002F3917">
        <w:t>dependent and</w:t>
      </w:r>
      <w:r>
        <w:t xml:space="preserve"> greater in females</w:t>
      </w:r>
      <w:r w:rsidR="002F3917">
        <w:t>.</w:t>
      </w:r>
    </w:p>
    <w:p w:rsidR="002F3917" w:rsidRDefault="002F3917" w:rsidP="00532B26">
      <w:pPr>
        <w:pStyle w:val="ListBullet"/>
      </w:pPr>
      <w:proofErr w:type="spellStart"/>
      <w:r>
        <w:t>QTc</w:t>
      </w:r>
      <w:proofErr w:type="spellEnd"/>
      <w:r>
        <w:t xml:space="preserve"> Prolongation</w:t>
      </w:r>
    </w:p>
    <w:p w:rsidR="002F3917" w:rsidRPr="00243759" w:rsidRDefault="002F3917" w:rsidP="00532B26">
      <w:pPr>
        <w:pStyle w:val="ListBullet2"/>
      </w:pPr>
      <w:r w:rsidRPr="00243759">
        <w:t xml:space="preserve">This is an important safety </w:t>
      </w:r>
      <w:r w:rsidRPr="00532B26">
        <w:t>concern</w:t>
      </w:r>
      <w:r w:rsidRPr="00243759">
        <w:t xml:space="preserve"> that must be considered with all antipsychotic medications. While studies to date have shown lurasidone may have a low signal fo</w:t>
      </w:r>
      <w:r w:rsidR="00F279C7">
        <w:t xml:space="preserve">r </w:t>
      </w:r>
      <w:proofErr w:type="spellStart"/>
      <w:r w:rsidR="00F279C7">
        <w:t>QTc</w:t>
      </w:r>
      <w:proofErr w:type="spellEnd"/>
      <w:r w:rsidR="00F279C7">
        <w:t xml:space="preserve"> prolongation</w:t>
      </w:r>
      <w:r w:rsidRPr="00243759">
        <w:t>,</w:t>
      </w:r>
      <w:r w:rsidR="00F279C7">
        <w:rPr>
          <w:rStyle w:val="FootnoteReference"/>
        </w:rPr>
        <w:footnoteReference w:id="40"/>
      </w:r>
      <w:r w:rsidRPr="00243759">
        <w:t xml:space="preserve"> further study is required to elucidate this risk.</w:t>
      </w:r>
      <w:r w:rsidRPr="008516F3">
        <w:t xml:space="preserve"> </w:t>
      </w:r>
      <w:r w:rsidRPr="00243759">
        <w:t>It is</w:t>
      </w:r>
      <w:r>
        <w:t xml:space="preserve"> also</w:t>
      </w:r>
      <w:r w:rsidRPr="00243759">
        <w:t xml:space="preserve"> noted that </w:t>
      </w:r>
      <w:proofErr w:type="spellStart"/>
      <w:r w:rsidRPr="00243759">
        <w:t>QTc</w:t>
      </w:r>
      <w:proofErr w:type="spellEnd"/>
      <w:r w:rsidRPr="00243759">
        <w:t xml:space="preserve"> prolongation is not included by the sponsor in the list o</w:t>
      </w:r>
      <w:r>
        <w:t>f pharmacological class effects in the EU RMP. This should be amended.</w:t>
      </w:r>
    </w:p>
    <w:p w:rsidR="002F3917" w:rsidRPr="00DE12A5" w:rsidRDefault="002F3917" w:rsidP="00532B26">
      <w:pPr>
        <w:pStyle w:val="ListBullet"/>
      </w:pPr>
      <w:r w:rsidRPr="00DE12A5">
        <w:t>Third trimester exposure during pregnancy and risk to neonates</w:t>
      </w:r>
    </w:p>
    <w:p w:rsidR="002F3917" w:rsidRPr="00DE12A5" w:rsidRDefault="002F3917" w:rsidP="00532B26">
      <w:pPr>
        <w:pStyle w:val="ListBullet"/>
      </w:pPr>
      <w:r w:rsidRPr="00DE12A5">
        <w:t>Suicidal behaviour</w:t>
      </w:r>
    </w:p>
    <w:p w:rsidR="002F3917" w:rsidRPr="00DE12A5" w:rsidRDefault="002F3917" w:rsidP="00532B26">
      <w:pPr>
        <w:pStyle w:val="ListBullet"/>
      </w:pPr>
      <w:proofErr w:type="spellStart"/>
      <w:r w:rsidRPr="00DE12A5">
        <w:t>Leukopaenia</w:t>
      </w:r>
      <w:proofErr w:type="spellEnd"/>
      <w:r w:rsidRPr="00DE12A5">
        <w:t xml:space="preserve">, neutropenia, </w:t>
      </w:r>
      <w:proofErr w:type="spellStart"/>
      <w:r w:rsidRPr="00DE12A5">
        <w:t>agranulocytosis</w:t>
      </w:r>
      <w:proofErr w:type="spellEnd"/>
    </w:p>
    <w:p w:rsidR="002F3917" w:rsidRPr="00DE12A5" w:rsidRDefault="002F3917" w:rsidP="00532B26">
      <w:pPr>
        <w:pStyle w:val="ListBullet"/>
      </w:pPr>
      <w:r w:rsidRPr="00DE12A5">
        <w:t>Temperature dysregulation</w:t>
      </w:r>
    </w:p>
    <w:p w:rsidR="002F3917" w:rsidRPr="00DE12A5" w:rsidRDefault="002F3917" w:rsidP="00532B26">
      <w:pPr>
        <w:pStyle w:val="ListBullet"/>
      </w:pPr>
      <w:r w:rsidRPr="00DE12A5">
        <w:t>Dyslipidaemia</w:t>
      </w:r>
    </w:p>
    <w:p w:rsidR="002F3917" w:rsidRPr="00DE12A5" w:rsidRDefault="002F3917" w:rsidP="00532B26">
      <w:pPr>
        <w:pStyle w:val="ListBullet"/>
      </w:pPr>
      <w:r w:rsidRPr="00DE12A5">
        <w:t>Weight gain</w:t>
      </w:r>
    </w:p>
    <w:p w:rsidR="002F3917" w:rsidRPr="00DE12A5" w:rsidRDefault="002F3917" w:rsidP="00532B26">
      <w:pPr>
        <w:pStyle w:val="ListBullet"/>
      </w:pPr>
      <w:r w:rsidRPr="00DE12A5">
        <w:t>Orthostatic hypotension</w:t>
      </w:r>
    </w:p>
    <w:p w:rsidR="002F3917" w:rsidRPr="00DE12A5" w:rsidRDefault="002F3917" w:rsidP="00532B26">
      <w:pPr>
        <w:pStyle w:val="ListBullet"/>
      </w:pPr>
      <w:r w:rsidRPr="00DE12A5">
        <w:t>Hyperglycaemia/diabetes mellitus</w:t>
      </w:r>
    </w:p>
    <w:p w:rsidR="002F3917" w:rsidRPr="00DE12A5" w:rsidRDefault="002F3917" w:rsidP="00532B26">
      <w:pPr>
        <w:pStyle w:val="ListBullet"/>
      </w:pPr>
      <w:r w:rsidRPr="00DE12A5">
        <w:t>Venous thromboembolism</w:t>
      </w:r>
    </w:p>
    <w:p w:rsidR="002F3917" w:rsidRPr="00DE12A5" w:rsidRDefault="002F3917" w:rsidP="00532B26">
      <w:r w:rsidRPr="00DE12A5">
        <w:t>It is also recommended that the following be added to the ongoing safety concerns:</w:t>
      </w:r>
    </w:p>
    <w:p w:rsidR="002F3917" w:rsidRPr="00532B26" w:rsidRDefault="002F3917" w:rsidP="00532B26">
      <w:pPr>
        <w:pStyle w:val="ListBullet"/>
      </w:pPr>
      <w:r w:rsidRPr="00835E0F">
        <w:t>Dysphagia:</w:t>
      </w:r>
    </w:p>
    <w:p w:rsidR="002F3917" w:rsidRPr="006F4400" w:rsidRDefault="002F3917" w:rsidP="00532B26">
      <w:pPr>
        <w:pStyle w:val="ListBullet2"/>
      </w:pPr>
      <w:r w:rsidRPr="006F4400">
        <w:t>There is a known link between antipsychotic drug therapy and dysphagia, especially in the elderly, with subsequent aspiration pneumonia a major cause of morbidity and mortality in this gro</w:t>
      </w:r>
      <w:r w:rsidR="006E30D4">
        <w:t>up.</w:t>
      </w:r>
      <w:r w:rsidR="006E30D4">
        <w:rPr>
          <w:rStyle w:val="FootnoteReference"/>
        </w:rPr>
        <w:footnoteReference w:id="41"/>
      </w:r>
      <w:r w:rsidR="006E30D4">
        <w:t xml:space="preserve"> </w:t>
      </w:r>
      <w:r w:rsidRPr="006F4400">
        <w:t>In light of the 2011 Survey of High Impact Psychosis (SHIP) Australian study showing that elderly patients may constitute a substantial portion of the proposed lurasidone treatment population in Australia, this risk should be included in the ongoing safety concerns and discussed appropriately in th</w:t>
      </w:r>
      <w:r w:rsidR="00595CCA">
        <w:t>e PI.</w:t>
      </w:r>
      <w:r w:rsidR="00595CCA">
        <w:rPr>
          <w:rStyle w:val="FootnoteReference"/>
        </w:rPr>
        <w:footnoteReference w:id="42"/>
      </w:r>
    </w:p>
    <w:p w:rsidR="00DE12A5" w:rsidRPr="00532B26" w:rsidRDefault="002F3917" w:rsidP="00532B26">
      <w:pPr>
        <w:pStyle w:val="ListBullet2"/>
      </w:pPr>
      <w:r w:rsidRPr="00835E0F">
        <w:t>The FDA approved P</w:t>
      </w:r>
      <w:r>
        <w:t xml:space="preserve">roduct </w:t>
      </w:r>
      <w:r w:rsidRPr="00835E0F">
        <w:t>L</w:t>
      </w:r>
      <w:r>
        <w:t>abel</w:t>
      </w:r>
      <w:r w:rsidRPr="00835E0F">
        <w:t xml:space="preserve"> states:</w:t>
      </w:r>
    </w:p>
    <w:p w:rsidR="002F3917" w:rsidRPr="00532B26" w:rsidRDefault="002F3917" w:rsidP="00532B26">
      <w:pPr>
        <w:pStyle w:val="ListBullet2"/>
        <w:numPr>
          <w:ilvl w:val="0"/>
          <w:numId w:val="0"/>
        </w:numPr>
        <w:ind w:left="720"/>
        <w:rPr>
          <w:i/>
        </w:rPr>
      </w:pPr>
      <w:proofErr w:type="spellStart"/>
      <w:r w:rsidRPr="00532B26">
        <w:rPr>
          <w:i/>
        </w:rPr>
        <w:t>Esophageal</w:t>
      </w:r>
      <w:proofErr w:type="spellEnd"/>
      <w:r w:rsidRPr="00532B26">
        <w:rPr>
          <w:i/>
        </w:rPr>
        <w:t xml:space="preserve"> </w:t>
      </w:r>
      <w:proofErr w:type="spellStart"/>
      <w:r w:rsidRPr="00532B26">
        <w:rPr>
          <w:i/>
        </w:rPr>
        <w:t>dysmotility</w:t>
      </w:r>
      <w:proofErr w:type="spellEnd"/>
      <w:r w:rsidRPr="00532B26">
        <w:rPr>
          <w:i/>
        </w:rPr>
        <w:t xml:space="preserve"> and aspiration have been associated with antipsychotic drug use. Aspiration pneumonia is a common cause of morbidity and mortality in elderly patients, in particular those with advanced Alzheimer’s dementia. L</w:t>
      </w:r>
      <w:r w:rsidR="0025613C" w:rsidRPr="00532B26">
        <w:rPr>
          <w:i/>
        </w:rPr>
        <w:t>atuda</w:t>
      </w:r>
      <w:r w:rsidRPr="00532B26">
        <w:rPr>
          <w:i/>
        </w:rPr>
        <w:t xml:space="preserve"> and other antipsychotic drugs should be used cautiously in patients at</w:t>
      </w:r>
      <w:r w:rsidR="00DE12A5" w:rsidRPr="00532B26">
        <w:rPr>
          <w:i/>
        </w:rPr>
        <w:t xml:space="preserve"> risk for aspiration pneumonia.</w:t>
      </w:r>
    </w:p>
    <w:p w:rsidR="002F3917" w:rsidRPr="00835E0F" w:rsidRDefault="002F3917" w:rsidP="00532B26">
      <w:pPr>
        <w:pStyle w:val="ListBullet"/>
      </w:pPr>
      <w:r w:rsidRPr="00835E0F">
        <w:t>Elderly patients with dementia</w:t>
      </w:r>
      <w:r w:rsidR="0088611D">
        <w:t xml:space="preserve"> </w:t>
      </w:r>
      <w:r w:rsidRPr="00835E0F">
        <w:t>related psychosis:</w:t>
      </w:r>
    </w:p>
    <w:p w:rsidR="002F3917" w:rsidRPr="006F4400" w:rsidRDefault="002F3917" w:rsidP="00532B26">
      <w:pPr>
        <w:pStyle w:val="ListBullet2"/>
      </w:pPr>
      <w:r w:rsidRPr="006F4400">
        <w:lastRenderedPageBreak/>
        <w:t xml:space="preserve">It is noted that “elderly patients” is listed as important missing information in </w:t>
      </w:r>
      <w:r w:rsidR="0088611D">
        <w:t>Table 19</w:t>
      </w:r>
      <w:r w:rsidRPr="006F4400">
        <w:t>. However, the following issues regarding elderly patients with dementia</w:t>
      </w:r>
      <w:r w:rsidR="0088611D">
        <w:t xml:space="preserve"> </w:t>
      </w:r>
      <w:r w:rsidRPr="006F4400">
        <w:t>related psychosis</w:t>
      </w:r>
      <w:r w:rsidR="00431E88">
        <w:t xml:space="preserve"> </w:t>
      </w:r>
      <w:r w:rsidRPr="006F4400">
        <w:t>should also b</w:t>
      </w:r>
      <w:r w:rsidR="0088611D">
        <w:t>e specifically listed in the on</w:t>
      </w:r>
      <w:r w:rsidRPr="006F4400">
        <w:t>going safety concerns:</w:t>
      </w:r>
    </w:p>
    <w:p w:rsidR="002F3917" w:rsidRDefault="002F3917" w:rsidP="00532B26">
      <w:pPr>
        <w:pStyle w:val="ListBullet3"/>
      </w:pPr>
      <w:r w:rsidRPr="00835E0F">
        <w:t xml:space="preserve">There are known serious adverse outcomes in this group of patients, </w:t>
      </w:r>
      <w:r w:rsidRPr="00532B26">
        <w:t>including</w:t>
      </w:r>
      <w:r w:rsidRPr="00835E0F">
        <w:t xml:space="preserve"> </w:t>
      </w:r>
      <w:r w:rsidR="00646FD9">
        <w:t>cerebrovascular a</w:t>
      </w:r>
      <w:r w:rsidR="00646FD9" w:rsidRPr="00646FD9">
        <w:t xml:space="preserve">ccident </w:t>
      </w:r>
      <w:r w:rsidR="00646FD9">
        <w:t xml:space="preserve">(CVA) </w:t>
      </w:r>
      <w:r>
        <w:t xml:space="preserve">and </w:t>
      </w:r>
      <w:r w:rsidRPr="00835E0F">
        <w:t>increased mortality</w:t>
      </w:r>
      <w:r>
        <w:t>.</w:t>
      </w:r>
    </w:p>
    <w:p w:rsidR="002F3917" w:rsidRPr="00841B97" w:rsidRDefault="002F3917" w:rsidP="00532B26">
      <w:pPr>
        <w:pStyle w:val="ListBullet3"/>
      </w:pPr>
      <w:r w:rsidRPr="00841B97">
        <w:t xml:space="preserve">This is a known class effect with second generation antipsychotics and not adequately addressed in the lurasidone clinical development program due to the exclusion of this patient group. (See </w:t>
      </w:r>
      <w:r w:rsidR="00E57E2C">
        <w:t>below for</w:t>
      </w:r>
      <w:r w:rsidRPr="00841B97">
        <w:t xml:space="preserve"> recommendations in regards to appropriate risk minimisation f</w:t>
      </w:r>
      <w:r w:rsidR="00715B0E">
        <w:t>or this ongoing safety concern.)</w:t>
      </w:r>
    </w:p>
    <w:p w:rsidR="002F3917" w:rsidRPr="0068438A" w:rsidRDefault="002F3917" w:rsidP="00532B26">
      <w:pPr>
        <w:pStyle w:val="ListBullet"/>
      </w:pPr>
      <w:r w:rsidRPr="0068438A">
        <w:t>Malignancy:</w:t>
      </w:r>
    </w:p>
    <w:p w:rsidR="002F3917" w:rsidRPr="00835E0F" w:rsidRDefault="002F3917" w:rsidP="00532B26">
      <w:pPr>
        <w:pStyle w:val="ListBullet2"/>
      </w:pPr>
      <w:r>
        <w:t xml:space="preserve">Malignancy should be included as important missing information. </w:t>
      </w:r>
      <w:r w:rsidRPr="00835E0F">
        <w:t xml:space="preserve">In </w:t>
      </w:r>
      <w:r w:rsidRPr="00532B26">
        <w:t>animal</w:t>
      </w:r>
      <w:r w:rsidRPr="00835E0F">
        <w:t xml:space="preserve"> studies there has been increased incidence</w:t>
      </w:r>
      <w:r>
        <w:t xml:space="preserve"> </w:t>
      </w:r>
      <w:r w:rsidRPr="00835E0F">
        <w:t>of proliferative and/or neoplastic changes in the mammary and pituitary glands of rodents</w:t>
      </w:r>
      <w:r w:rsidR="00D155B1">
        <w:t xml:space="preserve"> (EU RMP</w:t>
      </w:r>
      <w:r>
        <w:t>)</w:t>
      </w:r>
      <w:r w:rsidRPr="00835E0F">
        <w:t>. The relevance of this increased incidence of prolactin</w:t>
      </w:r>
      <w:r w:rsidR="008D3A79">
        <w:t xml:space="preserve"> </w:t>
      </w:r>
      <w:r w:rsidRPr="00835E0F">
        <w:t>mediated tumours in terms of human risk is unknown.</w:t>
      </w:r>
    </w:p>
    <w:p w:rsidR="008E7846" w:rsidRPr="00532B26" w:rsidRDefault="008E7846" w:rsidP="00532B26">
      <w:pPr>
        <w:pStyle w:val="Heading4"/>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B45EF1" w:rsidRPr="000F5C1D" w:rsidRDefault="00B45EF1" w:rsidP="00532B26">
      <w:pPr>
        <w:pStyle w:val="Heading5"/>
      </w:pPr>
      <w:bookmarkStart w:id="145" w:name="_Toc336331574"/>
      <w:bookmarkStart w:id="146" w:name="_Toc360807544"/>
      <w:r w:rsidRPr="000F5C1D">
        <w:t xml:space="preserve">Proposed </w:t>
      </w:r>
      <w:proofErr w:type="spellStart"/>
      <w:r w:rsidRPr="00532B26">
        <w:t>pharmacovigilance</w:t>
      </w:r>
      <w:proofErr w:type="spellEnd"/>
      <w:r w:rsidRPr="000F5C1D">
        <w:t xml:space="preserve"> activities</w:t>
      </w:r>
      <w:bookmarkEnd w:id="145"/>
      <w:bookmarkEnd w:id="146"/>
    </w:p>
    <w:p w:rsidR="00B45EF1" w:rsidRPr="00B45EF1" w:rsidRDefault="00B45EF1" w:rsidP="00532B26">
      <w:r w:rsidRPr="00B45EF1">
        <w:t>The sponsor proposes routine pharmacovigilance activities for important identified risks, important potential risks and missing information (</w:t>
      </w:r>
      <w:r w:rsidR="008B4130">
        <w:t>Table 19</w:t>
      </w:r>
      <w:r w:rsidRPr="00B45EF1">
        <w:t xml:space="preserve">). Furthermore, additional activities are planned for some risks, with 4 ongoing studies and 1 proposed study. These are summarised in Table </w:t>
      </w:r>
      <w:r w:rsidR="00A65F95">
        <w:t>20</w:t>
      </w:r>
      <w:r w:rsidRPr="00B45EF1">
        <w:t xml:space="preserve"> utilising information from the EU-RMP and Australian ASA.</w:t>
      </w:r>
    </w:p>
    <w:p w:rsidR="006C27A3" w:rsidRPr="00856BA1" w:rsidRDefault="006C27A3" w:rsidP="00856BA1">
      <w:pPr>
        <w:pStyle w:val="TableTitle"/>
      </w:pPr>
      <w:proofErr w:type="gramStart"/>
      <w:r>
        <w:t>Table 19:</w:t>
      </w:r>
      <w:r w:rsidRPr="004C5C28">
        <w:t xml:space="preserve"> </w:t>
      </w:r>
      <w:r w:rsidR="00066034" w:rsidRPr="00066034">
        <w:t>Summary of safety concern</w:t>
      </w:r>
      <w:r w:rsidR="003D144F">
        <w:t>s</w:t>
      </w:r>
      <w:r w:rsidR="00066034" w:rsidRPr="00066034">
        <w:t xml:space="preserve"> and planned </w:t>
      </w:r>
      <w:proofErr w:type="spellStart"/>
      <w:r w:rsidR="00066034" w:rsidRPr="00066034">
        <w:t>pharmacovigilance</w:t>
      </w:r>
      <w:proofErr w:type="spellEnd"/>
      <w:r w:rsidR="00066034" w:rsidRPr="00066034">
        <w:t xml:space="preserve"> acti</w:t>
      </w:r>
      <w:r w:rsidR="00066034">
        <w:t>ons</w:t>
      </w:r>
      <w:r>
        <w:t>.</w:t>
      </w:r>
      <w:proofErr w:type="gramEnd"/>
    </w:p>
    <w:p w:rsidR="008E7846" w:rsidRDefault="00C85C44" w:rsidP="00856BA1">
      <w:pPr>
        <w:rPr>
          <w:lang w:eastAsia="en-AU"/>
        </w:rPr>
      </w:pPr>
      <w:r>
        <w:rPr>
          <w:noProof/>
          <w:lang w:eastAsia="en-AU"/>
        </w:rPr>
        <w:drawing>
          <wp:inline distT="0" distB="0" distL="0" distR="0" wp14:anchorId="59E11844" wp14:editId="2B6CDDAB">
            <wp:extent cx="3971925" cy="4510405"/>
            <wp:effectExtent l="0" t="0" r="9525" b="4445"/>
            <wp:docPr id="22" name="Picture 22" descr="Table 19: Summary of safety concerns and planned pharmacovigila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9: Summary of safety concerns and planned pharmacovigilance ac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4510405"/>
                    </a:xfrm>
                    <a:prstGeom prst="rect">
                      <a:avLst/>
                    </a:prstGeom>
                    <a:noFill/>
                    <a:ln>
                      <a:noFill/>
                    </a:ln>
                  </pic:spPr>
                </pic:pic>
              </a:graphicData>
            </a:graphic>
          </wp:inline>
        </w:drawing>
      </w:r>
    </w:p>
    <w:p w:rsidR="00814A54" w:rsidRDefault="00814A54" w:rsidP="00856BA1">
      <w:pPr>
        <w:pStyle w:val="TableTitle"/>
      </w:pPr>
      <w:r>
        <w:lastRenderedPageBreak/>
        <w:t>Table 20:</w:t>
      </w:r>
      <w:r w:rsidRPr="004C5C28">
        <w:t xml:space="preserve"> </w:t>
      </w:r>
      <w:r w:rsidR="00DF17B1" w:rsidRPr="00DF17B1">
        <w:t xml:space="preserve">OPR reviewer’s summary regarding </w:t>
      </w:r>
      <w:r w:rsidR="00DF17B1" w:rsidRPr="00856BA1">
        <w:t>additional</w:t>
      </w:r>
      <w:r w:rsidR="00DF17B1" w:rsidRPr="00DF17B1">
        <w:t xml:space="preserve"> </w:t>
      </w:r>
      <w:proofErr w:type="spellStart"/>
      <w:r w:rsidR="00DF17B1" w:rsidRPr="00DF17B1">
        <w:t>pharmacovigilance</w:t>
      </w:r>
      <w:proofErr w:type="spellEnd"/>
      <w:r w:rsidR="00DF17B1" w:rsidRPr="00DF17B1">
        <w:t xml:space="preserve"> activities planned by the sponsor for certain safety concerns</w:t>
      </w:r>
      <w:r>
        <w:t>.</w:t>
      </w:r>
    </w:p>
    <w:p w:rsidR="009D49BB" w:rsidRDefault="00C85C44" w:rsidP="00856BA1">
      <w:r>
        <w:rPr>
          <w:noProof/>
          <w:lang w:eastAsia="en-AU"/>
        </w:rPr>
        <w:drawing>
          <wp:inline distT="0" distB="0" distL="0" distR="0" wp14:anchorId="0A80B15B" wp14:editId="0620A76F">
            <wp:extent cx="4947920" cy="4583430"/>
            <wp:effectExtent l="0" t="0" r="5080" b="7620"/>
            <wp:docPr id="23" name="Picture 23" descr="Table 20: OPR reviewer’s summary regarding additional pharmacovigilance activities planned by the sponsor for certain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0: OPR reviewer’s summary regarding additional pharmacovigilance activities planned by the sponsor for certain safety concer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7920" cy="4583430"/>
                    </a:xfrm>
                    <a:prstGeom prst="rect">
                      <a:avLst/>
                    </a:prstGeom>
                    <a:noFill/>
                    <a:ln>
                      <a:noFill/>
                    </a:ln>
                  </pic:spPr>
                </pic:pic>
              </a:graphicData>
            </a:graphic>
          </wp:inline>
        </w:drawing>
      </w:r>
    </w:p>
    <w:p w:rsidR="00063F82" w:rsidRPr="009D49BB" w:rsidRDefault="000F5C1D" w:rsidP="00856BA1">
      <w:r w:rsidRPr="009D49BB">
        <w:t>In the ASA, the sponsor states</w:t>
      </w:r>
      <w:r w:rsidR="00063F82" w:rsidRPr="009D49BB">
        <w:t>:</w:t>
      </w:r>
    </w:p>
    <w:p w:rsidR="000F5C1D" w:rsidRPr="00856BA1" w:rsidRDefault="000F5C1D" w:rsidP="00856BA1">
      <w:pPr>
        <w:ind w:left="720"/>
        <w:rPr>
          <w:i/>
        </w:rPr>
      </w:pPr>
      <w:r w:rsidRPr="00856BA1">
        <w:rPr>
          <w:i/>
        </w:rPr>
        <w:t>The additional risk minimisation activities, Drug Utilisation Studies and p</w:t>
      </w:r>
      <w:r w:rsidR="006F2A62" w:rsidRPr="00856BA1">
        <w:rPr>
          <w:i/>
        </w:rPr>
        <w:t>a</w:t>
      </w:r>
      <w:r w:rsidRPr="00856BA1">
        <w:rPr>
          <w:i/>
        </w:rPr>
        <w:t>ediatric studies, proposed in the EU-RMP will</w:t>
      </w:r>
      <w:r w:rsidR="00063F82" w:rsidRPr="00856BA1">
        <w:rPr>
          <w:i/>
        </w:rPr>
        <w:t xml:space="preserve"> not be conducted in Australia.</w:t>
      </w:r>
    </w:p>
    <w:p w:rsidR="000F5C1D" w:rsidRPr="00856BA1" w:rsidRDefault="000F5C1D" w:rsidP="00856BA1">
      <w:pPr>
        <w:pStyle w:val="Heading6"/>
      </w:pPr>
      <w:r w:rsidRPr="000F5C1D">
        <w:t>Drug Utilisation Study Overview (</w:t>
      </w:r>
      <w:r w:rsidR="006F2A62">
        <w:rPr>
          <w:rFonts w:eastAsia="TimesNewRoman"/>
        </w:rPr>
        <w:t>Draft protocol dated 12</w:t>
      </w:r>
      <w:r w:rsidRPr="000F5C1D">
        <w:rPr>
          <w:rFonts w:eastAsia="TimesNewRoman"/>
        </w:rPr>
        <w:t xml:space="preserve"> September 2012)</w:t>
      </w:r>
    </w:p>
    <w:p w:rsidR="000F5C1D" w:rsidRPr="000F5C1D" w:rsidRDefault="000F5C1D" w:rsidP="00856BA1">
      <w:r w:rsidRPr="000F5C1D">
        <w:t xml:space="preserve">The Drug Utilisation Study (DUS) is proposed to enrol 1000 patients. Eligible patients will be aged &gt; 18 years, registered with a general practice participating in the Clinical Practice Research </w:t>
      </w:r>
      <w:proofErr w:type="spellStart"/>
      <w:r w:rsidRPr="000F5C1D">
        <w:t>Datalink</w:t>
      </w:r>
      <w:proofErr w:type="spellEnd"/>
      <w:r w:rsidRPr="000F5C1D">
        <w:t xml:space="preserve"> (CPRD), who received a first time prescription for lurasidone in primary care on or after the active marketing launch date. This can be either as a monotherapy or in a combination therapy with another antipsychotic drug. Patients will be excluded who:</w:t>
      </w:r>
    </w:p>
    <w:p w:rsidR="000F5C1D" w:rsidRPr="000F5C1D" w:rsidRDefault="000F5C1D" w:rsidP="00856BA1">
      <w:pPr>
        <w:pStyle w:val="ListBullet"/>
      </w:pPr>
      <w:r w:rsidRPr="000F5C1D">
        <w:t>Have less than 12 months of computerised data prior to the index date; date of start of computeri</w:t>
      </w:r>
      <w:r w:rsidR="006F2A62">
        <w:t>s</w:t>
      </w:r>
      <w:r w:rsidRPr="000F5C1D">
        <w:t>ed records will be the latter of the patient’s date of registration with the practice or the practice’s “up</w:t>
      </w:r>
      <w:r w:rsidR="00862384">
        <w:t xml:space="preserve"> </w:t>
      </w:r>
      <w:r w:rsidRPr="000F5C1D">
        <w:t>to</w:t>
      </w:r>
      <w:r w:rsidR="00862384">
        <w:t xml:space="preserve"> </w:t>
      </w:r>
      <w:r w:rsidRPr="000F5C1D">
        <w:t>standard” (UTS) date (date the practice is deemed to have reached an acceptable standard of data recording)</w:t>
      </w:r>
      <w:r w:rsidR="00EE2463">
        <w:t>;</w:t>
      </w:r>
    </w:p>
    <w:p w:rsidR="000F5C1D" w:rsidRPr="000F5C1D" w:rsidRDefault="000F5C1D" w:rsidP="00856BA1">
      <w:pPr>
        <w:pStyle w:val="ListBullet"/>
      </w:pPr>
      <w:r w:rsidRPr="000F5C1D">
        <w:t xml:space="preserve">Not considered as “acceptable” according to CPRD’s data quality </w:t>
      </w:r>
      <w:r w:rsidRPr="00856BA1">
        <w:t>criteria</w:t>
      </w:r>
      <w:r w:rsidR="00EE2463">
        <w:t>;</w:t>
      </w:r>
    </w:p>
    <w:p w:rsidR="000F5C1D" w:rsidRPr="000F5C1D" w:rsidRDefault="000F5C1D" w:rsidP="00856BA1">
      <w:pPr>
        <w:pStyle w:val="ListBullet"/>
      </w:pPr>
      <w:r w:rsidRPr="000F5C1D">
        <w:t>Who receive a lurasidone prescription after the 1000th eligible patient has been enrolled into the study</w:t>
      </w:r>
      <w:r w:rsidR="00EE2463">
        <w:t>;</w:t>
      </w:r>
    </w:p>
    <w:p w:rsidR="000F5C1D" w:rsidRPr="000F5C1D" w:rsidRDefault="000F5C1D" w:rsidP="00856BA1">
      <w:pPr>
        <w:pStyle w:val="ListBullet"/>
      </w:pPr>
      <w:r w:rsidRPr="000F5C1D">
        <w:t xml:space="preserve">Who have an index date prior to the UTS </w:t>
      </w:r>
      <w:proofErr w:type="gramStart"/>
      <w:r w:rsidRPr="000F5C1D">
        <w:t>date</w:t>
      </w:r>
      <w:r w:rsidR="00EE2463">
        <w:t>.</w:t>
      </w:r>
      <w:proofErr w:type="gramEnd"/>
    </w:p>
    <w:p w:rsidR="000F5C1D" w:rsidRPr="000F5C1D" w:rsidRDefault="000F5C1D" w:rsidP="00856BA1">
      <w:r w:rsidRPr="000F5C1D">
        <w:lastRenderedPageBreak/>
        <w:t xml:space="preserve">Outcomes of the study are: demographics, comorbidity and </w:t>
      </w:r>
      <w:proofErr w:type="spellStart"/>
      <w:r w:rsidRPr="000F5C1D">
        <w:t>comedication</w:t>
      </w:r>
      <w:proofErr w:type="spellEnd"/>
      <w:r w:rsidRPr="000F5C1D">
        <w:t xml:space="preserve"> characteristics, potential indication for lurasidone, and patterns of onset of index lurasidone therapy.</w:t>
      </w:r>
    </w:p>
    <w:p w:rsidR="000F5C1D" w:rsidRPr="000F5C1D" w:rsidRDefault="000F5C1D" w:rsidP="00856BA1">
      <w:r w:rsidRPr="000F5C1D">
        <w:t xml:space="preserve">The data source proposed is the </w:t>
      </w:r>
      <w:r w:rsidR="00EE2463">
        <w:t>CPRD</w:t>
      </w:r>
      <w:r w:rsidRPr="000F5C1D">
        <w:t>. This is a large UK based primary care database with an estimated 4 million active patients from 649</w:t>
      </w:r>
      <w:r w:rsidR="00FC1FEC">
        <w:t xml:space="preserve"> general practices. It is a sub</w:t>
      </w:r>
      <w:r w:rsidRPr="000F5C1D">
        <w:t>division of the Medicines and Healthcare Products Regulatory Agency (MHRA). This database has been previously used to investigate mental health and pharmaceutical therapies.</w:t>
      </w:r>
    </w:p>
    <w:p w:rsidR="000F5C1D" w:rsidRPr="000F5C1D" w:rsidRDefault="000F5C1D" w:rsidP="005901EB">
      <w:r w:rsidRPr="000F5C1D">
        <w:t>The milestones for this study include the Independent Scientific Advisory Committee</w:t>
      </w:r>
      <w:r w:rsidR="00EE2463">
        <w:t xml:space="preserve"> (</w:t>
      </w:r>
      <w:r w:rsidR="00EE2463" w:rsidRPr="000F5C1D">
        <w:t>ISAC</w:t>
      </w:r>
      <w:r w:rsidRPr="000F5C1D">
        <w:t>) approval. This is expected to be completed two months prior to the active marketing date of lurasidone. Data collection on the CPRD will commence six months after active marketing in the UK. Submission of patient enrolment updates to the Pharmacovigilance Risk Assessment Committee is proposed to occur at 6 month intervals. The study data collection period will cease 12 months after the date of enrolment of 1000th eligible patient. The final report is expected two months after this time (</w:t>
      </w:r>
      <w:r w:rsidR="00927AAB">
        <w:t>draft protocol dated 12</w:t>
      </w:r>
      <w:r w:rsidRPr="000F5C1D">
        <w:t xml:space="preserve"> September</w:t>
      </w:r>
      <w:r w:rsidR="00927AAB">
        <w:t xml:space="preserve"> 2012</w:t>
      </w:r>
      <w:r w:rsidRPr="000F5C1D">
        <w:t>).</w:t>
      </w:r>
    </w:p>
    <w:p w:rsidR="000F5C1D" w:rsidRPr="005901EB" w:rsidRDefault="000F5C1D" w:rsidP="005901EB">
      <w:pPr>
        <w:pStyle w:val="Heading5"/>
      </w:pPr>
      <w:bookmarkStart w:id="147" w:name="_Toc336331575"/>
      <w:bookmarkStart w:id="148" w:name="_Toc360807545"/>
      <w:r w:rsidRPr="000F5C1D">
        <w:t>OPR reviewer’s comments in regard to the pharmacovigilance plan (PP) and the appropriateness of milestones</w:t>
      </w:r>
      <w:bookmarkEnd w:id="147"/>
      <w:bookmarkEnd w:id="148"/>
    </w:p>
    <w:p w:rsidR="00DD68F7" w:rsidRPr="00DD68F7" w:rsidRDefault="00DD68F7" w:rsidP="005901EB">
      <w:r w:rsidRPr="00DD68F7">
        <w:t xml:space="preserve">The details/protocols for ongoing and completed studies have not been reviewed as part of this RMP evaluation. The sponsor has listed one planned study named the </w:t>
      </w:r>
      <w:r w:rsidR="000D76FC">
        <w:t>DUS</w:t>
      </w:r>
      <w:r w:rsidRPr="00DD68F7">
        <w:t>. If this application is approved, the final study report for D1050238 will be</w:t>
      </w:r>
      <w:r w:rsidR="005901EB">
        <w:t xml:space="preserve"> expected with the first PSUR.</w:t>
      </w:r>
    </w:p>
    <w:p w:rsidR="00DD68F7" w:rsidRPr="00835E0F" w:rsidRDefault="00DD68F7" w:rsidP="005901EB">
      <w:pPr>
        <w:pStyle w:val="Heading6"/>
      </w:pPr>
      <w:r w:rsidRPr="00835E0F">
        <w:t xml:space="preserve">Drug </w:t>
      </w:r>
      <w:r w:rsidR="005901EB">
        <w:t>u</w:t>
      </w:r>
      <w:r w:rsidRPr="00835E0F">
        <w:t xml:space="preserve">tilisation </w:t>
      </w:r>
      <w:r w:rsidR="005901EB" w:rsidRPr="005901EB">
        <w:t>s</w:t>
      </w:r>
      <w:r w:rsidRPr="005901EB">
        <w:t>tudy</w:t>
      </w:r>
    </w:p>
    <w:p w:rsidR="00DD68F7" w:rsidRPr="00DD68F7" w:rsidRDefault="00DD68F7" w:rsidP="005901EB">
      <w:r w:rsidRPr="00DD68F7">
        <w:t xml:space="preserve">The draft protocol for the proposed </w:t>
      </w:r>
      <w:r w:rsidR="00B241B6">
        <w:t>DUS</w:t>
      </w:r>
      <w:r w:rsidRPr="00DD68F7">
        <w:t xml:space="preserve"> (ASA Appendix C) presents a number of internal inconsistencies and does not adequately address the ongoing safety concerns that are assigned to this study. Issues include:</w:t>
      </w:r>
    </w:p>
    <w:p w:rsidR="00DD68F7" w:rsidRPr="00DD68F7" w:rsidRDefault="00DD68F7" w:rsidP="005901EB">
      <w:pPr>
        <w:pStyle w:val="ListBullet"/>
      </w:pPr>
      <w:r w:rsidRPr="00DD68F7">
        <w:t>The following ongoing safety concerns are assigned to this study (see EU-RMP). However</w:t>
      </w:r>
      <w:r w:rsidR="00B241B6">
        <w:t>,</w:t>
      </w:r>
      <w:r w:rsidRPr="00DD68F7">
        <w:t xml:space="preserve"> in th</w:t>
      </w:r>
      <w:r w:rsidR="00B241B6">
        <w:t>e study draft protocol dated 5</w:t>
      </w:r>
      <w:r w:rsidRPr="00DD68F7">
        <w:t xml:space="preserve"> September 2012, they are not listed as a variable that will be coded/investigated in the study:</w:t>
      </w:r>
    </w:p>
    <w:p w:rsidR="00DD68F7" w:rsidRPr="00DD68F7" w:rsidRDefault="00DD68F7" w:rsidP="005901EB">
      <w:pPr>
        <w:pStyle w:val="ListBullet2"/>
      </w:pPr>
      <w:r w:rsidRPr="00DD68F7">
        <w:t>Lurasidone use in renal impairment</w:t>
      </w:r>
      <w:r w:rsidR="00B241B6">
        <w:t>;</w:t>
      </w:r>
    </w:p>
    <w:p w:rsidR="00DD68F7" w:rsidRPr="00DD68F7" w:rsidRDefault="00DD68F7" w:rsidP="005901EB">
      <w:pPr>
        <w:pStyle w:val="ListBullet2"/>
      </w:pPr>
      <w:r w:rsidRPr="00DD68F7">
        <w:t>Lurasidone use in pregnancy and lactation</w:t>
      </w:r>
      <w:r w:rsidR="00B241B6">
        <w:t>.</w:t>
      </w:r>
    </w:p>
    <w:p w:rsidR="00DD68F7" w:rsidRPr="00DD68F7" w:rsidRDefault="00DD68F7" w:rsidP="005901EB">
      <w:pPr>
        <w:pStyle w:val="ListBullet"/>
      </w:pPr>
      <w:r w:rsidRPr="00DD68F7">
        <w:t>The ongoing safety concern of lurasidone use in “children and adolescents” is assigned to the study, however according to th</w:t>
      </w:r>
      <w:r w:rsidR="00B241B6">
        <w:t>e draft study protocol dated 5</w:t>
      </w:r>
      <w:r w:rsidRPr="00DD68F7">
        <w:t xml:space="preserve"> September</w:t>
      </w:r>
      <w:r w:rsidR="00B241B6">
        <w:t xml:space="preserve"> 2012,</w:t>
      </w:r>
      <w:r w:rsidRPr="00DD68F7">
        <w:t xml:space="preserve"> patients aged under 18</w:t>
      </w:r>
      <w:r w:rsidR="00B241B6">
        <w:t xml:space="preserve"> </w:t>
      </w:r>
      <w:r w:rsidRPr="00DD68F7">
        <w:t>y</w:t>
      </w:r>
      <w:r w:rsidR="00B241B6">
        <w:t>ea</w:t>
      </w:r>
      <w:r w:rsidRPr="00DD68F7">
        <w:t>rs will be excluded from the s</w:t>
      </w:r>
      <w:r w:rsidR="00B241B6">
        <w:t>tudy</w:t>
      </w:r>
      <w:r w:rsidR="005901EB">
        <w:t>.</w:t>
      </w:r>
    </w:p>
    <w:p w:rsidR="00DD68F7" w:rsidRPr="00DD68F7" w:rsidRDefault="00DD68F7" w:rsidP="005901EB">
      <w:pPr>
        <w:pStyle w:val="ListBullet"/>
      </w:pPr>
      <w:r w:rsidRPr="00DD68F7">
        <w:t>The study size of 1000 patients has not been adequately calculated as suitable for the “detailed description of drug utilisation and patient characterisation by the vari</w:t>
      </w:r>
      <w:r w:rsidR="00C42148">
        <w:t>ables of interest”</w:t>
      </w:r>
      <w:r w:rsidRPr="00DD68F7">
        <w:t>. There is no scientific basis for the size given, with the sponsor stating that “detailed sample size calculations will not be carried out”.</w:t>
      </w:r>
    </w:p>
    <w:p w:rsidR="00DD68F7" w:rsidRPr="00DD68F7" w:rsidRDefault="00DD68F7" w:rsidP="005901EB">
      <w:pPr>
        <w:pStyle w:val="ListBullet"/>
      </w:pPr>
      <w:r w:rsidRPr="00DD68F7">
        <w:t>The study is likely to capture more stable and treatment</w:t>
      </w:r>
      <w:r w:rsidR="00C42148">
        <w:t xml:space="preserve"> </w:t>
      </w:r>
      <w:r w:rsidRPr="00DD68F7">
        <w:t>responsive schizophrenia patients. As stated in the draft protocol, antipsychotic therapies initiated by a specialist will be missed. Furthermore, the study may only follow a narrow group of patients with similar demographic and socioeconomic backgrounds. This is due to the study excluding patients with less than 12 months of computerised data prior to commencing lurasidone, and will miss those who a</w:t>
      </w:r>
      <w:r w:rsidR="00C42148">
        <w:t>re unable to access a regular general practitioner (GP)</w:t>
      </w:r>
      <w:r w:rsidRPr="00DD68F7">
        <w:t>. Overall, while the study aim of investigating lurasidone prescribing in primary care may be met, it is not an adequate model to investigate many of the ongoing safety concerns assigned to this study.</w:t>
      </w:r>
    </w:p>
    <w:p w:rsidR="00DD68F7" w:rsidRPr="00DD68F7" w:rsidRDefault="00DD68F7" w:rsidP="005901EB">
      <w:pPr>
        <w:pStyle w:val="ListBullet"/>
      </w:pPr>
      <w:r w:rsidRPr="00DD68F7">
        <w:t xml:space="preserve">The data collection model of the study is limited and not adequate to investigate safety concerns. For example, only diagnoses for which the patient consulted a GP are captured in the CPRD. This leads to major misclassification of patients, especially when </w:t>
      </w:r>
      <w:r w:rsidRPr="00DD68F7">
        <w:lastRenderedPageBreak/>
        <w:t>specific safety concerns to be investigated in this study may not be a presenting complaint.</w:t>
      </w:r>
    </w:p>
    <w:p w:rsidR="00DD68F7" w:rsidRPr="00DD68F7" w:rsidRDefault="00DD68F7" w:rsidP="005901EB">
      <w:pPr>
        <w:pStyle w:val="ListBullet"/>
      </w:pPr>
      <w:r w:rsidRPr="00DD68F7">
        <w:t>As stated in the draft protocol, the results of this study can only be generalised to new initiators of lurasidone therapy in UK primary care and not to other healthcare settings and populations.</w:t>
      </w:r>
    </w:p>
    <w:p w:rsidR="00DD68F7" w:rsidRPr="00DD68F7" w:rsidRDefault="00DD68F7" w:rsidP="005901EB">
      <w:pPr>
        <w:pStyle w:val="ListBullet"/>
      </w:pPr>
      <w:r w:rsidRPr="00DD68F7">
        <w:t>It is also noted that the</w:t>
      </w:r>
      <w:r w:rsidR="00422EE3">
        <w:t xml:space="preserve"> draft protocol is dated 5</w:t>
      </w:r>
      <w:r w:rsidRPr="00DD68F7">
        <w:t xml:space="preserve"> September 2012 and updates may have been made since this time. If an updated version of this protocol is available, it should be submitted to the TGA for review.</w:t>
      </w:r>
    </w:p>
    <w:p w:rsidR="00DD68F7" w:rsidRPr="00DD68F7" w:rsidRDefault="00DD68F7" w:rsidP="005901EB">
      <w:pPr>
        <w:pStyle w:val="ListBullet"/>
      </w:pPr>
      <w:r w:rsidRPr="00DD68F7">
        <w:t>Lurasidone has n</w:t>
      </w:r>
      <w:r w:rsidR="00422EE3">
        <w:t xml:space="preserve">ot yet been approved in the EU; </w:t>
      </w:r>
      <w:r w:rsidRPr="00DD68F7">
        <w:t>however</w:t>
      </w:r>
      <w:r w:rsidR="00422EE3">
        <w:t>,</w:t>
      </w:r>
      <w:r w:rsidRPr="00DD68F7">
        <w:t xml:space="preserve"> the DUS study reli</w:t>
      </w:r>
      <w:r w:rsidR="00422EE3">
        <w:t>es upon use of the UK</w:t>
      </w:r>
      <w:r w:rsidRPr="00DD68F7">
        <w:t xml:space="preserve"> primary care database. If the application is not approved in the EU, the sponsor should clarify if an alternate study will be proposed.</w:t>
      </w:r>
    </w:p>
    <w:p w:rsidR="00DD68F7" w:rsidRPr="00016683" w:rsidRDefault="00DD68F7" w:rsidP="005901EB">
      <w:r w:rsidRPr="00016683">
        <w:t xml:space="preserve">Due to the above issues, the TGA will be seeking advice from the </w:t>
      </w:r>
      <w:r w:rsidR="009F3402">
        <w:t>A</w:t>
      </w:r>
      <w:r w:rsidR="009F3402" w:rsidRPr="009F3402">
        <w:t>dvisory Committee on the Safety of Medicines</w:t>
      </w:r>
      <w:r w:rsidR="009F3402">
        <w:t xml:space="preserve"> (ACSOM)</w:t>
      </w:r>
      <w:r w:rsidRPr="00016683">
        <w:t xml:space="preserve"> regarding the adequacy of this study protocol, the need for an alternative study plan if the application is rejected in the EU, and if an Australian specific study or registry should be undertaken. This will ensure that adequate activities are undertaken to investigate the ongoing safety concerns within the Australian population </w:t>
      </w:r>
      <w:r w:rsidR="00984341">
        <w:t xml:space="preserve">(see ACSOM questions </w:t>
      </w:r>
      <w:r w:rsidRPr="00016683">
        <w:t>below). Any draft study protocols should be submitted to the TGA for review.</w:t>
      </w:r>
    </w:p>
    <w:p w:rsidR="00DD68F7" w:rsidRPr="005901EB" w:rsidRDefault="00DD68F7" w:rsidP="005901EB">
      <w:pPr>
        <w:pStyle w:val="Heading6"/>
      </w:pPr>
      <w:r w:rsidRPr="00835E0F">
        <w:t xml:space="preserve">Paediatric </w:t>
      </w:r>
      <w:r w:rsidR="00016ECF">
        <w:t>s</w:t>
      </w:r>
      <w:r w:rsidRPr="00835E0F">
        <w:t>tudies</w:t>
      </w:r>
    </w:p>
    <w:p w:rsidR="00151E09" w:rsidRDefault="00DD68F7" w:rsidP="005901EB">
      <w:r w:rsidRPr="00DD68F7">
        <w:t>In the EU-RMP, a comment is made in regards to a study to investigate the saf</w:t>
      </w:r>
      <w:r w:rsidR="00151E09">
        <w:t>ety of lurasidone in children:</w:t>
      </w:r>
    </w:p>
    <w:p w:rsidR="00151E09" w:rsidRPr="005901EB" w:rsidRDefault="00DD68F7" w:rsidP="005901EB">
      <w:pPr>
        <w:ind w:left="720"/>
        <w:rPr>
          <w:i/>
        </w:rPr>
      </w:pPr>
      <w:r w:rsidRPr="005901EB">
        <w:rPr>
          <w:i/>
        </w:rPr>
        <w:t>Analysis of safety data from planned clinical studies in children aged &gt;</w:t>
      </w:r>
      <w:r w:rsidR="00151E09" w:rsidRPr="005901EB">
        <w:rPr>
          <w:i/>
        </w:rPr>
        <w:t>13 years in line with the PIP.</w:t>
      </w:r>
    </w:p>
    <w:p w:rsidR="00DD68F7" w:rsidRPr="00DD68F7" w:rsidRDefault="00DD68F7" w:rsidP="005901EB">
      <w:r w:rsidRPr="00DD68F7">
        <w:t xml:space="preserve">These studies are not listed </w:t>
      </w:r>
      <w:r w:rsidR="0000771C">
        <w:t>in</w:t>
      </w:r>
      <w:r w:rsidRPr="00DD68F7">
        <w:t xml:space="preserve"> the EU-RMP and no study protocol has been submitted. It is noted that these studies were deferred by the </w:t>
      </w:r>
      <w:r w:rsidR="009A01CE">
        <w:t>US</w:t>
      </w:r>
      <w:r w:rsidRPr="00DD68F7">
        <w:t xml:space="preserve"> FDA as discussed in approval letter </w:t>
      </w:r>
      <w:r w:rsidR="009A01CE">
        <w:t>200603 dated 28</w:t>
      </w:r>
      <w:r w:rsidRPr="00DD68F7">
        <w:t xml:space="preserve"> October 2010. This letter states that final study protocols should have been submitted by October 2011 for </w:t>
      </w:r>
      <w:r w:rsidR="009A01CE">
        <w:t>Study 1701-1 and 30</w:t>
      </w:r>
      <w:r w:rsidRPr="00DD68F7">
        <w:t xml:space="preserve"> March 2013 for </w:t>
      </w:r>
      <w:r w:rsidR="009A01CE">
        <w:t>S</w:t>
      </w:r>
      <w:r w:rsidRPr="00DD68F7">
        <w:t>tudy 1701-2.</w:t>
      </w:r>
      <w:r w:rsidR="00431E88">
        <w:t xml:space="preserve"> </w:t>
      </w:r>
      <w:r w:rsidRPr="00DD68F7">
        <w:t>It is recommended that details of these studies and draft protocols be s</w:t>
      </w:r>
      <w:r w:rsidR="005901EB">
        <w:t>ubmitted to the TGA for review.</w:t>
      </w:r>
    </w:p>
    <w:p w:rsidR="00DD68F7" w:rsidRDefault="00DD68F7" w:rsidP="005901EB">
      <w:pPr>
        <w:pStyle w:val="Heading6"/>
      </w:pPr>
      <w:r>
        <w:t xml:space="preserve">Ongoing </w:t>
      </w:r>
      <w:r w:rsidR="00016ECF" w:rsidRPr="005901EB">
        <w:t>s</w:t>
      </w:r>
      <w:r w:rsidRPr="005901EB">
        <w:t>tudies</w:t>
      </w:r>
    </w:p>
    <w:p w:rsidR="00DD68F7" w:rsidRPr="00DD68F7" w:rsidRDefault="00DD68F7" w:rsidP="005901EB">
      <w:r w:rsidRPr="00DD68F7">
        <w:t>It is recommended that all study reports and updates tha</w:t>
      </w:r>
      <w:r w:rsidR="001B3C07">
        <w:t>t are submitted to the EU or US</w:t>
      </w:r>
      <w:r w:rsidRPr="00DD68F7">
        <w:t xml:space="preserve"> also be submitted simultaneously to Australia.</w:t>
      </w:r>
    </w:p>
    <w:p w:rsidR="00DD68F7" w:rsidRPr="005901EB" w:rsidRDefault="00DD68F7" w:rsidP="005901EB">
      <w:pPr>
        <w:pStyle w:val="Heading6"/>
      </w:pPr>
      <w:r w:rsidRPr="001B4A26">
        <w:t xml:space="preserve">General comments regarding proposed Australian </w:t>
      </w:r>
      <w:proofErr w:type="spellStart"/>
      <w:r w:rsidR="00016ECF">
        <w:t>p</w:t>
      </w:r>
      <w:r w:rsidR="005901EB">
        <w:t>harmacovigilance</w:t>
      </w:r>
      <w:proofErr w:type="spellEnd"/>
    </w:p>
    <w:p w:rsidR="00DD68F7" w:rsidRPr="00DD68F7" w:rsidRDefault="00DD68F7" w:rsidP="005901EB">
      <w:pPr>
        <w:pStyle w:val="ListBullet"/>
      </w:pPr>
      <w:r w:rsidRPr="00DD68F7">
        <w:t xml:space="preserve">The Australian ASA </w:t>
      </w:r>
      <w:r w:rsidR="001B3C07">
        <w:t>S</w:t>
      </w:r>
      <w:r w:rsidRPr="00DD68F7">
        <w:t>ection 2 relating to the pharmacovigilance practices does not adequately clarify the ongoing safety concerns for Australia and the proposed routine and additional pharmacovigilance strategies. For example, it is unclear which ongoing safety concer</w:t>
      </w:r>
      <w:r w:rsidR="005901EB">
        <w:t>ns are addressed by each study.</w:t>
      </w:r>
    </w:p>
    <w:p w:rsidR="00DD68F7" w:rsidRPr="00DD68F7" w:rsidRDefault="00DD68F7" w:rsidP="005901EB">
      <w:pPr>
        <w:pStyle w:val="ListBullet"/>
      </w:pPr>
      <w:r w:rsidRPr="00DD68F7">
        <w:t xml:space="preserve">Section 3.1 of the ASA lists the </w:t>
      </w:r>
      <w:r w:rsidR="00E25646">
        <w:t>DUS</w:t>
      </w:r>
      <w:r w:rsidRPr="00DD68F7">
        <w:t xml:space="preserve"> and “Paediatric studies” as additional risk minimisation activities. These</w:t>
      </w:r>
      <w:r w:rsidR="00E25646">
        <w:t>,</w:t>
      </w:r>
      <w:r w:rsidRPr="00DD68F7">
        <w:t xml:space="preserve"> however</w:t>
      </w:r>
      <w:r w:rsidR="00E25646">
        <w:t>,</w:t>
      </w:r>
      <w:r w:rsidRPr="00DD68F7">
        <w:t xml:space="preserve"> are additional pharmacovigilance activities. This section of the ASA should be amended accordingly.</w:t>
      </w:r>
    </w:p>
    <w:p w:rsidR="00DD68F7" w:rsidRDefault="00DD68F7" w:rsidP="005901EB">
      <w:pPr>
        <w:pStyle w:val="ListBullet"/>
      </w:pPr>
      <w:r>
        <w:t>The sponsor states:</w:t>
      </w:r>
    </w:p>
    <w:p w:rsidR="00DD68F7" w:rsidRPr="005901EB" w:rsidRDefault="00DD68F7" w:rsidP="005901EB">
      <w:pPr>
        <w:pStyle w:val="ListBullet"/>
        <w:numPr>
          <w:ilvl w:val="0"/>
          <w:numId w:val="0"/>
        </w:numPr>
        <w:ind w:left="360"/>
        <w:rPr>
          <w:i/>
        </w:rPr>
      </w:pPr>
      <w:r w:rsidRPr="005901EB">
        <w:rPr>
          <w:i/>
        </w:rPr>
        <w:t xml:space="preserve">The designated local </w:t>
      </w:r>
      <w:r w:rsidR="00E25646" w:rsidRPr="005901EB">
        <w:rPr>
          <w:i/>
        </w:rPr>
        <w:t>s</w:t>
      </w:r>
      <w:r w:rsidRPr="005901EB">
        <w:rPr>
          <w:i/>
        </w:rPr>
        <w:t xml:space="preserve">ponsor or </w:t>
      </w:r>
      <w:r w:rsidR="00E25646" w:rsidRPr="005901EB">
        <w:rPr>
          <w:i/>
        </w:rPr>
        <w:t>a</w:t>
      </w:r>
      <w:r w:rsidRPr="005901EB">
        <w:rPr>
          <w:i/>
        </w:rPr>
        <w:t xml:space="preserve">gent has in place a routine pharmacovigilance system that will allow compliance with TGA Australian Requirements and Recommendations for Pharmacovigilance Responsibilities of Sponsors of Medicines, and specifically compliance to Section 2.3 (Information that must be reported) and Section 2.4 (Reporting timeframes) as stated in. Acting as an affiliate of DSP the assigned local </w:t>
      </w:r>
      <w:r w:rsidR="00C4577F" w:rsidRPr="005901EB">
        <w:rPr>
          <w:i/>
        </w:rPr>
        <w:t>s</w:t>
      </w:r>
      <w:r w:rsidRPr="005901EB">
        <w:rPr>
          <w:i/>
        </w:rPr>
        <w:t xml:space="preserve">ponsor’s routine </w:t>
      </w:r>
      <w:r w:rsidRPr="005901EB">
        <w:rPr>
          <w:i/>
        </w:rPr>
        <w:lastRenderedPageBreak/>
        <w:t>pharmacovigilance system will be sufficient to address and monitor the local safety profile for lurasidone.</w:t>
      </w:r>
    </w:p>
    <w:p w:rsidR="00DD68F7" w:rsidRPr="00DD68F7" w:rsidRDefault="00DD68F7" w:rsidP="005901EB">
      <w:pPr>
        <w:pStyle w:val="ListBullet"/>
        <w:numPr>
          <w:ilvl w:val="0"/>
          <w:numId w:val="0"/>
        </w:numPr>
        <w:ind w:left="360"/>
      </w:pPr>
      <w:r w:rsidRPr="00DD68F7">
        <w:t xml:space="preserve">The above “designated local sponsor or agent” has not been specified. The sponsor should clarify the details of </w:t>
      </w:r>
      <w:r w:rsidRPr="005901EB">
        <w:t>the</w:t>
      </w:r>
      <w:r w:rsidRPr="00DD68F7">
        <w:t xml:space="preserve"> </w:t>
      </w:r>
      <w:proofErr w:type="spellStart"/>
      <w:r w:rsidRPr="00DD68F7">
        <w:t>pharmacovigilance</w:t>
      </w:r>
      <w:proofErr w:type="spellEnd"/>
      <w:r w:rsidRPr="00DD68F7">
        <w:t xml:space="preserve"> representative in Australia.</w:t>
      </w:r>
    </w:p>
    <w:p w:rsidR="008E7846" w:rsidRDefault="008E7846" w:rsidP="001F71EC">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1F71EC">
        <w:t>a</w:t>
      </w:r>
      <w:r w:rsidRPr="001F71EC">
        <w:t>ctivities</w:t>
      </w:r>
    </w:p>
    <w:p w:rsidR="00016683" w:rsidRDefault="00016683" w:rsidP="001F71EC">
      <w:pPr>
        <w:pStyle w:val="Heading5"/>
      </w:pPr>
      <w:bookmarkStart w:id="149" w:name="_Toc247691527"/>
      <w:bookmarkStart w:id="150" w:name="_Toc336331577"/>
      <w:bookmarkStart w:id="151" w:name="_Toc360807547"/>
      <w:r>
        <w:t xml:space="preserve">Sponsor’s conclusion in regard to the need for risk </w:t>
      </w:r>
      <w:r w:rsidRPr="001F71EC">
        <w:t>minimisation</w:t>
      </w:r>
      <w:r>
        <w:t xml:space="preserve"> activities</w:t>
      </w:r>
      <w:bookmarkEnd w:id="150"/>
      <w:bookmarkEnd w:id="151"/>
    </w:p>
    <w:p w:rsidR="00016683" w:rsidRPr="00016683" w:rsidRDefault="00016683" w:rsidP="001F71EC">
      <w:r w:rsidRPr="00016683">
        <w:t xml:space="preserve">The sponsor states “Routine risk management activity will be providing instructions to the healthcare provider and the patient in the </w:t>
      </w:r>
      <w:r w:rsidR="000F126D" w:rsidRPr="000F126D">
        <w:t xml:space="preserve">Summary of Product Characteristics </w:t>
      </w:r>
      <w:r w:rsidR="000F126D">
        <w:t>(</w:t>
      </w:r>
      <w:proofErr w:type="spellStart"/>
      <w:r w:rsidRPr="00016683">
        <w:t>SmPC</w:t>
      </w:r>
      <w:proofErr w:type="spellEnd"/>
      <w:r w:rsidR="000F126D">
        <w:t>)</w:t>
      </w:r>
      <w:r w:rsidRPr="00016683">
        <w:t xml:space="preserve"> and the Patient Information Leaflet (PIL), respectively. No additional risk minimi</w:t>
      </w:r>
      <w:r w:rsidR="00CC587E">
        <w:t>s</w:t>
      </w:r>
      <w:r w:rsidRPr="00016683">
        <w:t xml:space="preserve">ation activities are considered necessary for lurasidone.” This is summarised in </w:t>
      </w:r>
      <w:r>
        <w:t>Table 21</w:t>
      </w:r>
      <w:r w:rsidR="001F71EC">
        <w:t>.</w:t>
      </w:r>
    </w:p>
    <w:p w:rsidR="00016683" w:rsidRDefault="00016683" w:rsidP="000A6D44">
      <w:pPr>
        <w:pStyle w:val="TableTitle"/>
      </w:pPr>
      <w:proofErr w:type="gramStart"/>
      <w:r>
        <w:t>Table 21:</w:t>
      </w:r>
      <w:r w:rsidRPr="004C5C28">
        <w:t xml:space="preserve"> </w:t>
      </w:r>
      <w:r w:rsidR="00D67F9A" w:rsidRPr="00D67F9A">
        <w:t xml:space="preserve">Summary of </w:t>
      </w:r>
      <w:r w:rsidR="00D67F9A" w:rsidRPr="000A6D44">
        <w:t>planned</w:t>
      </w:r>
      <w:r w:rsidR="00D67F9A" w:rsidRPr="00D67F9A">
        <w:t xml:space="preserve"> risk minimisation activities proposed by the sponsor</w:t>
      </w:r>
      <w:r>
        <w:t>.</w:t>
      </w:r>
      <w:proofErr w:type="gramEnd"/>
    </w:p>
    <w:p w:rsidR="006F25B8" w:rsidRDefault="00C85C44" w:rsidP="000A6D44">
      <w:r>
        <w:rPr>
          <w:noProof/>
          <w:lang w:eastAsia="en-AU"/>
        </w:rPr>
        <w:drawing>
          <wp:inline distT="0" distB="0" distL="0" distR="0" wp14:anchorId="2DC409B8" wp14:editId="54B59AC1">
            <wp:extent cx="5037455" cy="4835525"/>
            <wp:effectExtent l="0" t="0" r="0" b="3175"/>
            <wp:docPr id="24" name="Picture 24" descr="Table 21: Summary of planned risk minimisation activities propos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1: Summary of planned risk minimisation activities proposed by the spons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7455" cy="4835525"/>
                    </a:xfrm>
                    <a:prstGeom prst="rect">
                      <a:avLst/>
                    </a:prstGeom>
                    <a:noFill/>
                    <a:ln>
                      <a:noFill/>
                    </a:ln>
                  </pic:spPr>
                </pic:pic>
              </a:graphicData>
            </a:graphic>
          </wp:inline>
        </w:drawing>
      </w:r>
    </w:p>
    <w:p w:rsidR="00622648" w:rsidRPr="000A6D44" w:rsidRDefault="00622648" w:rsidP="000A6D44">
      <w:pPr>
        <w:pStyle w:val="TableTitle"/>
      </w:pPr>
      <w:r>
        <w:lastRenderedPageBreak/>
        <w:t>Table 21 (continued):</w:t>
      </w:r>
      <w:r w:rsidRPr="004C5C28">
        <w:t xml:space="preserve"> </w:t>
      </w:r>
      <w:r w:rsidRPr="00D67F9A">
        <w:t>Summary of planned risk minimisation activities proposed by the sponsor</w:t>
      </w:r>
      <w:r>
        <w:t>.</w:t>
      </w:r>
    </w:p>
    <w:p w:rsidR="00D67F9A" w:rsidRDefault="00C85C44" w:rsidP="000A6D44">
      <w:r>
        <w:rPr>
          <w:noProof/>
          <w:lang w:eastAsia="en-AU"/>
        </w:rPr>
        <w:drawing>
          <wp:inline distT="0" distB="0" distL="0" distR="0" wp14:anchorId="55FEBFD2" wp14:editId="2911AFBC">
            <wp:extent cx="5043170" cy="3669030"/>
            <wp:effectExtent l="0" t="0" r="5080" b="7620"/>
            <wp:docPr id="25" name="Picture 25" descr="Table 21 (continued): Summary of planned risk minimisation activities propos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1 (continued): Summary of planned risk minimisation activities proposed by the spons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3170" cy="3669030"/>
                    </a:xfrm>
                    <a:prstGeom prst="rect">
                      <a:avLst/>
                    </a:prstGeom>
                    <a:noFill/>
                    <a:ln>
                      <a:noFill/>
                    </a:ln>
                  </pic:spPr>
                </pic:pic>
              </a:graphicData>
            </a:graphic>
          </wp:inline>
        </w:drawing>
      </w:r>
    </w:p>
    <w:p w:rsidR="003A39D6" w:rsidRPr="00016683" w:rsidRDefault="003A39D6" w:rsidP="00737A7F">
      <w:r w:rsidRPr="00016683">
        <w:t>In the ASA, the sponsor states that “all of the concerns identified in the EU-RMP are relevant for patients in Australia. The routine risk minimisation activities proposed in the EU-RMP will be implemented in Australia”.</w:t>
      </w:r>
    </w:p>
    <w:p w:rsidR="00CC587E" w:rsidRPr="00737A7F" w:rsidRDefault="00CC587E" w:rsidP="00737A7F">
      <w:pPr>
        <w:pStyle w:val="Heading5"/>
      </w:pPr>
      <w:r>
        <w:t>OPR</w:t>
      </w:r>
      <w:r w:rsidRPr="007B529C">
        <w:t xml:space="preserve"> </w:t>
      </w:r>
      <w:r>
        <w:t>reviewer comment</w:t>
      </w:r>
    </w:p>
    <w:p w:rsidR="00621245" w:rsidRPr="00621245" w:rsidRDefault="00621245" w:rsidP="00737A7F">
      <w:r w:rsidRPr="00621245">
        <w:t>The sponsor’s conclusion regarding the appropriateness of routine risk minimisation activities for the listed ongoing safety concerns is acceptable, except in regards to:</w:t>
      </w:r>
    </w:p>
    <w:p w:rsidR="00621245" w:rsidRPr="00621245" w:rsidRDefault="00BA7C0A" w:rsidP="00737A7F">
      <w:pPr>
        <w:pStyle w:val="ListBullet"/>
      </w:pPr>
      <w:r>
        <w:t>“L</w:t>
      </w:r>
      <w:r w:rsidR="00621245" w:rsidRPr="00621245">
        <w:t xml:space="preserve">ong-term safety”: The sponsor has listed that </w:t>
      </w:r>
      <w:r w:rsidR="00621245" w:rsidRPr="00737A7F">
        <w:t>routine</w:t>
      </w:r>
      <w:r w:rsidR="00621245" w:rsidRPr="00621245">
        <w:t xml:space="preserve"> risk minimisation activities are sufficient for this important area of missing information, however the justification states “none is required at this time”. There are appropriate statements within the </w:t>
      </w:r>
      <w:r w:rsidR="009C2D9F">
        <w:t>US</w:t>
      </w:r>
      <w:r w:rsidR="00621245" w:rsidRPr="00621245">
        <w:t xml:space="preserve"> Product Label; however no statement is made in the draft Australian PI (see </w:t>
      </w:r>
      <w:r w:rsidR="009C2D9F">
        <w:t>below</w:t>
      </w:r>
      <w:r w:rsidR="00621245" w:rsidRPr="00621245">
        <w:t xml:space="preserve"> for </w:t>
      </w:r>
      <w:r w:rsidR="0069004B">
        <w:t>recommendations regarding “long-</w:t>
      </w:r>
      <w:r w:rsidR="00621245" w:rsidRPr="00621245">
        <w:t>term safety”).</w:t>
      </w:r>
    </w:p>
    <w:p w:rsidR="00621245" w:rsidRPr="00737A7F" w:rsidRDefault="00621245" w:rsidP="00737A7F">
      <w:pPr>
        <w:pStyle w:val="Heading5"/>
      </w:pPr>
      <w:bookmarkStart w:id="152" w:name="_Toc268857338"/>
      <w:bookmarkStart w:id="153" w:name="_Toc336331578"/>
      <w:bookmarkStart w:id="154" w:name="_Toc360807548"/>
      <w:r w:rsidRPr="00835E0F">
        <w:t>Potential for medication errors</w:t>
      </w:r>
      <w:bookmarkEnd w:id="152"/>
      <w:bookmarkEnd w:id="153"/>
      <w:bookmarkEnd w:id="154"/>
    </w:p>
    <w:p w:rsidR="00621245" w:rsidRPr="00621245" w:rsidRDefault="00621245" w:rsidP="00737A7F">
      <w:r w:rsidRPr="00621245">
        <w:t>The sponsor discusses that the potential for medication errors is low, with post</w:t>
      </w:r>
      <w:r w:rsidR="009C2D9F">
        <w:t xml:space="preserve"> </w:t>
      </w:r>
      <w:r w:rsidRPr="00621245">
        <w:t xml:space="preserve">approval reporting in the </w:t>
      </w:r>
      <w:r w:rsidR="009C2D9F">
        <w:t>US</w:t>
      </w:r>
      <w:r w:rsidRPr="00621245">
        <w:t xml:space="preserve"> showing no patterns or trends suggesting a potential signal for medication errors.</w:t>
      </w:r>
    </w:p>
    <w:p w:rsidR="00621245" w:rsidRPr="00621245" w:rsidRDefault="00621245" w:rsidP="00737A7F">
      <w:r w:rsidRPr="00621245">
        <w:t>The potential for rule based errors, action based errors and memory based errors is not significantly dissimilar to</w:t>
      </w:r>
      <w:r w:rsidR="00737A7F">
        <w:t xml:space="preserve"> other atypical antipsychotics.</w:t>
      </w:r>
    </w:p>
    <w:p w:rsidR="00621245" w:rsidRPr="00737A7F" w:rsidRDefault="00621245" w:rsidP="00737A7F">
      <w:pPr>
        <w:pStyle w:val="Heading5"/>
      </w:pPr>
      <w:r w:rsidRPr="00835E0F">
        <w:t>Potential for overdose</w:t>
      </w:r>
    </w:p>
    <w:p w:rsidR="00621245" w:rsidRPr="00621245" w:rsidRDefault="00621245" w:rsidP="00737A7F">
      <w:r w:rsidRPr="00621245">
        <w:t>The potential for overdose, including intentional overdose is discussed to a satisfactory standard in the EU-RMP. The sponsor’s conclusions are appropriate, with the risk of overdose of lurasidone not significantly dissimilar to tablets in the same class.</w:t>
      </w:r>
    </w:p>
    <w:p w:rsidR="00621245" w:rsidRPr="00621245" w:rsidRDefault="00621245" w:rsidP="00737A7F">
      <w:r w:rsidRPr="00621245">
        <w:t xml:space="preserve">In the proposed Australian product information, </w:t>
      </w:r>
      <w:proofErr w:type="spellStart"/>
      <w:r w:rsidRPr="00621245">
        <w:t>overdosage</w:t>
      </w:r>
      <w:proofErr w:type="spellEnd"/>
      <w:r w:rsidR="001A7561">
        <w:t>,</w:t>
      </w:r>
      <w:r w:rsidRPr="00621245">
        <w:t xml:space="preserve"> and its management have been discussed to a satisfactory standard.</w:t>
      </w:r>
    </w:p>
    <w:p w:rsidR="00621245" w:rsidRPr="00621245" w:rsidRDefault="00621245" w:rsidP="00737A7F">
      <w:r w:rsidRPr="00621245">
        <w:lastRenderedPageBreak/>
        <w:t>As stated in the RMP and the PI, prescriptions for lurasidone should be written for the smallest quantity of tablets consistent with good patient management in order to reduce the risk of overdose.</w:t>
      </w:r>
    </w:p>
    <w:p w:rsidR="00621245" w:rsidRPr="00835E0F" w:rsidRDefault="00621245" w:rsidP="00737A7F">
      <w:pPr>
        <w:pStyle w:val="Heading5"/>
      </w:pPr>
      <w:r w:rsidRPr="00835E0F">
        <w:t xml:space="preserve">Potential for </w:t>
      </w:r>
      <w:r w:rsidRPr="00737A7F">
        <w:t>misuse</w:t>
      </w:r>
      <w:r w:rsidRPr="00835E0F">
        <w:t xml:space="preserve"> for illegal purposes</w:t>
      </w:r>
    </w:p>
    <w:p w:rsidR="00621245" w:rsidRDefault="001A7561" w:rsidP="00737A7F">
      <w:r>
        <w:t>T</w:t>
      </w:r>
      <w:r w:rsidR="00621245">
        <w:t>he EU-RMP states:</w:t>
      </w:r>
    </w:p>
    <w:p w:rsidR="00621245" w:rsidRPr="00737A7F" w:rsidRDefault="00621245" w:rsidP="00737A7F">
      <w:pPr>
        <w:ind w:left="720"/>
        <w:rPr>
          <w:i/>
        </w:rPr>
      </w:pPr>
      <w:r w:rsidRPr="00737A7F">
        <w:rPr>
          <w:i/>
        </w:rPr>
        <w:t>Lurasidone has not been systematically studied in humans for its potential for abuse or physical dependence or its ability to induce tolerance. While clinical studies with lurasidone did not reveal any tendency for drug</w:t>
      </w:r>
      <w:r w:rsidR="001A7561" w:rsidRPr="00737A7F">
        <w:rPr>
          <w:i/>
        </w:rPr>
        <w:t xml:space="preserve"> </w:t>
      </w:r>
      <w:r w:rsidRPr="00737A7F">
        <w:rPr>
          <w:i/>
        </w:rPr>
        <w:t>seeking behavio</w:t>
      </w:r>
      <w:r w:rsidR="001A7561" w:rsidRPr="00737A7F">
        <w:rPr>
          <w:i/>
        </w:rPr>
        <w:t>u</w:t>
      </w:r>
      <w:r w:rsidRPr="00737A7F">
        <w:rPr>
          <w:i/>
        </w:rPr>
        <w:t>r, these observations were not systematic and it is not possible to predict the extent to which a CNS</w:t>
      </w:r>
      <w:r w:rsidR="001A7561" w:rsidRPr="00737A7F">
        <w:rPr>
          <w:i/>
        </w:rPr>
        <w:t xml:space="preserve"> </w:t>
      </w:r>
      <w:r w:rsidRPr="00737A7F">
        <w:rPr>
          <w:i/>
        </w:rPr>
        <w:t xml:space="preserve">active drug will be misused, diverted and/or abused once it is marketed. Patients should be evaluated carefully for a history of drug abuse, and such patients should be observed carefully for signs of </w:t>
      </w:r>
      <w:r w:rsidR="00215309" w:rsidRPr="00737A7F">
        <w:rPr>
          <w:i/>
        </w:rPr>
        <w:t xml:space="preserve">lurasidone misuse or abuse (for example, </w:t>
      </w:r>
      <w:r w:rsidRPr="00737A7F">
        <w:rPr>
          <w:i/>
        </w:rPr>
        <w:t>development of tolerance, drug</w:t>
      </w:r>
      <w:r w:rsidR="00215309" w:rsidRPr="00737A7F">
        <w:rPr>
          <w:i/>
        </w:rPr>
        <w:t xml:space="preserve"> </w:t>
      </w:r>
      <w:r w:rsidRPr="00737A7F">
        <w:rPr>
          <w:i/>
        </w:rPr>
        <w:t>seeking behavio</w:t>
      </w:r>
      <w:r w:rsidR="00215309" w:rsidRPr="00737A7F">
        <w:rPr>
          <w:i/>
        </w:rPr>
        <w:t>u</w:t>
      </w:r>
      <w:r w:rsidRPr="00737A7F">
        <w:rPr>
          <w:i/>
        </w:rPr>
        <w:t xml:space="preserve">r, </w:t>
      </w:r>
      <w:proofErr w:type="gramStart"/>
      <w:r w:rsidRPr="00737A7F">
        <w:rPr>
          <w:i/>
        </w:rPr>
        <w:t>increases</w:t>
      </w:r>
      <w:proofErr w:type="gramEnd"/>
      <w:r w:rsidRPr="00737A7F">
        <w:rPr>
          <w:i/>
        </w:rPr>
        <w:t xml:space="preserve"> in dose).</w:t>
      </w:r>
    </w:p>
    <w:p w:rsidR="00621245" w:rsidRPr="00621245" w:rsidRDefault="00621245" w:rsidP="00737A7F">
      <w:r w:rsidRPr="00621245">
        <w:t>The proposed Australian PI does not adequately discuss the potential for misuse for illegal purposes. There is no mention the importance of evaluating patients for a history of drug abuse and observing for signs of misuse or abuse. This is also important in regards to monitoring patients for co-m</w:t>
      </w:r>
      <w:r w:rsidR="00F2092A">
        <w:t>orbid drug abuse.</w:t>
      </w:r>
      <w:r w:rsidR="00F2092A">
        <w:rPr>
          <w:rStyle w:val="FootnoteReference"/>
        </w:rPr>
        <w:footnoteReference w:id="43"/>
      </w:r>
      <w:r w:rsidR="00F2092A">
        <w:t xml:space="preserve"> </w:t>
      </w:r>
      <w:r w:rsidRPr="00621245">
        <w:t xml:space="preserve">The </w:t>
      </w:r>
      <w:r w:rsidR="00215309">
        <w:t>US</w:t>
      </w:r>
      <w:r w:rsidRPr="00621245">
        <w:t xml:space="preserve"> FDA approved product label d</w:t>
      </w:r>
      <w:r w:rsidR="00215309">
        <w:t>iscusses this issue adequately</w:t>
      </w:r>
      <w:r w:rsidRPr="00621245">
        <w:t xml:space="preserve">. See </w:t>
      </w:r>
      <w:r w:rsidR="00215309">
        <w:t xml:space="preserve">below </w:t>
      </w:r>
      <w:r w:rsidRPr="00621245">
        <w:t>for recommendations regarding a similar statement for the proposed Australian PI.</w:t>
      </w:r>
    </w:p>
    <w:p w:rsidR="00621245" w:rsidRPr="00835E0F" w:rsidRDefault="00621245" w:rsidP="00737A7F">
      <w:pPr>
        <w:pStyle w:val="Heading5"/>
      </w:pPr>
      <w:r w:rsidRPr="00835E0F">
        <w:t>Potential for off</w:t>
      </w:r>
      <w:r w:rsidR="00612143">
        <w:t xml:space="preserve"> </w:t>
      </w:r>
      <w:r w:rsidRPr="00835E0F">
        <w:t>label use</w:t>
      </w:r>
    </w:p>
    <w:p w:rsidR="00621245" w:rsidRDefault="00621245" w:rsidP="00737A7F">
      <w:r w:rsidRPr="00621245">
        <w:t>There is significant potential for off label use of lurasidone, particularly in bipolar disorder</w:t>
      </w:r>
      <w:r>
        <w:t>:</w:t>
      </w:r>
    </w:p>
    <w:p w:rsidR="00621245" w:rsidRPr="00737A7F" w:rsidRDefault="00621245" w:rsidP="00737A7F">
      <w:pPr>
        <w:ind w:left="720"/>
        <w:rPr>
          <w:i/>
        </w:rPr>
      </w:pPr>
      <w:r w:rsidRPr="00737A7F">
        <w:rPr>
          <w:i/>
        </w:rPr>
        <w:t xml:space="preserve">In the </w:t>
      </w:r>
      <w:r w:rsidR="00612143" w:rsidRPr="00737A7F">
        <w:rPr>
          <w:i/>
        </w:rPr>
        <w:t>US</w:t>
      </w:r>
      <w:r w:rsidRPr="00737A7F">
        <w:rPr>
          <w:i/>
        </w:rPr>
        <w:t>, it is estimated that lurasidone is prescribed for schizophrenia/</w:t>
      </w:r>
      <w:r w:rsidR="00150FCF" w:rsidRPr="00737A7F">
        <w:rPr>
          <w:i/>
        </w:rPr>
        <w:t xml:space="preserve"> </w:t>
      </w:r>
      <w:r w:rsidRPr="00737A7F">
        <w:rPr>
          <w:i/>
        </w:rPr>
        <w:t>schizophrenia spect</w:t>
      </w:r>
      <w:r w:rsidR="006A01E7" w:rsidRPr="00737A7F">
        <w:rPr>
          <w:i/>
        </w:rPr>
        <w:t>rum disorders in 78% of</w:t>
      </w:r>
      <w:r w:rsidRPr="00737A7F">
        <w:rPr>
          <w:i/>
        </w:rPr>
        <w:t xml:space="preserve"> prescriptions. </w:t>
      </w:r>
      <w:r w:rsidR="006A01E7" w:rsidRPr="00737A7F">
        <w:rPr>
          <w:i/>
        </w:rPr>
        <w:t xml:space="preserve">Off </w:t>
      </w:r>
      <w:r w:rsidRPr="00737A7F">
        <w:rPr>
          <w:i/>
        </w:rPr>
        <w:t>label uses include (SDI coding) bipolar affective NOS (not otherwise specified) (8.0%), infantile autism (3.6%), bipolar affective mixed (3.6%), bipolar affect depression (2.4%), other adjust reaction (2.0%), and alcohol dependency NEC (not el</w:t>
      </w:r>
      <w:r w:rsidR="00737A7F">
        <w:rPr>
          <w:i/>
        </w:rPr>
        <w:t>sewhere classified)/NOS (1.6%).</w:t>
      </w:r>
    </w:p>
    <w:p w:rsidR="00621245" w:rsidRPr="00621245" w:rsidRDefault="00621245" w:rsidP="00737A7F">
      <w:r w:rsidRPr="00621245">
        <w:t xml:space="preserve">It is also noted that the </w:t>
      </w:r>
      <w:r w:rsidR="00612143">
        <w:t>US</w:t>
      </w:r>
      <w:r w:rsidRPr="00621245">
        <w:t xml:space="preserve"> FDA has identified issues with promotional activities directed towards off</w:t>
      </w:r>
      <w:r w:rsidR="00612143">
        <w:t xml:space="preserve"> </w:t>
      </w:r>
      <w:r w:rsidRPr="00621245">
        <w:t>label use of lurasidone in bipolar disorder (</w:t>
      </w:r>
      <w:r w:rsidR="00612143">
        <w:t>letter dated 14 December 2011</w:t>
      </w:r>
      <w:r w:rsidRPr="00621245">
        <w:t>).</w:t>
      </w:r>
    </w:p>
    <w:p w:rsidR="00621245" w:rsidRPr="00621245" w:rsidRDefault="00621245" w:rsidP="00737A7F">
      <w:r w:rsidRPr="00621245">
        <w:t>The sponsor plans to further elucidate off</w:t>
      </w:r>
      <w:r w:rsidR="0028486C">
        <w:t xml:space="preserve"> </w:t>
      </w:r>
      <w:r w:rsidRPr="00621245">
        <w:t xml:space="preserve">label use through the </w:t>
      </w:r>
      <w:r w:rsidR="0028486C">
        <w:t>DUS</w:t>
      </w:r>
      <w:r w:rsidRPr="00621245">
        <w:t xml:space="preserve"> (see section 8). Furthermore, the sponsor states that Lurasidone is under development for bipolar disorder w</w:t>
      </w:r>
      <w:r w:rsidR="00737A7F">
        <w:t>ith 5 ongoing clinical studies.</w:t>
      </w:r>
    </w:p>
    <w:p w:rsidR="00621245" w:rsidRPr="00621245" w:rsidRDefault="00621245" w:rsidP="00737A7F">
      <w:r w:rsidRPr="00621245">
        <w:t>Prior to the release of clinical data regarding appropriate dosing and safety profile of lurasidone in bipolar disorder, the potential for off</w:t>
      </w:r>
      <w:r w:rsidR="00310103">
        <w:t xml:space="preserve"> </w:t>
      </w:r>
      <w:r w:rsidRPr="00621245">
        <w:t xml:space="preserve">label use for this indication is of concern. See </w:t>
      </w:r>
      <w:r w:rsidR="00310103">
        <w:t>below</w:t>
      </w:r>
      <w:r w:rsidRPr="00621245">
        <w:t xml:space="preserve"> for recommendations regarding a statement in the product information stating the lack of published safety data in this group.</w:t>
      </w:r>
    </w:p>
    <w:p w:rsidR="00621245" w:rsidRPr="00737A7F" w:rsidRDefault="00621245" w:rsidP="00737A7F">
      <w:pPr>
        <w:pStyle w:val="Heading5"/>
      </w:pPr>
      <w:r w:rsidRPr="00835E0F">
        <w:t>Potential for off</w:t>
      </w:r>
      <w:r w:rsidR="00016ECF">
        <w:t xml:space="preserve"> </w:t>
      </w:r>
      <w:r w:rsidRPr="00835E0F">
        <w:t>label paediatric use</w:t>
      </w:r>
    </w:p>
    <w:p w:rsidR="00621245" w:rsidRDefault="00621245" w:rsidP="00737A7F">
      <w:r w:rsidRPr="00621245">
        <w:t>The sponsor states that the potential for off</w:t>
      </w:r>
      <w:r w:rsidR="00310103">
        <w:t xml:space="preserve"> </w:t>
      </w:r>
      <w:r w:rsidRPr="00621245">
        <w:t>label paediatric use is unknown. There are appropriate statements in the proposed Australian PI regarding the lack of safety and efficacy data.</w:t>
      </w:r>
    </w:p>
    <w:p w:rsidR="00621245" w:rsidRDefault="00621245" w:rsidP="00737A7F">
      <w:pPr>
        <w:pStyle w:val="Heading4"/>
      </w:pPr>
      <w:r>
        <w:t xml:space="preserve">Summary of recommendations: </w:t>
      </w:r>
      <w:r w:rsidRPr="00737A7F">
        <w:t>Round</w:t>
      </w:r>
      <w:r>
        <w:t xml:space="preserve"> 1 assessment</w:t>
      </w:r>
    </w:p>
    <w:p w:rsidR="00621245" w:rsidRPr="007F5150" w:rsidRDefault="00621245" w:rsidP="00737A7F">
      <w:r w:rsidRPr="007F5150">
        <w:t xml:space="preserve">The OPR provides these recommendations in the context that the submitted RMP is supportive to the application; the implementation of a RMP satisfactory to the TGA is imposed as a condition of registration; the submitted EU-RMP is applicable without </w:t>
      </w:r>
      <w:r w:rsidRPr="007F5150">
        <w:lastRenderedPageBreak/>
        <w:t xml:space="preserve">modification in Australia unless so qualified; and the draft </w:t>
      </w:r>
      <w:r w:rsidR="00310103">
        <w:t>PI</w:t>
      </w:r>
      <w:r w:rsidRPr="007F5150">
        <w:t xml:space="preserve"> and consumer medicine information documents should </w:t>
      </w:r>
      <w:r w:rsidR="00310103">
        <w:rPr>
          <w:b/>
        </w:rPr>
        <w:t>not</w:t>
      </w:r>
      <w:r w:rsidRPr="007F5150">
        <w:t xml:space="preserve"> be revised until the Delegate</w:t>
      </w:r>
      <w:r w:rsidR="00310103">
        <w:t>’</w:t>
      </w:r>
      <w:r w:rsidRPr="007F5150">
        <w:t>s Overview has been received:</w:t>
      </w:r>
    </w:p>
    <w:p w:rsidR="00621245" w:rsidRPr="00737A7F" w:rsidRDefault="00621245" w:rsidP="00737A7F">
      <w:pPr>
        <w:pStyle w:val="Heading5"/>
      </w:pPr>
      <w:r w:rsidRPr="00835E0F">
        <w:t>Fu</w:t>
      </w:r>
      <w:r w:rsidR="007F5150">
        <w:t>rther safety considerations</w:t>
      </w:r>
    </w:p>
    <w:p w:rsidR="00621245" w:rsidRPr="007F5150" w:rsidRDefault="00621245" w:rsidP="00737A7F">
      <w:pPr>
        <w:pStyle w:val="ListBullet"/>
      </w:pPr>
      <w:r w:rsidRPr="007F5150">
        <w:t xml:space="preserve">Safety considerations may be raised by the nonclinical and clinical evaluators through the consolidated </w:t>
      </w:r>
      <w:r w:rsidR="00310103">
        <w:t>S</w:t>
      </w:r>
      <w:r w:rsidRPr="007F5150">
        <w:t xml:space="preserve">ection 31 request and/or the </w:t>
      </w:r>
      <w:r w:rsidR="00310103">
        <w:t>n</w:t>
      </w:r>
      <w:r w:rsidRPr="007F5150">
        <w:t xml:space="preserve">onclinical and </w:t>
      </w:r>
      <w:r w:rsidR="00310103">
        <w:t>cl</w:t>
      </w:r>
      <w:r w:rsidRPr="007F5150">
        <w:t xml:space="preserve">inical </w:t>
      </w:r>
      <w:r w:rsidR="00310103">
        <w:t>e</w:t>
      </w:r>
      <w:r w:rsidRPr="007F5150">
        <w:t xml:space="preserve">valuation </w:t>
      </w:r>
      <w:r w:rsidR="00310103">
        <w:t>r</w:t>
      </w:r>
      <w:r w:rsidRPr="007F5150">
        <w:t>eports</w:t>
      </w:r>
      <w:r w:rsidR="00310103">
        <w:t>,</w:t>
      </w:r>
      <w:r w:rsidRPr="007F5150">
        <w:t xml:space="preserve"> respectively.</w:t>
      </w:r>
      <w:r w:rsidR="00431E88">
        <w:t xml:space="preserve"> </w:t>
      </w:r>
      <w:r w:rsidRPr="007F5150">
        <w:t xml:space="preserve">It is important to ensure that the information provided in response to these </w:t>
      </w:r>
      <w:proofErr w:type="gramStart"/>
      <w:r w:rsidRPr="007F5150">
        <w:t>include</w:t>
      </w:r>
      <w:proofErr w:type="gramEnd"/>
      <w:r w:rsidRPr="007F5150">
        <w:t xml:space="preserve"> a consideration of the relevance for the </w:t>
      </w:r>
      <w:r w:rsidR="00310103">
        <w:t>RMP</w:t>
      </w:r>
      <w:r w:rsidRPr="007F5150">
        <w:t>, and any specific information needed to address this issue in the RMP.</w:t>
      </w:r>
      <w:r w:rsidR="00431E88">
        <w:t xml:space="preserve"> </w:t>
      </w:r>
      <w:r w:rsidRPr="007F5150">
        <w:t>For any safety considerations so raised, the sponsor should provide information that is relevant and necessary to address the issue in the RMP.</w:t>
      </w:r>
    </w:p>
    <w:p w:rsidR="00621245" w:rsidRPr="007F5150" w:rsidRDefault="00621245" w:rsidP="00737A7F">
      <w:r w:rsidRPr="007F5150">
        <w:t>Unless the sponsor can provide compelling justification against any of the following recommendations, the</w:t>
      </w:r>
      <w:r w:rsidR="007F5150">
        <w:t xml:space="preserve"> following should be considered.</w:t>
      </w:r>
    </w:p>
    <w:p w:rsidR="00621245" w:rsidRPr="00835E0F" w:rsidRDefault="00621245" w:rsidP="00607759">
      <w:pPr>
        <w:pStyle w:val="Heading5"/>
      </w:pPr>
      <w:r w:rsidRPr="00835E0F">
        <w:t xml:space="preserve">Recommendations concerning the </w:t>
      </w:r>
      <w:r w:rsidRPr="00607759">
        <w:t>sponsors</w:t>
      </w:r>
      <w:r w:rsidRPr="00835E0F">
        <w:t xml:space="preserve"> ongoing safety concerns</w:t>
      </w:r>
    </w:p>
    <w:p w:rsidR="00621245" w:rsidRPr="007F5150" w:rsidRDefault="00621245" w:rsidP="00607759">
      <w:r w:rsidRPr="007F5150">
        <w:t>The following risks should be added to the list of ongoing safety concerns:</w:t>
      </w:r>
    </w:p>
    <w:p w:rsidR="00621245" w:rsidRPr="00607759" w:rsidRDefault="00AA4555" w:rsidP="00607759">
      <w:pPr>
        <w:pStyle w:val="ListBullet"/>
      </w:pPr>
      <w:r w:rsidRPr="00607759">
        <w:t>Somnolence</w:t>
      </w:r>
    </w:p>
    <w:p w:rsidR="00621245" w:rsidRPr="00607759" w:rsidRDefault="00621245" w:rsidP="00607759">
      <w:pPr>
        <w:pStyle w:val="ListBullet"/>
      </w:pPr>
      <w:proofErr w:type="spellStart"/>
      <w:r w:rsidRPr="00607759">
        <w:t>Hyperprolactinaemia</w:t>
      </w:r>
      <w:proofErr w:type="spellEnd"/>
    </w:p>
    <w:p w:rsidR="00621245" w:rsidRPr="00607759" w:rsidRDefault="00621245" w:rsidP="00607759">
      <w:pPr>
        <w:pStyle w:val="ListBullet"/>
      </w:pPr>
      <w:r w:rsidRPr="00607759">
        <w:t>Suicidal behaviour</w:t>
      </w:r>
    </w:p>
    <w:p w:rsidR="00621245" w:rsidRPr="00607759" w:rsidRDefault="00621245" w:rsidP="00607759">
      <w:pPr>
        <w:pStyle w:val="ListBullet"/>
      </w:pPr>
      <w:proofErr w:type="spellStart"/>
      <w:r w:rsidRPr="00607759">
        <w:t>Leukopaenia</w:t>
      </w:r>
      <w:proofErr w:type="spellEnd"/>
      <w:r w:rsidRPr="00607759">
        <w:t xml:space="preserve">, neutropenia, </w:t>
      </w:r>
      <w:proofErr w:type="spellStart"/>
      <w:r w:rsidRPr="00607759">
        <w:t>agranulocytosis</w:t>
      </w:r>
      <w:proofErr w:type="spellEnd"/>
    </w:p>
    <w:p w:rsidR="00621245" w:rsidRPr="00607759" w:rsidRDefault="00621245" w:rsidP="00607759">
      <w:pPr>
        <w:pStyle w:val="ListBullet"/>
      </w:pPr>
      <w:r w:rsidRPr="00607759">
        <w:t>Temperature dysregulation</w:t>
      </w:r>
    </w:p>
    <w:p w:rsidR="00621245" w:rsidRPr="00607759" w:rsidRDefault="007F5150" w:rsidP="00607759">
      <w:pPr>
        <w:pStyle w:val="ListBullet"/>
      </w:pPr>
      <w:r w:rsidRPr="00607759">
        <w:t>AE</w:t>
      </w:r>
      <w:r w:rsidR="00621245" w:rsidRPr="00607759">
        <w:t>s re</w:t>
      </w:r>
      <w:r w:rsidR="00AA4555" w:rsidRPr="00607759">
        <w:t xml:space="preserve">lated to </w:t>
      </w:r>
      <w:proofErr w:type="spellStart"/>
      <w:r w:rsidR="00AA4555" w:rsidRPr="00607759">
        <w:t>hyperprolactinaemia</w:t>
      </w:r>
      <w:proofErr w:type="spellEnd"/>
      <w:r w:rsidR="00AA4555" w:rsidRPr="00607759">
        <w:t xml:space="preserve"> (for example,</w:t>
      </w:r>
      <w:r w:rsidR="00621245" w:rsidRPr="00607759">
        <w:t xml:space="preserve"> reproductive system abnormalities, decreased bone mineralisation)</w:t>
      </w:r>
    </w:p>
    <w:p w:rsidR="00621245" w:rsidRPr="00607759" w:rsidRDefault="00621245" w:rsidP="00607759">
      <w:pPr>
        <w:pStyle w:val="ListBullet"/>
      </w:pPr>
      <w:r w:rsidRPr="00607759">
        <w:t>Dyslipidaemia</w:t>
      </w:r>
    </w:p>
    <w:p w:rsidR="00621245" w:rsidRPr="00607759" w:rsidRDefault="00621245" w:rsidP="00607759">
      <w:pPr>
        <w:pStyle w:val="ListBullet"/>
      </w:pPr>
      <w:r w:rsidRPr="00607759">
        <w:t>Weight gain</w:t>
      </w:r>
    </w:p>
    <w:p w:rsidR="00621245" w:rsidRPr="00607759" w:rsidRDefault="00621245" w:rsidP="00607759">
      <w:pPr>
        <w:pStyle w:val="ListBullet"/>
      </w:pPr>
      <w:r w:rsidRPr="00607759">
        <w:t>Orthostatic hypotension</w:t>
      </w:r>
    </w:p>
    <w:p w:rsidR="00621245" w:rsidRPr="00607759" w:rsidRDefault="00621245" w:rsidP="00607759">
      <w:pPr>
        <w:pStyle w:val="ListBullet"/>
      </w:pPr>
      <w:r w:rsidRPr="00607759">
        <w:t>Hyperglycaemia/diabetes mellitus</w:t>
      </w:r>
    </w:p>
    <w:p w:rsidR="00621245" w:rsidRPr="00607759" w:rsidRDefault="00621245" w:rsidP="00607759">
      <w:pPr>
        <w:pStyle w:val="ListBullet"/>
      </w:pPr>
      <w:r w:rsidRPr="00607759">
        <w:t>Venous thromboembolism</w:t>
      </w:r>
    </w:p>
    <w:p w:rsidR="00621245" w:rsidRPr="00607759" w:rsidRDefault="00621245" w:rsidP="00607759">
      <w:pPr>
        <w:pStyle w:val="ListBullet"/>
      </w:pPr>
      <w:r w:rsidRPr="00607759">
        <w:t>Third trimester exposure during pregnancy and risk to neonates</w:t>
      </w:r>
    </w:p>
    <w:p w:rsidR="00621245" w:rsidRPr="00607759" w:rsidRDefault="00621245" w:rsidP="00607759">
      <w:pPr>
        <w:pStyle w:val="ListBullet"/>
      </w:pPr>
      <w:proofErr w:type="spellStart"/>
      <w:r w:rsidRPr="00607759">
        <w:t>QTc</w:t>
      </w:r>
      <w:proofErr w:type="spellEnd"/>
      <w:r w:rsidRPr="00607759">
        <w:t xml:space="preserve"> Prolongation</w:t>
      </w:r>
    </w:p>
    <w:p w:rsidR="00621245" w:rsidRPr="00607759" w:rsidRDefault="00621245" w:rsidP="00607759">
      <w:pPr>
        <w:pStyle w:val="ListBullet"/>
      </w:pPr>
      <w:r w:rsidRPr="00607759">
        <w:t>Dysphagia</w:t>
      </w:r>
    </w:p>
    <w:p w:rsidR="00621245" w:rsidRPr="00607759" w:rsidRDefault="00621245" w:rsidP="00607759">
      <w:pPr>
        <w:pStyle w:val="ListBullet"/>
      </w:pPr>
      <w:r w:rsidRPr="00607759">
        <w:t>Elderly patients with dementia</w:t>
      </w:r>
      <w:r w:rsidR="00AA4555" w:rsidRPr="00607759">
        <w:t xml:space="preserve"> </w:t>
      </w:r>
      <w:r w:rsidRPr="00607759">
        <w:t>related psychosis:</w:t>
      </w:r>
    </w:p>
    <w:p w:rsidR="00621245" w:rsidRPr="00607759" w:rsidRDefault="00621245" w:rsidP="00607759">
      <w:pPr>
        <w:pStyle w:val="ListBullet"/>
      </w:pPr>
      <w:r w:rsidRPr="00607759">
        <w:t xml:space="preserve">Cerebrovascular adverse reactions, including stroke in elderly patients </w:t>
      </w:r>
      <w:r w:rsidR="00E45F60" w:rsidRPr="00607759">
        <w:t xml:space="preserve">with dementia </w:t>
      </w:r>
      <w:r w:rsidR="00AA4555" w:rsidRPr="00607759">
        <w:t>related psychosis</w:t>
      </w:r>
    </w:p>
    <w:p w:rsidR="00621245" w:rsidRPr="00607759" w:rsidRDefault="00621245" w:rsidP="00607759">
      <w:pPr>
        <w:pStyle w:val="ListBullet"/>
      </w:pPr>
      <w:r w:rsidRPr="00607759">
        <w:t>Malignancy</w:t>
      </w:r>
    </w:p>
    <w:p w:rsidR="00621245" w:rsidRPr="00C72602" w:rsidRDefault="00621245" w:rsidP="00607759">
      <w:pPr>
        <w:pStyle w:val="Heading5"/>
      </w:pPr>
      <w:r w:rsidRPr="00835E0F">
        <w:t xml:space="preserve">Recommendations concerning </w:t>
      </w:r>
      <w:r w:rsidRPr="00607759">
        <w:t>the</w:t>
      </w:r>
      <w:r w:rsidRPr="00835E0F">
        <w:t xml:space="preserve"> sponsor’s proposed </w:t>
      </w:r>
      <w:proofErr w:type="spellStart"/>
      <w:r w:rsidRPr="00835E0F">
        <w:t>pharmacovigi</w:t>
      </w:r>
      <w:r w:rsidR="007F5150">
        <w:t>lance</w:t>
      </w:r>
      <w:proofErr w:type="spellEnd"/>
      <w:r w:rsidR="007F5150">
        <w:t xml:space="preserve"> plan</w:t>
      </w:r>
    </w:p>
    <w:p w:rsidR="00621245" w:rsidRPr="007F5150" w:rsidRDefault="00621245" w:rsidP="00607759">
      <w:pPr>
        <w:pStyle w:val="ListBullet"/>
      </w:pPr>
      <w:r w:rsidRPr="007F5150">
        <w:t>If this application is approved, the final study report for D1050238 will be expected with the first PSUR.</w:t>
      </w:r>
    </w:p>
    <w:p w:rsidR="00621245" w:rsidRPr="007F5150" w:rsidRDefault="00621245" w:rsidP="00607759">
      <w:pPr>
        <w:pStyle w:val="ListBullet"/>
      </w:pPr>
      <w:r w:rsidRPr="007F5150">
        <w:t xml:space="preserve">A number of issues require clarification in regards to the draft protocol for the proposed </w:t>
      </w:r>
      <w:r w:rsidR="00E45F60">
        <w:t>DUS</w:t>
      </w:r>
      <w:r w:rsidRPr="007F5150">
        <w:t>:</w:t>
      </w:r>
    </w:p>
    <w:p w:rsidR="00621245" w:rsidRPr="007F5150" w:rsidRDefault="00621245" w:rsidP="00607759">
      <w:pPr>
        <w:pStyle w:val="ListBullet2"/>
      </w:pPr>
      <w:r w:rsidRPr="007F5150">
        <w:lastRenderedPageBreak/>
        <w:t xml:space="preserve">The following ongoing safety concerns are assigned to this study (see </w:t>
      </w:r>
      <w:r w:rsidR="00E45F60">
        <w:t>EU-RMP</w:t>
      </w:r>
      <w:r w:rsidRPr="007F5150">
        <w:t>). However</w:t>
      </w:r>
      <w:r w:rsidR="00A206F8">
        <w:t>,</w:t>
      </w:r>
      <w:r w:rsidRPr="007F5150">
        <w:t xml:space="preserve"> in th</w:t>
      </w:r>
      <w:r w:rsidR="00A206F8">
        <w:t>e study draft protocol dated 5</w:t>
      </w:r>
      <w:r w:rsidRPr="007F5150">
        <w:t xml:space="preserve"> September 2012, they are not listed as a variable that will be coded/investigated in the study:</w:t>
      </w:r>
    </w:p>
    <w:p w:rsidR="00621245" w:rsidRPr="007F5150" w:rsidRDefault="00621245" w:rsidP="00607759">
      <w:pPr>
        <w:pStyle w:val="ListBullet3"/>
      </w:pPr>
      <w:r w:rsidRPr="007F5150">
        <w:t>Lurasidone use in renal impairment</w:t>
      </w:r>
    </w:p>
    <w:p w:rsidR="00621245" w:rsidRPr="007F5150" w:rsidRDefault="00621245" w:rsidP="00607759">
      <w:pPr>
        <w:pStyle w:val="ListBullet3"/>
      </w:pPr>
      <w:r w:rsidRPr="007F5150">
        <w:t>Lurasidone use in pregnancy and lactation</w:t>
      </w:r>
    </w:p>
    <w:p w:rsidR="00621245" w:rsidRPr="007F5150" w:rsidRDefault="00621245" w:rsidP="00607759">
      <w:pPr>
        <w:pStyle w:val="ListBullet2"/>
      </w:pPr>
      <w:r w:rsidRPr="007F5150">
        <w:t>The ongoing safety concern of lurasidone use in children and adolescents is assigned to the study, however according to th</w:t>
      </w:r>
      <w:r w:rsidR="00A206F8">
        <w:t>e draft study protocol dated 5</w:t>
      </w:r>
      <w:r w:rsidRPr="007F5150">
        <w:t xml:space="preserve"> </w:t>
      </w:r>
      <w:r w:rsidRPr="00607759">
        <w:t>September</w:t>
      </w:r>
      <w:r w:rsidR="00A206F8">
        <w:t xml:space="preserve"> 2012, patients aged under 18 years</w:t>
      </w:r>
      <w:r w:rsidRPr="007F5150">
        <w:t xml:space="preserve"> at index will be excluded</w:t>
      </w:r>
      <w:r w:rsidR="00A206F8">
        <w:t xml:space="preserve"> from the study</w:t>
      </w:r>
      <w:r w:rsidRPr="007F5150">
        <w:t>.</w:t>
      </w:r>
    </w:p>
    <w:p w:rsidR="00621245" w:rsidRPr="007F5150" w:rsidRDefault="00621245" w:rsidP="00607759">
      <w:pPr>
        <w:pStyle w:val="ListBullet"/>
      </w:pPr>
      <w:r w:rsidRPr="007F5150">
        <w:t>Due to the issues listed, the TGA will be seeking advice from the ACSOM regarding the adequacy of this study protocol, the need for an alternative study plan if the application is rejected in the EU, and if an Australian specific study or registry should be undertaken.</w:t>
      </w:r>
    </w:p>
    <w:p w:rsidR="00621245" w:rsidRPr="007F5150" w:rsidRDefault="007F5150" w:rsidP="00607759">
      <w:pPr>
        <w:pStyle w:val="ListBullet"/>
      </w:pPr>
      <w:r>
        <w:t>T</w:t>
      </w:r>
      <w:r w:rsidR="00621245" w:rsidRPr="007F5150">
        <w:t xml:space="preserve">he ASA lists the </w:t>
      </w:r>
      <w:r w:rsidR="00820FB7">
        <w:t>DUS</w:t>
      </w:r>
      <w:r w:rsidR="00621245" w:rsidRPr="007F5150">
        <w:t xml:space="preserve"> and “Paediatric studies” as additional risk minimisation activities. </w:t>
      </w:r>
      <w:r w:rsidR="00820FB7">
        <w:t>However, these</w:t>
      </w:r>
      <w:r w:rsidR="00621245" w:rsidRPr="007F5150">
        <w:t xml:space="preserve"> are additional </w:t>
      </w:r>
      <w:proofErr w:type="spellStart"/>
      <w:r w:rsidR="00621245" w:rsidRPr="00607759">
        <w:t>pharmacovigilance</w:t>
      </w:r>
      <w:proofErr w:type="spellEnd"/>
      <w:r w:rsidR="00621245" w:rsidRPr="007F5150">
        <w:t xml:space="preserve"> activities. This section of the ASA should be amended accordingly.</w:t>
      </w:r>
    </w:p>
    <w:p w:rsidR="00621245" w:rsidRPr="007F5150" w:rsidRDefault="00621245" w:rsidP="00607759">
      <w:pPr>
        <w:pStyle w:val="ListBullet"/>
      </w:pPr>
      <w:r w:rsidRPr="007F5150">
        <w:t xml:space="preserve">The Australian RMP relating to the pharmacovigilance practices does not adequately clarify the ongoing safety concerns for Australia and the proposed routine and additional pharmacovigilance strategies. For </w:t>
      </w:r>
      <w:r w:rsidRPr="00607759">
        <w:t>example</w:t>
      </w:r>
      <w:r w:rsidRPr="007F5150">
        <w:t>, it is unclear which ongoing safety concerns are addressed by each study.</w:t>
      </w:r>
    </w:p>
    <w:p w:rsidR="00621245" w:rsidRPr="007F5150" w:rsidRDefault="00621245" w:rsidP="00607759">
      <w:pPr>
        <w:pStyle w:val="ListBullet"/>
      </w:pPr>
      <w:r w:rsidRPr="007F5150">
        <w:t xml:space="preserve">It is recommended that all study reports and updates </w:t>
      </w:r>
      <w:r w:rsidRPr="00607759">
        <w:t>tha</w:t>
      </w:r>
      <w:r w:rsidR="00820FB7" w:rsidRPr="00607759">
        <w:t>t</w:t>
      </w:r>
      <w:r w:rsidR="00820FB7">
        <w:t xml:space="preserve"> are submitted to the EU or US</w:t>
      </w:r>
      <w:r w:rsidRPr="007F5150">
        <w:t xml:space="preserve"> also be submitted simultaneously to Australia.</w:t>
      </w:r>
    </w:p>
    <w:p w:rsidR="00621245" w:rsidRPr="007F5150" w:rsidRDefault="00621245" w:rsidP="00607759">
      <w:pPr>
        <w:pStyle w:val="ListBullet"/>
      </w:pPr>
      <w:r w:rsidRPr="007F5150">
        <w:t>The “designated local sponsor or agent” mentioned in the ASA has not been specified. The sponsor should clarify the details of this sponsor/agent.</w:t>
      </w:r>
    </w:p>
    <w:p w:rsidR="006F25B8" w:rsidRDefault="006F25B8" w:rsidP="00607759">
      <w:pPr>
        <w:pStyle w:val="Heading4"/>
        <w:rPr>
          <w:lang w:eastAsia="en-AU"/>
        </w:rPr>
      </w:pPr>
      <w:r w:rsidRPr="006F25B8">
        <w:rPr>
          <w:lang w:eastAsia="en-AU"/>
        </w:rPr>
        <w:t xml:space="preserve">Reconciliation of issues outlined in the </w:t>
      </w:r>
      <w:r w:rsidRPr="00607759">
        <w:t>RMP</w:t>
      </w:r>
      <w:r w:rsidR="00607759">
        <w:rPr>
          <w:lang w:eastAsia="en-AU"/>
        </w:rPr>
        <w:t xml:space="preserve"> report</w:t>
      </w:r>
    </w:p>
    <w:p w:rsidR="005F3B93" w:rsidRDefault="005F3B93" w:rsidP="00F77961">
      <w:r w:rsidRPr="005D63DD">
        <w:t>Reconciliation of issues outlined in the RMP report</w:t>
      </w:r>
      <w:r>
        <w:t xml:space="preserve"> is as follows.</w:t>
      </w:r>
    </w:p>
    <w:p w:rsidR="00C23FB0" w:rsidRPr="00F77961" w:rsidRDefault="00D355C0" w:rsidP="00F77961">
      <w:pPr>
        <w:pStyle w:val="Heading5"/>
      </w:pPr>
      <w:r w:rsidRPr="00D355C0">
        <w:t xml:space="preserve">Recommendation in </w:t>
      </w:r>
      <w:r w:rsidR="00DC0316">
        <w:t xml:space="preserve">the </w:t>
      </w:r>
      <w:r w:rsidRPr="00D355C0">
        <w:t>RMP evaluation report</w:t>
      </w:r>
    </w:p>
    <w:p w:rsidR="00984404" w:rsidRPr="00984404" w:rsidRDefault="00984404" w:rsidP="00F77961">
      <w:r w:rsidRPr="00984404">
        <w:t>The following risks should be added to the l</w:t>
      </w:r>
      <w:r w:rsidR="00F77961">
        <w:t>ist of ongoing safety concerns:</w:t>
      </w:r>
    </w:p>
    <w:p w:rsidR="00984404" w:rsidRPr="00984404" w:rsidRDefault="00F77961" w:rsidP="00F77961">
      <w:pPr>
        <w:pStyle w:val="ListBullet"/>
      </w:pPr>
      <w:r w:rsidRPr="00F77961">
        <w:t>Somnolence</w:t>
      </w:r>
    </w:p>
    <w:p w:rsidR="00984404" w:rsidRPr="00984404" w:rsidRDefault="00F77961" w:rsidP="00F77961">
      <w:pPr>
        <w:pStyle w:val="ListBullet"/>
      </w:pPr>
      <w:r w:rsidRPr="00F77961">
        <w:t>Suicidal</w:t>
      </w:r>
      <w:r>
        <w:t xml:space="preserve"> behaviour</w:t>
      </w:r>
    </w:p>
    <w:p w:rsidR="00984404" w:rsidRPr="00984404" w:rsidRDefault="00984404" w:rsidP="00F77961">
      <w:pPr>
        <w:pStyle w:val="ListBullet"/>
      </w:pPr>
      <w:proofErr w:type="spellStart"/>
      <w:r w:rsidRPr="00F77961">
        <w:t>Leukopaeni</w:t>
      </w:r>
      <w:r w:rsidR="00F77961" w:rsidRPr="00F77961">
        <w:t>a</w:t>
      </w:r>
      <w:proofErr w:type="spellEnd"/>
      <w:r w:rsidR="00F77961">
        <w:t xml:space="preserve">, neutropenia, </w:t>
      </w:r>
      <w:proofErr w:type="spellStart"/>
      <w:r w:rsidR="00F77961">
        <w:t>agranulocytosis</w:t>
      </w:r>
      <w:proofErr w:type="spellEnd"/>
    </w:p>
    <w:p w:rsidR="00984404" w:rsidRPr="00984404" w:rsidRDefault="00F77961" w:rsidP="00984404">
      <w:pPr>
        <w:pStyle w:val="ListBullet"/>
      </w:pPr>
      <w:r>
        <w:t>Temperature dysregulation</w:t>
      </w:r>
    </w:p>
    <w:p w:rsidR="00984404" w:rsidRPr="00984404" w:rsidRDefault="00820FB7" w:rsidP="00F77961">
      <w:pPr>
        <w:pStyle w:val="ListBullet"/>
      </w:pPr>
      <w:proofErr w:type="spellStart"/>
      <w:r w:rsidRPr="00F77961">
        <w:t>Hyperprolactinaemia</w:t>
      </w:r>
      <w:proofErr w:type="spellEnd"/>
      <w:r>
        <w:t xml:space="preserve"> and AE</w:t>
      </w:r>
      <w:r w:rsidR="00984404" w:rsidRPr="00984404">
        <w:t>s r</w:t>
      </w:r>
      <w:r>
        <w:t xml:space="preserve">elated to </w:t>
      </w:r>
      <w:proofErr w:type="spellStart"/>
      <w:r>
        <w:t>hyperprolactinaemia</w:t>
      </w:r>
      <w:proofErr w:type="spellEnd"/>
      <w:r>
        <w:t xml:space="preserve"> (for example,</w:t>
      </w:r>
      <w:r w:rsidR="00984404" w:rsidRPr="00984404">
        <w:t xml:space="preserve"> </w:t>
      </w:r>
      <w:proofErr w:type="spellStart"/>
      <w:r w:rsidR="00984404" w:rsidRPr="00984404">
        <w:t>reprodutive</w:t>
      </w:r>
      <w:proofErr w:type="spellEnd"/>
      <w:r w:rsidR="00984404" w:rsidRPr="00984404">
        <w:t xml:space="preserve"> system abnormalities, decreased bone mineralisation)</w:t>
      </w:r>
    </w:p>
    <w:p w:rsidR="00984404" w:rsidRPr="00984404" w:rsidRDefault="00F77961" w:rsidP="00F77961">
      <w:pPr>
        <w:pStyle w:val="ListBullet"/>
      </w:pPr>
      <w:r w:rsidRPr="00F77961">
        <w:t>Dyslipidaemia</w:t>
      </w:r>
    </w:p>
    <w:p w:rsidR="00984404" w:rsidRPr="00984404" w:rsidRDefault="00F77961" w:rsidP="00F77961">
      <w:pPr>
        <w:pStyle w:val="ListBullet"/>
      </w:pPr>
      <w:r w:rsidRPr="00F77961">
        <w:t>Weight</w:t>
      </w:r>
      <w:r>
        <w:t xml:space="preserve"> gain</w:t>
      </w:r>
    </w:p>
    <w:p w:rsidR="00984404" w:rsidRPr="00984404" w:rsidRDefault="00F77961" w:rsidP="00F77961">
      <w:pPr>
        <w:pStyle w:val="ListBullet"/>
      </w:pPr>
      <w:r w:rsidRPr="00F77961">
        <w:t>Orthostatic</w:t>
      </w:r>
      <w:r>
        <w:t xml:space="preserve"> </w:t>
      </w:r>
      <w:proofErr w:type="spellStart"/>
      <w:r>
        <w:t>hypotention</w:t>
      </w:r>
      <w:proofErr w:type="spellEnd"/>
    </w:p>
    <w:p w:rsidR="00984404" w:rsidRPr="00984404" w:rsidRDefault="00984404" w:rsidP="00F77961">
      <w:pPr>
        <w:pStyle w:val="ListBullet"/>
      </w:pPr>
      <w:r w:rsidRPr="00F77961">
        <w:t>H</w:t>
      </w:r>
      <w:r w:rsidR="00F77961" w:rsidRPr="00F77961">
        <w:t>yperglycaemia</w:t>
      </w:r>
      <w:r w:rsidR="00F77961">
        <w:t>/diabetes mellitus</w:t>
      </w:r>
    </w:p>
    <w:p w:rsidR="00984404" w:rsidRPr="00984404" w:rsidRDefault="00F77961" w:rsidP="00F77961">
      <w:pPr>
        <w:pStyle w:val="ListBullet"/>
      </w:pPr>
      <w:r w:rsidRPr="00F77961">
        <w:t>Venous</w:t>
      </w:r>
      <w:r>
        <w:t xml:space="preserve"> thromboembolism</w:t>
      </w:r>
    </w:p>
    <w:p w:rsidR="00984404" w:rsidRPr="00984404" w:rsidRDefault="00984404" w:rsidP="00F77961">
      <w:pPr>
        <w:pStyle w:val="ListBullet"/>
      </w:pPr>
      <w:r w:rsidRPr="00F77961">
        <w:t>Third</w:t>
      </w:r>
      <w:r w:rsidRPr="00984404">
        <w:t xml:space="preserve"> trimester exposure during</w:t>
      </w:r>
      <w:r w:rsidR="00F77961">
        <w:t xml:space="preserve"> pregnancy and risk to neonates</w:t>
      </w:r>
    </w:p>
    <w:p w:rsidR="00984404" w:rsidRPr="00984404" w:rsidRDefault="00F77961" w:rsidP="00F77961">
      <w:pPr>
        <w:pStyle w:val="ListBullet"/>
      </w:pPr>
      <w:proofErr w:type="spellStart"/>
      <w:r>
        <w:t>QTc</w:t>
      </w:r>
      <w:proofErr w:type="spellEnd"/>
      <w:r>
        <w:t xml:space="preserve"> Prolongation</w:t>
      </w:r>
    </w:p>
    <w:p w:rsidR="00984404" w:rsidRPr="00984404" w:rsidRDefault="00F77961" w:rsidP="00F77961">
      <w:pPr>
        <w:pStyle w:val="ListBullet"/>
      </w:pPr>
      <w:r>
        <w:lastRenderedPageBreak/>
        <w:t>Dysphagia</w:t>
      </w:r>
    </w:p>
    <w:p w:rsidR="00984404" w:rsidRPr="00984404" w:rsidRDefault="00984404" w:rsidP="00F77961">
      <w:pPr>
        <w:pStyle w:val="ListBullet"/>
      </w:pPr>
      <w:r w:rsidRPr="00984404">
        <w:t xml:space="preserve">Elderly </w:t>
      </w:r>
      <w:r w:rsidRPr="00F77961">
        <w:t>patients</w:t>
      </w:r>
      <w:r w:rsidRPr="00984404">
        <w:t xml:space="preserve"> with dementia</w:t>
      </w:r>
      <w:r w:rsidR="00820FB7">
        <w:t xml:space="preserve"> </w:t>
      </w:r>
      <w:r w:rsidR="00F77961">
        <w:t>related psychosis</w:t>
      </w:r>
    </w:p>
    <w:p w:rsidR="00984404" w:rsidRPr="00984404" w:rsidRDefault="00984404" w:rsidP="00F77961">
      <w:pPr>
        <w:pStyle w:val="ListBullet"/>
      </w:pPr>
      <w:r w:rsidRPr="00F77961">
        <w:t>Cerebrovascular</w:t>
      </w:r>
      <w:r w:rsidRPr="00984404">
        <w:t xml:space="preserve"> adverse reactions, including stroke in elderly patients </w:t>
      </w:r>
      <w:r w:rsidR="00F77961">
        <w:t>with dementia related psychosis</w:t>
      </w:r>
    </w:p>
    <w:p w:rsidR="00D355C0" w:rsidRPr="00984404" w:rsidRDefault="00984404" w:rsidP="00F77961">
      <w:pPr>
        <w:pStyle w:val="ListBullet"/>
      </w:pPr>
      <w:r w:rsidRPr="00F77961">
        <w:t>Malignancy</w:t>
      </w:r>
    </w:p>
    <w:p w:rsidR="00D355C0" w:rsidRDefault="00D355C0" w:rsidP="00F77961">
      <w:pPr>
        <w:pStyle w:val="Heading5"/>
      </w:pPr>
      <w:r>
        <w:t xml:space="preserve">Sponsor’s </w:t>
      </w:r>
      <w:r w:rsidRPr="00F77961">
        <w:t>response</w:t>
      </w:r>
    </w:p>
    <w:p w:rsidR="00181034" w:rsidRPr="00181034" w:rsidRDefault="00181034" w:rsidP="00F77961">
      <w:r w:rsidRPr="00181034">
        <w:t xml:space="preserve">The EU-RMP is currently under review by the </w:t>
      </w:r>
      <w:r w:rsidR="00820FB7">
        <w:t>EMA, and was updated as of the 15</w:t>
      </w:r>
      <w:r w:rsidRPr="00181034">
        <w:t xml:space="preserve"> May 2013 in response to the Day 120 List of Questions. The Day 180 List of Outstanding Issues (</w:t>
      </w:r>
      <w:proofErr w:type="spellStart"/>
      <w:r w:rsidRPr="00181034">
        <w:t>LoOIs</w:t>
      </w:r>
      <w:proofErr w:type="spellEnd"/>
      <w:r w:rsidRPr="00181034">
        <w:t xml:space="preserve">) was received on July 11 2013. The EU-RMP is currently being </w:t>
      </w:r>
      <w:r w:rsidR="00F77961">
        <w:t xml:space="preserve">updated according to the </w:t>
      </w:r>
      <w:proofErr w:type="spellStart"/>
      <w:r w:rsidR="00F77961">
        <w:t>LoOIs</w:t>
      </w:r>
      <w:proofErr w:type="spellEnd"/>
      <w:r w:rsidR="00F77961">
        <w:t>.</w:t>
      </w:r>
    </w:p>
    <w:p w:rsidR="00181034" w:rsidRPr="00181034" w:rsidRDefault="00181034" w:rsidP="00F77961">
      <w:r w:rsidRPr="00181034">
        <w:t>Based on the Day 120 List of Questions, the EU-RMP was updated to include following risks as “important potential risks” and added to the list of ong</w:t>
      </w:r>
      <w:r w:rsidR="00F77961">
        <w:t>oing safety concerns in EU-RMP.</w:t>
      </w:r>
    </w:p>
    <w:p w:rsidR="00181034" w:rsidRPr="00181034" w:rsidRDefault="00181034" w:rsidP="00F77961">
      <w:pPr>
        <w:pStyle w:val="ListBullet"/>
      </w:pPr>
      <w:r w:rsidRPr="00181034">
        <w:t>Third trimester exposure during</w:t>
      </w:r>
      <w:r w:rsidR="00F77961">
        <w:t xml:space="preserve"> pregnancy and risk to neonates</w:t>
      </w:r>
    </w:p>
    <w:p w:rsidR="00181034" w:rsidRPr="00181034" w:rsidRDefault="00181034" w:rsidP="00F77961">
      <w:pPr>
        <w:pStyle w:val="ListBullet"/>
      </w:pPr>
      <w:r w:rsidRPr="00181034">
        <w:t>Elderly patients with dementia</w:t>
      </w:r>
      <w:r w:rsidR="009F13ED">
        <w:t xml:space="preserve"> </w:t>
      </w:r>
      <w:r w:rsidR="00F77961">
        <w:t>related psychosis</w:t>
      </w:r>
    </w:p>
    <w:p w:rsidR="00181034" w:rsidRPr="00181034" w:rsidRDefault="00181034" w:rsidP="00F77961">
      <w:pPr>
        <w:pStyle w:val="ListBullet"/>
      </w:pPr>
      <w:r w:rsidRPr="00181034">
        <w:t xml:space="preserve">Cerebrovascular adverse reactions, including </w:t>
      </w:r>
      <w:r w:rsidRPr="00F77961">
        <w:t>stroke</w:t>
      </w:r>
      <w:r w:rsidRPr="00181034">
        <w:t xml:space="preserve"> in elderly patients </w:t>
      </w:r>
      <w:r w:rsidR="00F77961">
        <w:t>with dementia related psychosis</w:t>
      </w:r>
    </w:p>
    <w:p w:rsidR="00181034" w:rsidRPr="00181034" w:rsidRDefault="00181034" w:rsidP="00F77961">
      <w:r w:rsidRPr="00181034">
        <w:t>In addition to the risks noted above, the following risks have been included in the EU-RMP as potential risks in “Important Pharmacological Class Effects”, (with the exception of dysphagia) and these risks will be included in the list of ongoin</w:t>
      </w:r>
      <w:r w:rsidR="009B70DC">
        <w:t>g safety concerns in the ASA.</w:t>
      </w:r>
    </w:p>
    <w:p w:rsidR="00181034" w:rsidRPr="00181034" w:rsidRDefault="00F77961" w:rsidP="00F77961">
      <w:pPr>
        <w:pStyle w:val="ListBullet"/>
      </w:pPr>
      <w:r>
        <w:t>Somnolence</w:t>
      </w:r>
    </w:p>
    <w:p w:rsidR="00181034" w:rsidRPr="00181034" w:rsidRDefault="00181034" w:rsidP="00F77961">
      <w:pPr>
        <w:pStyle w:val="ListBullet"/>
      </w:pPr>
      <w:r w:rsidRPr="00181034">
        <w:t xml:space="preserve">Suicidal </w:t>
      </w:r>
      <w:r w:rsidRPr="00F77961">
        <w:t>behaviour</w:t>
      </w:r>
    </w:p>
    <w:p w:rsidR="00181034" w:rsidRPr="00181034" w:rsidRDefault="00181034" w:rsidP="00F77961">
      <w:pPr>
        <w:pStyle w:val="ListBullet"/>
      </w:pPr>
      <w:proofErr w:type="spellStart"/>
      <w:r w:rsidRPr="00181034">
        <w:t>Leukopaenia</w:t>
      </w:r>
      <w:proofErr w:type="spellEnd"/>
      <w:r w:rsidRPr="00181034">
        <w:t xml:space="preserve">, </w:t>
      </w:r>
      <w:r w:rsidRPr="00F77961">
        <w:t>neutropenia</w:t>
      </w:r>
      <w:r w:rsidR="00F77961">
        <w:t xml:space="preserve">, </w:t>
      </w:r>
      <w:proofErr w:type="spellStart"/>
      <w:r w:rsidR="00F77961">
        <w:t>agranulocytosis</w:t>
      </w:r>
      <w:proofErr w:type="spellEnd"/>
    </w:p>
    <w:p w:rsidR="00181034" w:rsidRPr="00181034" w:rsidRDefault="00F77961" w:rsidP="00F77961">
      <w:pPr>
        <w:pStyle w:val="ListBullet"/>
      </w:pPr>
      <w:r>
        <w:t>Temperature dysregulation</w:t>
      </w:r>
    </w:p>
    <w:p w:rsidR="00181034" w:rsidRPr="00181034" w:rsidRDefault="00181034" w:rsidP="00F77961">
      <w:pPr>
        <w:pStyle w:val="ListBullet"/>
      </w:pPr>
      <w:proofErr w:type="spellStart"/>
      <w:r w:rsidRPr="00181034">
        <w:t>Hyperprol</w:t>
      </w:r>
      <w:r w:rsidR="009F13ED">
        <w:t>actinaemia</w:t>
      </w:r>
      <w:proofErr w:type="spellEnd"/>
      <w:r w:rsidR="009F13ED">
        <w:t xml:space="preserve"> and </w:t>
      </w:r>
      <w:r w:rsidR="009F13ED" w:rsidRPr="00F77961">
        <w:t>AE</w:t>
      </w:r>
      <w:r w:rsidRPr="00F77961">
        <w:t>s</w:t>
      </w:r>
      <w:r w:rsidRPr="00181034">
        <w:t xml:space="preserve"> r</w:t>
      </w:r>
      <w:r w:rsidR="009F13ED">
        <w:t xml:space="preserve">elated to </w:t>
      </w:r>
      <w:proofErr w:type="spellStart"/>
      <w:r w:rsidR="009F13ED">
        <w:t>hyperprolactinaemia</w:t>
      </w:r>
      <w:proofErr w:type="spellEnd"/>
      <w:r w:rsidR="009F13ED">
        <w:t xml:space="preserve"> (for example,</w:t>
      </w:r>
      <w:r w:rsidRPr="00181034">
        <w:t xml:space="preserve"> </w:t>
      </w:r>
      <w:proofErr w:type="spellStart"/>
      <w:r w:rsidRPr="00181034">
        <w:t>reprodutive</w:t>
      </w:r>
      <w:proofErr w:type="spellEnd"/>
      <w:r w:rsidRPr="00181034">
        <w:t xml:space="preserve"> system abnormalities, decreased bone mineralisation)</w:t>
      </w:r>
    </w:p>
    <w:p w:rsidR="00181034" w:rsidRPr="00181034" w:rsidRDefault="00181034" w:rsidP="00F77961">
      <w:pPr>
        <w:pStyle w:val="ListBullet"/>
      </w:pPr>
      <w:r w:rsidRPr="00181034">
        <w:t>Dyslipidaemia</w:t>
      </w:r>
    </w:p>
    <w:p w:rsidR="00181034" w:rsidRPr="00181034" w:rsidRDefault="00F77961" w:rsidP="00F77961">
      <w:pPr>
        <w:pStyle w:val="ListBullet"/>
      </w:pPr>
      <w:r>
        <w:t>Weight gain</w:t>
      </w:r>
    </w:p>
    <w:p w:rsidR="00181034" w:rsidRPr="00181034" w:rsidRDefault="00181034" w:rsidP="00F77961">
      <w:pPr>
        <w:pStyle w:val="ListBullet"/>
      </w:pPr>
      <w:r w:rsidRPr="00181034">
        <w:t xml:space="preserve">Orthostatic </w:t>
      </w:r>
      <w:proofErr w:type="spellStart"/>
      <w:r w:rsidR="00F77961">
        <w:t>hypotention</w:t>
      </w:r>
      <w:proofErr w:type="spellEnd"/>
    </w:p>
    <w:p w:rsidR="00181034" w:rsidRPr="00181034" w:rsidRDefault="00181034" w:rsidP="00F77961">
      <w:pPr>
        <w:pStyle w:val="ListBullet"/>
      </w:pPr>
      <w:r w:rsidRPr="00181034">
        <w:t>Hyperglycaemia/</w:t>
      </w:r>
      <w:r w:rsidRPr="00F77961">
        <w:t>diabetes</w:t>
      </w:r>
      <w:r w:rsidR="00F77961">
        <w:t xml:space="preserve"> mellitus</w:t>
      </w:r>
    </w:p>
    <w:p w:rsidR="00181034" w:rsidRPr="00181034" w:rsidRDefault="00F77961" w:rsidP="00F77961">
      <w:pPr>
        <w:pStyle w:val="ListBullet"/>
      </w:pPr>
      <w:r>
        <w:t>Venous thromboembolism</w:t>
      </w:r>
    </w:p>
    <w:p w:rsidR="00D355C0" w:rsidRPr="00181034" w:rsidRDefault="00181034" w:rsidP="00F77961">
      <w:pPr>
        <w:pStyle w:val="ListBullet"/>
      </w:pPr>
      <w:r w:rsidRPr="00181034">
        <w:t>Dysphagia</w:t>
      </w:r>
    </w:p>
    <w:p w:rsidR="00D355C0" w:rsidRPr="00F77961" w:rsidRDefault="00D355C0" w:rsidP="00F77961">
      <w:pPr>
        <w:pStyle w:val="Heading5"/>
      </w:pPr>
      <w:r w:rsidRPr="00D355C0">
        <w:t>OPR evaluator’s comment</w:t>
      </w:r>
    </w:p>
    <w:p w:rsidR="00BD5A0D" w:rsidRDefault="00BD5A0D" w:rsidP="00DF48C8">
      <w:r w:rsidRPr="00BD5A0D">
        <w:t xml:space="preserve">The </w:t>
      </w:r>
      <w:r w:rsidR="009F13ED">
        <w:t>s</w:t>
      </w:r>
      <w:r w:rsidRPr="00BD5A0D">
        <w:t xml:space="preserve">ponsor has amended the list of ongoing safety concerns to include all risks, aside from </w:t>
      </w:r>
      <w:proofErr w:type="spellStart"/>
      <w:r w:rsidRPr="00BD5A0D">
        <w:t>QTc</w:t>
      </w:r>
      <w:proofErr w:type="spellEnd"/>
      <w:r w:rsidRPr="00BD5A0D">
        <w:t xml:space="preserve"> prolongation and malignancy.</w:t>
      </w:r>
    </w:p>
    <w:p w:rsidR="00BD5A0D" w:rsidRPr="00BD5A0D" w:rsidRDefault="00BD5A0D" w:rsidP="00BD5A0D">
      <w:r w:rsidRPr="00BD5A0D">
        <w:t xml:space="preserve">These risks are discussed in detail below. The evaluator acknowledges the </w:t>
      </w:r>
      <w:r w:rsidR="00857DB2">
        <w:t>s</w:t>
      </w:r>
      <w:r w:rsidRPr="00BD5A0D">
        <w:t xml:space="preserve">ponsor’s comments regarding the evidence of </w:t>
      </w:r>
      <w:proofErr w:type="spellStart"/>
      <w:r w:rsidRPr="00BD5A0D">
        <w:t>QTc</w:t>
      </w:r>
      <w:proofErr w:type="spellEnd"/>
      <w:r w:rsidRPr="00BD5A0D">
        <w:t xml:space="preserve"> Prolongation and malignancy with lurasidone treatment. However, these remain important potential risks that should be specifically reported on through the PSUR process. This view is su</w:t>
      </w:r>
      <w:r w:rsidR="00857DB2">
        <w:t>pported by the ACSOM</w:t>
      </w:r>
      <w:r w:rsidRPr="00BD5A0D">
        <w:t>.</w:t>
      </w:r>
    </w:p>
    <w:p w:rsidR="00D355C0" w:rsidRPr="00BD5A0D" w:rsidRDefault="00BD5A0D" w:rsidP="00DF48C8">
      <w:r w:rsidRPr="00BD5A0D">
        <w:t xml:space="preserve">For all other additional risks, the </w:t>
      </w:r>
      <w:r w:rsidR="00016ECF">
        <w:t>s</w:t>
      </w:r>
      <w:r w:rsidRPr="00BD5A0D">
        <w:t xml:space="preserve">ponsor should ensure that appropriate pharmacovigilance and risk minimisation activities are also applied for these risks. In light </w:t>
      </w:r>
      <w:r w:rsidR="00B45C66">
        <w:lastRenderedPageBreak/>
        <w:t>of the clinical and non</w:t>
      </w:r>
      <w:r w:rsidRPr="00BD5A0D">
        <w:t xml:space="preserve">clinical evaluator’s comments below, additional pharmacovigilance should be applied for the risk of </w:t>
      </w:r>
      <w:proofErr w:type="spellStart"/>
      <w:r w:rsidRPr="00BD5A0D">
        <w:t>hyperprolactinaemia</w:t>
      </w:r>
      <w:proofErr w:type="spellEnd"/>
      <w:r w:rsidRPr="00BD5A0D">
        <w:t xml:space="preserve">. Furthermore, the wording in the Australian </w:t>
      </w:r>
      <w:r w:rsidR="00B45C66">
        <w:t>PI</w:t>
      </w:r>
      <w:r w:rsidRPr="00BD5A0D">
        <w:t xml:space="preserve"> should be strengthened regarding </w:t>
      </w:r>
      <w:r w:rsidR="00B45C66">
        <w:t>this risk (see clinical and non</w:t>
      </w:r>
      <w:r w:rsidRPr="00BD5A0D">
        <w:t>clinical evaluators reports).</w:t>
      </w:r>
    </w:p>
    <w:p w:rsidR="003F72CB" w:rsidRDefault="003F72CB" w:rsidP="00D91D9C">
      <w:pPr>
        <w:pStyle w:val="Heading5"/>
      </w:pPr>
      <w:r w:rsidRPr="00D355C0">
        <w:t xml:space="preserve">Recommendation in </w:t>
      </w:r>
      <w:r>
        <w:t xml:space="preserve">the </w:t>
      </w:r>
      <w:r w:rsidRPr="00D355C0">
        <w:t xml:space="preserve">RMP </w:t>
      </w:r>
      <w:r w:rsidRPr="00D91D9C">
        <w:t>evaluation</w:t>
      </w:r>
      <w:r w:rsidRPr="00D355C0">
        <w:t xml:space="preserve"> report</w:t>
      </w:r>
    </w:p>
    <w:p w:rsidR="003F72CB" w:rsidRPr="00BD5A0D" w:rsidRDefault="00BD5A0D" w:rsidP="00D91D9C">
      <w:proofErr w:type="spellStart"/>
      <w:r w:rsidRPr="00BD5A0D">
        <w:t>QTc</w:t>
      </w:r>
      <w:proofErr w:type="spellEnd"/>
      <w:r w:rsidRPr="00BD5A0D">
        <w:t xml:space="preserve"> Prolongation: This is an important safety concern that must be co</w:t>
      </w:r>
      <w:r w:rsidR="004F3A1D">
        <w:t xml:space="preserve">nsidered with all antipsychotic </w:t>
      </w:r>
      <w:r w:rsidRPr="00BD5A0D">
        <w:t xml:space="preserve">medications. While studies to date have shown lurasidone may have a low signal for </w:t>
      </w:r>
      <w:proofErr w:type="spellStart"/>
      <w:r w:rsidRPr="00BD5A0D">
        <w:t>QTc</w:t>
      </w:r>
      <w:proofErr w:type="spellEnd"/>
      <w:r w:rsidRPr="00BD5A0D">
        <w:t xml:space="preserve"> prolongation</w:t>
      </w:r>
      <w:r w:rsidR="00B45C66">
        <w:t>,</w:t>
      </w:r>
      <w:r w:rsidR="00B45C66">
        <w:rPr>
          <w:rStyle w:val="FootnoteReference"/>
        </w:rPr>
        <w:footnoteReference w:id="44"/>
      </w:r>
      <w:r w:rsidR="00B45C66">
        <w:t xml:space="preserve"> </w:t>
      </w:r>
      <w:r w:rsidRPr="00BD5A0D">
        <w:t xml:space="preserve">further study is required to elucidate this risk. It is also noted that </w:t>
      </w:r>
      <w:proofErr w:type="spellStart"/>
      <w:r w:rsidRPr="00BD5A0D">
        <w:t>QTc</w:t>
      </w:r>
      <w:proofErr w:type="spellEnd"/>
      <w:r w:rsidRPr="00BD5A0D">
        <w:t xml:space="preserve"> prolongation is not included by the sponsor in the list of pharmacological class effects in the EU-RMP. This should be amended.</w:t>
      </w:r>
    </w:p>
    <w:p w:rsidR="003F72CB" w:rsidRPr="00D91D9C" w:rsidRDefault="003F72CB" w:rsidP="00D91D9C">
      <w:pPr>
        <w:pStyle w:val="Heading5"/>
      </w:pPr>
      <w:r>
        <w:t>Sponsor’s response</w:t>
      </w:r>
    </w:p>
    <w:p w:rsidR="007905F1" w:rsidRPr="007905F1" w:rsidRDefault="007905F1" w:rsidP="00D91D9C">
      <w:r w:rsidRPr="007905F1">
        <w:t xml:space="preserve">The potential of </w:t>
      </w:r>
      <w:proofErr w:type="spellStart"/>
      <w:r w:rsidRPr="007905F1">
        <w:t>lurasidone</w:t>
      </w:r>
      <w:proofErr w:type="spellEnd"/>
      <w:r w:rsidRPr="007905F1">
        <w:t xml:space="preserve"> to induce </w:t>
      </w:r>
      <w:proofErr w:type="spellStart"/>
      <w:r w:rsidRPr="007905F1">
        <w:t>QTc</w:t>
      </w:r>
      <w:proofErr w:type="spellEnd"/>
      <w:r w:rsidRPr="007905F1">
        <w:t xml:space="preserve"> prolongation was evaluated in a Thorough QT study(Study D1050249) with </w:t>
      </w:r>
      <w:r w:rsidR="00220ECE">
        <w:t>a</w:t>
      </w:r>
      <w:r w:rsidRPr="007905F1">
        <w:t xml:space="preserve">n external expert review (Annex 12 of the EU-RMP) integrated the nonclinical and clinical data, including the results of the Thorough QT study, to define the effect of </w:t>
      </w:r>
      <w:proofErr w:type="spellStart"/>
      <w:r w:rsidRPr="007905F1">
        <w:t>lurasidone</w:t>
      </w:r>
      <w:proofErr w:type="spellEnd"/>
      <w:r w:rsidRPr="007905F1">
        <w:t xml:space="preserve"> on cardiac repolari</w:t>
      </w:r>
      <w:r w:rsidR="000A54F5">
        <w:t>s</w:t>
      </w:r>
      <w:r w:rsidR="00D91D9C">
        <w:t>ation.</w:t>
      </w:r>
    </w:p>
    <w:p w:rsidR="007905F1" w:rsidRPr="007905F1" w:rsidRDefault="007905F1" w:rsidP="00D91D9C">
      <w:r w:rsidRPr="007905F1">
        <w:t>The following conclusions can be drawn regarding the potential of lurasidone to prolong the QT interval based on the nonclinical and c</w:t>
      </w:r>
      <w:r w:rsidR="00D91D9C">
        <w:t>linical data:</w:t>
      </w:r>
    </w:p>
    <w:p w:rsidR="007905F1" w:rsidRPr="007905F1" w:rsidRDefault="007905F1" w:rsidP="002E6674">
      <w:pPr>
        <w:pStyle w:val="ListBullet"/>
      </w:pPr>
      <w:r w:rsidRPr="007905F1">
        <w:t>Nonclinical human ether-à-go-go–related gene (</w:t>
      </w:r>
      <w:proofErr w:type="spellStart"/>
      <w:r w:rsidRPr="007905F1">
        <w:t>hERG</w:t>
      </w:r>
      <w:proofErr w:type="spellEnd"/>
      <w:r w:rsidRPr="007905F1">
        <w:t xml:space="preserve">) data indicate safety margins in excess of 120 at clinical concentrations attained at steady </w:t>
      </w:r>
      <w:r w:rsidRPr="002E6674">
        <w:t>state</w:t>
      </w:r>
      <w:r w:rsidRPr="007905F1">
        <w:t xml:space="preserve"> by daily doses of 160 mg</w:t>
      </w:r>
      <w:r w:rsidR="000A54F5">
        <w:t>;</w:t>
      </w:r>
    </w:p>
    <w:p w:rsidR="007905F1" w:rsidRPr="007905F1" w:rsidRDefault="007905F1" w:rsidP="002E6674">
      <w:pPr>
        <w:pStyle w:val="ListBullet"/>
      </w:pPr>
      <w:r w:rsidRPr="007905F1">
        <w:t xml:space="preserve">A thorough QT study in patients with schizophrenia or </w:t>
      </w:r>
      <w:r w:rsidRPr="002E6674">
        <w:t>schizoaffective</w:t>
      </w:r>
      <w:r w:rsidRPr="007905F1">
        <w:t xml:space="preserve"> disorder, using </w:t>
      </w:r>
      <w:proofErr w:type="spellStart"/>
      <w:r w:rsidRPr="007905F1">
        <w:t>ziprasidone</w:t>
      </w:r>
      <w:proofErr w:type="spellEnd"/>
      <w:r w:rsidRPr="007905F1">
        <w:t xml:space="preserve"> as the active control, revealed that </w:t>
      </w:r>
      <w:proofErr w:type="spellStart"/>
      <w:r w:rsidRPr="007905F1">
        <w:t>ΔQTc</w:t>
      </w:r>
      <w:proofErr w:type="spellEnd"/>
      <w:r w:rsidRPr="007905F1">
        <w:t xml:space="preserve"> interval corrected using the individuali</w:t>
      </w:r>
      <w:r w:rsidR="000A54F5">
        <w:t>s</w:t>
      </w:r>
      <w:r w:rsidRPr="007905F1">
        <w:t>ed method (</w:t>
      </w:r>
      <w:proofErr w:type="spellStart"/>
      <w:r w:rsidRPr="007905F1">
        <w:t>QTcI</w:t>
      </w:r>
      <w:proofErr w:type="spellEnd"/>
      <w:r w:rsidRPr="007905F1">
        <w:t xml:space="preserve">) values for 120 mg and 600 mg daily dose for 11 days were 9.4 </w:t>
      </w:r>
      <w:proofErr w:type="spellStart"/>
      <w:r w:rsidR="000A54F5" w:rsidRPr="007905F1">
        <w:t>ms</w:t>
      </w:r>
      <w:proofErr w:type="spellEnd"/>
      <w:r w:rsidR="000A54F5" w:rsidRPr="007905F1">
        <w:t xml:space="preserve"> </w:t>
      </w:r>
      <w:r w:rsidRPr="007905F1">
        <w:t xml:space="preserve">(90% upper bound 14.7) and 5.8 </w:t>
      </w:r>
      <w:proofErr w:type="spellStart"/>
      <w:r w:rsidR="000A54F5" w:rsidRPr="007905F1">
        <w:t>ms</w:t>
      </w:r>
      <w:proofErr w:type="spellEnd"/>
      <w:r w:rsidR="000A54F5" w:rsidRPr="007905F1">
        <w:t xml:space="preserve"> </w:t>
      </w:r>
      <w:r w:rsidR="000A54F5">
        <w:t xml:space="preserve">(90% upper bound 11.5), </w:t>
      </w:r>
      <w:r w:rsidRPr="007905F1">
        <w:t>respectively. Based on concentration-</w:t>
      </w:r>
      <w:proofErr w:type="spellStart"/>
      <w:r w:rsidRPr="007905F1">
        <w:t>QTcI</w:t>
      </w:r>
      <w:proofErr w:type="spellEnd"/>
      <w:r w:rsidRPr="007905F1">
        <w:t xml:space="preserve"> response analysis, increases in </w:t>
      </w:r>
      <w:proofErr w:type="spellStart"/>
      <w:r w:rsidRPr="007905F1">
        <w:t>QTcI</w:t>
      </w:r>
      <w:proofErr w:type="spellEnd"/>
      <w:r w:rsidRPr="007905F1">
        <w:t xml:space="preserve"> interval predicted are 0.4 </w:t>
      </w:r>
      <w:proofErr w:type="spellStart"/>
      <w:r w:rsidR="000A54F5" w:rsidRPr="007905F1">
        <w:t>ms</w:t>
      </w:r>
      <w:proofErr w:type="spellEnd"/>
      <w:r w:rsidR="000A54F5" w:rsidRPr="007905F1">
        <w:t xml:space="preserve"> </w:t>
      </w:r>
      <w:r w:rsidRPr="007905F1">
        <w:t xml:space="preserve">(upper bound 1.4) at a dose of 120 mg (fixed) and 1.3 </w:t>
      </w:r>
      <w:proofErr w:type="spellStart"/>
      <w:r w:rsidR="000A54F5">
        <w:t>ms</w:t>
      </w:r>
      <w:proofErr w:type="spellEnd"/>
      <w:r w:rsidR="000A54F5" w:rsidRPr="007905F1">
        <w:t xml:space="preserve"> </w:t>
      </w:r>
      <w:r w:rsidRPr="007905F1">
        <w:t>(upper bound 5.1</w:t>
      </w:r>
      <w:r w:rsidR="000A54F5">
        <w:t>) at 600 mg (titrated) dose;</w:t>
      </w:r>
    </w:p>
    <w:p w:rsidR="007905F1" w:rsidRPr="007905F1" w:rsidRDefault="007905F1" w:rsidP="002E6674">
      <w:pPr>
        <w:pStyle w:val="ListBullet"/>
      </w:pPr>
      <w:r w:rsidRPr="007905F1">
        <w:t>Clinical trials data have not indicated clinically relevant increases in QT interval corrected for heart rate (</w:t>
      </w:r>
      <w:proofErr w:type="spellStart"/>
      <w:r w:rsidRPr="007905F1">
        <w:t>QTc</w:t>
      </w:r>
      <w:proofErr w:type="spellEnd"/>
      <w:r w:rsidRPr="007905F1">
        <w:t xml:space="preserve">). </w:t>
      </w:r>
      <w:r w:rsidR="00787ABB">
        <w:t xml:space="preserve">A total of </w:t>
      </w:r>
      <w:r w:rsidRPr="007905F1">
        <w:t xml:space="preserve">2/257 (0.8%) schizophrenia patients in </w:t>
      </w:r>
      <w:r w:rsidR="00E0542F">
        <w:t>P</w:t>
      </w:r>
      <w:r w:rsidRPr="007905F1">
        <w:t xml:space="preserve">hase I clinical studies and </w:t>
      </w:r>
      <w:r w:rsidR="00787ABB">
        <w:t>0/</w:t>
      </w:r>
      <w:r w:rsidRPr="007905F1">
        <w:t xml:space="preserve">973 patients in 5 major </w:t>
      </w:r>
      <w:r w:rsidR="00E0542F">
        <w:t>P</w:t>
      </w:r>
      <w:r w:rsidRPr="007905F1">
        <w:t xml:space="preserve">hase </w:t>
      </w:r>
      <w:r w:rsidR="00E0542F">
        <w:t>II</w:t>
      </w:r>
      <w:r w:rsidRPr="007905F1">
        <w:t>/</w:t>
      </w:r>
      <w:r w:rsidR="00E0542F">
        <w:t>III</w:t>
      </w:r>
      <w:r w:rsidRPr="007905F1">
        <w:t xml:space="preserve"> clinical trials developed a </w:t>
      </w:r>
      <w:proofErr w:type="spellStart"/>
      <w:r w:rsidRPr="007905F1">
        <w:t>QTc</w:t>
      </w:r>
      <w:proofErr w:type="spellEnd"/>
      <w:r w:rsidRPr="007905F1">
        <w:t xml:space="preserve"> interval corrected using </w:t>
      </w:r>
      <w:proofErr w:type="spellStart"/>
      <w:r w:rsidRPr="007905F1">
        <w:t>Fridericia’s</w:t>
      </w:r>
      <w:proofErr w:type="spellEnd"/>
      <w:r w:rsidRPr="007905F1">
        <w:t xml:space="preserve"> me</w:t>
      </w:r>
      <w:r w:rsidR="000A54F5">
        <w:t>thod (</w:t>
      </w:r>
      <w:proofErr w:type="spellStart"/>
      <w:r w:rsidR="000A54F5">
        <w:t>QTcF</w:t>
      </w:r>
      <w:proofErr w:type="spellEnd"/>
      <w:r w:rsidR="000A54F5">
        <w:t>) in excess of 500</w:t>
      </w:r>
      <w:r w:rsidR="00EA2F1B">
        <w:t xml:space="preserve"> </w:t>
      </w:r>
      <w:proofErr w:type="spellStart"/>
      <w:r w:rsidR="000A54F5">
        <w:t>ms</w:t>
      </w:r>
      <w:proofErr w:type="spellEnd"/>
      <w:r w:rsidR="000A54F5">
        <w:t>;</w:t>
      </w:r>
    </w:p>
    <w:p w:rsidR="007905F1" w:rsidRPr="007905F1" w:rsidRDefault="007905F1" w:rsidP="002E6674">
      <w:pPr>
        <w:pStyle w:val="ListBullet"/>
      </w:pPr>
      <w:r w:rsidRPr="007905F1">
        <w:t>Post</w:t>
      </w:r>
      <w:r w:rsidR="00787ABB">
        <w:t xml:space="preserve"> </w:t>
      </w:r>
      <w:r w:rsidRPr="007905F1">
        <w:t xml:space="preserve">marketing </w:t>
      </w:r>
      <w:proofErr w:type="gramStart"/>
      <w:r w:rsidRPr="007905F1">
        <w:t>data,</w:t>
      </w:r>
      <w:proofErr w:type="gramEnd"/>
      <w:r w:rsidRPr="007905F1">
        <w:t xml:space="preserve"> have not indicated a ri</w:t>
      </w:r>
      <w:r w:rsidR="002E6674">
        <w:t>sk of QT interval prolongation.</w:t>
      </w:r>
    </w:p>
    <w:p w:rsidR="003F72CB" w:rsidRPr="007905F1" w:rsidRDefault="007905F1" w:rsidP="002E6674">
      <w:r w:rsidRPr="007905F1">
        <w:t>In summary, in light of the data derived from both a dedicated thorough QT study and data from the clinical trial program, it is concluded that there is no suspected association of QT prolongation with lurasidone exposure, and therefore it is not considered appropriate to add this as an ongoing safety concern.</w:t>
      </w:r>
    </w:p>
    <w:p w:rsidR="003F72CB" w:rsidRPr="002E6674" w:rsidRDefault="003F72CB" w:rsidP="002E6674">
      <w:pPr>
        <w:pStyle w:val="Heading5"/>
      </w:pPr>
      <w:r w:rsidRPr="00D355C0">
        <w:t>OPR evaluator’s comment</w:t>
      </w:r>
    </w:p>
    <w:p w:rsidR="007905F1" w:rsidRPr="007905F1" w:rsidRDefault="007905F1" w:rsidP="002E6674">
      <w:r w:rsidRPr="007905F1">
        <w:t xml:space="preserve">The evaluator acknowledges the </w:t>
      </w:r>
      <w:r w:rsidR="00E97E15">
        <w:t>s</w:t>
      </w:r>
      <w:r w:rsidRPr="007905F1">
        <w:t xml:space="preserve">ponsor’s comments regarding the evidence of </w:t>
      </w:r>
      <w:proofErr w:type="spellStart"/>
      <w:r w:rsidRPr="007905F1">
        <w:t>QTc</w:t>
      </w:r>
      <w:proofErr w:type="spellEnd"/>
      <w:r w:rsidRPr="007905F1">
        <w:t xml:space="preserve"> prolongation and lurasidone therapy. However, this remains an important potential risk that should be included in the list of ongoing safety concerns and investigated thr</w:t>
      </w:r>
      <w:r w:rsidR="008D2076">
        <w:t>ough PSURs. Furthermore, the</w:t>
      </w:r>
      <w:r w:rsidRPr="007905F1">
        <w:t xml:space="preserve"> clinical evaluator discusses this evidence in detail and recommends routine risk minimisation be applied for this </w:t>
      </w:r>
      <w:r w:rsidR="002E6674">
        <w:t>risk (suggested PI precaution).</w:t>
      </w:r>
    </w:p>
    <w:p w:rsidR="003F72CB" w:rsidRPr="007905F1" w:rsidRDefault="007905F1" w:rsidP="002E6674">
      <w:r w:rsidRPr="007905F1">
        <w:t>The ACSOM committee also supported this recommendation.</w:t>
      </w:r>
    </w:p>
    <w:p w:rsidR="003F72CB" w:rsidRDefault="003F72CB" w:rsidP="002E6674">
      <w:pPr>
        <w:pStyle w:val="Heading5"/>
      </w:pPr>
      <w:r w:rsidRPr="00D355C0">
        <w:lastRenderedPageBreak/>
        <w:t xml:space="preserve">Recommendation in </w:t>
      </w:r>
      <w:r>
        <w:t xml:space="preserve">the </w:t>
      </w:r>
      <w:r w:rsidRPr="00D355C0">
        <w:t xml:space="preserve">RMP evaluation </w:t>
      </w:r>
      <w:r w:rsidRPr="002E6674">
        <w:t>report</w:t>
      </w:r>
    </w:p>
    <w:p w:rsidR="003F72CB" w:rsidRPr="00EA1763" w:rsidRDefault="002735FC" w:rsidP="002E6674">
      <w:r w:rsidRPr="00EA1763">
        <w:t>Malignancy should be included as important missing information. In animal studies there has been increased incidence of proliferative and/or neoplastic changes in the mammary and pituitary glands of rodents (EU-RMP). The relevance of this increased incidence of prolactin mediated tumours in terms of human risk is unknown.</w:t>
      </w:r>
    </w:p>
    <w:p w:rsidR="003F72CB" w:rsidRPr="002E6674" w:rsidRDefault="003F72CB" w:rsidP="002E6674">
      <w:pPr>
        <w:pStyle w:val="Heading5"/>
      </w:pPr>
      <w:r>
        <w:t>Sponsor’s response</w:t>
      </w:r>
    </w:p>
    <w:p w:rsidR="00EA1763" w:rsidRPr="00EA1763" w:rsidRDefault="00EA1763" w:rsidP="002E6674">
      <w:r w:rsidRPr="00EA1763">
        <w:t>Although a signal was observed for lurasidone and prolactin</w:t>
      </w:r>
      <w:r w:rsidR="008D2076">
        <w:t xml:space="preserve"> </w:t>
      </w:r>
      <w:r w:rsidRPr="00EA1763">
        <w:t>dependent tumo</w:t>
      </w:r>
      <w:r w:rsidR="00A8636F">
        <w:t>u</w:t>
      </w:r>
      <w:r w:rsidRPr="00EA1763">
        <w:t>rs in no</w:t>
      </w:r>
      <w:r w:rsidR="008D2076">
        <w:t>nclinical studies</w:t>
      </w:r>
      <w:r w:rsidRPr="00EA1763">
        <w:t>, the increase in mammary and pituitary gland tumo</w:t>
      </w:r>
      <w:r w:rsidR="00A8636F">
        <w:t>u</w:t>
      </w:r>
      <w:r w:rsidRPr="00EA1763">
        <w:t>rs due to increased secretion of prolactin is considered to be a rodent</w:t>
      </w:r>
      <w:r w:rsidR="008D2076">
        <w:t xml:space="preserve"> </w:t>
      </w:r>
      <w:r w:rsidRPr="00EA1763">
        <w:t>specific finding for the broad class of antipsychotics that antagoni</w:t>
      </w:r>
      <w:r w:rsidR="008D2076">
        <w:t>s</w:t>
      </w:r>
      <w:r w:rsidR="002E6674">
        <w:t>e D2.</w:t>
      </w:r>
    </w:p>
    <w:p w:rsidR="00EA1763" w:rsidRPr="00EA1763" w:rsidRDefault="00EA1763" w:rsidP="002E6674">
      <w:r w:rsidRPr="00EA1763">
        <w:t>No prolactin</w:t>
      </w:r>
      <w:r w:rsidR="008D2076">
        <w:t xml:space="preserve"> </w:t>
      </w:r>
      <w:r w:rsidRPr="00EA1763">
        <w:t>dependent tumo</w:t>
      </w:r>
      <w:r w:rsidR="00A8636F">
        <w:t>u</w:t>
      </w:r>
      <w:r w:rsidRPr="00EA1763">
        <w:t xml:space="preserve">rs have been observed in clinical studies of up to 22 months duration. Prolactin levels were generally lower with lurasidone than with other antipsychotics. The </w:t>
      </w:r>
      <w:proofErr w:type="spellStart"/>
      <w:r w:rsidRPr="00EA1763">
        <w:t>SmPCs</w:t>
      </w:r>
      <w:proofErr w:type="spellEnd"/>
      <w:r w:rsidRPr="00EA1763">
        <w:t xml:space="preserve"> in EU and the PIs in Australia for all other second generation antipsychotics mention </w:t>
      </w:r>
      <w:proofErr w:type="spellStart"/>
      <w:r w:rsidRPr="00EA1763">
        <w:t>hyperprolactinaemia</w:t>
      </w:r>
      <w:proofErr w:type="spellEnd"/>
      <w:r w:rsidRPr="00EA1763">
        <w:t>; however</w:t>
      </w:r>
      <w:r w:rsidR="0090744F">
        <w:t>,</w:t>
      </w:r>
      <w:r w:rsidRPr="00EA1763">
        <w:t xml:space="preserve"> none include prolactin</w:t>
      </w:r>
      <w:r w:rsidR="0090744F">
        <w:t xml:space="preserve"> </w:t>
      </w:r>
      <w:r w:rsidRPr="00EA1763">
        <w:t>dependent tumo</w:t>
      </w:r>
      <w:r w:rsidR="00A8636F">
        <w:t>u</w:t>
      </w:r>
      <w:r w:rsidR="002E6674">
        <w:t>rs as a risk.</w:t>
      </w:r>
    </w:p>
    <w:p w:rsidR="00EA1763" w:rsidRPr="00EA1763" w:rsidRDefault="00EA1763" w:rsidP="002E6674">
      <w:r w:rsidRPr="00EA1763">
        <w:t xml:space="preserve">As of 31 December 2012, which is the data </w:t>
      </w:r>
      <w:proofErr w:type="spellStart"/>
      <w:r w:rsidRPr="00EA1763">
        <w:t>cutoff</w:t>
      </w:r>
      <w:proofErr w:type="spellEnd"/>
      <w:r w:rsidRPr="00EA1763">
        <w:t xml:space="preserve"> date for post</w:t>
      </w:r>
      <w:r w:rsidR="00A8636F">
        <w:t xml:space="preserve"> </w:t>
      </w:r>
      <w:r w:rsidRPr="00EA1763">
        <w:t>marketing pati</w:t>
      </w:r>
      <w:r w:rsidR="0090744F">
        <w:t>ent exposure, approximately 312,</w:t>
      </w:r>
      <w:r w:rsidRPr="00EA1763">
        <w:t>300 patients were exposed to lurasidone in the United States, and 607 patients were e</w:t>
      </w:r>
      <w:r w:rsidR="002E6674">
        <w:t xml:space="preserve">xposed to </w:t>
      </w:r>
      <w:proofErr w:type="spellStart"/>
      <w:r w:rsidR="002E6674">
        <w:t>lurasidone</w:t>
      </w:r>
      <w:proofErr w:type="spellEnd"/>
      <w:r w:rsidR="002E6674">
        <w:t xml:space="preserve"> in Canada.</w:t>
      </w:r>
    </w:p>
    <w:p w:rsidR="00EA1763" w:rsidRPr="00EA1763" w:rsidRDefault="00EA1763" w:rsidP="002E6674">
      <w:r w:rsidRPr="00EA1763">
        <w:t>A search in the pos</w:t>
      </w:r>
      <w:r w:rsidR="00E97E15">
        <w:t>t</w:t>
      </w:r>
      <w:r w:rsidR="0090744F">
        <w:t xml:space="preserve"> </w:t>
      </w:r>
      <w:r w:rsidR="00E97E15">
        <w:t>marketing safety database (</w:t>
      </w:r>
      <w:proofErr w:type="spellStart"/>
      <w:r w:rsidR="00E97E15">
        <w:t>cut</w:t>
      </w:r>
      <w:r w:rsidRPr="00EA1763">
        <w:t>off</w:t>
      </w:r>
      <w:proofErr w:type="spellEnd"/>
      <w:r w:rsidRPr="00EA1763">
        <w:t xml:space="preserve"> date 31 December 2012) of </w:t>
      </w:r>
      <w:r w:rsidR="0090744F">
        <w:t>AEs</w:t>
      </w:r>
      <w:r w:rsidRPr="00EA1763">
        <w:t xml:space="preserve"> categori</w:t>
      </w:r>
      <w:r w:rsidR="0090744F">
        <w:t>s</w:t>
      </w:r>
      <w:r w:rsidRPr="00EA1763">
        <w:t>ed in the Neoplasms benign, malignant and unspecified (including cysts and polyps) SOC and the Endocrine disorders SOC were reviewed. No reports relating to pituitary tumo</w:t>
      </w:r>
      <w:r w:rsidR="00A8636F">
        <w:t>u</w:t>
      </w:r>
      <w:r w:rsidRPr="00EA1763">
        <w:t>rs or mammary gland tumo</w:t>
      </w:r>
      <w:r w:rsidR="00A8636F">
        <w:t>u</w:t>
      </w:r>
      <w:r w:rsidRPr="00EA1763">
        <w:t>rs were identified.</w:t>
      </w:r>
    </w:p>
    <w:p w:rsidR="003F72CB" w:rsidRPr="00EA1763" w:rsidRDefault="00EA1763" w:rsidP="002E6674">
      <w:r w:rsidRPr="00EA1763">
        <w:t>Based on the balance of nonclinical, clinical and post marketing data, it is concluded that that effects on prolactin</w:t>
      </w:r>
      <w:r w:rsidR="00E97E15">
        <w:t xml:space="preserve"> </w:t>
      </w:r>
      <w:r w:rsidRPr="00EA1763">
        <w:t>dependent tumo</w:t>
      </w:r>
      <w:r w:rsidR="00A8636F">
        <w:t>u</w:t>
      </w:r>
      <w:r w:rsidRPr="00EA1763">
        <w:t>rs should not be included as an ongoing safety concern.</w:t>
      </w:r>
    </w:p>
    <w:p w:rsidR="003F72CB" w:rsidRPr="002E6674" w:rsidRDefault="003F72CB" w:rsidP="002E6674">
      <w:pPr>
        <w:pStyle w:val="Heading5"/>
      </w:pPr>
      <w:r w:rsidRPr="00D355C0">
        <w:t>OPR evaluator’s comment</w:t>
      </w:r>
    </w:p>
    <w:p w:rsidR="003F72CB" w:rsidRDefault="00A8636F" w:rsidP="002E6674">
      <w:r>
        <w:t>This is acceptable.</w:t>
      </w:r>
    </w:p>
    <w:p w:rsidR="003F72CB" w:rsidRDefault="003F72CB" w:rsidP="002E6674">
      <w:pPr>
        <w:pStyle w:val="Heading5"/>
      </w:pPr>
      <w:r w:rsidRPr="00D355C0">
        <w:t xml:space="preserve">Recommendation in </w:t>
      </w:r>
      <w:r>
        <w:t xml:space="preserve">the </w:t>
      </w:r>
      <w:r w:rsidRPr="00D355C0">
        <w:t>RMP evaluation report</w:t>
      </w:r>
    </w:p>
    <w:p w:rsidR="003F72CB" w:rsidRPr="00DE187F" w:rsidRDefault="00DE187F" w:rsidP="002E6674">
      <w:r w:rsidRPr="00DE187F">
        <w:t>Study D1050238: If this application is approved, the final study report for D1050238 will be expected with the first PSUR.</w:t>
      </w:r>
    </w:p>
    <w:p w:rsidR="003F72CB" w:rsidRDefault="003F72CB" w:rsidP="002E6674">
      <w:pPr>
        <w:pStyle w:val="Heading5"/>
      </w:pPr>
      <w:r>
        <w:t xml:space="preserve">Sponsor’s </w:t>
      </w:r>
      <w:r w:rsidRPr="002E6674">
        <w:t>response</w:t>
      </w:r>
    </w:p>
    <w:p w:rsidR="003F72CB" w:rsidRPr="00DE187F" w:rsidRDefault="00DE187F" w:rsidP="002E6674">
      <w:r w:rsidRPr="00DE187F">
        <w:t>If the application is approved, the final study report for D1050238 will be included in the first PSUR.</w:t>
      </w:r>
    </w:p>
    <w:p w:rsidR="003F72CB" w:rsidRDefault="003F72CB" w:rsidP="002E6674">
      <w:pPr>
        <w:pStyle w:val="Heading5"/>
      </w:pPr>
      <w:r w:rsidRPr="00D355C0">
        <w:t xml:space="preserve">OPR evaluator’s </w:t>
      </w:r>
      <w:r w:rsidRPr="002E6674">
        <w:t>comment</w:t>
      </w:r>
    </w:p>
    <w:p w:rsidR="00DE187F" w:rsidRDefault="00DE187F" w:rsidP="002E6674">
      <w:r>
        <w:t>This is acceptable.</w:t>
      </w:r>
    </w:p>
    <w:p w:rsidR="003F72CB" w:rsidRDefault="003F72CB" w:rsidP="002E6674">
      <w:pPr>
        <w:pStyle w:val="Heading5"/>
      </w:pPr>
      <w:r w:rsidRPr="00D355C0">
        <w:t xml:space="preserve">Recommendation in </w:t>
      </w:r>
      <w:r>
        <w:t xml:space="preserve">the </w:t>
      </w:r>
      <w:r w:rsidRPr="00D355C0">
        <w:t>RMP evaluation report</w:t>
      </w:r>
    </w:p>
    <w:p w:rsidR="0002095D" w:rsidRPr="0002095D" w:rsidRDefault="0002095D" w:rsidP="002E6674">
      <w:r w:rsidRPr="0002095D">
        <w:t xml:space="preserve">In regard to routine minimisation activities, the </w:t>
      </w:r>
      <w:r w:rsidR="00847311">
        <w:t>D</w:t>
      </w:r>
      <w:r w:rsidRPr="0002095D">
        <w:t>elegate may wish to revise the pro</w:t>
      </w:r>
      <w:r w:rsidR="002E6674">
        <w:t>posed Australian PI as follows:</w:t>
      </w:r>
    </w:p>
    <w:p w:rsidR="0002095D" w:rsidRPr="0002095D" w:rsidRDefault="0002095D" w:rsidP="002E6674">
      <w:pPr>
        <w:pStyle w:val="ListBullet"/>
      </w:pPr>
      <w:r w:rsidRPr="0002095D">
        <w:t xml:space="preserve">A statement should be added regarding the risk of </w:t>
      </w:r>
      <w:r w:rsidR="001627A4">
        <w:t>v</w:t>
      </w:r>
      <w:r w:rsidR="002E6674">
        <w:t>enous thromboembolism.</w:t>
      </w:r>
    </w:p>
    <w:p w:rsidR="008B0CC7" w:rsidRDefault="0002095D" w:rsidP="002E6674">
      <w:pPr>
        <w:pStyle w:val="ListBullet"/>
      </w:pPr>
      <w:r w:rsidRPr="0002095D">
        <w:t>A statement should be added regarding the known class effect</w:t>
      </w:r>
      <w:r w:rsidR="008B0CC7">
        <w:t xml:space="preserve"> of Dysphagia to the effect of:</w:t>
      </w:r>
    </w:p>
    <w:p w:rsidR="0002095D" w:rsidRPr="002E6674" w:rsidRDefault="0002095D" w:rsidP="002E6674">
      <w:pPr>
        <w:pStyle w:val="ListBullet"/>
        <w:numPr>
          <w:ilvl w:val="0"/>
          <w:numId w:val="0"/>
        </w:numPr>
        <w:ind w:left="360"/>
        <w:rPr>
          <w:i/>
        </w:rPr>
      </w:pPr>
      <w:proofErr w:type="spellStart"/>
      <w:r w:rsidRPr="002E6674">
        <w:rPr>
          <w:i/>
        </w:rPr>
        <w:t>Esophageal</w:t>
      </w:r>
      <w:proofErr w:type="spellEnd"/>
      <w:r w:rsidRPr="002E6674">
        <w:rPr>
          <w:i/>
        </w:rPr>
        <w:t xml:space="preserve"> </w:t>
      </w:r>
      <w:proofErr w:type="spellStart"/>
      <w:r w:rsidRPr="002E6674">
        <w:rPr>
          <w:i/>
        </w:rPr>
        <w:t>dysmotility</w:t>
      </w:r>
      <w:proofErr w:type="spellEnd"/>
      <w:r w:rsidRPr="002E6674">
        <w:rPr>
          <w:i/>
        </w:rPr>
        <w:t xml:space="preserve"> an</w:t>
      </w:r>
      <w:r w:rsidR="000B37AC" w:rsidRPr="002E6674">
        <w:rPr>
          <w:i/>
        </w:rPr>
        <w:t>d</w:t>
      </w:r>
      <w:r w:rsidRPr="002E6674">
        <w:rPr>
          <w:i/>
        </w:rPr>
        <w:t xml:space="preserve"> aspiration associated with antipsychotic drug use. Aspiration pneumonia is a common cause of morbidity and mortality in elderly patients, in particular those with advanced Alzheimer’s dementia. L</w:t>
      </w:r>
      <w:r w:rsidR="000675D9" w:rsidRPr="002E6674">
        <w:rPr>
          <w:i/>
        </w:rPr>
        <w:t xml:space="preserve">atuda </w:t>
      </w:r>
      <w:r w:rsidRPr="002E6674">
        <w:rPr>
          <w:i/>
        </w:rPr>
        <w:t xml:space="preserve">and other antipsychotic drugs should be used cautiously in patients at </w:t>
      </w:r>
      <w:r w:rsidR="008B0CC7" w:rsidRPr="002E6674">
        <w:rPr>
          <w:i/>
        </w:rPr>
        <w:t>risk for aspiration pneumonia.</w:t>
      </w:r>
    </w:p>
    <w:p w:rsidR="00D23EEF" w:rsidRDefault="0002095D" w:rsidP="002E6674">
      <w:pPr>
        <w:pStyle w:val="ListBullet"/>
      </w:pPr>
      <w:r w:rsidRPr="0002095D">
        <w:lastRenderedPageBreak/>
        <w:t>In regards to elderly patients with dementia</w:t>
      </w:r>
      <w:r w:rsidR="00820D6B">
        <w:t xml:space="preserve"> </w:t>
      </w:r>
      <w:r w:rsidRPr="0002095D">
        <w:t>related psychosis, the wording should be strengthened and a statement sh</w:t>
      </w:r>
      <w:r w:rsidR="00D23EEF">
        <w:t>ould be added to the effect of:</w:t>
      </w:r>
    </w:p>
    <w:p w:rsidR="00D23EEF" w:rsidRPr="002E6674" w:rsidRDefault="00D23EEF" w:rsidP="002E6674">
      <w:pPr>
        <w:pStyle w:val="ListBullet"/>
        <w:numPr>
          <w:ilvl w:val="0"/>
          <w:numId w:val="0"/>
        </w:numPr>
        <w:ind w:left="360"/>
        <w:rPr>
          <w:i/>
        </w:rPr>
      </w:pPr>
      <w:r w:rsidRPr="002E6674">
        <w:rPr>
          <w:i/>
        </w:rPr>
        <w:t>E</w:t>
      </w:r>
      <w:r w:rsidR="0002095D" w:rsidRPr="002E6674">
        <w:rPr>
          <w:i/>
        </w:rPr>
        <w:t>lderly patients treated with antipsychotics have shown a higher incidence of cerebrovascular adverse reactions (</w:t>
      </w:r>
      <w:r w:rsidR="00535C31" w:rsidRPr="002E6674">
        <w:rPr>
          <w:i/>
        </w:rPr>
        <w:t>CVAs</w:t>
      </w:r>
      <w:r w:rsidR="0002095D" w:rsidRPr="002E6674">
        <w:rPr>
          <w:i/>
        </w:rPr>
        <w:t xml:space="preserve"> and transient ischemic attacks), including fatalities, compared to placebo</w:t>
      </w:r>
      <w:r w:rsidR="00820D6B" w:rsidRPr="002E6674">
        <w:rPr>
          <w:i/>
        </w:rPr>
        <w:t xml:space="preserve"> </w:t>
      </w:r>
      <w:r w:rsidR="0002095D" w:rsidRPr="002E6674">
        <w:rPr>
          <w:i/>
        </w:rPr>
        <w:t xml:space="preserve">treated subjects. </w:t>
      </w:r>
      <w:proofErr w:type="spellStart"/>
      <w:r w:rsidR="0002095D" w:rsidRPr="002E6674">
        <w:rPr>
          <w:i/>
        </w:rPr>
        <w:t>L</w:t>
      </w:r>
      <w:r w:rsidR="00454573" w:rsidRPr="002E6674">
        <w:rPr>
          <w:i/>
        </w:rPr>
        <w:t>atuda</w:t>
      </w:r>
      <w:proofErr w:type="spellEnd"/>
      <w:r w:rsidR="00454573" w:rsidRPr="002E6674">
        <w:rPr>
          <w:i/>
        </w:rPr>
        <w:t xml:space="preserve"> </w:t>
      </w:r>
      <w:r w:rsidR="0002095D" w:rsidRPr="002E6674">
        <w:rPr>
          <w:i/>
        </w:rPr>
        <w:t>is not approved for the treatment of patients with dementia</w:t>
      </w:r>
      <w:r w:rsidR="00820D6B" w:rsidRPr="002E6674">
        <w:rPr>
          <w:i/>
        </w:rPr>
        <w:t xml:space="preserve"> </w:t>
      </w:r>
      <w:r w:rsidRPr="002E6674">
        <w:rPr>
          <w:i/>
        </w:rPr>
        <w:t>related psychosis.</w:t>
      </w:r>
    </w:p>
    <w:p w:rsidR="0002095D" w:rsidRPr="0002095D" w:rsidRDefault="0002095D" w:rsidP="002E6674">
      <w:pPr>
        <w:pStyle w:val="ListBullet"/>
        <w:numPr>
          <w:ilvl w:val="0"/>
          <w:numId w:val="0"/>
        </w:numPr>
        <w:ind w:left="360"/>
      </w:pPr>
      <w:r w:rsidRPr="0002095D">
        <w:t>A boxed warning should al</w:t>
      </w:r>
      <w:r w:rsidR="002E6674">
        <w:t>so be considered for this risk.</w:t>
      </w:r>
    </w:p>
    <w:p w:rsidR="0002095D" w:rsidRPr="0002095D" w:rsidRDefault="0002095D" w:rsidP="002E6674">
      <w:pPr>
        <w:pStyle w:val="ListBullet"/>
      </w:pPr>
      <w:r w:rsidRPr="0002095D">
        <w:t>A statement should be added regarding the importance of evaluating patients for a history of drug abuse and observing for signs of misuse or abuse. This is also important in regards to monitoring patients for co-morbid drug abuse</w:t>
      </w:r>
      <w:r w:rsidR="00E77E94">
        <w:t>.</w:t>
      </w:r>
      <w:r w:rsidR="00E02714">
        <w:rPr>
          <w:rStyle w:val="FootnoteReference"/>
        </w:rPr>
        <w:footnoteReference w:id="45"/>
      </w:r>
      <w:r w:rsidR="00E77E94">
        <w:t xml:space="preserve"> </w:t>
      </w:r>
      <w:r w:rsidRPr="0002095D">
        <w:t xml:space="preserve">This is discussed in the </w:t>
      </w:r>
      <w:r w:rsidR="00820D6B">
        <w:t>US</w:t>
      </w:r>
      <w:r w:rsidRPr="0002095D">
        <w:t xml:space="preserve"> FDA approved patients inform</w:t>
      </w:r>
      <w:r w:rsidR="002E6674">
        <w:t>ation (US patient information).</w:t>
      </w:r>
    </w:p>
    <w:p w:rsidR="00E02714" w:rsidRDefault="0002095D" w:rsidP="002E6674">
      <w:pPr>
        <w:pStyle w:val="ListBullet"/>
      </w:pPr>
      <w:r w:rsidRPr="0002095D">
        <w:t>A statement sh</w:t>
      </w:r>
      <w:r w:rsidR="00E02714">
        <w:t>ould be added to the effect of:</w:t>
      </w:r>
    </w:p>
    <w:p w:rsidR="0002095D" w:rsidRPr="002E6674" w:rsidRDefault="0002095D" w:rsidP="002E6674">
      <w:pPr>
        <w:pStyle w:val="ListBullet"/>
        <w:numPr>
          <w:ilvl w:val="0"/>
          <w:numId w:val="0"/>
        </w:numPr>
        <w:ind w:left="360"/>
        <w:rPr>
          <w:i/>
        </w:rPr>
      </w:pPr>
      <w:proofErr w:type="spellStart"/>
      <w:r w:rsidRPr="002E6674">
        <w:rPr>
          <w:i/>
        </w:rPr>
        <w:t>Lurasidone</w:t>
      </w:r>
      <w:proofErr w:type="spellEnd"/>
      <w:r w:rsidRPr="002E6674">
        <w:rPr>
          <w:i/>
        </w:rPr>
        <w:t xml:space="preserve"> is not indicated in the </w:t>
      </w:r>
      <w:r w:rsidR="00E02714" w:rsidRPr="002E6674">
        <w:rPr>
          <w:i/>
        </w:rPr>
        <w:t>treatment of bipolar disorder.</w:t>
      </w:r>
    </w:p>
    <w:p w:rsidR="00977A4D" w:rsidRDefault="0002095D" w:rsidP="002E6674">
      <w:pPr>
        <w:pStyle w:val="ListBullet"/>
      </w:pPr>
      <w:r w:rsidRPr="0002095D">
        <w:t xml:space="preserve">Statements regarding the lack of data for the long term use of </w:t>
      </w:r>
      <w:proofErr w:type="spellStart"/>
      <w:r w:rsidRPr="002E6674">
        <w:t>lurasidone</w:t>
      </w:r>
      <w:proofErr w:type="spellEnd"/>
      <w:r w:rsidRPr="0002095D">
        <w:t xml:space="preserve"> sho</w:t>
      </w:r>
      <w:r w:rsidR="00977A4D">
        <w:t>uld be added, to the effect of:</w:t>
      </w:r>
    </w:p>
    <w:p w:rsidR="00977A4D" w:rsidRPr="002E6674" w:rsidRDefault="00977A4D" w:rsidP="002E6674">
      <w:pPr>
        <w:pStyle w:val="ListBullet"/>
        <w:numPr>
          <w:ilvl w:val="0"/>
          <w:numId w:val="0"/>
        </w:numPr>
        <w:ind w:left="360"/>
        <w:rPr>
          <w:i/>
        </w:rPr>
      </w:pPr>
      <w:r w:rsidRPr="002E6674">
        <w:rPr>
          <w:i/>
        </w:rPr>
        <w:t>T</w:t>
      </w:r>
      <w:r w:rsidR="0002095D" w:rsidRPr="002E6674">
        <w:rPr>
          <w:i/>
        </w:rPr>
        <w:t>he safety and effectiveness of L</w:t>
      </w:r>
      <w:r w:rsidRPr="002E6674">
        <w:rPr>
          <w:i/>
        </w:rPr>
        <w:t>atuda</w:t>
      </w:r>
      <w:r w:rsidR="0002095D" w:rsidRPr="002E6674">
        <w:rPr>
          <w:i/>
        </w:rPr>
        <w:t xml:space="preserve"> for long</w:t>
      </w:r>
      <w:r w:rsidRPr="002E6674">
        <w:rPr>
          <w:i/>
        </w:rPr>
        <w:t xml:space="preserve"> </w:t>
      </w:r>
      <w:r w:rsidR="0002095D" w:rsidRPr="002E6674">
        <w:rPr>
          <w:i/>
        </w:rPr>
        <w:t>term</w:t>
      </w:r>
      <w:r w:rsidRPr="002E6674">
        <w:rPr>
          <w:i/>
        </w:rPr>
        <w:t xml:space="preserve"> use has not been established.</w:t>
      </w:r>
    </w:p>
    <w:p w:rsidR="003F72CB" w:rsidRPr="0002095D" w:rsidRDefault="00977A4D" w:rsidP="002E6674">
      <w:pPr>
        <w:pStyle w:val="ListBullet"/>
        <w:numPr>
          <w:ilvl w:val="0"/>
          <w:numId w:val="0"/>
        </w:numPr>
        <w:ind w:left="360"/>
      </w:pPr>
      <w:r>
        <w:t>A</w:t>
      </w:r>
      <w:r w:rsidR="0002095D" w:rsidRPr="0002095D">
        <w:t>lso discussed in</w:t>
      </w:r>
      <w:r>
        <w:t xml:space="preserve"> the US PI.</w:t>
      </w:r>
    </w:p>
    <w:p w:rsidR="003F72CB" w:rsidRPr="004D192E" w:rsidRDefault="003F72CB" w:rsidP="004D192E">
      <w:pPr>
        <w:pStyle w:val="Heading5"/>
      </w:pPr>
      <w:r>
        <w:t>Sponsor’s response</w:t>
      </w:r>
    </w:p>
    <w:p w:rsidR="003F72CB" w:rsidRPr="004D05B3" w:rsidRDefault="004D05B3" w:rsidP="004D192E">
      <w:r w:rsidRPr="004D05B3">
        <w:t xml:space="preserve">It is acknowledged that the Delegate may wish to revise the proposed Australian </w:t>
      </w:r>
      <w:r w:rsidR="00C44E4C">
        <w:t>PI</w:t>
      </w:r>
      <w:r w:rsidRPr="004D05B3">
        <w:t xml:space="preserve"> as noted in the Evaluation of a </w:t>
      </w:r>
      <w:r w:rsidR="00C44E4C">
        <w:t>RMP</w:t>
      </w:r>
      <w:r w:rsidRPr="004D05B3">
        <w:t xml:space="preserve"> for Latuda. We understand that the draft </w:t>
      </w:r>
      <w:r w:rsidR="00C44E4C">
        <w:t>PI and CMI</w:t>
      </w:r>
      <w:r w:rsidRPr="004D05B3">
        <w:t xml:space="preserve"> documents should not be revised until the Delegate’s Overview is received.</w:t>
      </w:r>
    </w:p>
    <w:p w:rsidR="003F72CB" w:rsidRDefault="003F72CB" w:rsidP="004D192E">
      <w:pPr>
        <w:pStyle w:val="Heading5"/>
      </w:pPr>
      <w:r w:rsidRPr="00D355C0">
        <w:t xml:space="preserve">OPR evaluator’s </w:t>
      </w:r>
      <w:r w:rsidRPr="004D192E">
        <w:t>comment</w:t>
      </w:r>
    </w:p>
    <w:p w:rsidR="004D05B3" w:rsidRPr="004D05B3" w:rsidRDefault="004D05B3" w:rsidP="004D192E">
      <w:r w:rsidRPr="004D05B3">
        <w:t>This is acceptable.</w:t>
      </w:r>
    </w:p>
    <w:p w:rsidR="004D05B3" w:rsidRPr="004D05B3" w:rsidRDefault="004D05B3" w:rsidP="004D192E">
      <w:r w:rsidRPr="004D05B3">
        <w:t>It is important to note that the ACSOM committee supported each of these suggested PI changes.</w:t>
      </w:r>
    </w:p>
    <w:p w:rsidR="003F72CB" w:rsidRPr="004D05B3" w:rsidRDefault="004D05B3" w:rsidP="004D192E">
      <w:r w:rsidRPr="004D05B3">
        <w:t>Many of these recommendations are also supported by the clinical evaluator.</w:t>
      </w:r>
    </w:p>
    <w:p w:rsidR="0075652A" w:rsidRDefault="0075652A" w:rsidP="00385ABD">
      <w:pPr>
        <w:pStyle w:val="Heading4"/>
      </w:pPr>
      <w:r>
        <w:t>Summary of recommendations: Round 2 assessment</w:t>
      </w:r>
    </w:p>
    <w:p w:rsidR="00B52FCF" w:rsidRPr="00385ABD" w:rsidRDefault="00B52FCF" w:rsidP="00385ABD">
      <w:pPr>
        <w:pStyle w:val="Heading5"/>
      </w:pPr>
      <w:r w:rsidRPr="00B52FCF">
        <w:t>Outstanding issues</w:t>
      </w:r>
    </w:p>
    <w:p w:rsidR="00B52FCF" w:rsidRPr="00B52FCF" w:rsidRDefault="00B52FCF" w:rsidP="00385ABD">
      <w:pPr>
        <w:pStyle w:val="Heading6"/>
      </w:pPr>
      <w:r w:rsidRPr="00B52FCF">
        <w:t xml:space="preserve">Issues </w:t>
      </w:r>
      <w:r>
        <w:t xml:space="preserve">in relation to </w:t>
      </w:r>
      <w:r w:rsidRPr="00385ABD">
        <w:t>the</w:t>
      </w:r>
      <w:r>
        <w:t xml:space="preserve"> RMP</w:t>
      </w:r>
    </w:p>
    <w:p w:rsidR="00B52FCF" w:rsidRPr="00B52FCF" w:rsidRDefault="00B52FCF" w:rsidP="00385ABD">
      <w:pPr>
        <w:pStyle w:val="ListBullet"/>
      </w:pPr>
      <w:r w:rsidRPr="00B52FCF">
        <w:t xml:space="preserve">The </w:t>
      </w:r>
      <w:r w:rsidR="002E5B07">
        <w:t>s</w:t>
      </w:r>
      <w:r w:rsidRPr="00B52FCF">
        <w:t xml:space="preserve">ponsor is </w:t>
      </w:r>
      <w:r w:rsidRPr="00385ABD">
        <w:t>expected</w:t>
      </w:r>
      <w:r w:rsidRPr="00B52FCF">
        <w:t xml:space="preserve"> to submit an updated EU-RMP f</w:t>
      </w:r>
      <w:r w:rsidR="00362B19">
        <w:t>or review</w:t>
      </w:r>
      <w:r w:rsidRPr="00B52FCF">
        <w:t>.</w:t>
      </w:r>
    </w:p>
    <w:p w:rsidR="00B52FCF" w:rsidRPr="00B52FCF" w:rsidRDefault="00B52FCF" w:rsidP="00385ABD">
      <w:pPr>
        <w:pStyle w:val="ListBullet"/>
      </w:pPr>
      <w:r w:rsidRPr="00B52FCF">
        <w:t xml:space="preserve">The evaluator </w:t>
      </w:r>
      <w:r w:rsidRPr="00385ABD">
        <w:t>acknowledges</w:t>
      </w:r>
      <w:r w:rsidRPr="00B52FCF">
        <w:t xml:space="preserve"> the </w:t>
      </w:r>
      <w:r w:rsidR="00DD4772">
        <w:t>s</w:t>
      </w:r>
      <w:r w:rsidRPr="00B52FCF">
        <w:t xml:space="preserve">ponsor’s comments regarding the evidence of </w:t>
      </w:r>
      <w:proofErr w:type="spellStart"/>
      <w:r w:rsidRPr="00B52FCF">
        <w:t>QTc</w:t>
      </w:r>
      <w:proofErr w:type="spellEnd"/>
      <w:r w:rsidRPr="00B52FCF">
        <w:t xml:space="preserve"> prolongation and lurasidone therapy. However, this remains an important potential risk that should be included in the list of ongoing safety concerns and investigated through PSURs. The ACSOM com</w:t>
      </w:r>
      <w:r w:rsidR="00C95F07">
        <w:t>mittee also supports this view</w:t>
      </w:r>
      <w:r w:rsidRPr="00B52FCF">
        <w:t>. Furthermore, the TGA clinical evaluator discusses this evidence in detail and recommends routine risk minimisation be applied for this risk (suggested PI precaution).</w:t>
      </w:r>
    </w:p>
    <w:p w:rsidR="00B52FCF" w:rsidRPr="00B52FCF" w:rsidRDefault="00B52FCF" w:rsidP="00385ABD">
      <w:pPr>
        <w:pStyle w:val="ListBullet"/>
      </w:pPr>
      <w:r w:rsidRPr="00B52FCF">
        <w:t xml:space="preserve">The </w:t>
      </w:r>
      <w:r w:rsidR="00DD4772">
        <w:t>s</w:t>
      </w:r>
      <w:r w:rsidRPr="00B52FCF">
        <w:t xml:space="preserve">ponsor has agreed to include many additional risks in the list of ongoing safety concerns, including </w:t>
      </w:r>
      <w:proofErr w:type="spellStart"/>
      <w:r w:rsidR="00C95F07">
        <w:t>hyperprolactinaemia</w:t>
      </w:r>
      <w:proofErr w:type="spellEnd"/>
      <w:r w:rsidRPr="00B52FCF">
        <w:t xml:space="preserve">. The </w:t>
      </w:r>
      <w:r w:rsidR="00C95F07">
        <w:t>s</w:t>
      </w:r>
      <w:r w:rsidRPr="00B52FCF">
        <w:t>ponsor should ensure that appropriate pharmacovigilance and risk minimisation activities are also applied to these risks. I</w:t>
      </w:r>
      <w:r w:rsidR="00C95F07">
        <w:t>n light of the clinical and non</w:t>
      </w:r>
      <w:r w:rsidRPr="00B52FCF">
        <w:t xml:space="preserve">clinical evaluator’s comments below, additional pharmacovigilance should be applied for the risk of </w:t>
      </w:r>
      <w:proofErr w:type="spellStart"/>
      <w:r w:rsidRPr="00B52FCF">
        <w:t>hyperprolactinaemia</w:t>
      </w:r>
      <w:proofErr w:type="spellEnd"/>
      <w:r w:rsidRPr="00B52FCF">
        <w:t xml:space="preserve">. </w:t>
      </w:r>
      <w:r w:rsidRPr="00B52FCF">
        <w:lastRenderedPageBreak/>
        <w:t xml:space="preserve">Furthermore, the wording in the Australian </w:t>
      </w:r>
      <w:r w:rsidR="00B15387">
        <w:t>PI</w:t>
      </w:r>
      <w:r w:rsidRPr="00B52FCF">
        <w:t xml:space="preserve"> should be strengthened regarding </w:t>
      </w:r>
      <w:r w:rsidR="00B15387">
        <w:t>this risk (see clinical and non</w:t>
      </w:r>
      <w:r w:rsidRPr="00B52FCF">
        <w:t>clinical evaluators comments below).</w:t>
      </w:r>
      <w:r w:rsidR="00431E88">
        <w:t xml:space="preserve"> </w:t>
      </w:r>
      <w:r w:rsidRPr="00B52FCF">
        <w:t>The ACSOM als</w:t>
      </w:r>
      <w:r w:rsidR="00B15387">
        <w:t>o supports this recommendation</w:t>
      </w:r>
      <w:r w:rsidRPr="00B52FCF">
        <w:t>.</w:t>
      </w:r>
    </w:p>
    <w:p w:rsidR="0018279C" w:rsidRDefault="00B52FCF" w:rsidP="00385ABD">
      <w:pPr>
        <w:pStyle w:val="ListBullet"/>
      </w:pPr>
      <w:r w:rsidRPr="00B52FCF">
        <w:t xml:space="preserve">The </w:t>
      </w:r>
      <w:r w:rsidR="0018279C">
        <w:t>s</w:t>
      </w:r>
      <w:r w:rsidRPr="00B52FCF">
        <w:t>ponsor has proposed some amendments to the pharmacovigilan</w:t>
      </w:r>
      <w:r w:rsidR="0018279C">
        <w:t xml:space="preserve">ce plan that appear acceptable; </w:t>
      </w:r>
      <w:r w:rsidRPr="00B52FCF">
        <w:t>however</w:t>
      </w:r>
      <w:r w:rsidR="0018279C">
        <w:t>,</w:t>
      </w:r>
      <w:r w:rsidRPr="00B52FCF">
        <w:t xml:space="preserve"> the </w:t>
      </w:r>
      <w:r w:rsidRPr="00385ABD">
        <w:t>following</w:t>
      </w:r>
      <w:r w:rsidRPr="00B52FCF">
        <w:t xml:space="preserve"> advice from the ACSOM </w:t>
      </w:r>
      <w:r w:rsidR="0018279C">
        <w:t>should be noted:</w:t>
      </w:r>
    </w:p>
    <w:p w:rsidR="00B52FCF" w:rsidRPr="00385ABD" w:rsidRDefault="0018279C" w:rsidP="00385ABD">
      <w:pPr>
        <w:pStyle w:val="ListBullet"/>
        <w:numPr>
          <w:ilvl w:val="0"/>
          <w:numId w:val="0"/>
        </w:numPr>
        <w:ind w:left="360"/>
        <w:rPr>
          <w:i/>
        </w:rPr>
      </w:pPr>
      <w:r w:rsidRPr="00385ABD">
        <w:rPr>
          <w:i/>
        </w:rPr>
        <w:t>T</w:t>
      </w:r>
      <w:r w:rsidR="00B52FCF" w:rsidRPr="00385ABD">
        <w:rPr>
          <w:i/>
        </w:rPr>
        <w:t xml:space="preserve">he ACSOM committee also advised that if the registration of lurasidone was delayed or rejected in the </w:t>
      </w:r>
      <w:r w:rsidRPr="00385ABD">
        <w:rPr>
          <w:i/>
        </w:rPr>
        <w:t>EU</w:t>
      </w:r>
      <w:r w:rsidR="00B52FCF" w:rsidRPr="00385ABD">
        <w:rPr>
          <w:i/>
        </w:rPr>
        <w:t>, the sponsor should be required to undertake a study in Australia and that study should colle</w:t>
      </w:r>
      <w:r w:rsidRPr="00385ABD">
        <w:rPr>
          <w:i/>
        </w:rPr>
        <w:t>ct adequate safety information.</w:t>
      </w:r>
    </w:p>
    <w:p w:rsidR="00C361EA" w:rsidRDefault="00B52FCF" w:rsidP="00385ABD">
      <w:pPr>
        <w:pStyle w:val="ListBullet"/>
      </w:pPr>
      <w:r w:rsidRPr="00B52FCF">
        <w:t xml:space="preserve">The OPR evaluator would also like to draw the </w:t>
      </w:r>
      <w:r w:rsidR="00C361EA" w:rsidRPr="00385ABD">
        <w:t>D</w:t>
      </w:r>
      <w:r w:rsidRPr="00385ABD">
        <w:t>elegate’s</w:t>
      </w:r>
      <w:r w:rsidRPr="00B52FCF">
        <w:t xml:space="preserve"> attention to the following comment from the ACSOM</w:t>
      </w:r>
      <w:r w:rsidR="00C361EA">
        <w:t>:</w:t>
      </w:r>
    </w:p>
    <w:p w:rsidR="00B52FCF" w:rsidRPr="00385ABD" w:rsidRDefault="00B52FCF" w:rsidP="00385ABD">
      <w:pPr>
        <w:pStyle w:val="ListBullet"/>
        <w:numPr>
          <w:ilvl w:val="0"/>
          <w:numId w:val="0"/>
        </w:numPr>
        <w:ind w:left="360"/>
        <w:rPr>
          <w:i/>
        </w:rPr>
      </w:pPr>
      <w:r w:rsidRPr="00385ABD">
        <w:rPr>
          <w:i/>
        </w:rPr>
        <w:t>ACSOM advised that the kinetics of lurasidone resulted in a low and variable bioavailability and that this was unfavourable. In particular, the effect of drug interactions was wide ranging, for example, ketoconazole, a strong inhibitor of CYP3A4, increased exposure 9</w:t>
      </w:r>
      <w:r w:rsidR="003F2C83" w:rsidRPr="00385ABD">
        <w:rPr>
          <w:i/>
        </w:rPr>
        <w:t xml:space="preserve"> </w:t>
      </w:r>
      <w:r w:rsidRPr="00385ABD">
        <w:rPr>
          <w:i/>
        </w:rPr>
        <w:t xml:space="preserve">fold. ACSOM advised that overall, there were concerns about the safety margin and that additional data on the safety of lurasidone in overdose was needed, in particular, information on </w:t>
      </w:r>
      <w:r w:rsidR="00C361EA" w:rsidRPr="00385ABD">
        <w:rPr>
          <w:i/>
        </w:rPr>
        <w:t>the effects on QT prolongation.</w:t>
      </w:r>
    </w:p>
    <w:p w:rsidR="00B52FCF" w:rsidRPr="00385ABD" w:rsidRDefault="00B52FCF" w:rsidP="00385ABD">
      <w:pPr>
        <w:pStyle w:val="Heading5"/>
      </w:pPr>
      <w:r w:rsidRPr="00B52FCF">
        <w:t>Comments on the safety specification of the RMP</w:t>
      </w:r>
    </w:p>
    <w:p w:rsidR="00B52FCF" w:rsidRPr="00385ABD" w:rsidRDefault="00B52FCF" w:rsidP="00385ABD">
      <w:pPr>
        <w:pStyle w:val="Heading6"/>
      </w:pPr>
      <w:r w:rsidRPr="00B52FCF">
        <w:t xml:space="preserve">Clinical </w:t>
      </w:r>
      <w:r w:rsidR="003F2C83">
        <w:t>e</w:t>
      </w:r>
      <w:r w:rsidRPr="00B52FCF">
        <w:t xml:space="preserve">valuation </w:t>
      </w:r>
      <w:r w:rsidR="003F2C83">
        <w:t>r</w:t>
      </w:r>
      <w:r w:rsidRPr="00B52FCF">
        <w:t xml:space="preserve">eport - </w:t>
      </w:r>
      <w:r w:rsidR="00385ABD">
        <w:t>f</w:t>
      </w:r>
      <w:r w:rsidRPr="00B52FCF">
        <w:t xml:space="preserve">irst </w:t>
      </w:r>
      <w:r w:rsidR="00385ABD">
        <w:t>r</w:t>
      </w:r>
      <w:r w:rsidRPr="00B52FCF">
        <w:t>ound</w:t>
      </w:r>
    </w:p>
    <w:p w:rsidR="00757226" w:rsidRDefault="00B52FCF" w:rsidP="00385ABD">
      <w:r w:rsidRPr="00B52FCF">
        <w:t>The clinical evaluator makes the following statement regarding the sa</w:t>
      </w:r>
      <w:r w:rsidR="00757226">
        <w:t>fety specification of the RMP:</w:t>
      </w:r>
    </w:p>
    <w:p w:rsidR="00B52FCF" w:rsidRPr="00385ABD" w:rsidRDefault="00B52FCF" w:rsidP="00385ABD">
      <w:pPr>
        <w:ind w:left="720"/>
        <w:rPr>
          <w:i/>
        </w:rPr>
      </w:pPr>
      <w:r w:rsidRPr="00385ABD">
        <w:rPr>
          <w:i/>
        </w:rPr>
        <w:t xml:space="preserve">The Safety Specification in the draft </w:t>
      </w:r>
      <w:r w:rsidR="00C25FED" w:rsidRPr="00385ABD">
        <w:rPr>
          <w:i/>
        </w:rPr>
        <w:t>RMP</w:t>
      </w:r>
      <w:r w:rsidRPr="00385ABD">
        <w:rPr>
          <w:i/>
        </w:rPr>
        <w:t xml:space="preserve"> Version 1.0 dated 31 August 2012 with </w:t>
      </w:r>
      <w:r w:rsidR="00C25FED" w:rsidRPr="00385ABD">
        <w:rPr>
          <w:i/>
        </w:rPr>
        <w:t>ASA</w:t>
      </w:r>
      <w:r w:rsidRPr="00385ABD">
        <w:rPr>
          <w:i/>
        </w:rPr>
        <w:t xml:space="preserve"> is not entirely satisfactory. In addition to the identified risks, the evaluator recommends that the following risks should also be monitored: </w:t>
      </w:r>
      <w:proofErr w:type="spellStart"/>
      <w:r w:rsidRPr="00385ABD">
        <w:rPr>
          <w:i/>
        </w:rPr>
        <w:t>hyperprolactinaemia</w:t>
      </w:r>
      <w:proofErr w:type="spellEnd"/>
      <w:r w:rsidRPr="00385ABD">
        <w:rPr>
          <w:i/>
        </w:rPr>
        <w:t xml:space="preserve"> and possible consequences (such as </w:t>
      </w:r>
      <w:proofErr w:type="spellStart"/>
      <w:r w:rsidRPr="00385ABD">
        <w:rPr>
          <w:i/>
        </w:rPr>
        <w:t>galactorrhea</w:t>
      </w:r>
      <w:proofErr w:type="spellEnd"/>
      <w:r w:rsidRPr="00385ABD">
        <w:rPr>
          <w:i/>
        </w:rPr>
        <w:t xml:space="preserve">, amenorrhea, </w:t>
      </w:r>
      <w:proofErr w:type="spellStart"/>
      <w:r w:rsidRPr="00385ABD">
        <w:rPr>
          <w:i/>
        </w:rPr>
        <w:t>gynecomastia</w:t>
      </w:r>
      <w:proofErr w:type="spellEnd"/>
      <w:r w:rsidRPr="00385ABD">
        <w:rPr>
          <w:i/>
        </w:rPr>
        <w:t xml:space="preserve"> and decreased bone density); renal impairment (due to the signal of increased creatinine and safety risks with, increased exposure); orthostatic hypotension; effects on the eye (due to the preclinical finding of retention in melanin containing tissues of the eye); and possible withdrawal symptoms. Risks should also be monitored in the populations in which there were limited or no clinical data (elderly, pregnant women and patients with cardiac, renal impa</w:t>
      </w:r>
      <w:r w:rsidR="00757226" w:rsidRPr="00385ABD">
        <w:rPr>
          <w:i/>
        </w:rPr>
        <w:t>irment and hepatic impairment).</w:t>
      </w:r>
    </w:p>
    <w:p w:rsidR="00B52FCF" w:rsidRPr="00385ABD" w:rsidRDefault="00B52FCF" w:rsidP="00385ABD">
      <w:pPr>
        <w:pStyle w:val="Heading6"/>
      </w:pPr>
      <w:r>
        <w:t>Non</w:t>
      </w:r>
      <w:r w:rsidRPr="00B52FCF">
        <w:t xml:space="preserve">clinical evaluation </w:t>
      </w:r>
      <w:r w:rsidR="003F2C83">
        <w:t>r</w:t>
      </w:r>
      <w:r w:rsidRPr="00B52FCF">
        <w:t>eport</w:t>
      </w:r>
    </w:p>
    <w:p w:rsidR="00F73B21" w:rsidRDefault="002E5B07" w:rsidP="00385ABD">
      <w:r>
        <w:t>The non</w:t>
      </w:r>
      <w:r w:rsidR="00B52FCF" w:rsidRPr="00B52FCF">
        <w:t>clinical evaluator makes the following statement regarding the s</w:t>
      </w:r>
      <w:r w:rsidR="00F73B21">
        <w:t>afety specification of the RMP:</w:t>
      </w:r>
    </w:p>
    <w:p w:rsidR="00B52FCF" w:rsidRPr="00385ABD" w:rsidRDefault="00B52FCF" w:rsidP="00385ABD">
      <w:pPr>
        <w:ind w:left="720"/>
        <w:rPr>
          <w:i/>
        </w:rPr>
      </w:pPr>
      <w:r w:rsidRPr="00385ABD">
        <w:rPr>
          <w:i/>
        </w:rPr>
        <w:t xml:space="preserve">Results and conclusions drawn from the nonclinical program for </w:t>
      </w:r>
      <w:r w:rsidR="00EC20AF" w:rsidRPr="00385ABD">
        <w:rPr>
          <w:i/>
        </w:rPr>
        <w:t>LDH</w:t>
      </w:r>
      <w:r w:rsidRPr="00385ABD">
        <w:rPr>
          <w:i/>
        </w:rPr>
        <w:t xml:space="preserve"> detailed in the sponsor’s draft </w:t>
      </w:r>
      <w:r w:rsidR="002139CD" w:rsidRPr="00385ABD">
        <w:rPr>
          <w:i/>
        </w:rPr>
        <w:t>RMP</w:t>
      </w:r>
      <w:r w:rsidRPr="00385ABD">
        <w:rPr>
          <w:i/>
        </w:rPr>
        <w:t xml:space="preserve"> are in general concordance with those of the </w:t>
      </w:r>
      <w:r w:rsidR="002139CD" w:rsidRPr="00385ABD">
        <w:rPr>
          <w:i/>
        </w:rPr>
        <w:t>n</w:t>
      </w:r>
      <w:r w:rsidRPr="00385ABD">
        <w:rPr>
          <w:i/>
        </w:rPr>
        <w:t xml:space="preserve">onclinical </w:t>
      </w:r>
      <w:r w:rsidR="002139CD" w:rsidRPr="00385ABD">
        <w:rPr>
          <w:i/>
        </w:rPr>
        <w:t>e</w:t>
      </w:r>
      <w:r w:rsidRPr="00385ABD">
        <w:rPr>
          <w:i/>
        </w:rPr>
        <w:t xml:space="preserve">valuator. Important identified risks that were evident from the nonclinical data were potential interaction with strong CYP3A4 inhibitors and inducers, and potential for extrapyramidal symptoms. Given that lurasidone elevates serum prolactin levels in several test species and also humans (a known effect of this class of drugs), it is recommended that the possible adverse effects of </w:t>
      </w:r>
      <w:proofErr w:type="spellStart"/>
      <w:r w:rsidRPr="00385ABD">
        <w:rPr>
          <w:i/>
        </w:rPr>
        <w:t>hyperprolactinaemia</w:t>
      </w:r>
      <w:proofErr w:type="spellEnd"/>
      <w:r w:rsidRPr="00385ABD">
        <w:rPr>
          <w:i/>
        </w:rPr>
        <w:t xml:space="preserve"> in patients should be considered here; this is</w:t>
      </w:r>
      <w:r w:rsidR="00F73B21" w:rsidRPr="00385ABD">
        <w:rPr>
          <w:i/>
        </w:rPr>
        <w:t xml:space="preserve"> referred to the RMP evaluator.</w:t>
      </w:r>
    </w:p>
    <w:p w:rsidR="00B52FCF" w:rsidRPr="00385ABD" w:rsidRDefault="00B52FCF" w:rsidP="00385ABD">
      <w:pPr>
        <w:pStyle w:val="Heading5"/>
      </w:pPr>
      <w:r w:rsidRPr="00B52FCF">
        <w:t>Suggested wording</w:t>
      </w:r>
      <w:r w:rsidR="00385ABD">
        <w:t xml:space="preserve"> for conditions of registration</w:t>
      </w:r>
    </w:p>
    <w:p w:rsidR="00B52FCF" w:rsidRPr="00385ABD" w:rsidRDefault="00B52FCF" w:rsidP="00385ABD">
      <w:pPr>
        <w:pStyle w:val="Heading6"/>
      </w:pPr>
      <w:r w:rsidRPr="00B52FCF">
        <w:t>RMP</w:t>
      </w:r>
    </w:p>
    <w:p w:rsidR="00180B21" w:rsidRDefault="00B52FCF" w:rsidP="00385ABD">
      <w:r w:rsidRPr="002E5B07">
        <w:t xml:space="preserve">The </w:t>
      </w:r>
      <w:r w:rsidR="00180B21">
        <w:t>s</w:t>
      </w:r>
      <w:r w:rsidRPr="002E5B07">
        <w:t>ponsor has made the followi</w:t>
      </w:r>
      <w:r w:rsidR="00180B21">
        <w:t>ng statement regarding the RMP:</w:t>
      </w:r>
    </w:p>
    <w:p w:rsidR="00180B21" w:rsidRPr="00385ABD" w:rsidRDefault="00B52FCF" w:rsidP="00385ABD">
      <w:pPr>
        <w:ind w:left="720"/>
        <w:rPr>
          <w:i/>
        </w:rPr>
      </w:pPr>
      <w:r w:rsidRPr="00385ABD">
        <w:rPr>
          <w:i/>
        </w:rPr>
        <w:t>The EU-RMP is currently under review by the European Medicines Agency, an</w:t>
      </w:r>
      <w:r w:rsidR="00180B21" w:rsidRPr="00385ABD">
        <w:rPr>
          <w:i/>
        </w:rPr>
        <w:t xml:space="preserve">d was updated as of the 15 </w:t>
      </w:r>
      <w:r w:rsidRPr="00385ABD">
        <w:rPr>
          <w:i/>
        </w:rPr>
        <w:t xml:space="preserve">May 2013 in response to the Day 120 List of Questions. The Day </w:t>
      </w:r>
      <w:r w:rsidRPr="00385ABD">
        <w:rPr>
          <w:i/>
        </w:rPr>
        <w:lastRenderedPageBreak/>
        <w:t>180 List of Outstanding Issues (</w:t>
      </w:r>
      <w:proofErr w:type="spellStart"/>
      <w:r w:rsidRPr="00385ABD">
        <w:rPr>
          <w:i/>
        </w:rPr>
        <w:t>LoOIs</w:t>
      </w:r>
      <w:proofErr w:type="spellEnd"/>
      <w:r w:rsidRPr="00385ABD">
        <w:rPr>
          <w:i/>
        </w:rPr>
        <w:t xml:space="preserve">) was received on July 11 2013. The EU-RMP is currently being </w:t>
      </w:r>
      <w:r w:rsidR="00180B21" w:rsidRPr="00385ABD">
        <w:rPr>
          <w:i/>
        </w:rPr>
        <w:t xml:space="preserve">updated according to the </w:t>
      </w:r>
      <w:proofErr w:type="spellStart"/>
      <w:r w:rsidR="00180B21" w:rsidRPr="00385ABD">
        <w:rPr>
          <w:i/>
        </w:rPr>
        <w:t>LoOIs</w:t>
      </w:r>
      <w:proofErr w:type="spellEnd"/>
      <w:r w:rsidR="00180B21" w:rsidRPr="00385ABD">
        <w:rPr>
          <w:i/>
        </w:rPr>
        <w:t>.</w:t>
      </w:r>
    </w:p>
    <w:p w:rsidR="00B52FCF" w:rsidRPr="002E5B07" w:rsidRDefault="00B52FCF" w:rsidP="00385ABD">
      <w:r w:rsidRPr="002E5B07">
        <w:t>This updated RMP should be submitted to the TGA when available.</w:t>
      </w:r>
    </w:p>
    <w:p w:rsidR="00B52FCF" w:rsidRPr="00385ABD" w:rsidRDefault="00B52FCF" w:rsidP="00385ABD">
      <w:pPr>
        <w:pStyle w:val="Heading6"/>
      </w:pPr>
      <w:r w:rsidRPr="002E5B07">
        <w:t>PSUR</w:t>
      </w:r>
    </w:p>
    <w:p w:rsidR="00B52FCF" w:rsidRPr="002E5B07" w:rsidRDefault="00180B21" w:rsidP="00385ABD">
      <w:r>
        <w:t>The Office of Medicines Authorisation (OMA) is</w:t>
      </w:r>
      <w:r w:rsidR="00B52FCF" w:rsidRPr="002E5B07">
        <w:t xml:space="preserve"> to provide new wording.</w:t>
      </w:r>
    </w:p>
    <w:p w:rsidR="008E7846" w:rsidRPr="00792A32" w:rsidRDefault="008E7846" w:rsidP="00385ABD">
      <w:pPr>
        <w:pStyle w:val="Heading2"/>
      </w:pPr>
      <w:bookmarkStart w:id="155" w:name="_Toc314842510"/>
      <w:bookmarkStart w:id="156" w:name="_Toc39268246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49"/>
      <w:bookmarkEnd w:id="155"/>
      <w:bookmarkEnd w:id="156"/>
    </w:p>
    <w:p w:rsidR="008E7846" w:rsidRDefault="008E7846" w:rsidP="0079531B">
      <w:bookmarkStart w:id="157" w:name="_Toc247691528"/>
      <w:r>
        <w:t xml:space="preserve">The submission was summarised in the following </w:t>
      </w:r>
      <w:r w:rsidRPr="00EF5C48">
        <w:t xml:space="preserve">Delegate’s </w:t>
      </w:r>
      <w:r>
        <w:t>overview</w:t>
      </w:r>
      <w:r w:rsidRPr="00EF5C48">
        <w:t xml:space="preserve"> and recommendation</w:t>
      </w:r>
      <w:r>
        <w:t>s:</w:t>
      </w:r>
    </w:p>
    <w:p w:rsidR="008E7846" w:rsidRPr="0079531B" w:rsidRDefault="008E7846" w:rsidP="0079531B">
      <w:pPr>
        <w:pStyle w:val="Heading3"/>
      </w:pPr>
      <w:bookmarkStart w:id="158" w:name="_Toc314842511"/>
      <w:bookmarkStart w:id="159" w:name="_Toc392682464"/>
      <w:r>
        <w:t>Quality</w:t>
      </w:r>
      <w:bookmarkEnd w:id="157"/>
      <w:bookmarkEnd w:id="158"/>
      <w:bookmarkEnd w:id="159"/>
    </w:p>
    <w:p w:rsidR="0077007E" w:rsidRPr="0077007E" w:rsidRDefault="0077007E" w:rsidP="0079531B">
      <w:bookmarkStart w:id="160" w:name="_Toc314842512"/>
      <w:r w:rsidRPr="0077007E">
        <w:t xml:space="preserve">There are no objections in respect of Chemistry, Manufacturing, Controls and </w:t>
      </w:r>
      <w:proofErr w:type="spellStart"/>
      <w:r w:rsidRPr="0077007E">
        <w:t>Biopharmaceutics</w:t>
      </w:r>
      <w:proofErr w:type="spellEnd"/>
      <w:r w:rsidRPr="0077007E">
        <w:t xml:space="preserve"> to </w:t>
      </w:r>
      <w:r w:rsidR="0079531B">
        <w:t>registration of these products.</w:t>
      </w:r>
    </w:p>
    <w:p w:rsidR="0077007E" w:rsidRPr="0077007E" w:rsidRDefault="0077007E" w:rsidP="0079531B">
      <w:r w:rsidRPr="0077007E">
        <w:t>The specification applied to the drug substance is satisfactory. Although a large number of potential synthetic impurities were identified by the applicant, only one (the enantiomer) is specifically controlled in the API specification. No degradants were identified.</w:t>
      </w:r>
    </w:p>
    <w:p w:rsidR="0077007E" w:rsidRPr="0077007E" w:rsidRDefault="0077007E" w:rsidP="0079531B">
      <w:r w:rsidRPr="0077007E">
        <w:t xml:space="preserve">The low aqueous solubility of the drug substance was accepted as justification for not performing an absolute bioavailability study. By estimating </w:t>
      </w:r>
      <w:proofErr w:type="spellStart"/>
      <w:r w:rsidRPr="0077007E">
        <w:t>Fa</w:t>
      </w:r>
      <w:proofErr w:type="spellEnd"/>
      <w:r w:rsidRPr="0077007E">
        <w:t xml:space="preserve">, </w:t>
      </w:r>
      <w:proofErr w:type="spellStart"/>
      <w:proofErr w:type="gramStart"/>
      <w:r w:rsidRPr="0077007E">
        <w:t>Fg</w:t>
      </w:r>
      <w:proofErr w:type="spellEnd"/>
      <w:proofErr w:type="gramEnd"/>
      <w:r w:rsidRPr="0077007E">
        <w:t xml:space="preserve">, and FH from the clinical study data, the absolute bioavailability was calculated to be ~0.06 using the equation F = </w:t>
      </w:r>
      <w:proofErr w:type="spellStart"/>
      <w:r w:rsidRPr="0077007E">
        <w:t>Fa</w:t>
      </w:r>
      <w:proofErr w:type="spellEnd"/>
      <w:r>
        <w:t xml:space="preserve"> x</w:t>
      </w:r>
      <w:r w:rsidRPr="0077007E">
        <w:t xml:space="preserve"> </w:t>
      </w:r>
      <w:proofErr w:type="spellStart"/>
      <w:r w:rsidRPr="0077007E">
        <w:t>Fg</w:t>
      </w:r>
      <w:proofErr w:type="spellEnd"/>
      <w:r>
        <w:t xml:space="preserve"> x</w:t>
      </w:r>
      <w:r w:rsidRPr="0077007E">
        <w:t xml:space="preserve"> FH. Alternatively, F was estimated to be 0.18 using physiologically</w:t>
      </w:r>
      <w:r w:rsidR="00637759">
        <w:t xml:space="preserve"> </w:t>
      </w:r>
      <w:r w:rsidRPr="0077007E">
        <w:t>based pharmacokinetic (PBPK) modelling.</w:t>
      </w:r>
    </w:p>
    <w:p w:rsidR="0077007E" w:rsidRPr="0077007E" w:rsidRDefault="0077007E" w:rsidP="0079531B">
      <w:r w:rsidRPr="0077007E">
        <w:t>Lurasidone was considered by the PSC at its 154th meeting in November 2013.</w:t>
      </w:r>
      <w:r w:rsidR="00431E88">
        <w:t xml:space="preserve"> </w:t>
      </w:r>
      <w:r w:rsidRPr="0077007E">
        <w:t>The minutes relating to Lurasidone will be provided to the committee.</w:t>
      </w:r>
    </w:p>
    <w:p w:rsidR="008E7846" w:rsidRPr="0079531B" w:rsidRDefault="008E7846" w:rsidP="0079531B">
      <w:pPr>
        <w:pStyle w:val="Heading3"/>
      </w:pPr>
      <w:bookmarkStart w:id="161" w:name="_Toc392682465"/>
      <w:r>
        <w:t>Nonclinical</w:t>
      </w:r>
      <w:bookmarkEnd w:id="160"/>
      <w:bookmarkEnd w:id="161"/>
    </w:p>
    <w:p w:rsidR="0077007E" w:rsidRPr="0077007E" w:rsidRDefault="0077007E" w:rsidP="0079531B">
      <w:r w:rsidRPr="0077007E">
        <w:t xml:space="preserve">There are no nonclinical objections to the registration of </w:t>
      </w:r>
      <w:r w:rsidR="00EC20AF">
        <w:t>LDH</w:t>
      </w:r>
      <w:r w:rsidRPr="0077007E">
        <w:t xml:space="preserve"> for the treatm</w:t>
      </w:r>
      <w:r w:rsidR="0079531B">
        <w:t>ent of schizophrenia in adults.</w:t>
      </w:r>
    </w:p>
    <w:p w:rsidR="0077007E" w:rsidRPr="0077007E" w:rsidRDefault="0077007E" w:rsidP="0079531B">
      <w:r w:rsidRPr="0077007E">
        <w:t xml:space="preserve">Lurasidone showed high affinity for the human D2, 5-HT2A and 5-HT7 receptors, moderate affinity for human 5-HT1A, α2C and D3 receptors, and weaker affinity for human D4.4, α2A and α1A receptors. It showed little/no affinity for human H1 or M1 receptors, or rat 5-HT uptake sites (IC50 ≥1 µM), nor did it inhibit dopamine, 5-HT or noradrenaline reuptake into rat </w:t>
      </w:r>
      <w:proofErr w:type="spellStart"/>
      <w:r w:rsidRPr="0077007E">
        <w:t>synaptosomes</w:t>
      </w:r>
      <w:proofErr w:type="spellEnd"/>
      <w:r w:rsidRPr="0077007E">
        <w:t xml:space="preserve"> (IC50 &gt;3 µM). Functional studies revealed partial </w:t>
      </w:r>
      <w:proofErr w:type="spellStart"/>
      <w:r w:rsidRPr="0077007E">
        <w:t>agonism</w:t>
      </w:r>
      <w:proofErr w:type="spellEnd"/>
      <w:r w:rsidRPr="0077007E">
        <w:t xml:space="preserve"> at 5-HT1A receptors and antagonism at D2 and 5-HT7 receptors. </w:t>
      </w:r>
      <w:r w:rsidRPr="00540832">
        <w:rPr>
          <w:i/>
        </w:rPr>
        <w:t>In vivo</w:t>
      </w:r>
      <w:r w:rsidRPr="0077007E">
        <w:t xml:space="preserve"> studies in mice and rats were consistent with antagonism at the D2 and 5-HT2 receptors. At clinically relevant doses, lurasidone showed activity in tests for anxiolytic activity/mood stabilising action in r</w:t>
      </w:r>
      <w:r w:rsidR="00540832">
        <w:t xml:space="preserve">ats and ameliorated scopolamine and MK-801 </w:t>
      </w:r>
      <w:r w:rsidRPr="0077007E">
        <w:t xml:space="preserve">induced memory impairment in the </w:t>
      </w:r>
      <w:r w:rsidR="0079531B">
        <w:t>passive avoidance test in rats.</w:t>
      </w:r>
    </w:p>
    <w:p w:rsidR="0077007E" w:rsidRPr="0077007E" w:rsidRDefault="0077007E" w:rsidP="0079531B">
      <w:r w:rsidRPr="0077007E">
        <w:t xml:space="preserve">CNS clinical signs and </w:t>
      </w:r>
      <w:proofErr w:type="spellStart"/>
      <w:r w:rsidRPr="0077007E">
        <w:t>hyperprolactinaemia</w:t>
      </w:r>
      <w:proofErr w:type="spellEnd"/>
      <w:r w:rsidRPr="0077007E">
        <w:t xml:space="preserve"> and its consequent effects, particularly on the female reproductive system, were the main findings in the repeat</w:t>
      </w:r>
      <w:r w:rsidR="00540832">
        <w:t xml:space="preserve"> </w:t>
      </w:r>
      <w:r w:rsidR="0079531B">
        <w:t>dose toxicity studies.</w:t>
      </w:r>
    </w:p>
    <w:p w:rsidR="0077007E" w:rsidRPr="0077007E" w:rsidRDefault="0077007E" w:rsidP="0079531B">
      <w:r w:rsidRPr="0077007E">
        <w:t xml:space="preserve">Secondary </w:t>
      </w:r>
      <w:r w:rsidR="0064096A">
        <w:t>PD</w:t>
      </w:r>
      <w:r w:rsidRPr="0077007E">
        <w:t xml:space="preserve"> studies suggested that lurasidone may have a lower potential to induce extrapyramidal side</w:t>
      </w:r>
      <w:r w:rsidR="0079531B">
        <w:t xml:space="preserve"> effects than comparator drugs.</w:t>
      </w:r>
    </w:p>
    <w:p w:rsidR="0077007E" w:rsidRPr="0077007E" w:rsidRDefault="0077007E" w:rsidP="0079531B">
      <w:r w:rsidRPr="0077007E">
        <w:t xml:space="preserve">Safety pharmacology studies did not reveal any clinically relevant hazards except for CNS clinical signs and the potential for </w:t>
      </w:r>
      <w:proofErr w:type="spellStart"/>
      <w:r w:rsidRPr="0077007E">
        <w:t>hyperprolactinaemia</w:t>
      </w:r>
      <w:proofErr w:type="spellEnd"/>
      <w:r w:rsidRPr="0077007E">
        <w:t>. Lurasidone dose</w:t>
      </w:r>
      <w:r w:rsidR="00540832">
        <w:t xml:space="preserve"> </w:t>
      </w:r>
      <w:r w:rsidRPr="0077007E">
        <w:t xml:space="preserve">dependently inhibited the rapidly activating delayed rectifier potassium current in cloned </w:t>
      </w:r>
      <w:proofErr w:type="spellStart"/>
      <w:r w:rsidRPr="0077007E">
        <w:t>hERG</w:t>
      </w:r>
      <w:proofErr w:type="spellEnd"/>
      <w:r w:rsidRPr="0077007E">
        <w:t xml:space="preserve"> </w:t>
      </w:r>
      <w:r w:rsidRPr="0077007E">
        <w:lastRenderedPageBreak/>
        <w:t>channels, but this did not translate into any notable prolongation of QT/</w:t>
      </w:r>
      <w:proofErr w:type="spellStart"/>
      <w:r w:rsidRPr="0077007E">
        <w:t>QTc</w:t>
      </w:r>
      <w:proofErr w:type="spellEnd"/>
      <w:r w:rsidRPr="0077007E">
        <w:t xml:space="preserve"> intervals in </w:t>
      </w:r>
      <w:r w:rsidRPr="0077007E">
        <w:rPr>
          <w:i/>
        </w:rPr>
        <w:t xml:space="preserve">in vivo </w:t>
      </w:r>
      <w:r w:rsidRPr="0077007E">
        <w:t>studies.</w:t>
      </w:r>
    </w:p>
    <w:p w:rsidR="0077007E" w:rsidRPr="0077007E" w:rsidRDefault="0077007E" w:rsidP="0079531B">
      <w:r w:rsidRPr="0077007E">
        <w:t>The nonclinical data support the pro</w:t>
      </w:r>
      <w:r w:rsidR="0079531B">
        <w:t>posed pregnancy category of B1.</w:t>
      </w:r>
    </w:p>
    <w:p w:rsidR="008E7846" w:rsidRPr="0079531B" w:rsidRDefault="008E7846" w:rsidP="0079531B">
      <w:pPr>
        <w:pStyle w:val="Heading3"/>
      </w:pPr>
      <w:bookmarkStart w:id="162" w:name="_Toc247691530"/>
      <w:bookmarkStart w:id="163" w:name="_Toc314842513"/>
      <w:bookmarkStart w:id="164" w:name="_Toc392682466"/>
      <w:r>
        <w:t>Clinical</w:t>
      </w:r>
      <w:bookmarkEnd w:id="162"/>
      <w:bookmarkEnd w:id="163"/>
      <w:bookmarkEnd w:id="164"/>
    </w:p>
    <w:p w:rsidR="005B2023" w:rsidRPr="0079531B" w:rsidRDefault="005B2023" w:rsidP="0079531B">
      <w:pPr>
        <w:pStyle w:val="Heading4"/>
      </w:pPr>
      <w:bookmarkStart w:id="165" w:name="_Toc314842514"/>
      <w:r w:rsidRPr="005B2023">
        <w:t>Pharmacology</w:t>
      </w:r>
    </w:p>
    <w:p w:rsidR="005B2023" w:rsidRPr="005B2023" w:rsidRDefault="005B2023" w:rsidP="0079531B">
      <w:proofErr w:type="spellStart"/>
      <w:r w:rsidRPr="005B2023">
        <w:t>Lurasidone</w:t>
      </w:r>
      <w:proofErr w:type="spellEnd"/>
      <w:r w:rsidRPr="005B2023">
        <w:t xml:space="preserve"> is a </w:t>
      </w:r>
      <w:proofErr w:type="spellStart"/>
      <w:r w:rsidRPr="005B2023">
        <w:t>benzisothiazole</w:t>
      </w:r>
      <w:proofErr w:type="spellEnd"/>
      <w:r w:rsidRPr="005B2023">
        <w:t xml:space="preserve"> derivative.</w:t>
      </w:r>
      <w:r w:rsidR="00431E88">
        <w:t xml:space="preserve"> </w:t>
      </w:r>
      <w:r w:rsidRPr="005B2023">
        <w:t>No absolute bioavailability study was performed however after a single postpr</w:t>
      </w:r>
      <w:r w:rsidR="001904F0">
        <w:t xml:space="preserve">andial dose total excretion of </w:t>
      </w:r>
      <w:r w:rsidRPr="001904F0">
        <w:rPr>
          <w:vertAlign w:val="superscript"/>
        </w:rPr>
        <w:t>14</w:t>
      </w:r>
      <w:r w:rsidRPr="005B2023">
        <w:t>C-lurasidone recovered in urine a</w:t>
      </w:r>
      <w:r w:rsidR="001904F0">
        <w:t>nd faeces combined was 86.2-89.3 %, with 67.2-</w:t>
      </w:r>
      <w:r w:rsidR="00574AD1">
        <w:t>80.1</w:t>
      </w:r>
      <w:r w:rsidRPr="005B2023">
        <w:t>% r</w:t>
      </w:r>
      <w:r w:rsidR="001904F0">
        <w:t>ecovered in faeces and 9.19-</w:t>
      </w:r>
      <w:r w:rsidR="00574AD1">
        <w:t>19.1</w:t>
      </w:r>
      <w:r w:rsidRPr="005B2023">
        <w:t xml:space="preserve">% recovered in urine, suggesting that </w:t>
      </w:r>
      <w:r w:rsidR="00574AD1">
        <w:t>~</w:t>
      </w:r>
      <w:r w:rsidRPr="005B2023">
        <w:t>20% of the administered total radioactivity was absorbed after oral administration.</w:t>
      </w:r>
      <w:r w:rsidR="00431E88">
        <w:t xml:space="preserve"> </w:t>
      </w:r>
      <w:r w:rsidRPr="005B2023">
        <w:t xml:space="preserve">Mean </w:t>
      </w:r>
      <w:proofErr w:type="spellStart"/>
      <w:r w:rsidRPr="005B2023">
        <w:t>Tmax</w:t>
      </w:r>
      <w:proofErr w:type="spellEnd"/>
      <w:r w:rsidRPr="005B2023">
        <w:t xml:space="preserve"> after a single</w:t>
      </w:r>
      <w:r w:rsidR="00574AD1">
        <w:t xml:space="preserve"> dose is </w:t>
      </w:r>
      <w:r w:rsidR="00A75A47">
        <w:t>~</w:t>
      </w:r>
      <w:r w:rsidR="00574AD1">
        <w:t>1.5 h</w:t>
      </w:r>
      <w:r w:rsidRPr="005B2023">
        <w:t>.</w:t>
      </w:r>
      <w:r w:rsidR="00431E88">
        <w:t xml:space="preserve"> </w:t>
      </w:r>
      <w:r w:rsidR="00574AD1">
        <w:t xml:space="preserve">After multiple </w:t>
      </w:r>
      <w:r w:rsidRPr="005B2023">
        <w:t>dose administratio</w:t>
      </w:r>
      <w:r w:rsidR="00574AD1">
        <w:t xml:space="preserve">n </w:t>
      </w:r>
      <w:proofErr w:type="spellStart"/>
      <w:r w:rsidR="00574AD1">
        <w:t>Tmax</w:t>
      </w:r>
      <w:proofErr w:type="spellEnd"/>
      <w:r w:rsidR="00574AD1">
        <w:t xml:space="preserve"> was </w:t>
      </w:r>
      <w:r w:rsidR="00A75A47">
        <w:t>~</w:t>
      </w:r>
      <w:r w:rsidR="00574AD1">
        <w:t>3 h</w:t>
      </w:r>
      <w:r w:rsidR="0079531B">
        <w:t>.</w:t>
      </w:r>
    </w:p>
    <w:p w:rsidR="005B2023" w:rsidRPr="005B2023" w:rsidRDefault="005B2023" w:rsidP="0079531B">
      <w:r w:rsidRPr="005B2023">
        <w:t xml:space="preserve">The </w:t>
      </w:r>
      <w:r w:rsidR="00186CF3">
        <w:t>PK</w:t>
      </w:r>
      <w:r w:rsidRPr="005B2023">
        <w:t xml:space="preserve"> is do</w:t>
      </w:r>
      <w:r w:rsidR="00186CF3">
        <w:t>se proportional in the 10-</w:t>
      </w:r>
      <w:r w:rsidRPr="005B2023">
        <w:t>160 mg dose range. Inter</w:t>
      </w:r>
      <w:r w:rsidR="00186CF3">
        <w:t xml:space="preserve"> </w:t>
      </w:r>
      <w:r w:rsidRPr="005B2023">
        <w:t xml:space="preserve">subject variability (%CV) for </w:t>
      </w:r>
      <w:proofErr w:type="spellStart"/>
      <w:r w:rsidRPr="005B2023">
        <w:t>Cmax</w:t>
      </w:r>
      <w:proofErr w:type="spellEnd"/>
      <w:r w:rsidRPr="005B2023">
        <w:t xml:space="preserve"> and </w:t>
      </w:r>
      <w:proofErr w:type="spellStart"/>
      <w:r w:rsidRPr="005B2023">
        <w:t>AUCτ</w:t>
      </w:r>
      <w:proofErr w:type="spellEnd"/>
      <w:r w:rsidRPr="005B2023">
        <w:t xml:space="preserve"> were assessed after multiple</w:t>
      </w:r>
      <w:r w:rsidR="00273560">
        <w:t xml:space="preserve"> </w:t>
      </w:r>
      <w:r w:rsidRPr="005B2023">
        <w:t xml:space="preserve">dose administration in healthy subjects and subjects with schizophrenia. In healthy subjects, it was 30% to 46% for </w:t>
      </w:r>
      <w:proofErr w:type="spellStart"/>
      <w:r w:rsidRPr="005B2023">
        <w:t>Cmax</w:t>
      </w:r>
      <w:proofErr w:type="spellEnd"/>
      <w:r w:rsidRPr="005B2023">
        <w:t xml:space="preserve"> and 32 to 35% for AUC0τ. In subjects with schizophrenia, it was 33% to 54% for </w:t>
      </w:r>
      <w:proofErr w:type="spellStart"/>
      <w:r w:rsidRPr="005B2023">
        <w:t>Cmax</w:t>
      </w:r>
      <w:proofErr w:type="spellEnd"/>
      <w:r w:rsidRPr="005B2023">
        <w:t xml:space="preserve"> and 36% to 63% for AUC0τ. A higher inter</w:t>
      </w:r>
      <w:r w:rsidR="002330D1">
        <w:t xml:space="preserve"> </w:t>
      </w:r>
      <w:r w:rsidRPr="005B2023">
        <w:t>subject variability was observed for AUC0τ</w:t>
      </w:r>
      <w:r w:rsidR="002330D1">
        <w:t xml:space="preserve"> </w:t>
      </w:r>
      <w:r w:rsidRPr="005B2023">
        <w:t xml:space="preserve">in subjects with schizophrenia. Food increased bioavailability with mean </w:t>
      </w:r>
      <w:proofErr w:type="spellStart"/>
      <w:r w:rsidRPr="005B2023">
        <w:t>Cmax</w:t>
      </w:r>
      <w:proofErr w:type="spellEnd"/>
      <w:r w:rsidRPr="005B2023">
        <w:t xml:space="preserve"> increasing </w:t>
      </w:r>
      <w:r w:rsidR="002330D1">
        <w:t>1.65-</w:t>
      </w:r>
      <w:r w:rsidRPr="005B2023">
        <w:t xml:space="preserve">2.09 fold and mean </w:t>
      </w:r>
      <w:r w:rsidR="002330D1">
        <w:t>AUC increasing 1.81-</w:t>
      </w:r>
      <w:r w:rsidRPr="005B2023">
        <w:t xml:space="preserve">3.05 </w:t>
      </w:r>
      <w:proofErr w:type="gramStart"/>
      <w:r w:rsidR="002330D1">
        <w:t>fold</w:t>
      </w:r>
      <w:proofErr w:type="gramEnd"/>
      <w:r w:rsidR="002330D1">
        <w:t xml:space="preserve"> </w:t>
      </w:r>
      <w:r w:rsidRPr="005B2023">
        <w:t>across doses in 3 food effect studies where various fed conditions were provided. The population PK analysis concluded that lurasidone is associated with 3.0</w:t>
      </w:r>
      <w:r w:rsidR="002330D1">
        <w:t xml:space="preserve"> </w:t>
      </w:r>
      <w:r w:rsidRPr="005B2023">
        <w:t xml:space="preserve">fold increase in mean </w:t>
      </w:r>
      <w:proofErr w:type="spellStart"/>
      <w:r w:rsidRPr="005B2023">
        <w:t>Cmax</w:t>
      </w:r>
      <w:proofErr w:type="spellEnd"/>
      <w:r w:rsidRPr="005B2023">
        <w:t xml:space="preserve"> and 2.2</w:t>
      </w:r>
      <w:r w:rsidR="002330D1">
        <w:t xml:space="preserve"> </w:t>
      </w:r>
      <w:r w:rsidRPr="005B2023">
        <w:t>fold increase in mean AUC</w:t>
      </w:r>
      <w:r w:rsidRPr="002330D1">
        <w:rPr>
          <w:vertAlign w:val="subscript"/>
        </w:rPr>
        <w:t>0-24</w:t>
      </w:r>
      <w:r w:rsidR="002330D1" w:rsidRPr="002330D1">
        <w:rPr>
          <w:vertAlign w:val="subscript"/>
        </w:rPr>
        <w:t>h</w:t>
      </w:r>
      <w:r w:rsidRPr="002330D1">
        <w:rPr>
          <w:vertAlign w:val="subscript"/>
        </w:rPr>
        <w:t xml:space="preserve"> </w:t>
      </w:r>
      <w:r w:rsidRPr="005B2023">
        <w:t>in the presence of food. Lurasidone exposure was not affected when the meal size was increased from 350 to 1000 calories, and was i</w:t>
      </w:r>
      <w:r w:rsidR="0079531B">
        <w:t>ndependent of meal fat content.</w:t>
      </w:r>
    </w:p>
    <w:p w:rsidR="005B2023" w:rsidRPr="005B2023" w:rsidRDefault="005B2023" w:rsidP="0079531B">
      <w:r w:rsidRPr="005B2023">
        <w:t xml:space="preserve">Lurasidone is </w:t>
      </w:r>
      <w:r w:rsidR="002330D1">
        <w:t>~</w:t>
      </w:r>
      <w:r w:rsidRPr="005B2023">
        <w:t>99% protein bound.</w:t>
      </w:r>
      <w:r w:rsidR="00431E88">
        <w:t xml:space="preserve"> </w:t>
      </w:r>
      <w:r w:rsidRPr="005B2023">
        <w:t>The mean apparent volume of dist</w:t>
      </w:r>
      <w:r w:rsidR="002330D1">
        <w:t>ribution ranged from 3220-</w:t>
      </w:r>
      <w:r w:rsidRPr="005B2023">
        <w:t>4410 L. Mean apparent clearance ranged from</w:t>
      </w:r>
      <w:r w:rsidR="00431E88">
        <w:t xml:space="preserve"> </w:t>
      </w:r>
      <w:r w:rsidR="002330D1">
        <w:t>175-</w:t>
      </w:r>
      <w:r w:rsidR="00AC1AB5">
        <w:t>244 L/h</w:t>
      </w:r>
      <w:r w:rsidRPr="005B2023">
        <w:t>.</w:t>
      </w:r>
      <w:r w:rsidR="00431E88">
        <w:t xml:space="preserve"> </w:t>
      </w:r>
      <w:r w:rsidRPr="005B2023">
        <w:t>Following administration of 40 mg of L</w:t>
      </w:r>
      <w:r w:rsidR="00AC1AB5">
        <w:t>atuda</w:t>
      </w:r>
      <w:r w:rsidRPr="005B2023">
        <w:t xml:space="preserve">, </w:t>
      </w:r>
      <w:r w:rsidR="002330D1">
        <w:t>the mean (%CV) elimination half life was 18 (7) h</w:t>
      </w:r>
      <w:r w:rsidRPr="005B2023">
        <w:t>. Lurasidone has two active metabolites,</w:t>
      </w:r>
      <w:r w:rsidR="00431E88">
        <w:t xml:space="preserve"> </w:t>
      </w:r>
      <w:r w:rsidRPr="005B2023">
        <w:t>ID-14283 and ID-14326.</w:t>
      </w:r>
      <w:r w:rsidR="00431E88">
        <w:t xml:space="preserve"> </w:t>
      </w:r>
      <w:r w:rsidRPr="005B2023">
        <w:t>Bi</w:t>
      </w:r>
      <w:r>
        <w:t>nding of the active metabolites</w:t>
      </w:r>
      <w:r w:rsidRPr="005B2023">
        <w:t xml:space="preserve"> is similar to that of lurasidone. </w:t>
      </w:r>
      <w:proofErr w:type="spellStart"/>
      <w:r w:rsidRPr="005B2023">
        <w:t>Lurasidone’s</w:t>
      </w:r>
      <w:proofErr w:type="spellEnd"/>
      <w:r w:rsidRPr="005B2023">
        <w:t xml:space="preserve"> activity is primarily due to the parent d</w:t>
      </w:r>
      <w:r w:rsidR="0079531B">
        <w:t>rug with the active metabolites.</w:t>
      </w:r>
    </w:p>
    <w:p w:rsidR="005B2023" w:rsidRPr="005B2023" w:rsidRDefault="005B2023" w:rsidP="0079531B">
      <w:r>
        <w:t xml:space="preserve">ID-14283 and ID-14326 </w:t>
      </w:r>
      <w:r w:rsidR="002330D1">
        <w:t>represent</w:t>
      </w:r>
      <w:r w:rsidRPr="005B2023">
        <w:t xml:space="preserve"> 25% and 3% of the parent exposure, respectively. The major biotransformation pathways are oxidative N-</w:t>
      </w:r>
      <w:proofErr w:type="spellStart"/>
      <w:r w:rsidRPr="005B2023">
        <w:t>dealkylation</w:t>
      </w:r>
      <w:proofErr w:type="spellEnd"/>
      <w:r w:rsidRPr="005B2023">
        <w:t xml:space="preserve">, hydroxylation of </w:t>
      </w:r>
      <w:proofErr w:type="spellStart"/>
      <w:r w:rsidRPr="005B2023">
        <w:t>norbornane</w:t>
      </w:r>
      <w:proofErr w:type="spellEnd"/>
      <w:r w:rsidRPr="005B2023">
        <w:t xml:space="preserve"> ring and S-oxidation. Lurasidone is primarily eliminated via non</w:t>
      </w:r>
      <w:r w:rsidR="009679DC">
        <w:t xml:space="preserve"> </w:t>
      </w:r>
      <w:r w:rsidRPr="005B2023">
        <w:t>renal pathways. In patients with severe hepatic impairment (Child-Pugh Class C), systemic exposure is increased by up to 3</w:t>
      </w:r>
      <w:r w:rsidR="002330D1">
        <w:t xml:space="preserve"> </w:t>
      </w:r>
      <w:r w:rsidR="0079531B">
        <w:t>fold.</w:t>
      </w:r>
    </w:p>
    <w:p w:rsidR="005B2023" w:rsidRPr="005B2023" w:rsidRDefault="005B2023" w:rsidP="0079531B">
      <w:r w:rsidRPr="005B2023">
        <w:t>In patients with severe renal impairment (creatinine clearance &lt;30mL/min), systemic exposure is increased by up to 2</w:t>
      </w:r>
      <w:r w:rsidR="002330D1">
        <w:t xml:space="preserve"> </w:t>
      </w:r>
      <w:r w:rsidRPr="005B2023">
        <w:t>fold.</w:t>
      </w:r>
      <w:r w:rsidR="00431E88">
        <w:t xml:space="preserve"> </w:t>
      </w:r>
      <w:proofErr w:type="spellStart"/>
      <w:r w:rsidRPr="005B2023">
        <w:t>Cmax</w:t>
      </w:r>
      <w:proofErr w:type="spellEnd"/>
      <w:r w:rsidRPr="005B2023">
        <w:t xml:space="preserve"> increased by 40%, 92%, and 54% in mild, moderate, and severe renal impairments, respectively</w:t>
      </w:r>
      <w:r w:rsidR="002330D1">
        <w:t>,</w:t>
      </w:r>
      <w:r w:rsidRPr="005B2023">
        <w:t xml:space="preserve"> compared to matched normal renal patients AUC increased by 53%, 91%, and 103% in mild, moderate, and severe renal</w:t>
      </w:r>
      <w:r>
        <w:t xml:space="preserve"> </w:t>
      </w:r>
      <w:r w:rsidRPr="005B2023">
        <w:t>impairments, respectively</w:t>
      </w:r>
      <w:r w:rsidR="002330D1">
        <w:t>,</w:t>
      </w:r>
      <w:r w:rsidRPr="005B2023">
        <w:t xml:space="preserve"> compared to matched normal renal patients.</w:t>
      </w:r>
    </w:p>
    <w:p w:rsidR="005B2023" w:rsidRPr="005B2023" w:rsidRDefault="005B2023" w:rsidP="0079531B">
      <w:r w:rsidRPr="005B2023">
        <w:t xml:space="preserve">Co-administration of strong inhibitors of CYP3A4 leads to large increases in the AUC and </w:t>
      </w:r>
      <w:proofErr w:type="spellStart"/>
      <w:r w:rsidRPr="005B2023">
        <w:t>Cmax</w:t>
      </w:r>
      <w:proofErr w:type="spellEnd"/>
      <w:r w:rsidRPr="005B2023">
        <w:t xml:space="preserve"> for lurasidone (~9 fold when given with ketoconazole) and large reductions in AUC and </w:t>
      </w:r>
      <w:proofErr w:type="spellStart"/>
      <w:r w:rsidRPr="005B2023">
        <w:t>Cmax</w:t>
      </w:r>
      <w:proofErr w:type="spellEnd"/>
      <w:r w:rsidRPr="005B2023">
        <w:t xml:space="preserve"> when given with a strong inducer (~6 fold with rifampicin).</w:t>
      </w:r>
      <w:r w:rsidR="00431E88">
        <w:t xml:space="preserve"> </w:t>
      </w:r>
      <w:r w:rsidRPr="005B2023">
        <w:t>The sponsor has proposed contraindicating co</w:t>
      </w:r>
      <w:r w:rsidR="002330D1">
        <w:t>-</w:t>
      </w:r>
      <w:r w:rsidRPr="005B2023">
        <w:t>administration with strong CYP3A4 inducers and inhibitors.</w:t>
      </w:r>
    </w:p>
    <w:p w:rsidR="005B2023" w:rsidRPr="005B2023" w:rsidRDefault="005B2023" w:rsidP="005B2023">
      <w:r w:rsidRPr="005B2023">
        <w:t xml:space="preserve">Lurasidone has high affinity for human D2L, 5-HT1A, 5-HT2A, 5-HT7 and α2C receptors. </w:t>
      </w:r>
      <w:r w:rsidRPr="002330D1">
        <w:rPr>
          <w:i/>
        </w:rPr>
        <w:t xml:space="preserve">In vitro </w:t>
      </w:r>
      <w:r w:rsidRPr="005B2023">
        <w:t xml:space="preserve">functional activity studies conducted with lurasidone and its metabolites ID-14283, and ID-14326 suggest that these molecules are partial agonists for human 5-HT1A receptors and potent antagonists for human D2L and 5-HT7 receptors. A thorough QT study was conducted using </w:t>
      </w:r>
      <w:proofErr w:type="spellStart"/>
      <w:r w:rsidRPr="005B2023">
        <w:t>ziprasidone</w:t>
      </w:r>
      <w:proofErr w:type="spellEnd"/>
      <w:r w:rsidRPr="005B2023">
        <w:t xml:space="preserve"> as the active control.</w:t>
      </w:r>
      <w:r w:rsidR="00431E88">
        <w:t xml:space="preserve"> </w:t>
      </w:r>
      <w:r w:rsidR="00943AB1">
        <w:t xml:space="preserve">The maximum mean (upper </w:t>
      </w:r>
      <w:r w:rsidR="00943AB1">
        <w:lastRenderedPageBreak/>
        <w:t xml:space="preserve">one </w:t>
      </w:r>
      <w:r w:rsidRPr="005B2023">
        <w:t>sided, 95% CI) increase in baseline</w:t>
      </w:r>
      <w:r w:rsidR="00943AB1">
        <w:t xml:space="preserve"> </w:t>
      </w:r>
      <w:r w:rsidRPr="005B2023">
        <w:t xml:space="preserve">adjusted </w:t>
      </w:r>
      <w:proofErr w:type="spellStart"/>
      <w:r w:rsidRPr="005B2023">
        <w:t>QTc</w:t>
      </w:r>
      <w:proofErr w:type="spellEnd"/>
      <w:r w:rsidRPr="005B2023">
        <w:t xml:space="preserve"> intervals based on individual correction method (</w:t>
      </w:r>
      <w:proofErr w:type="spellStart"/>
      <w:r w:rsidRPr="005B2023">
        <w:t>QTcI</w:t>
      </w:r>
      <w:proofErr w:type="spellEnd"/>
      <w:r w:rsidRPr="005B2023">
        <w:t xml:space="preserve">) was 7.5 (11.7) </w:t>
      </w:r>
      <w:proofErr w:type="spellStart"/>
      <w:r w:rsidRPr="005B2023">
        <w:t>ms</w:t>
      </w:r>
      <w:proofErr w:type="spellEnd"/>
      <w:r w:rsidRPr="005B2023">
        <w:t xml:space="preserve"> and 4.6 (9.5) </w:t>
      </w:r>
      <w:proofErr w:type="spellStart"/>
      <w:r w:rsidRPr="005B2023">
        <w:t>ms</w:t>
      </w:r>
      <w:proofErr w:type="spellEnd"/>
      <w:r w:rsidRPr="005B2023">
        <w:t>, for the 120 mg and 600 mg dose groups</w:t>
      </w:r>
      <w:r w:rsidR="00943AB1">
        <w:t>,</w:t>
      </w:r>
      <w:r w:rsidRPr="005B2023">
        <w:t xml:space="preserve"> respec</w:t>
      </w:r>
      <w:r w:rsidR="000C79DC">
        <w:t>tively, observed at 2 to 4 h</w:t>
      </w:r>
      <w:r w:rsidRPr="005B2023">
        <w:t xml:space="preserve"> after dosing.</w:t>
      </w:r>
    </w:p>
    <w:p w:rsidR="005B2023" w:rsidRPr="0079531B" w:rsidRDefault="005B2023" w:rsidP="0079531B">
      <w:pPr>
        <w:pStyle w:val="Heading4"/>
      </w:pPr>
      <w:r w:rsidRPr="005B2023">
        <w:t>Efficacy</w:t>
      </w:r>
    </w:p>
    <w:p w:rsidR="005B2023" w:rsidRPr="005B2023" w:rsidRDefault="005B2023" w:rsidP="0079531B">
      <w:r w:rsidRPr="005B2023">
        <w:t xml:space="preserve">The clinical evaluator has considered 5 short term </w:t>
      </w:r>
      <w:r w:rsidR="000C79DC">
        <w:t>S</w:t>
      </w:r>
      <w:r w:rsidRPr="005B2023">
        <w:t>tudies 0</w:t>
      </w:r>
      <w:r w:rsidR="0058362A">
        <w:t>2</w:t>
      </w:r>
      <w:r w:rsidRPr="005B2023">
        <w:t>29, 0231, 0233, 0006 and 0196 and their extension studies to be pivotal.</w:t>
      </w:r>
      <w:r w:rsidR="00431E88">
        <w:t xml:space="preserve"> </w:t>
      </w:r>
      <w:r w:rsidRPr="005B2023">
        <w:t>The 5 short term studies were randomised and placebo controlled.</w:t>
      </w:r>
      <w:r w:rsidR="00431E88">
        <w:t xml:space="preserve"> </w:t>
      </w:r>
      <w:r w:rsidRPr="005B2023">
        <w:t xml:space="preserve">Studies 0231 and 0233 also had an active control (olanzapine 15 mg daily and </w:t>
      </w:r>
      <w:proofErr w:type="spellStart"/>
      <w:r w:rsidRPr="005B2023">
        <w:t>quetiapine</w:t>
      </w:r>
      <w:proofErr w:type="spellEnd"/>
      <w:r w:rsidRPr="005B2023">
        <w:t xml:space="preserve"> XR 600 mg daily)</w:t>
      </w:r>
      <w:r w:rsidR="00943AB1">
        <w:t>,</w:t>
      </w:r>
      <w:r w:rsidRPr="005B2023">
        <w:t xml:space="preserve"> respectively.</w:t>
      </w:r>
      <w:r w:rsidR="00431E88">
        <w:t xml:space="preserve"> </w:t>
      </w:r>
      <w:r w:rsidRPr="005B2023">
        <w:t>There were also 2 failed studies that had an active control (Studies 0049 and 1002).</w:t>
      </w:r>
    </w:p>
    <w:p w:rsidR="005B2023" w:rsidRPr="005B2023" w:rsidRDefault="005B2023" w:rsidP="0079531B">
      <w:r w:rsidRPr="005B2023">
        <w:t>Studies 0229, 0231 and 0233 had the same major design features.</w:t>
      </w:r>
      <w:r w:rsidR="00431E88">
        <w:t xml:space="preserve"> </w:t>
      </w:r>
      <w:r w:rsidRPr="005B2023">
        <w:t>There was a 14 day screening period during which psychotropic medication was tapered and the subjects entered a 3 to 7 day hospitalised single</w:t>
      </w:r>
      <w:r w:rsidR="00943AB1">
        <w:t xml:space="preserve"> </w:t>
      </w:r>
      <w:r w:rsidRPr="005B2023">
        <w:t>blind, placebo washout period. Subjects remained hospitalised during randomised treatment for at least 21 days and, if meeting discharge criteria, could continue the next 3 weeks of treatment as an outpatient.</w:t>
      </w:r>
    </w:p>
    <w:p w:rsidR="005B2023" w:rsidRPr="005B2023" w:rsidRDefault="005B2023" w:rsidP="0079531B">
      <w:r w:rsidRPr="005B2023">
        <w:t>The major inclusion were: adult; DSMM-IV criteria for a pri</w:t>
      </w:r>
      <w:r w:rsidR="00943AB1">
        <w:t>mary diagnosis of schizophrenia</w:t>
      </w:r>
      <w:r w:rsidRPr="005B2023">
        <w:t>; illness duration of &gt;1 year; acute exacerbation of psychotic symptoms (no longer than 2 months) and marked deterioration of function from baseline (by history), or hospitalised for the purpose of treating an acut</w:t>
      </w:r>
      <w:r w:rsidR="00943AB1">
        <w:t>e psychotic exacerbation for ≤2</w:t>
      </w:r>
      <w:r w:rsidRPr="005B2023">
        <w:t xml:space="preserve"> consecutive weeks immediately before screening; and PANSS total score ≥80 at screening and baseline. Patients with a history of resistance to neuroleptic treatment were excluded from the studies.</w:t>
      </w:r>
    </w:p>
    <w:p w:rsidR="005B2023" w:rsidRPr="005B2023" w:rsidRDefault="005B2023" w:rsidP="0079531B">
      <w:r w:rsidRPr="005B2023">
        <w:t>Studies 0006 and 0196 were Phase II studies conducted in 2001</w:t>
      </w:r>
      <w:r w:rsidR="0058362A">
        <w:t xml:space="preserve"> and 2004, respectively</w:t>
      </w:r>
      <w:r w:rsidRPr="005B2023">
        <w:t>.</w:t>
      </w:r>
      <w:r w:rsidR="00431E88">
        <w:t xml:space="preserve"> </w:t>
      </w:r>
      <w:r w:rsidRPr="005B2023">
        <w:t>Subjects were hospitalised with schizophrenia. The study design included a screening period of up to 14 days, followed by an inpatient single</w:t>
      </w:r>
      <w:r w:rsidR="00B00B7C">
        <w:t xml:space="preserve"> </w:t>
      </w:r>
      <w:r w:rsidRPr="005B2023">
        <w:t>blind washout period of 3-7 days, and then a 6 week double</w:t>
      </w:r>
      <w:r w:rsidR="00B00B7C">
        <w:t xml:space="preserve"> </w:t>
      </w:r>
      <w:r w:rsidR="0079531B">
        <w:t>blind treatment phase.</w:t>
      </w:r>
    </w:p>
    <w:p w:rsidR="005B2023" w:rsidRPr="005B2023" w:rsidRDefault="005B2023" w:rsidP="0079531B">
      <w:r w:rsidRPr="005B2023">
        <w:t>A pooled analysis of results of the 5 pivotal studies was performed.</w:t>
      </w:r>
      <w:r w:rsidR="00431E88">
        <w:t xml:space="preserve"> </w:t>
      </w:r>
      <w:r w:rsidRPr="005B2023">
        <w:t>A total of 1795 s</w:t>
      </w:r>
      <w:r w:rsidR="00F735C5">
        <w:t>ubjects were included in the randomised</w:t>
      </w:r>
      <w:r w:rsidRPr="005B2023">
        <w:t xml:space="preserve"> population with 506 receiving placebo, 123 olanzapine, and 120 </w:t>
      </w:r>
      <w:proofErr w:type="spellStart"/>
      <w:r w:rsidRPr="005B2023">
        <w:t>quetiapine</w:t>
      </w:r>
      <w:proofErr w:type="spellEnd"/>
      <w:r w:rsidRPr="005B2023">
        <w:t xml:space="preserve"> XR and remaining subjects receiving lurasidone at doses from 40mg to 160 mg.</w:t>
      </w:r>
      <w:r w:rsidR="00431E88">
        <w:t xml:space="preserve"> </w:t>
      </w:r>
      <w:proofErr w:type="gramStart"/>
      <w:r w:rsidRPr="005B2023">
        <w:t>Across</w:t>
      </w:r>
      <w:proofErr w:type="gramEnd"/>
      <w:r w:rsidRPr="005B2023">
        <w:t xml:space="preserve"> studies from 68-75% of subjects were male.</w:t>
      </w:r>
      <w:r w:rsidR="00431E88">
        <w:t xml:space="preserve"> </w:t>
      </w:r>
      <w:r w:rsidRPr="005B2023">
        <w:t xml:space="preserve">Mean age was 38-39 years. </w:t>
      </w:r>
      <w:r w:rsidR="00060B57">
        <w:t xml:space="preserve">There were 31-66% of subjects </w:t>
      </w:r>
      <w:r w:rsidRPr="005B2023">
        <w:t>l</w:t>
      </w:r>
      <w:r w:rsidR="00060B57">
        <w:t>ocated in North America</w:t>
      </w:r>
      <w:r w:rsidRPr="005B2023">
        <w:t>.</w:t>
      </w:r>
      <w:r w:rsidR="00431E88">
        <w:t xml:space="preserve"> </w:t>
      </w:r>
      <w:r w:rsidRPr="005B2023">
        <w:t>Only 4 subjects were aged over 65 years. Most subjects had paranoid type schizophrenia (87-89%) with between 9% and 11% having undifferentiated type. The pooled baseline PANSS total score was in the range 95.7 to 97.5 and CGI-S score 4.9 to 5.0. These scores are consistent with subjects being markedly ill.</w:t>
      </w:r>
    </w:p>
    <w:p w:rsidR="005B2023" w:rsidRPr="005B2023" w:rsidRDefault="005B2023" w:rsidP="0079531B">
      <w:r w:rsidRPr="005B2023">
        <w:t xml:space="preserve">Statistically significant efficacy for lurasidone 80 mg was demonstrated in 3 studies </w:t>
      </w:r>
      <w:r w:rsidR="001633CB">
        <w:t xml:space="preserve">(0196, 0229 and 0231) </w:t>
      </w:r>
      <w:r w:rsidRPr="005B2023">
        <w:t xml:space="preserve">and for </w:t>
      </w:r>
      <w:proofErr w:type="spellStart"/>
      <w:r w:rsidRPr="005B2023">
        <w:t>luriasidone</w:t>
      </w:r>
      <w:proofErr w:type="spellEnd"/>
      <w:r w:rsidR="00B00B7C">
        <w:t xml:space="preserve"> </w:t>
      </w:r>
      <w:r w:rsidRPr="005B2023">
        <w:t>160 mg in one study, while the 40 mg and 120 mg doses only separated from placebo in one of two studies (0231). The response on CGI-S score change showed a si</w:t>
      </w:r>
      <w:r w:rsidR="00B00B7C">
        <w:t>milar pattern</w:t>
      </w:r>
      <w:r w:rsidRPr="005B2023">
        <w:t xml:space="preserve">. In the pooled analysis the difference from placebo in mean change from baseline to Week 6 in PANSS total score </w:t>
      </w:r>
      <w:r w:rsidR="00B00B7C">
        <w:t xml:space="preserve">was -8.4 for lurasidone 40 mg, </w:t>
      </w:r>
      <w:r w:rsidRPr="005B2023">
        <w:t>-9.6 for 80 mg, -8.8 for 120 mg</w:t>
      </w:r>
      <w:r w:rsidR="00B00B7C">
        <w:t>,</w:t>
      </w:r>
      <w:r w:rsidR="00134EF5">
        <w:t xml:space="preserve"> and -14.9 for 16</w:t>
      </w:r>
      <w:r w:rsidRPr="005B2023">
        <w:t>0 mg.</w:t>
      </w:r>
      <w:r w:rsidR="00431E88">
        <w:t xml:space="preserve"> </w:t>
      </w:r>
      <w:r w:rsidRPr="005B2023">
        <w:t>No dose response was apparent between doses from 40 to 120 mg</w:t>
      </w:r>
      <w:r w:rsidR="00B00B7C">
        <w:t>.</w:t>
      </w:r>
    </w:p>
    <w:p w:rsidR="005B2023" w:rsidRPr="005B2023" w:rsidRDefault="005B2023" w:rsidP="0079531B">
      <w:r w:rsidRPr="005B2023">
        <w:t>Subgroup analyses were performed to explore differences in efficacy associated with race, gender, severity of illness at baseline and geographic region.</w:t>
      </w:r>
      <w:r w:rsidR="00431E88">
        <w:t xml:space="preserve"> </w:t>
      </w:r>
      <w:r w:rsidRPr="005B2023">
        <w:t xml:space="preserve">No statistically significant differences were found, however mean reductions from baseline in PANSS total scores were generally smaller for both placebo and lurasidone groups in the North American geographic </w:t>
      </w:r>
      <w:r w:rsidR="0079531B">
        <w:t>area compared with other areas.</w:t>
      </w:r>
    </w:p>
    <w:p w:rsidR="005B2023" w:rsidRPr="005B2023" w:rsidRDefault="005B2023" w:rsidP="005B2023">
      <w:r w:rsidRPr="005B2023">
        <w:t>Using data from Studies 0229, 0231 and 0233, an analysis of subjects with a ≥30% reduction from baseline PANSS score was performed.</w:t>
      </w:r>
      <w:r w:rsidR="00431E88">
        <w:t xml:space="preserve"> </w:t>
      </w:r>
      <w:r w:rsidRPr="005B2023">
        <w:t>These data were not pooled.</w:t>
      </w:r>
      <w:r w:rsidR="00431E88">
        <w:t xml:space="preserve"> </w:t>
      </w:r>
      <w:r w:rsidRPr="005B2023">
        <w:t xml:space="preserve">The placebo response rate was around 35% across the 3 studies and the response rates for </w:t>
      </w:r>
      <w:r w:rsidRPr="005B2023">
        <w:lastRenderedPageBreak/>
        <w:t>lurasidone 40</w:t>
      </w:r>
      <w:r w:rsidR="00B00B7C">
        <w:t xml:space="preserve"> </w:t>
      </w:r>
      <w:r w:rsidRPr="005B2023">
        <w:t>mg, 80 mg</w:t>
      </w:r>
      <w:r w:rsidR="00B00B7C">
        <w:t>,</w:t>
      </w:r>
      <w:r w:rsidRPr="005B2023">
        <w:t xml:space="preserve"> and 120 mg were all around 50%, giving a 15% difference in response rates from placebo and a </w:t>
      </w:r>
      <w:r w:rsidR="00B00B7C" w:rsidRPr="00B00B7C">
        <w:t xml:space="preserve">number needed to treat </w:t>
      </w:r>
      <w:r w:rsidR="00B00B7C">
        <w:t>(</w:t>
      </w:r>
      <w:r w:rsidRPr="005B2023">
        <w:t>NNT</w:t>
      </w:r>
      <w:r w:rsidR="00B00B7C">
        <w:t>)</w:t>
      </w:r>
      <w:r w:rsidRPr="005B2023">
        <w:t xml:space="preserve"> of 6.7.</w:t>
      </w:r>
      <w:r w:rsidR="00431E88">
        <w:t xml:space="preserve"> </w:t>
      </w:r>
      <w:r w:rsidRPr="005B2023">
        <w:t>Of the pivotal studies only Study 0233 assessed efficacy of the 160 mg dose.</w:t>
      </w:r>
      <w:r w:rsidR="00431E88">
        <w:t xml:space="preserve"> </w:t>
      </w:r>
      <w:r w:rsidRPr="005B2023">
        <w:t xml:space="preserve">The responder rate for 160 mg lurasidone was 63%, </w:t>
      </w:r>
      <w:r w:rsidR="00B00B7C">
        <w:t>a NNT of ~3.6</w:t>
      </w:r>
      <w:r w:rsidRPr="005B2023">
        <w:t>. Statistical significance of difference in response rates for each dose was not demonstrated in each study though there was a clear trend towards higher response rates with lurasidone compared with placebo in those studies in which statistical significance was not reached.</w:t>
      </w:r>
      <w:r w:rsidR="00431E88">
        <w:t xml:space="preserve"> </w:t>
      </w:r>
      <w:r w:rsidRPr="005B2023">
        <w:t>Dose response was not apparent within the 40 to 120 mg dose range for either mean difference in PANSS total score or response rate.</w:t>
      </w:r>
    </w:p>
    <w:p w:rsidR="005B2023" w:rsidRPr="005B2023" w:rsidRDefault="005B2023" w:rsidP="0079531B">
      <w:r w:rsidRPr="005B2023">
        <w:t>A placebo controlled long term efficacy study was not submitted.</w:t>
      </w:r>
      <w:r w:rsidR="00431E88">
        <w:t xml:space="preserve"> </w:t>
      </w:r>
      <w:r w:rsidRPr="005B2023">
        <w:t xml:space="preserve">Study 0234, an extension of Study 0233, provided a long term efficacy comparison with </w:t>
      </w:r>
      <w:proofErr w:type="spellStart"/>
      <w:r w:rsidRPr="005B2023">
        <w:t>quetiapine</w:t>
      </w:r>
      <w:proofErr w:type="spellEnd"/>
      <w:r w:rsidRPr="005B2023">
        <w:t xml:space="preserve"> XR.</w:t>
      </w:r>
      <w:r w:rsidR="00431E88">
        <w:t xml:space="preserve"> </w:t>
      </w:r>
      <w:r w:rsidR="005F4A60">
        <w:t xml:space="preserve">This double </w:t>
      </w:r>
      <w:r w:rsidRPr="005B2023">
        <w:t xml:space="preserve">blind study compared flexibly dosed lurasidone (40 to 160 mg daily) with flexibly dosed </w:t>
      </w:r>
      <w:proofErr w:type="spellStart"/>
      <w:r w:rsidRPr="005B2023">
        <w:t>quetiapine</w:t>
      </w:r>
      <w:proofErr w:type="spellEnd"/>
      <w:r w:rsidRPr="005B2023">
        <w:t xml:space="preserve"> XR (200 to 600 mg daily) for up to 12 months in subjects with schizophrenia who had shown a clinical response in Study 0233.</w:t>
      </w:r>
      <w:r w:rsidR="00431E88">
        <w:t xml:space="preserve"> </w:t>
      </w:r>
      <w:r w:rsidRPr="005B2023">
        <w:t>Clinical response was defined as a CGI-S score ≤</w:t>
      </w:r>
      <w:r w:rsidR="005F4A60">
        <w:t xml:space="preserve"> 4 and at least a 20% decrease (improvement)</w:t>
      </w:r>
      <w:r w:rsidRPr="005B2023">
        <w:t xml:space="preserve"> in PANSS total score from Baseline.</w:t>
      </w:r>
      <w:r w:rsidR="00431E88">
        <w:t xml:space="preserve"> </w:t>
      </w:r>
      <w:r w:rsidRPr="005B2023">
        <w:t>The primary efficacy endpoint was the time to relapse of psychotic symptoms. Relapse was defined as the occurrence of any of:</w:t>
      </w:r>
    </w:p>
    <w:p w:rsidR="005B2023" w:rsidRPr="005B2023" w:rsidRDefault="005B2023" w:rsidP="0079531B">
      <w:pPr>
        <w:pStyle w:val="ListBullet"/>
      </w:pPr>
      <w:r w:rsidRPr="005B2023">
        <w:t xml:space="preserve">Worsening of ≥30% PANSS total score </w:t>
      </w:r>
      <w:r w:rsidRPr="0079531B">
        <w:t>from</w:t>
      </w:r>
      <w:r w:rsidRPr="005B2023">
        <w:t xml:space="preserve"> D1050233 day 42 and CGI-S ≥3;</w:t>
      </w:r>
    </w:p>
    <w:p w:rsidR="005B2023" w:rsidRPr="005B2023" w:rsidRDefault="005B2023" w:rsidP="0079531B">
      <w:pPr>
        <w:pStyle w:val="ListBullet"/>
      </w:pPr>
      <w:r w:rsidRPr="005B2023">
        <w:t xml:space="preserve">Re-hospitalisation for worsening of </w:t>
      </w:r>
      <w:r w:rsidRPr="0079531B">
        <w:t>psychosis</w:t>
      </w:r>
      <w:r w:rsidRPr="005B2023">
        <w:t>;</w:t>
      </w:r>
    </w:p>
    <w:p w:rsidR="005B2023" w:rsidRPr="005B2023" w:rsidRDefault="005B2023" w:rsidP="0079531B">
      <w:pPr>
        <w:pStyle w:val="ListBullet"/>
      </w:pPr>
      <w:r w:rsidRPr="005B2023">
        <w:t>Emergence of suicidal ideation, homicidal ideation, and/or risk of harm to self or others.</w:t>
      </w:r>
    </w:p>
    <w:p w:rsidR="005B2023" w:rsidRPr="005B2023" w:rsidRDefault="005B2023" w:rsidP="0079531B">
      <w:r w:rsidRPr="005B2023">
        <w:t>This was a non</w:t>
      </w:r>
      <w:r w:rsidR="00E43F7E">
        <w:t xml:space="preserve"> </w:t>
      </w:r>
      <w:r w:rsidRPr="005B2023">
        <w:t xml:space="preserve">inferiority study with lurasidone to be declared as effective as </w:t>
      </w:r>
      <w:proofErr w:type="spellStart"/>
      <w:r w:rsidRPr="005B2023">
        <w:t>quetiapine</w:t>
      </w:r>
      <w:proofErr w:type="spellEnd"/>
      <w:r w:rsidRPr="005B2023">
        <w:t xml:space="preserve"> XR in preventing re</w:t>
      </w:r>
      <w:r w:rsidR="00D7026F">
        <w:t xml:space="preserve">lapse if the upper bound of a two </w:t>
      </w:r>
      <w:r w:rsidRPr="005B2023">
        <w:t xml:space="preserve">sided 95% confidence limit for the </w:t>
      </w:r>
      <w:r w:rsidR="00D7026F">
        <w:t>HR</w:t>
      </w:r>
      <w:r w:rsidRPr="005B2023">
        <w:t xml:space="preserve"> of lurasidone versus </w:t>
      </w:r>
      <w:proofErr w:type="spellStart"/>
      <w:r w:rsidRPr="005B2023">
        <w:t>quetiapine</w:t>
      </w:r>
      <w:proofErr w:type="spellEnd"/>
      <w:r w:rsidRPr="005B2023">
        <w:t xml:space="preserve"> XR is no greater than a non</w:t>
      </w:r>
      <w:r w:rsidR="00D7026F">
        <w:t xml:space="preserve"> </w:t>
      </w:r>
      <w:r w:rsidRPr="005B2023">
        <w:t>inferiority margin of 1.93.</w:t>
      </w:r>
      <w:r w:rsidR="00431E88">
        <w:t xml:space="preserve"> </w:t>
      </w:r>
      <w:r w:rsidRPr="005B2023">
        <w:t>This margin was selected based on</w:t>
      </w:r>
      <w:r w:rsidR="00431E88">
        <w:t xml:space="preserve"> </w:t>
      </w:r>
      <w:r w:rsidRPr="005B2023">
        <w:t xml:space="preserve">survival curves of a </w:t>
      </w:r>
      <w:proofErr w:type="spellStart"/>
      <w:proofErr w:type="gramStart"/>
      <w:r w:rsidRPr="005B2023">
        <w:t>meta</w:t>
      </w:r>
      <w:proofErr w:type="gramEnd"/>
      <w:r w:rsidR="00D7026F">
        <w:t xml:space="preserve"> </w:t>
      </w:r>
      <w:r w:rsidRPr="005B2023">
        <w:t>analysis</w:t>
      </w:r>
      <w:proofErr w:type="spellEnd"/>
      <w:r w:rsidRPr="005B2023">
        <w:t xml:space="preserve"> for </w:t>
      </w:r>
      <w:r w:rsidR="00D7026F">
        <w:t>relapse prevention</w:t>
      </w:r>
      <w:r w:rsidRPr="005B2023">
        <w:t>.</w:t>
      </w:r>
      <w:r w:rsidR="00D7026F">
        <w:rPr>
          <w:rStyle w:val="FootnoteReference"/>
        </w:rPr>
        <w:footnoteReference w:id="46"/>
      </w:r>
      <w:r w:rsidR="00431E88">
        <w:t xml:space="preserve"> </w:t>
      </w:r>
      <w:r w:rsidRPr="005B2023">
        <w:t xml:space="preserve">In that </w:t>
      </w:r>
      <w:proofErr w:type="spellStart"/>
      <w:proofErr w:type="gramStart"/>
      <w:r w:rsidRPr="005B2023">
        <w:t>meta</w:t>
      </w:r>
      <w:proofErr w:type="gramEnd"/>
      <w:r w:rsidR="00D7026F">
        <w:t xml:space="preserve"> </w:t>
      </w:r>
      <w:r w:rsidRPr="005B2023">
        <w:t>analysis</w:t>
      </w:r>
      <w:proofErr w:type="spellEnd"/>
      <w:r w:rsidRPr="005B2023">
        <w:t xml:space="preserve"> the relapse rates of second generation antipsychotics and placebo were 19% and 49%, respectively. In order to preserve at least 50% of the relapse prevention of second generation antipsychotics compared with placebo based on the 30% treatment difference in this </w:t>
      </w:r>
      <w:proofErr w:type="spellStart"/>
      <w:proofErr w:type="gramStart"/>
      <w:r w:rsidRPr="005B2023">
        <w:t>meta</w:t>
      </w:r>
      <w:proofErr w:type="gramEnd"/>
      <w:r w:rsidR="00362930">
        <w:t xml:space="preserve"> </w:t>
      </w:r>
      <w:r w:rsidRPr="005B2023">
        <w:t>analysis</w:t>
      </w:r>
      <w:proofErr w:type="spellEnd"/>
      <w:r w:rsidRPr="005B2023">
        <w:t>, a non</w:t>
      </w:r>
      <w:r w:rsidR="00362930">
        <w:t xml:space="preserve"> </w:t>
      </w:r>
      <w:r w:rsidRPr="005B2023">
        <w:t xml:space="preserve">inferiority margin of 15%, with the assumption of 35% for lurasidone and 20% for </w:t>
      </w:r>
      <w:proofErr w:type="spellStart"/>
      <w:r w:rsidRPr="005B2023">
        <w:t>quetiapine</w:t>
      </w:r>
      <w:proofErr w:type="spellEnd"/>
      <w:r w:rsidRPr="005B2023">
        <w:t xml:space="preserve"> XR, for Study 0234 was selected. This 15% </w:t>
      </w:r>
      <w:proofErr w:type="spellStart"/>
      <w:r w:rsidRPr="005B2023">
        <w:t>non</w:t>
      </w:r>
      <w:r w:rsidR="00444633">
        <w:t xml:space="preserve"> </w:t>
      </w:r>
      <w:r w:rsidRPr="005B2023">
        <w:t>inferiority</w:t>
      </w:r>
      <w:proofErr w:type="spellEnd"/>
      <w:r w:rsidRPr="005B2023">
        <w:t xml:space="preserve"> margin corresponded to a 1.93 </w:t>
      </w:r>
      <w:r w:rsidR="00362930">
        <w:t>HR</w:t>
      </w:r>
      <w:r w:rsidRPr="005B2023">
        <w:t xml:space="preserve"> comparing lurasidone with </w:t>
      </w:r>
      <w:proofErr w:type="spellStart"/>
      <w:r w:rsidRPr="005B2023">
        <w:t>quetiapine</w:t>
      </w:r>
      <w:proofErr w:type="spellEnd"/>
      <w:r w:rsidRPr="005B2023">
        <w:t xml:space="preserve"> XR.</w:t>
      </w:r>
    </w:p>
    <w:p w:rsidR="005B2023" w:rsidRPr="005B2023" w:rsidRDefault="005B2023" w:rsidP="0079531B">
      <w:r w:rsidRPr="005B2023">
        <w:t>A total of 292 subjects entered the extension study and 140 (48%) completed 12 months treatment.</w:t>
      </w:r>
      <w:r w:rsidR="00431E88">
        <w:t xml:space="preserve"> </w:t>
      </w:r>
      <w:r w:rsidRPr="005B2023">
        <w:t xml:space="preserve">Completion rates were 52% with lurasidone and 39% with </w:t>
      </w:r>
      <w:proofErr w:type="spellStart"/>
      <w:r w:rsidRPr="005B2023">
        <w:t>quetiapine</w:t>
      </w:r>
      <w:proofErr w:type="spellEnd"/>
      <w:r w:rsidRPr="005B2023">
        <w:t xml:space="preserve">. The main reasons for premature discontinuation were consent withdrawal (20% lurasidone </w:t>
      </w:r>
      <w:r w:rsidR="00696A56">
        <w:t>versus</w:t>
      </w:r>
      <w:r w:rsidRPr="005B2023">
        <w:t xml:space="preserve"> 22% </w:t>
      </w:r>
      <w:proofErr w:type="spellStart"/>
      <w:r w:rsidRPr="005B2023">
        <w:t>quetiapine</w:t>
      </w:r>
      <w:proofErr w:type="spellEnd"/>
      <w:r w:rsidRPr="005B2023">
        <w:t xml:space="preserve">), insufficient clinical response or worsening of existing condition (11% </w:t>
      </w:r>
      <w:r w:rsidR="00696A56">
        <w:t>versus</w:t>
      </w:r>
      <w:r w:rsidRPr="005B2023">
        <w:t xml:space="preserve"> 22%), other </w:t>
      </w:r>
      <w:r w:rsidR="005C0984">
        <w:t>AEs</w:t>
      </w:r>
      <w:r w:rsidRPr="005B2023">
        <w:t xml:space="preserve"> (5 </w:t>
      </w:r>
      <w:r w:rsidR="00696A56">
        <w:t>versus</w:t>
      </w:r>
      <w:r w:rsidRPr="005B2023">
        <w:t xml:space="preserve"> 4%) and loss to follow up (6% </w:t>
      </w:r>
      <w:r w:rsidR="00696A56">
        <w:t>versus</w:t>
      </w:r>
      <w:r w:rsidRPr="005B2023">
        <w:t xml:space="preserve"> 11%). The mean daily dose for lurasidone was 125.5 mg and for </w:t>
      </w:r>
      <w:proofErr w:type="spellStart"/>
      <w:r w:rsidRPr="005B2023">
        <w:t>quetiapine</w:t>
      </w:r>
      <w:proofErr w:type="spellEnd"/>
      <w:r w:rsidRPr="005B2023">
        <w:t xml:space="preserve"> XR was 629.6 mg. Relapses were reported in 21% of subjects given lurasidone and in 27% given </w:t>
      </w:r>
      <w:proofErr w:type="spellStart"/>
      <w:r w:rsidRPr="005B2023">
        <w:t>quetiapine</w:t>
      </w:r>
      <w:proofErr w:type="spellEnd"/>
      <w:r w:rsidRPr="005B2023">
        <w:t xml:space="preserve"> XR.</w:t>
      </w:r>
      <w:r w:rsidR="00431E88">
        <w:t xml:space="preserve"> </w:t>
      </w:r>
      <w:r w:rsidRPr="005B2023">
        <w:t xml:space="preserve">The probability of relapse by month 12 was 23.7% and 33.6%, respectively. The relapse </w:t>
      </w:r>
      <w:r w:rsidR="005C0984">
        <w:t>HR</w:t>
      </w:r>
      <w:r w:rsidRPr="005B2023">
        <w:t xml:space="preserve"> of lurasidone </w:t>
      </w:r>
      <w:r w:rsidR="00696A56">
        <w:t>versus</w:t>
      </w:r>
      <w:r w:rsidRPr="005B2023">
        <w:t xml:space="preserve"> </w:t>
      </w:r>
      <w:proofErr w:type="spellStart"/>
      <w:r w:rsidRPr="005B2023">
        <w:t>quetiapine</w:t>
      </w:r>
      <w:proofErr w:type="spellEnd"/>
      <w:r w:rsidRPr="005B2023">
        <w:t xml:space="preserve"> XR</w:t>
      </w:r>
      <w:r w:rsidR="00C85F9A">
        <w:t xml:space="preserve"> was 0.728 (95% CI: 0.41,</w:t>
      </w:r>
      <w:r w:rsidR="005C0984">
        <w:t xml:space="preserve"> </w:t>
      </w:r>
      <w:r w:rsidR="00C85F9A">
        <w:t>1.29).</w:t>
      </w:r>
    </w:p>
    <w:p w:rsidR="005B2023" w:rsidRPr="005B2023" w:rsidRDefault="005B2023" w:rsidP="0079531B">
      <w:r w:rsidRPr="005B2023">
        <w:t>The other active comparator study that assessed long term efficacy was Study 0237.</w:t>
      </w:r>
      <w:r w:rsidR="00431E88">
        <w:t xml:space="preserve"> </w:t>
      </w:r>
      <w:r w:rsidRPr="005B2023">
        <w:t>That study included subjects with schizophrenia or schizoaffective disorder.</w:t>
      </w:r>
      <w:r w:rsidR="00431E88">
        <w:t xml:space="preserve"> </w:t>
      </w:r>
      <w:r w:rsidRPr="005B2023">
        <w:t>The remaining long term efficacy data were from open, uncontrolled studies.</w:t>
      </w:r>
    </w:p>
    <w:p w:rsidR="005B2023" w:rsidRPr="0079531B" w:rsidRDefault="005B2023" w:rsidP="0079531B">
      <w:pPr>
        <w:pStyle w:val="Heading4"/>
      </w:pPr>
      <w:r w:rsidRPr="00AB33BA">
        <w:t>Safety</w:t>
      </w:r>
    </w:p>
    <w:p w:rsidR="005B2023" w:rsidRPr="005B2023" w:rsidRDefault="005B2023" w:rsidP="0079531B">
      <w:r w:rsidRPr="005B2023">
        <w:t xml:space="preserve">The summary of clinical safety covered data from 52 clinical trials which included 5607 subjects with schizophrenia (3473 treated with lurasidone, 724 treated with placebo and </w:t>
      </w:r>
      <w:r w:rsidRPr="005B2023">
        <w:lastRenderedPageBreak/>
        <w:t>1410 treated with other medications). Study duration ranged from 3 weeks to 22 months and evaluated doses of lurasidone from 20 to 160 mg/day. A long term comparative safety and tolerability study comparing lurasidone with</w:t>
      </w:r>
      <w:r w:rsidR="00431E88">
        <w:t xml:space="preserve"> </w:t>
      </w:r>
      <w:proofErr w:type="spellStart"/>
      <w:r w:rsidRPr="005B2023">
        <w:t>risperidone</w:t>
      </w:r>
      <w:proofErr w:type="spellEnd"/>
      <w:r w:rsidRPr="005B2023">
        <w:t xml:space="preserve"> was also performed.</w:t>
      </w:r>
    </w:p>
    <w:p w:rsidR="005B2023" w:rsidRPr="005B2023" w:rsidRDefault="005B2023" w:rsidP="005B2023">
      <w:r w:rsidRPr="005B2023">
        <w:t>Pooled safety data from the short term double</w:t>
      </w:r>
      <w:r w:rsidR="00CF76F8">
        <w:t xml:space="preserve"> </w:t>
      </w:r>
      <w:r w:rsidRPr="005B2023">
        <w:t xml:space="preserve">blind studies is discussed in </w:t>
      </w:r>
      <w:r w:rsidR="00CF76F8">
        <w:t>the clinical evaluation report</w:t>
      </w:r>
      <w:r w:rsidRPr="005B2023">
        <w:t>.</w:t>
      </w:r>
      <w:r w:rsidR="00431E88">
        <w:t xml:space="preserve"> </w:t>
      </w:r>
      <w:r w:rsidRPr="005B2023">
        <w:t xml:space="preserve">The most common TEAEs (frequency of ≥5%) in these studies for any dose of lurasidone compared with placebo were: headache (14.5% </w:t>
      </w:r>
      <w:r w:rsidR="00696A56">
        <w:t>versus</w:t>
      </w:r>
      <w:r w:rsidRPr="005B2023">
        <w:t xml:space="preserve"> 15.0%), </w:t>
      </w:r>
      <w:proofErr w:type="spellStart"/>
      <w:r w:rsidRPr="005B2023">
        <w:t>akathisia</w:t>
      </w:r>
      <w:proofErr w:type="spellEnd"/>
      <w:r w:rsidRPr="005B2023">
        <w:t xml:space="preserve"> (12.9% </w:t>
      </w:r>
      <w:r w:rsidR="00696A56">
        <w:t>versus</w:t>
      </w:r>
      <w:r w:rsidRPr="005B2023">
        <w:t xml:space="preserve"> 3.0%), nausea (10.1% </w:t>
      </w:r>
      <w:r w:rsidR="00696A56">
        <w:t>versus</w:t>
      </w:r>
      <w:r w:rsidRPr="005B2023">
        <w:t xml:space="preserve"> 5.2%), insomnia (9.9% </w:t>
      </w:r>
      <w:r w:rsidR="00696A56">
        <w:t>versus</w:t>
      </w:r>
      <w:r w:rsidRPr="005B2023">
        <w:t xml:space="preserve"> 8.5%), somnolence (8.6% </w:t>
      </w:r>
      <w:r w:rsidR="00696A56">
        <w:t>versus</w:t>
      </w:r>
      <w:r w:rsidRPr="005B2023">
        <w:t xml:space="preserve"> 3.4%), sedation (8.5% </w:t>
      </w:r>
      <w:r w:rsidR="00696A56">
        <w:t>versus</w:t>
      </w:r>
      <w:r w:rsidRPr="005B2023">
        <w:t xml:space="preserve"> 3.8%), vomiting (8.0% </w:t>
      </w:r>
      <w:r w:rsidR="00696A56">
        <w:t>versus</w:t>
      </w:r>
      <w:r w:rsidRPr="005B2023">
        <w:t xml:space="preserve"> 6.2%), schizophrenia (6.8% </w:t>
      </w:r>
      <w:r w:rsidR="00696A56">
        <w:t>versus</w:t>
      </w:r>
      <w:r w:rsidRPr="005B2023">
        <w:t xml:space="preserve"> 7.9%), dyspepsia (6.2% </w:t>
      </w:r>
      <w:r w:rsidR="00696A56">
        <w:t>versus</w:t>
      </w:r>
      <w:r w:rsidRPr="005B2023">
        <w:t xml:space="preserve"> 4.8%), agitation (5.2% </w:t>
      </w:r>
      <w:r w:rsidR="00696A56">
        <w:t>versus</w:t>
      </w:r>
      <w:r w:rsidRPr="005B2023">
        <w:t xml:space="preserve"> 3.8%), anxiety (5.1% </w:t>
      </w:r>
      <w:r w:rsidR="00696A56">
        <w:t>versus</w:t>
      </w:r>
      <w:r w:rsidRPr="005B2023">
        <w:t xml:space="preserve"> 4.1%)</w:t>
      </w:r>
      <w:r w:rsidR="00D06CDB">
        <w:t>,</w:t>
      </w:r>
      <w:r w:rsidRPr="005B2023">
        <w:t xml:space="preserve"> and constipation (5.0% </w:t>
      </w:r>
      <w:r w:rsidR="00696A56">
        <w:t>versus</w:t>
      </w:r>
      <w:r w:rsidR="00D06CDB">
        <w:t xml:space="preserve"> 6.1%). </w:t>
      </w:r>
      <w:r w:rsidRPr="005B2023">
        <w:t xml:space="preserve">The rate of </w:t>
      </w:r>
      <w:proofErr w:type="spellStart"/>
      <w:r w:rsidRPr="005B2023">
        <w:t>akathisia</w:t>
      </w:r>
      <w:proofErr w:type="spellEnd"/>
      <w:r w:rsidRPr="005B2023">
        <w:t xml:space="preserve"> in lurasidone</w:t>
      </w:r>
      <w:r w:rsidR="00D06CDB">
        <w:t xml:space="preserve"> </w:t>
      </w:r>
      <w:r w:rsidRPr="005B2023">
        <w:t>treated subjects (12.9%) was greater than with placebo (3.0%), olanzapine (7.4%)</w:t>
      </w:r>
      <w:r w:rsidR="00D06CDB">
        <w:t>,</w:t>
      </w:r>
      <w:r w:rsidRPr="005B2023">
        <w:t xml:space="preserve"> and </w:t>
      </w:r>
      <w:proofErr w:type="spellStart"/>
      <w:r w:rsidRPr="005B2023">
        <w:t>quetiapine</w:t>
      </w:r>
      <w:proofErr w:type="spellEnd"/>
      <w:r w:rsidRPr="005B2023">
        <w:t xml:space="preserve"> XR (1.7%), but lower than with haloperidol (19.4%) and similar to </w:t>
      </w:r>
      <w:proofErr w:type="spellStart"/>
      <w:r w:rsidRPr="005B2023">
        <w:t>risperidone</w:t>
      </w:r>
      <w:proofErr w:type="spellEnd"/>
      <w:r w:rsidRPr="005B2023">
        <w:t xml:space="preserve"> (13.8%). Parkinsonism was reported in 4.2% of lurasidone</w:t>
      </w:r>
      <w:r w:rsidR="00D06CDB">
        <w:t xml:space="preserve"> </w:t>
      </w:r>
      <w:r w:rsidRPr="005B2023">
        <w:t xml:space="preserve">treated subjects compared with 0.4% for the placebo group, 0% for the haloperidol, 5.7% for the olanzapine, 3.4% for the </w:t>
      </w:r>
      <w:proofErr w:type="spellStart"/>
      <w:r w:rsidRPr="005B2023">
        <w:t>quetiapine</w:t>
      </w:r>
      <w:proofErr w:type="spellEnd"/>
      <w:r w:rsidRPr="005B2023">
        <w:t xml:space="preserve"> XR, and 0% for the </w:t>
      </w:r>
      <w:proofErr w:type="spellStart"/>
      <w:r w:rsidRPr="005B2023">
        <w:t>risperidone</w:t>
      </w:r>
      <w:proofErr w:type="spellEnd"/>
      <w:r w:rsidRPr="005B2023">
        <w:t xml:space="preserve"> group.</w:t>
      </w:r>
      <w:r w:rsidR="00431E88">
        <w:t xml:space="preserve"> </w:t>
      </w:r>
      <w:r w:rsidRPr="005B2023">
        <w:t xml:space="preserve">The rate of EPS TEAEs was 24.7% in the lurasidone group compared to 9.2% in the placebo group and 54.2%, 23.0%, 7.6% and 27.7% in the haloperidol, olanzapine, </w:t>
      </w:r>
      <w:proofErr w:type="spellStart"/>
      <w:proofErr w:type="gramStart"/>
      <w:r w:rsidRPr="005B2023">
        <w:t>quetiapine</w:t>
      </w:r>
      <w:proofErr w:type="spellEnd"/>
      <w:proofErr w:type="gramEnd"/>
      <w:r w:rsidRPr="005B2023">
        <w:t xml:space="preserve"> and </w:t>
      </w:r>
      <w:proofErr w:type="spellStart"/>
      <w:r w:rsidRPr="005B2023">
        <w:t>risperidone</w:t>
      </w:r>
      <w:proofErr w:type="spellEnd"/>
      <w:r w:rsidRPr="005B2023">
        <w:t xml:space="preserve"> groups, respectively.</w:t>
      </w:r>
    </w:p>
    <w:p w:rsidR="005B2023" w:rsidRPr="005B2023" w:rsidRDefault="005B2023" w:rsidP="0079531B">
      <w:r w:rsidRPr="005B2023">
        <w:t xml:space="preserve">The rate of the metabolic cluster TEAEs was 3.2% with lurasidone and 2.5% with placebo with a higher rate with olanzapine (24.6%) mainly due to increased weight (20.5%). The rate of hypersensitivity TEAEs was similar between lurasidone and placebo (4.3% </w:t>
      </w:r>
      <w:r w:rsidR="00696A56">
        <w:t>versus</w:t>
      </w:r>
      <w:r w:rsidRPr="005B2023">
        <w:t xml:space="preserve"> 4.0%). In the lurasidone and placebo groups, the rate of combined dystonia terms was 4.2% </w:t>
      </w:r>
      <w:r w:rsidR="00696A56">
        <w:t>versus</w:t>
      </w:r>
      <w:r w:rsidRPr="005B2023">
        <w:t xml:space="preserve"> 0.8%, combined parkinsonism terms was 10.1% </w:t>
      </w:r>
      <w:r w:rsidR="00696A56">
        <w:t>versus</w:t>
      </w:r>
      <w:r w:rsidRPr="005B2023">
        <w:t xml:space="preserve"> 5.4% and combined somnolence term</w:t>
      </w:r>
      <w:r>
        <w:t xml:space="preserve">s was 17.0% </w:t>
      </w:r>
      <w:r w:rsidR="00696A56">
        <w:t>versus</w:t>
      </w:r>
      <w:r w:rsidR="0079531B">
        <w:t xml:space="preserve"> 7.1%</w:t>
      </w:r>
      <w:r w:rsidRPr="005B2023">
        <w:t>.</w:t>
      </w:r>
    </w:p>
    <w:p w:rsidR="005B2023" w:rsidRPr="005B2023" w:rsidRDefault="00B1020F" w:rsidP="005B2023">
      <w:r>
        <w:t xml:space="preserve">In the long term studies, </w:t>
      </w:r>
      <w:r w:rsidR="005B2023" w:rsidRPr="005B2023">
        <w:t>the most frequent treatment</w:t>
      </w:r>
      <w:r>
        <w:t xml:space="preserve"> </w:t>
      </w:r>
      <w:r w:rsidR="005B2023" w:rsidRPr="005B2023">
        <w:t xml:space="preserve">related events were </w:t>
      </w:r>
      <w:proofErr w:type="spellStart"/>
      <w:r w:rsidR="005B2023" w:rsidRPr="005B2023">
        <w:t>akathisia</w:t>
      </w:r>
      <w:proofErr w:type="spellEnd"/>
      <w:r w:rsidR="005B2023" w:rsidRPr="005B2023">
        <w:t xml:space="preserve"> (13.3%), nausea </w:t>
      </w:r>
      <w:r w:rsidR="0079531B">
        <w:t>(10.4%) and somnolence (10.1%).</w:t>
      </w:r>
    </w:p>
    <w:p w:rsidR="005B2023" w:rsidRPr="005B2023" w:rsidRDefault="005B2023" w:rsidP="0079531B">
      <w:r w:rsidRPr="005B2023">
        <w:t>Across the clinical trial safety population</w:t>
      </w:r>
      <w:r w:rsidR="00B1020F">
        <w:t>,</w:t>
      </w:r>
      <w:r w:rsidRPr="005B2023">
        <w:t xml:space="preserve"> there were 13 treatment emergent lurasidone deaths (0.41%), 5 were due to suicide, 2 to accidents (thermal burns and road traffic accident), </w:t>
      </w:r>
      <w:r w:rsidR="00B1020F">
        <w:t>1</w:t>
      </w:r>
      <w:r w:rsidRPr="005B2023">
        <w:t xml:space="preserve"> was septic</w:t>
      </w:r>
      <w:r w:rsidR="00B1020F">
        <w:t xml:space="preserve"> shock with respiratory failure, </w:t>
      </w:r>
      <w:r w:rsidRPr="005B2023">
        <w:t xml:space="preserve">and 5 due to cardiovascular events. The rate of death was 1.07 per 100 patient years. In the total safety population there were 11 cases (0.3%) of tardive </w:t>
      </w:r>
      <w:proofErr w:type="spellStart"/>
      <w:r w:rsidRPr="005B2023">
        <w:t>dykinesia</w:t>
      </w:r>
      <w:proofErr w:type="spellEnd"/>
      <w:r w:rsidRPr="005B2023">
        <w:t xml:space="preserve"> in lurasidone</w:t>
      </w:r>
      <w:r w:rsidR="00B1020F">
        <w:t xml:space="preserve"> </w:t>
      </w:r>
      <w:r w:rsidRPr="005B2023">
        <w:t xml:space="preserve">treated subjects, and 2 cases (&lt;0.1%) of neuroleptic malignant syndrome (one related to </w:t>
      </w:r>
      <w:proofErr w:type="spellStart"/>
      <w:r w:rsidRPr="005B2023">
        <w:t>risperidone</w:t>
      </w:r>
      <w:proofErr w:type="spellEnd"/>
      <w:r w:rsidRPr="005B2023">
        <w:t xml:space="preserve"> </w:t>
      </w:r>
      <w:r w:rsidR="0079531B">
        <w:t xml:space="preserve">and one related to </w:t>
      </w:r>
      <w:proofErr w:type="spellStart"/>
      <w:r w:rsidR="0079531B">
        <w:t>lurasidone</w:t>
      </w:r>
      <w:proofErr w:type="spellEnd"/>
      <w:r w:rsidR="0079531B">
        <w:t>).</w:t>
      </w:r>
    </w:p>
    <w:p w:rsidR="005B2023" w:rsidRPr="005B2023" w:rsidRDefault="005B2023" w:rsidP="0079531B">
      <w:r w:rsidRPr="005B2023">
        <w:t>Effects on hepatic and renal function were generally similar to those of comparators.</w:t>
      </w:r>
      <w:r w:rsidR="00431E88">
        <w:t xml:space="preserve"> </w:t>
      </w:r>
      <w:r w:rsidRPr="005B2023">
        <w:t>Dose related increases in prolactin were seen with lurasidone.</w:t>
      </w:r>
      <w:r w:rsidR="00431E88">
        <w:t xml:space="preserve"> </w:t>
      </w:r>
      <w:r w:rsidRPr="005B2023">
        <w:t xml:space="preserve">These increases were generally less than was seen with haloperidol and </w:t>
      </w:r>
      <w:proofErr w:type="spellStart"/>
      <w:r w:rsidRPr="005B2023">
        <w:t>risperidone</w:t>
      </w:r>
      <w:proofErr w:type="spellEnd"/>
      <w:r w:rsidRPr="005B2023">
        <w:t xml:space="preserve"> and more than was seen with olanzapine and </w:t>
      </w:r>
      <w:proofErr w:type="spellStart"/>
      <w:r w:rsidRPr="005B2023">
        <w:t>quetiapine</w:t>
      </w:r>
      <w:proofErr w:type="spellEnd"/>
      <w:r w:rsidRPr="005B2023">
        <w:t>.</w:t>
      </w:r>
      <w:r w:rsidR="00431E88">
        <w:t xml:space="preserve"> </w:t>
      </w:r>
      <w:r w:rsidRPr="005B2023">
        <w:t xml:space="preserve">In the short term studies the proportion of subjects with markedly low (≥7% decrease) weight change was similar to placebo (3.1% </w:t>
      </w:r>
      <w:r w:rsidR="00696A56">
        <w:t>versus</w:t>
      </w:r>
      <w:r w:rsidRPr="005B2023">
        <w:t xml:space="preserve"> 3.9%) and the proportion with markedly high (≥7% increase) weight change was slightly higher with lurasidone than placebo (5.4% </w:t>
      </w:r>
      <w:r w:rsidR="00696A56">
        <w:t>versus</w:t>
      </w:r>
      <w:r w:rsidRPr="005B2023">
        <w:t xml:space="preserve"> 4.3%). In the Phase </w:t>
      </w:r>
      <w:r w:rsidR="00555348">
        <w:t>II</w:t>
      </w:r>
      <w:r w:rsidRPr="005B2023">
        <w:t xml:space="preserve"> long</w:t>
      </w:r>
      <w:r w:rsidR="00555348">
        <w:t xml:space="preserve"> </w:t>
      </w:r>
      <w:r w:rsidRPr="005B2023">
        <w:t xml:space="preserve">term controlled studies, for subjects who had normal BMI status at baseline (18.5-&lt;25.0), the rate of ≥7% increase at month 12 was 12.4%, 34.5% and 5.6% and to study endpoint (LOCF) was 9.6%, 17.7% and 8.3% of the lurasidone, </w:t>
      </w:r>
      <w:proofErr w:type="spellStart"/>
      <w:r w:rsidRPr="005B2023">
        <w:t>risperidone</w:t>
      </w:r>
      <w:proofErr w:type="spellEnd"/>
      <w:r w:rsidRPr="005B2023">
        <w:t xml:space="preserve"> and </w:t>
      </w:r>
      <w:proofErr w:type="spellStart"/>
      <w:r w:rsidRPr="005B2023">
        <w:t>quetiapine</w:t>
      </w:r>
      <w:proofErr w:type="spellEnd"/>
      <w:r w:rsidRPr="005B2023">
        <w:t xml:space="preserve"> XR groups, respectively. For those who were ov</w:t>
      </w:r>
      <w:r w:rsidR="00415F2E">
        <w:t>erweight at baseline (BMI 25.0 to &lt;</w:t>
      </w:r>
      <w:r w:rsidRPr="005B2023">
        <w:t xml:space="preserve">30.0), the rate of ≥7% increase in BMI at study endpoint was 6.3%, 14.1% and 9.5%, in the three respective groups. The data demonstrate a lower rate of weight gain with lurasidone compared to </w:t>
      </w:r>
      <w:proofErr w:type="spellStart"/>
      <w:r w:rsidRPr="005B2023">
        <w:t>risperidone</w:t>
      </w:r>
      <w:proofErr w:type="spellEnd"/>
      <w:r w:rsidRPr="005B2023">
        <w:t xml:space="preserve"> and similar rates to </w:t>
      </w:r>
      <w:proofErr w:type="spellStart"/>
      <w:r w:rsidRPr="005B2023">
        <w:t>quetiapine</w:t>
      </w:r>
      <w:proofErr w:type="spellEnd"/>
      <w:r w:rsidRPr="005B2023">
        <w:t>.</w:t>
      </w:r>
    </w:p>
    <w:p w:rsidR="005B2023" w:rsidRPr="005B2023" w:rsidRDefault="005B2023" w:rsidP="0079531B">
      <w:r w:rsidRPr="005B2023">
        <w:t>Five convulsions (0.2%) and one case of hypersensitivity (&lt;0.1%) were reported in the total treatment population.</w:t>
      </w:r>
    </w:p>
    <w:p w:rsidR="008E7846" w:rsidRDefault="000E55BF" w:rsidP="0079531B">
      <w:pPr>
        <w:pStyle w:val="Heading3"/>
        <w:rPr>
          <w:lang w:eastAsia="en-AU"/>
        </w:rPr>
      </w:pPr>
      <w:bookmarkStart w:id="166" w:name="_Toc392682467"/>
      <w:r>
        <w:rPr>
          <w:lang w:eastAsia="en-AU"/>
        </w:rPr>
        <w:lastRenderedPageBreak/>
        <w:t xml:space="preserve">Risk </w:t>
      </w:r>
      <w:r w:rsidR="0079531B">
        <w:rPr>
          <w:lang w:eastAsia="en-AU"/>
        </w:rPr>
        <w:t>m</w:t>
      </w:r>
      <w:r w:rsidR="008E7846">
        <w:rPr>
          <w:lang w:eastAsia="en-AU"/>
        </w:rPr>
        <w:t xml:space="preserve">anagement </w:t>
      </w:r>
      <w:r w:rsidR="0079531B" w:rsidRPr="0079531B">
        <w:t>p</w:t>
      </w:r>
      <w:r w:rsidR="008E7846" w:rsidRPr="0079531B">
        <w:t>lan</w:t>
      </w:r>
      <w:bookmarkEnd w:id="165"/>
      <w:bookmarkEnd w:id="166"/>
    </w:p>
    <w:p w:rsidR="00875B74" w:rsidRPr="00875B74" w:rsidRDefault="00875B74" w:rsidP="0079531B">
      <w:r w:rsidRPr="00875B74">
        <w:t>The European RMP was being updated as part of the evaluation process for marketing authorisation in the EU.</w:t>
      </w:r>
      <w:r w:rsidR="00431E88">
        <w:t xml:space="preserve"> </w:t>
      </w:r>
      <w:r w:rsidRPr="00875B74">
        <w:t>The sponsor has been requested to also submit the updated EU-RMP when it is available.</w:t>
      </w:r>
      <w:r w:rsidR="00431E88">
        <w:t xml:space="preserve"> </w:t>
      </w:r>
      <w:r w:rsidRPr="00875B74">
        <w:t>Negotiations for the Australian RMP are ongoing.</w:t>
      </w:r>
    </w:p>
    <w:p w:rsidR="00875B74" w:rsidRPr="00875B74" w:rsidRDefault="00875B74" w:rsidP="0079531B">
      <w:r w:rsidRPr="00875B74">
        <w:t>This submis</w:t>
      </w:r>
      <w:r w:rsidR="00DD53C2">
        <w:t>sion was discussed by the ACSOM who</w:t>
      </w:r>
      <w:r w:rsidR="00431E88">
        <w:t xml:space="preserve"> </w:t>
      </w:r>
      <w:r w:rsidRPr="00875B74">
        <w:t>advised that the kinetics of lurasidone resulted in a low and variable bioavailability and that this was unfavourable. In particular, the effect of drug interactions was wide ranging, for example, ketoconazole, a strong inhibitor of CYP3A4, increased exposure 9</w:t>
      </w:r>
      <w:r w:rsidR="00D7414E">
        <w:t xml:space="preserve"> </w:t>
      </w:r>
      <w:r w:rsidRPr="00875B74">
        <w:t>fold. ACSOM advised that overall, there were concerns about the safety margin and that additional data on the safety of lurasidone in overdose was needed, in particular, information on the effects on QT prolongation. However, as</w:t>
      </w:r>
      <w:r w:rsidR="00431E88">
        <w:t xml:space="preserve"> </w:t>
      </w:r>
      <w:r w:rsidR="00DD53C2">
        <w:t>noted in the clinical evaluation report,</w:t>
      </w:r>
      <w:r w:rsidRPr="00875B74">
        <w:t xml:space="preserve"> QT prolongation associated with lurasidone was relatively modest compared with other atypical antipsychotic medications and did not increase with increasing dose.</w:t>
      </w:r>
    </w:p>
    <w:p w:rsidR="00875B74" w:rsidRPr="00875B74" w:rsidRDefault="00875B74" w:rsidP="0079531B">
      <w:r w:rsidRPr="00875B74">
        <w:t>The RMP evaluator noted that the sponsor amended the list of ongoing safety concerns to include all requested additional risks except for QT prolongation and risk of malignancy.</w:t>
      </w:r>
    </w:p>
    <w:p w:rsidR="00875B74" w:rsidRPr="00875B74" w:rsidRDefault="00875B74" w:rsidP="0079531B">
      <w:r w:rsidRPr="00875B74">
        <w:t>These issues have not been resolved.</w:t>
      </w:r>
      <w:r w:rsidR="00431E88">
        <w:t xml:space="preserve"> </w:t>
      </w:r>
      <w:r w:rsidRPr="00875B74">
        <w:t xml:space="preserve">The sponsor responded to the concerns regarding QT prolongation with their position summarised </w:t>
      </w:r>
      <w:r w:rsidR="009359BF">
        <w:t xml:space="preserve">in </w:t>
      </w:r>
      <w:r w:rsidRPr="00875B74">
        <w:t>the RMP evaluation.</w:t>
      </w:r>
      <w:r w:rsidR="00431E88">
        <w:t xml:space="preserve"> </w:t>
      </w:r>
      <w:r w:rsidRPr="00875B74">
        <w:t>In relation to the risk of malignancy</w:t>
      </w:r>
      <w:r w:rsidR="009359BF">
        <w:t>,</w:t>
      </w:r>
      <w:r w:rsidRPr="00875B74">
        <w:t xml:space="preserve"> the sponsor has responded to the RMP evaluator’s concerns stating</w:t>
      </w:r>
      <w:r w:rsidR="00431E88">
        <w:t xml:space="preserve"> </w:t>
      </w:r>
      <w:r w:rsidRPr="00875B74">
        <w:t>that although a signal was observ</w:t>
      </w:r>
      <w:r w:rsidR="009359BF">
        <w:t xml:space="preserve">ed for lurasidone and prolactin </w:t>
      </w:r>
      <w:r w:rsidRPr="00875B74">
        <w:t>dependent tumours in no</w:t>
      </w:r>
      <w:r w:rsidR="009359BF">
        <w:t>nclinical studies</w:t>
      </w:r>
      <w:r w:rsidRPr="00875B74">
        <w:t>, the increase in mammary and pituitary gland tumours due to increased secretion of prolact</w:t>
      </w:r>
      <w:r w:rsidR="009359BF">
        <w:t xml:space="preserve">in is considered to be a rodent </w:t>
      </w:r>
      <w:r w:rsidRPr="00875B74">
        <w:t>specific finding for the broad class of antipsychotics that antagoni</w:t>
      </w:r>
      <w:r w:rsidR="000E406E">
        <w:t>s</w:t>
      </w:r>
      <w:r w:rsidR="0079531B">
        <w:t>e D2.</w:t>
      </w:r>
    </w:p>
    <w:p w:rsidR="00875B74" w:rsidRPr="00875B74" w:rsidRDefault="00875B74" w:rsidP="0079531B">
      <w:r w:rsidRPr="00875B74">
        <w:t>The sponsor als</w:t>
      </w:r>
      <w:r w:rsidR="009359BF">
        <w:t xml:space="preserve">o pointed out that no prolactin </w:t>
      </w:r>
      <w:r w:rsidRPr="00875B74">
        <w:t>dependent tumours were observed in clinical studies of up to 22 months duration. Prolactin levels were generally lower with lurasidone than with other antipsychotics. Furthermore</w:t>
      </w:r>
      <w:r w:rsidR="009359BF">
        <w:t>,</w:t>
      </w:r>
      <w:r w:rsidRPr="00875B74">
        <w:t xml:space="preserve"> the </w:t>
      </w:r>
      <w:proofErr w:type="spellStart"/>
      <w:r w:rsidRPr="00875B74">
        <w:t>SmPCs</w:t>
      </w:r>
      <w:proofErr w:type="spellEnd"/>
      <w:r w:rsidRPr="00875B74">
        <w:t xml:space="preserve"> in EU and the PIs in Australia for all other second generation antipsychotics mention </w:t>
      </w:r>
      <w:proofErr w:type="spellStart"/>
      <w:r w:rsidRPr="00875B74">
        <w:t>hyperprolactinaemia</w:t>
      </w:r>
      <w:proofErr w:type="spellEnd"/>
      <w:r w:rsidRPr="00875B74">
        <w:t>; however</w:t>
      </w:r>
      <w:r w:rsidR="009359BF">
        <w:t xml:space="preserve">, none include prolactin </w:t>
      </w:r>
      <w:r w:rsidR="0079531B">
        <w:t>dependent tumours as a risk.</w:t>
      </w:r>
    </w:p>
    <w:p w:rsidR="008E7846" w:rsidRPr="0079531B" w:rsidRDefault="00AA0ED0" w:rsidP="0079531B">
      <w:pPr>
        <w:pStyle w:val="Heading3"/>
      </w:pPr>
      <w:bookmarkStart w:id="167" w:name="_Toc196046505"/>
      <w:bookmarkStart w:id="168" w:name="_Toc196046949"/>
      <w:bookmarkStart w:id="169" w:name="_Toc247691531"/>
      <w:bookmarkStart w:id="170" w:name="_Toc314842515"/>
      <w:bookmarkStart w:id="171" w:name="_Toc392682468"/>
      <w:r>
        <w:t>Risk-</w:t>
      </w:r>
      <w:r w:rsidR="0079531B">
        <w:t>b</w:t>
      </w:r>
      <w:r>
        <w:t xml:space="preserve">enefit </w:t>
      </w:r>
      <w:r w:rsidR="0079531B">
        <w:t>a</w:t>
      </w:r>
      <w:r w:rsidR="008E7846">
        <w:t>nalysis</w:t>
      </w:r>
      <w:bookmarkEnd w:id="169"/>
      <w:bookmarkEnd w:id="170"/>
      <w:bookmarkEnd w:id="171"/>
    </w:p>
    <w:p w:rsidR="00D23139" w:rsidRDefault="00D23139" w:rsidP="0079531B">
      <w:pPr>
        <w:pStyle w:val="Heading4"/>
      </w:pPr>
      <w:r w:rsidRPr="00D23139">
        <w:t xml:space="preserve">Delegate’s </w:t>
      </w:r>
      <w:r w:rsidRPr="0079531B">
        <w:t>considerations</w:t>
      </w:r>
    </w:p>
    <w:p w:rsidR="00DB7EF9" w:rsidRPr="00DB7EF9" w:rsidRDefault="00DB7EF9" w:rsidP="0079531B">
      <w:r w:rsidRPr="00DB7EF9">
        <w:t>The pharmacology of lurasidone has been well explored. A major concern with</w:t>
      </w:r>
      <w:r w:rsidR="00431E88">
        <w:t xml:space="preserve"> </w:t>
      </w:r>
      <w:r w:rsidRPr="00DB7EF9">
        <w:t>lurasidone is the wide variation in</w:t>
      </w:r>
      <w:r w:rsidR="00431E88">
        <w:t xml:space="preserve"> </w:t>
      </w:r>
      <w:r w:rsidRPr="00DB7EF9">
        <w:t>exposure for a given dose.</w:t>
      </w:r>
      <w:r w:rsidR="00431E88">
        <w:t xml:space="preserve"> </w:t>
      </w:r>
      <w:r w:rsidRPr="00DB7EF9">
        <w:t>This is</w:t>
      </w:r>
      <w:r w:rsidR="00431E88">
        <w:t xml:space="preserve"> </w:t>
      </w:r>
      <w:r w:rsidRPr="00DB7EF9">
        <w:t>due to its low bioavailability and predominant CYP3A4 metabolism.</w:t>
      </w:r>
      <w:r w:rsidR="00431E88">
        <w:t xml:space="preserve"> </w:t>
      </w:r>
      <w:r w:rsidRPr="00DB7EF9">
        <w:t>The sponsor has proposed fairly extensive dose amendments for patients with impaired renal or hepatic function and for concomitant use with CYP3A4 inducers and inhibitors to minimise variations in exposure.</w:t>
      </w:r>
      <w:r w:rsidR="00431E88">
        <w:t xml:space="preserve"> </w:t>
      </w:r>
      <w:r w:rsidRPr="00DB7EF9">
        <w:t xml:space="preserve">Dose is also proposed to be adjusted according to response within quite a wide range however there may be more difficulty titrating to an effective dose with lurasidone than with alternative antipsychotic agents with less variable </w:t>
      </w:r>
      <w:r w:rsidR="0064096A">
        <w:t>PK</w:t>
      </w:r>
      <w:r w:rsidRPr="00DB7EF9">
        <w:t>.</w:t>
      </w:r>
    </w:p>
    <w:p w:rsidR="00DB7EF9" w:rsidRPr="00DB7EF9" w:rsidRDefault="00DB7EF9" w:rsidP="0079531B">
      <w:r w:rsidRPr="00DB7EF9">
        <w:t>Lurasidone should be taken once daily, ideally with food because this markedly increases bioavailability.</w:t>
      </w:r>
      <w:r w:rsidR="00431E88">
        <w:t xml:space="preserve"> </w:t>
      </w:r>
      <w:r w:rsidRPr="00DB7EF9">
        <w:t>A withdrawal syndrome does not appear to be clinically significant.</w:t>
      </w:r>
      <w:r w:rsidR="00431E88">
        <w:t xml:space="preserve"> </w:t>
      </w:r>
      <w:r w:rsidRPr="00DB7EF9">
        <w:t>Dosage adjustment has been proposed by the sponsor for patients with moderate or severe renal or hepatic impairment.</w:t>
      </w:r>
      <w:r w:rsidR="00431E88">
        <w:t xml:space="preserve"> </w:t>
      </w:r>
      <w:r w:rsidRPr="00DB7EF9">
        <w:t xml:space="preserve">These adjustments appear reasonable based on the wide dose range proposed and extent of change in </w:t>
      </w:r>
      <w:proofErr w:type="spellStart"/>
      <w:r w:rsidRPr="00DB7EF9">
        <w:t>Cmax</w:t>
      </w:r>
      <w:proofErr w:type="spellEnd"/>
      <w:r w:rsidRPr="00DB7EF9">
        <w:t xml:space="preserve"> and AUC expected in individuals with moderate or severe renal or hepatic impairment. The ACPM’s advice is requested on the use of lurasidone in patients with severe hepatic or renal impairment, particularly given the variable </w:t>
      </w:r>
      <w:r w:rsidR="0064096A">
        <w:t>PK</w:t>
      </w:r>
      <w:r w:rsidRPr="00DB7EF9">
        <w:t xml:space="preserve"> and possible concomitant use of medications that inhibit the metabolism of </w:t>
      </w:r>
      <w:proofErr w:type="spellStart"/>
      <w:r w:rsidRPr="00DB7EF9">
        <w:t>lurasidone</w:t>
      </w:r>
      <w:proofErr w:type="spellEnd"/>
      <w:r w:rsidRPr="00DB7EF9">
        <w:t xml:space="preserve"> by these patients.</w:t>
      </w:r>
    </w:p>
    <w:p w:rsidR="00DB7EF9" w:rsidRPr="00DB7EF9" w:rsidRDefault="00DB7EF9" w:rsidP="0079531B">
      <w:r w:rsidRPr="00DB7EF9">
        <w:lastRenderedPageBreak/>
        <w:t>Lurasidone may be given with other medicines affecting the CYP450 system other than strong inhibitors or inducers of CYP 3A4 and it does not alter the QT interval to a clinically significant extent.</w:t>
      </w:r>
      <w:r w:rsidR="00431E88">
        <w:t xml:space="preserve"> </w:t>
      </w:r>
      <w:r w:rsidRPr="00DB7EF9">
        <w:t>Reassuringly</w:t>
      </w:r>
      <w:r w:rsidR="005A6DA7">
        <w:t>,</w:t>
      </w:r>
      <w:r w:rsidRPr="00DB7EF9">
        <w:t xml:space="preserve"> the QT interval did not increase with increasing doses (up to 600 mg) of lurasidone.</w:t>
      </w:r>
      <w:r w:rsidR="00431E88">
        <w:t xml:space="preserve"> </w:t>
      </w:r>
      <w:r w:rsidR="005A6DA7">
        <w:t>The Delegate</w:t>
      </w:r>
      <w:r w:rsidRPr="00DB7EF9">
        <w:t xml:space="preserve"> do</w:t>
      </w:r>
      <w:r w:rsidR="005A6DA7">
        <w:t>es</w:t>
      </w:r>
      <w:r w:rsidRPr="00DB7EF9">
        <w:t xml:space="preserve"> not consider QT prolongation is a significant safety issue with </w:t>
      </w:r>
      <w:proofErr w:type="spellStart"/>
      <w:r w:rsidRPr="00DB7EF9">
        <w:t>lurasidone</w:t>
      </w:r>
      <w:proofErr w:type="spellEnd"/>
      <w:r w:rsidRPr="00DB7EF9">
        <w:t>.</w:t>
      </w:r>
    </w:p>
    <w:p w:rsidR="00DB7EF9" w:rsidRPr="00DB7EF9" w:rsidRDefault="00DB7EF9" w:rsidP="00DB7EF9">
      <w:r w:rsidRPr="00DB7EF9">
        <w:t>Efficacy of lurasidone in the treatment of acute schizophrenia has been demonstrated for the dose range proposed.</w:t>
      </w:r>
      <w:r w:rsidR="00431E88">
        <w:t xml:space="preserve"> </w:t>
      </w:r>
      <w:r w:rsidRPr="00DB7EF9">
        <w:t>However</w:t>
      </w:r>
      <w:r w:rsidR="005A6DA7">
        <w:t>,</w:t>
      </w:r>
      <w:r w:rsidRPr="00DB7EF9">
        <w:t xml:space="preserve"> no clear dose response was demonstrated within the dose range 40 mg to 120 mg daily.</w:t>
      </w:r>
      <w:r w:rsidR="00431E88">
        <w:t xml:space="preserve"> </w:t>
      </w:r>
      <w:r w:rsidRPr="00DB7EF9">
        <w:t>There was an increase in response for the 160 mg daily dose compared with the lower doses however that dose was given in only one of the pivotal studies and only to 120 subjects.</w:t>
      </w:r>
      <w:r w:rsidR="00431E88">
        <w:t xml:space="preserve"> </w:t>
      </w:r>
      <w:r w:rsidR="000114DE">
        <w:t xml:space="preserve">However, </w:t>
      </w:r>
      <w:r w:rsidRPr="00DB7EF9">
        <w:t xml:space="preserve">the mean dose in the long term study was 125.5 mg suggesting that some patients considered to require higher doses and given the variable </w:t>
      </w:r>
      <w:r w:rsidR="000114DE">
        <w:t>PK, the Delegate</w:t>
      </w:r>
      <w:r w:rsidRPr="00DB7EF9">
        <w:t xml:space="preserve"> consider</w:t>
      </w:r>
      <w:r w:rsidR="000114DE">
        <w:t>s</w:t>
      </w:r>
      <w:r w:rsidRPr="00DB7EF9">
        <w:t xml:space="preserve"> it acceptable to allow lurasidone doses of up to 160 mg daily.</w:t>
      </w:r>
    </w:p>
    <w:p w:rsidR="00DB7EF9" w:rsidRPr="00DB7EF9" w:rsidRDefault="00DB7EF9" w:rsidP="0079531B">
      <w:r w:rsidRPr="00DB7EF9">
        <w:t>Long term efficacy has been assessed, though not against placebo.</w:t>
      </w:r>
      <w:r w:rsidR="00431E88">
        <w:t xml:space="preserve"> </w:t>
      </w:r>
      <w:r w:rsidRPr="00DB7EF9">
        <w:t>One double</w:t>
      </w:r>
      <w:r w:rsidR="000114DE">
        <w:t xml:space="preserve"> </w:t>
      </w:r>
      <w:r w:rsidRPr="00DB7EF9">
        <w:t xml:space="preserve">blind study compared efficacy of lurasidone using the proposed dose regimen with flexibly dosed </w:t>
      </w:r>
      <w:proofErr w:type="spellStart"/>
      <w:r w:rsidRPr="00DB7EF9">
        <w:t>quetiapine</w:t>
      </w:r>
      <w:proofErr w:type="spellEnd"/>
      <w:r w:rsidRPr="00DB7EF9">
        <w:t xml:space="preserve"> XR over 12 months.</w:t>
      </w:r>
      <w:r w:rsidR="00431E88">
        <w:t xml:space="preserve"> </w:t>
      </w:r>
      <w:r w:rsidRPr="00DB7EF9">
        <w:t xml:space="preserve">The results suggest lurasidone is at least as effective as </w:t>
      </w:r>
      <w:proofErr w:type="spellStart"/>
      <w:r w:rsidRPr="00DB7EF9">
        <w:t>quetiapine</w:t>
      </w:r>
      <w:proofErr w:type="spellEnd"/>
      <w:r w:rsidRPr="00DB7EF9">
        <w:t xml:space="preserve"> XR in subjects with an initial response to treatment when both are administered flexibly within their respective dose ranges.</w:t>
      </w:r>
      <w:r w:rsidR="00431E88">
        <w:t xml:space="preserve"> </w:t>
      </w:r>
      <w:r w:rsidRPr="00DB7EF9">
        <w:t>Of particular note</w:t>
      </w:r>
      <w:r w:rsidR="000114DE">
        <w:t>,</w:t>
      </w:r>
      <w:r w:rsidRPr="00DB7EF9">
        <w:t xml:space="preserve"> the mean </w:t>
      </w:r>
      <w:proofErr w:type="spellStart"/>
      <w:r w:rsidRPr="00DB7EF9">
        <w:t>quetiapine</w:t>
      </w:r>
      <w:proofErr w:type="spellEnd"/>
      <w:r w:rsidRPr="00DB7EF9">
        <w:t xml:space="preserve"> XR dose (629.6 mg) given in this study was higher than the maximum dose proposed in the protocol, though within the approved dose recommendations.</w:t>
      </w:r>
    </w:p>
    <w:p w:rsidR="00DB7EF9" w:rsidRPr="00DB7EF9" w:rsidRDefault="00DB7EF9" w:rsidP="0079531B">
      <w:r w:rsidRPr="00DB7EF9">
        <w:t>Lurasidone has a similar spectrum of adverse effects as other atypical anti</w:t>
      </w:r>
      <w:r w:rsidR="000114DE">
        <w:t xml:space="preserve"> </w:t>
      </w:r>
      <w:r w:rsidRPr="00DB7EF9">
        <w:t>psychotics.</w:t>
      </w:r>
      <w:r w:rsidR="00431E88">
        <w:t xml:space="preserve"> </w:t>
      </w:r>
      <w:r w:rsidRPr="00DB7EF9">
        <w:t>It was associated with relatively less weight gain, and more nausea, dyspepsia than the</w:t>
      </w:r>
      <w:r w:rsidR="00431E88">
        <w:t xml:space="preserve"> </w:t>
      </w:r>
      <w:r w:rsidRPr="00DB7EF9">
        <w:t>atypical antipsychotic medications with which it was compared.</w:t>
      </w:r>
      <w:r w:rsidR="00431E88">
        <w:t xml:space="preserve"> </w:t>
      </w:r>
      <w:r w:rsidRPr="00DB7EF9">
        <w:t xml:space="preserve">Less effect on QT interval is a significant benefit over most other atypical antipsychotic medications. The rate of extrapyramidal symptoms was higher than with </w:t>
      </w:r>
      <w:proofErr w:type="spellStart"/>
      <w:r w:rsidRPr="00DB7EF9">
        <w:t>quetiapine</w:t>
      </w:r>
      <w:proofErr w:type="spellEnd"/>
      <w:r w:rsidRPr="00DB7EF9">
        <w:t xml:space="preserve">, similar to olanzapine and </w:t>
      </w:r>
      <w:proofErr w:type="spellStart"/>
      <w:r w:rsidRPr="00DB7EF9">
        <w:t>risperidone</w:t>
      </w:r>
      <w:proofErr w:type="spellEnd"/>
      <w:r w:rsidRPr="00DB7EF9">
        <w:t xml:space="preserve"> and lower than with haloperidol.</w:t>
      </w:r>
      <w:r w:rsidR="00431E88">
        <w:t xml:space="preserve"> </w:t>
      </w:r>
      <w:r w:rsidRPr="00DB7EF9">
        <w:t>A comprehensive assessment of the effect of lurasidone on metabolic syndrome and bone density on long term exposure has not been performed.</w:t>
      </w:r>
      <w:r w:rsidR="00431E88">
        <w:t xml:space="preserve"> </w:t>
      </w:r>
      <w:r w:rsidRPr="00DB7EF9">
        <w:t>Lurasidone is associated with a dose related increase in prolactin, suggesting it may also have a long term dose</w:t>
      </w:r>
      <w:r w:rsidR="000114DE">
        <w:t xml:space="preserve"> </w:t>
      </w:r>
      <w:r w:rsidRPr="00DB7EF9">
        <w:t>related effect on bone density.</w:t>
      </w:r>
      <w:r w:rsidR="00431E88">
        <w:t xml:space="preserve"> </w:t>
      </w:r>
      <w:r w:rsidRPr="00DB7EF9">
        <w:t>The lowest dose possible should be used, particularly given the lack of demonstrated dose response for all but the highest dose studied in the proposed dose range.</w:t>
      </w:r>
    </w:p>
    <w:p w:rsidR="00253D80" w:rsidRPr="0079531B" w:rsidRDefault="00253D80" w:rsidP="0079531B">
      <w:pPr>
        <w:pStyle w:val="Heading4"/>
      </w:pPr>
      <w:r>
        <w:t>Summary of issues</w:t>
      </w:r>
    </w:p>
    <w:p w:rsidR="008B4247" w:rsidRPr="008B4247" w:rsidRDefault="008B4247" w:rsidP="0079531B">
      <w:r w:rsidRPr="008B4247">
        <w:t>A major</w:t>
      </w:r>
      <w:r>
        <w:t xml:space="preserve"> concern with </w:t>
      </w:r>
      <w:r w:rsidRPr="008B4247">
        <w:t>lurasidone is the wide variation in exposure for a given dose.</w:t>
      </w:r>
      <w:r w:rsidR="00431E88">
        <w:t xml:space="preserve"> </w:t>
      </w:r>
      <w:r w:rsidRPr="008B4247">
        <w:t>This is due to its low bioavailability and predominant CYP3A4 metabolism.</w:t>
      </w:r>
      <w:r w:rsidR="00431E88">
        <w:t xml:space="preserve"> </w:t>
      </w:r>
      <w:r w:rsidRPr="008B4247">
        <w:t>The sponsor has proposed fairly extensive dose amendments for patients with impaired renal or hepatic function and for concomitant use with CYP3A4 inducers and inhibitors to minimise variations in exposure.</w:t>
      </w:r>
    </w:p>
    <w:p w:rsidR="008B4247" w:rsidRPr="008B4247" w:rsidRDefault="008B4247" w:rsidP="0079531B">
      <w:r w:rsidRPr="008B4247">
        <w:t>In addition</w:t>
      </w:r>
      <w:r w:rsidR="000114DE">
        <w:t>,</w:t>
      </w:r>
      <w:r w:rsidRPr="008B4247">
        <w:t xml:space="preserve"> dose will be adjusted according to response within quite a wide range.</w:t>
      </w:r>
    </w:p>
    <w:p w:rsidR="00253D80" w:rsidRPr="008B4247" w:rsidRDefault="008B4247" w:rsidP="008B4247">
      <w:r w:rsidRPr="008B4247">
        <w:t>A broad and succin</w:t>
      </w:r>
      <w:r>
        <w:t xml:space="preserve">ct indication is being sought. </w:t>
      </w:r>
      <w:r w:rsidRPr="008B4247">
        <w:t>This departs from the previous practice of specifying acute and chronic use within the indication. Additionally</w:t>
      </w:r>
      <w:r w:rsidR="000114DE">
        <w:t>,</w:t>
      </w:r>
      <w:r w:rsidRPr="008B4247">
        <w:t xml:space="preserve"> it is not proposed to restrict</w:t>
      </w:r>
      <w:r w:rsidR="000114DE">
        <w:t xml:space="preserve"> the indication to adults only,</w:t>
      </w:r>
      <w:r w:rsidRPr="008B4247">
        <w:t xml:space="preserve"> though only adults were enrolled in the clinical trials.</w:t>
      </w:r>
    </w:p>
    <w:p w:rsidR="00D23139" w:rsidRPr="0079531B" w:rsidRDefault="00D23139" w:rsidP="0079531B">
      <w:pPr>
        <w:pStyle w:val="Heading4"/>
      </w:pPr>
      <w:r w:rsidRPr="00D23139">
        <w:t>Proposed action</w:t>
      </w:r>
    </w:p>
    <w:p w:rsidR="006D6A1E" w:rsidRPr="002D2928" w:rsidRDefault="007F30AE" w:rsidP="0079531B">
      <w:r>
        <w:t>The Delegate</w:t>
      </w:r>
      <w:r w:rsidR="002D2928" w:rsidRPr="002D2928">
        <w:t xml:space="preserve"> ha</w:t>
      </w:r>
      <w:r>
        <w:t>s</w:t>
      </w:r>
      <w:r w:rsidR="002D2928" w:rsidRPr="002D2928">
        <w:t xml:space="preserve"> no reason to say, at this time, that the application for </w:t>
      </w:r>
      <w:r w:rsidR="008B4247">
        <w:t xml:space="preserve">Latuda </w:t>
      </w:r>
      <w:r w:rsidR="002D2928" w:rsidRPr="002D2928">
        <w:t>should not be approved for registration</w:t>
      </w:r>
      <w:r w:rsidR="002D2928">
        <w:t>.</w:t>
      </w:r>
    </w:p>
    <w:p w:rsidR="00D23139" w:rsidRPr="0079531B" w:rsidRDefault="00D23139" w:rsidP="0079531B">
      <w:pPr>
        <w:pStyle w:val="Heading4"/>
      </w:pPr>
      <w:r w:rsidRPr="00D23139">
        <w:t>Request for ACPM advice</w:t>
      </w:r>
    </w:p>
    <w:p w:rsidR="002D2928" w:rsidRPr="002D2928" w:rsidRDefault="002D2928" w:rsidP="0079531B">
      <w:r w:rsidRPr="002D2928">
        <w:t>The committee is requested to provide advice on the following specific issues:</w:t>
      </w:r>
    </w:p>
    <w:p w:rsidR="002D2928" w:rsidRPr="002D2928" w:rsidRDefault="002D2928" w:rsidP="0079531B">
      <w:r w:rsidRPr="002D2928">
        <w:lastRenderedPageBreak/>
        <w:t>1. Lurasidone has quite variable kinetics with potential for large changes in bioavailability when given with other medications and in relation to food.</w:t>
      </w:r>
      <w:r w:rsidR="00431E88">
        <w:t xml:space="preserve"> </w:t>
      </w:r>
      <w:r w:rsidRPr="002D2928">
        <w:t>The sponsor has proposed a 50% reduction in the maximum daily dose for: patients with moderate to severe renal impairment; patients with moderate hepatic impairment; and patients taking concomitant moderate CYP3A4 inhibitors.</w:t>
      </w:r>
      <w:r w:rsidR="00431E88">
        <w:t xml:space="preserve"> </w:t>
      </w:r>
      <w:r w:rsidRPr="002D2928">
        <w:t>A 75% dose reduction has been proposed for patients with severe hepatic impairment and use with strong CYP3A4 inhibitors is proposed to be contraindicated.</w:t>
      </w:r>
    </w:p>
    <w:p w:rsidR="002D2928" w:rsidRPr="002D2928" w:rsidRDefault="000114DE" w:rsidP="0079531B">
      <w:r>
        <w:t>The ACPM’s</w:t>
      </w:r>
      <w:r w:rsidR="002D2928" w:rsidRPr="002D2928">
        <w:t xml:space="preserve"> advice on whether these proposed dose reductions are desirable and/or appropriate is requested. Does the committee consider the PI should recommend an alternat</w:t>
      </w:r>
      <w:r w:rsidR="007F30AE">
        <w:t xml:space="preserve">ive treatment in patients with </w:t>
      </w:r>
      <w:r w:rsidR="002D2928" w:rsidRPr="002D2928">
        <w:t>severe renal or hepatic impairment?</w:t>
      </w:r>
    </w:p>
    <w:p w:rsidR="002D2928" w:rsidRPr="002D2928" w:rsidRDefault="002D2928" w:rsidP="0079531B">
      <w:r w:rsidRPr="002D2928">
        <w:t>2. The sponsor has not proposed to separately include acute treatment, prevention of relapse or maintenance treatment in the indication, but rather to indicate schizophrenia only.</w:t>
      </w:r>
      <w:r w:rsidR="00431E88">
        <w:t xml:space="preserve"> </w:t>
      </w:r>
      <w:r w:rsidRPr="002D2928">
        <w:t>The indications for other atypical antipsychotic medications generally s</w:t>
      </w:r>
      <w:r w:rsidR="00253D80">
        <w:t xml:space="preserve">pecify acute and/or maintenance treatment. </w:t>
      </w:r>
      <w:r w:rsidRPr="002D2928">
        <w:t>The committee’s advice on whether a general schizophrenia indication is appropriate is requested.</w:t>
      </w:r>
    </w:p>
    <w:p w:rsidR="002D2928" w:rsidRPr="002D2928" w:rsidRDefault="002D2928" w:rsidP="0079531B">
      <w:r w:rsidRPr="002D2928">
        <w:t>3. Does the committee consider the indication should specify adults?</w:t>
      </w:r>
    </w:p>
    <w:p w:rsidR="006D6A1E" w:rsidRPr="002D2928" w:rsidRDefault="002D2928" w:rsidP="002D2928">
      <w:r w:rsidRPr="002D2928">
        <w:t>The committee is (also) requested to provide advice on any other issues that it thinks may be relevant to a decision on whether or not to approve this application.</w:t>
      </w:r>
    </w:p>
    <w:p w:rsidR="00D23139" w:rsidRPr="0079531B" w:rsidRDefault="00D23139" w:rsidP="0079531B">
      <w:pPr>
        <w:pStyle w:val="Heading4"/>
      </w:pPr>
      <w:r w:rsidRPr="00D23139">
        <w:t xml:space="preserve">Response from </w:t>
      </w:r>
      <w:r w:rsidR="000E55BF">
        <w:t>s</w:t>
      </w:r>
      <w:r w:rsidR="0079531B">
        <w:t>ponsor</w:t>
      </w:r>
    </w:p>
    <w:p w:rsidR="00346A31" w:rsidRPr="0038382B" w:rsidRDefault="00346A31" w:rsidP="0079531B">
      <w:r w:rsidRPr="0038382B">
        <w:t xml:space="preserve">On 23 December 2013, </w:t>
      </w:r>
      <w:r w:rsidR="00BB7918">
        <w:t xml:space="preserve">the </w:t>
      </w:r>
      <w:r w:rsidRPr="0038382B">
        <w:t>TGA provided copies of the eval</w:t>
      </w:r>
      <w:r w:rsidR="00504C23">
        <w:t>uation reports and the Delegate’</w:t>
      </w:r>
      <w:r w:rsidRPr="0038382B">
        <w:t xml:space="preserve">s proposed action plan to </w:t>
      </w:r>
      <w:r w:rsidR="00BE43EE">
        <w:t>the sponsor</w:t>
      </w:r>
      <w:r w:rsidRPr="0038382B">
        <w:t xml:space="preserve"> regarding the lurasidone marketing authori</w:t>
      </w:r>
      <w:r w:rsidR="00BE43EE">
        <w:t>s</w:t>
      </w:r>
      <w:r w:rsidRPr="0038382B">
        <w:t>ation application</w:t>
      </w:r>
      <w:r w:rsidR="00BE43EE">
        <w:t xml:space="preserve">, submitted on </w:t>
      </w:r>
      <w:r w:rsidRPr="0038382B">
        <w:t xml:space="preserve">8 March 2013. The documents were provided to allow Dainippon Sumitomo </w:t>
      </w:r>
      <w:proofErr w:type="spellStart"/>
      <w:r w:rsidRPr="0038382B">
        <w:t>Pharma</w:t>
      </w:r>
      <w:proofErr w:type="spellEnd"/>
      <w:r w:rsidRPr="0038382B">
        <w:t xml:space="preserve"> Co., Ltd. (DSP) and </w:t>
      </w:r>
      <w:proofErr w:type="spellStart"/>
      <w:r w:rsidRPr="0038382B">
        <w:t>Sunovion</w:t>
      </w:r>
      <w:proofErr w:type="spellEnd"/>
      <w:r w:rsidRPr="0038382B">
        <w:t xml:space="preserve"> Pharmaceuticals Inc. (</w:t>
      </w:r>
      <w:proofErr w:type="spellStart"/>
      <w:r w:rsidRPr="0038382B">
        <w:t>Sunovion</w:t>
      </w:r>
      <w:proofErr w:type="spellEnd"/>
      <w:r w:rsidRPr="0038382B">
        <w:t>) to provide comments on the ev</w:t>
      </w:r>
      <w:r w:rsidR="0079531B">
        <w:t>aluations and proposed actions.</w:t>
      </w:r>
    </w:p>
    <w:p w:rsidR="00346A31" w:rsidRPr="0038382B" w:rsidRDefault="00346A31" w:rsidP="0079531B">
      <w:r w:rsidRPr="0038382B">
        <w:t xml:space="preserve">DSP and </w:t>
      </w:r>
      <w:proofErr w:type="spellStart"/>
      <w:r w:rsidRPr="0038382B">
        <w:t>Sunovion</w:t>
      </w:r>
      <w:proofErr w:type="spellEnd"/>
      <w:r w:rsidRPr="0038382B">
        <w:t xml:space="preserve"> have no further comment on the evaluations provided by the TGA regarding the marketing authori</w:t>
      </w:r>
      <w:r w:rsidR="00BE43EE">
        <w:t>s</w:t>
      </w:r>
      <w:r w:rsidRPr="0038382B">
        <w:t>ation for lurasidone.</w:t>
      </w:r>
    </w:p>
    <w:p w:rsidR="008E7846" w:rsidRPr="0079531B" w:rsidRDefault="008E7846" w:rsidP="0079531B">
      <w:pPr>
        <w:pStyle w:val="Heading4"/>
      </w:pPr>
      <w:r>
        <w:t xml:space="preserve">Advisory </w:t>
      </w:r>
      <w:r w:rsidR="0079531B">
        <w:t>c</w:t>
      </w:r>
      <w:r>
        <w:t xml:space="preserve">ommittee </w:t>
      </w:r>
      <w:r w:rsidR="0079531B">
        <w:t>c</w:t>
      </w:r>
      <w:r>
        <w:t>onsiderations</w:t>
      </w:r>
    </w:p>
    <w:p w:rsidR="00B10D3E" w:rsidRPr="00B10D3E" w:rsidRDefault="00B10D3E" w:rsidP="0079531B">
      <w:r w:rsidRPr="00B10D3E">
        <w:t xml:space="preserve">The ACPM, taking into account the submitted evidence of efficacy, safety and quality, agreed with the </w:t>
      </w:r>
      <w:r w:rsidR="00934B57">
        <w:t>D</w:t>
      </w:r>
      <w:r w:rsidRPr="00B10D3E">
        <w:t>elegate and considered L</w:t>
      </w:r>
      <w:r w:rsidR="00751418">
        <w:t>atuda</w:t>
      </w:r>
      <w:r w:rsidRPr="00B10D3E">
        <w:t xml:space="preserve"> film coated tablet containing 20 mg, 40 mg and 80 mg of lurasidone hydrochloride to h</w:t>
      </w:r>
      <w:r w:rsidR="008D20C2">
        <w:t>ave an overall positive benefit-</w:t>
      </w:r>
      <w:r w:rsidRPr="00B10D3E">
        <w:t>risk profile for the indication</w:t>
      </w:r>
      <w:r>
        <w:t>:</w:t>
      </w:r>
    </w:p>
    <w:p w:rsidR="00B10D3E" w:rsidRPr="0079531B" w:rsidRDefault="00CB6680" w:rsidP="0079531B">
      <w:pPr>
        <w:ind w:left="720"/>
        <w:rPr>
          <w:i/>
        </w:rPr>
      </w:pPr>
      <w:r w:rsidRPr="0079531B">
        <w:rPr>
          <w:i/>
        </w:rPr>
        <w:t>Latuda</w:t>
      </w:r>
      <w:r w:rsidR="00B10D3E" w:rsidRPr="0079531B">
        <w:rPr>
          <w:i/>
        </w:rPr>
        <w:t xml:space="preserve"> is indicated for the treatment in adults of acute schizophrenia</w:t>
      </w:r>
      <w:r w:rsidR="008C364B" w:rsidRPr="0079531B">
        <w:rPr>
          <w:i/>
        </w:rPr>
        <w:t>.</w:t>
      </w:r>
    </w:p>
    <w:p w:rsidR="00B10D3E" w:rsidRPr="00CB6680" w:rsidRDefault="00B10D3E" w:rsidP="0079531B">
      <w:r w:rsidRPr="00CB6680">
        <w:t>In maki</w:t>
      </w:r>
      <w:r w:rsidR="00CB6680" w:rsidRPr="00CB6680">
        <w:t>ng this recommendation, the ACPM:</w:t>
      </w:r>
    </w:p>
    <w:p w:rsidR="00B10D3E" w:rsidRPr="00CB6680" w:rsidRDefault="00B10D3E" w:rsidP="00CC6535">
      <w:pPr>
        <w:pStyle w:val="ListBullet"/>
      </w:pPr>
      <w:r w:rsidRPr="00CB6680">
        <w:t>advised the indication should be restricted to adults only since only adults were enrolled in the trials submitted studies had been undertaken only in adults</w:t>
      </w:r>
    </w:p>
    <w:p w:rsidR="00B10D3E" w:rsidRPr="00CB6680" w:rsidRDefault="00B10D3E" w:rsidP="00CC6535">
      <w:pPr>
        <w:pStyle w:val="ListBullet"/>
      </w:pPr>
      <w:r w:rsidRPr="00CB6680">
        <w:t>Dose range 40-80 mg/day on the basis of the PET study whic</w:t>
      </w:r>
      <w:r w:rsidR="007E36B8">
        <w:t xml:space="preserve">h showed that there was </w:t>
      </w:r>
      <w:r w:rsidR="008C364B">
        <w:t>80</w:t>
      </w:r>
      <w:r w:rsidR="005C277B">
        <w:t>-</w:t>
      </w:r>
      <w:r w:rsidRPr="00CB6680">
        <w:t>85% receptor occupancy at this dosage,</w:t>
      </w:r>
      <w:r w:rsidR="008C364B">
        <w:t xml:space="preserve"> with maximum of 120 mg.</w:t>
      </w:r>
    </w:p>
    <w:p w:rsidR="00B10D3E" w:rsidRPr="006351E7" w:rsidRDefault="00B10D3E" w:rsidP="006351E7">
      <w:pPr>
        <w:pStyle w:val="Heading5"/>
      </w:pPr>
      <w:r w:rsidRPr="004C12D4">
        <w:t>Prop</w:t>
      </w:r>
      <w:r w:rsidR="00CB6680">
        <w:t>osed conditions of registration</w:t>
      </w:r>
    </w:p>
    <w:p w:rsidR="00B10D3E" w:rsidRPr="00CB6680" w:rsidRDefault="00B10D3E" w:rsidP="006351E7">
      <w:r w:rsidRPr="00CB6680">
        <w:t xml:space="preserve">The ACPM agreed with the </w:t>
      </w:r>
      <w:r w:rsidR="00E43CF1">
        <w:t>D</w:t>
      </w:r>
      <w:r w:rsidRPr="00CB6680">
        <w:t>elegate on the propo</w:t>
      </w:r>
      <w:r w:rsidR="006351E7">
        <w:t>sed conditions of registration.</w:t>
      </w:r>
    </w:p>
    <w:p w:rsidR="00B10D3E" w:rsidRPr="004C12D4" w:rsidRDefault="00B10D3E" w:rsidP="006351E7">
      <w:pPr>
        <w:pStyle w:val="Heading5"/>
        <w:rPr>
          <w:u w:val="single"/>
        </w:rPr>
      </w:pPr>
      <w:r w:rsidRPr="004C12D4">
        <w:t>Proposed Product Information (PI)/Consumer Medici</w:t>
      </w:r>
      <w:r w:rsidR="00CB6680">
        <w:t>ne Information (CMI) amendments</w:t>
      </w:r>
    </w:p>
    <w:p w:rsidR="00B10D3E" w:rsidRPr="00CB6680" w:rsidRDefault="00B10D3E" w:rsidP="006351E7">
      <w:r w:rsidRPr="00CB6680">
        <w:t xml:space="preserve">The ACPM agreed with the delegate to the proposed amendments to the Product Information (PI) and Consumer Medicine Information (CMI) and specifically advised on </w:t>
      </w:r>
      <w:r w:rsidR="006351E7">
        <w:t>the inclusion of the following:</w:t>
      </w:r>
    </w:p>
    <w:p w:rsidR="00B10D3E" w:rsidRPr="00CB6680" w:rsidRDefault="00B10D3E" w:rsidP="006351E7">
      <w:pPr>
        <w:pStyle w:val="ListBullet"/>
      </w:pPr>
      <w:r w:rsidRPr="00CB6680">
        <w:lastRenderedPageBreak/>
        <w:t xml:space="preserve">A statement in the </w:t>
      </w:r>
      <w:r w:rsidRPr="00CB6680">
        <w:rPr>
          <w:i/>
        </w:rPr>
        <w:t>Dosage and Administration</w:t>
      </w:r>
      <w:r w:rsidRPr="00CB6680">
        <w:t xml:space="preserve"> and </w:t>
      </w:r>
      <w:r w:rsidRPr="00CB6680">
        <w:rPr>
          <w:i/>
        </w:rPr>
        <w:t xml:space="preserve">Contraindications </w:t>
      </w:r>
      <w:r w:rsidRPr="00CB6680">
        <w:t>sections of the PI and relevant sections of the CMI to ensure lurasidone is not used in patients with severe renal or hepatic impairment.</w:t>
      </w:r>
    </w:p>
    <w:p w:rsidR="00B10D3E" w:rsidRPr="00CB6680" w:rsidRDefault="00B10D3E" w:rsidP="006351E7">
      <w:pPr>
        <w:pStyle w:val="ListBullet"/>
      </w:pPr>
      <w:r w:rsidRPr="00CB6680">
        <w:t xml:space="preserve">A statement in the </w:t>
      </w:r>
      <w:r w:rsidR="00CB6680" w:rsidRPr="00CB6680">
        <w:rPr>
          <w:i/>
        </w:rPr>
        <w:t>Dosage and Administration</w:t>
      </w:r>
      <w:r w:rsidR="00CB6680" w:rsidRPr="00CB6680">
        <w:t xml:space="preserve"> </w:t>
      </w:r>
      <w:r w:rsidRPr="00CB6680">
        <w:t xml:space="preserve">section of the PI and relevant sections of the CMI to reference to the impact </w:t>
      </w:r>
      <w:r w:rsidRPr="006351E7">
        <w:t>of</w:t>
      </w:r>
      <w:r w:rsidR="006351E7">
        <w:t xml:space="preserve"> food on dosing.</w:t>
      </w:r>
    </w:p>
    <w:p w:rsidR="00B10D3E" w:rsidRPr="00CB6680" w:rsidRDefault="00B10D3E" w:rsidP="006351E7">
      <w:pPr>
        <w:pStyle w:val="ListBullet"/>
      </w:pPr>
      <w:r w:rsidRPr="00CB6680">
        <w:t xml:space="preserve">A statement in the </w:t>
      </w:r>
      <w:r w:rsidR="00CB6680" w:rsidRPr="00CB6680">
        <w:rPr>
          <w:i/>
        </w:rPr>
        <w:t>Dosage and Administration</w:t>
      </w:r>
      <w:r w:rsidR="00CB6680" w:rsidRPr="00CB6680">
        <w:t xml:space="preserve"> </w:t>
      </w:r>
      <w:r w:rsidRPr="00CB6680">
        <w:t>section of the PI and relevant sections of the CMI stating that dosage should start with 4</w:t>
      </w:r>
      <w:r w:rsidR="000114DE">
        <w:t>0 mg with a target between 40-</w:t>
      </w:r>
      <w:r w:rsidRPr="00CB6680">
        <w:t>80 mg.</w:t>
      </w:r>
    </w:p>
    <w:p w:rsidR="00B10D3E" w:rsidRPr="00CB6680" w:rsidRDefault="00B10D3E" w:rsidP="006351E7">
      <w:pPr>
        <w:pStyle w:val="ListBullet"/>
      </w:pPr>
      <w:r w:rsidRPr="00CB6680">
        <w:t xml:space="preserve">A statement in the </w:t>
      </w:r>
      <w:r w:rsidR="00CB6680" w:rsidRPr="00CB6680">
        <w:rPr>
          <w:i/>
        </w:rPr>
        <w:t>Dosage and Administration</w:t>
      </w:r>
      <w:r w:rsidR="00CB6680" w:rsidRPr="00CB6680">
        <w:t xml:space="preserve"> </w:t>
      </w:r>
      <w:r w:rsidRPr="00CB6680">
        <w:t xml:space="preserve">and </w:t>
      </w:r>
      <w:r w:rsidRPr="00CB6680">
        <w:rPr>
          <w:i/>
        </w:rPr>
        <w:t>Contraindications</w:t>
      </w:r>
      <w:r w:rsidRPr="00CB6680">
        <w:t xml:space="preserve"> sections of the PI and relevant sections of the CMI with limitations to </w:t>
      </w:r>
      <w:r w:rsidRPr="006351E7">
        <w:t>exclude</w:t>
      </w:r>
      <w:r w:rsidRPr="00CB6680">
        <w:t xml:space="preserve"> sev</w:t>
      </w:r>
      <w:r w:rsidR="006351E7">
        <w:t>ere renal or hepatic impairment</w:t>
      </w:r>
    </w:p>
    <w:p w:rsidR="00B10D3E" w:rsidRPr="00CB6680" w:rsidRDefault="00B10D3E" w:rsidP="006351E7">
      <w:pPr>
        <w:pStyle w:val="ListBullet"/>
      </w:pPr>
      <w:r w:rsidRPr="00CB6680">
        <w:t xml:space="preserve">A statement in the </w:t>
      </w:r>
      <w:r w:rsidR="00CB6680" w:rsidRPr="00CB6680">
        <w:rPr>
          <w:i/>
        </w:rPr>
        <w:t>Dosage and Administration</w:t>
      </w:r>
      <w:r w:rsidR="00CB6680" w:rsidRPr="00CB6680">
        <w:t xml:space="preserve"> and </w:t>
      </w:r>
      <w:r w:rsidR="00CB6680" w:rsidRPr="00CB6680">
        <w:rPr>
          <w:i/>
        </w:rPr>
        <w:t>Contraindications</w:t>
      </w:r>
      <w:r w:rsidR="00CB6680" w:rsidRPr="00CB6680">
        <w:t xml:space="preserve"> </w:t>
      </w:r>
      <w:r w:rsidRPr="00CB6680">
        <w:t>sections of the PI and relevant sections of the CMI to exclude use with powerful CYP 3A4 inhibitors.</w:t>
      </w:r>
    </w:p>
    <w:p w:rsidR="00B10D3E" w:rsidRPr="00CB6680" w:rsidRDefault="00B10D3E" w:rsidP="006351E7">
      <w:pPr>
        <w:pStyle w:val="ListBullet"/>
      </w:pPr>
      <w:r w:rsidRPr="00CB6680">
        <w:t xml:space="preserve">The </w:t>
      </w:r>
      <w:r w:rsidRPr="006351E7">
        <w:t>Australian</w:t>
      </w:r>
      <w:r w:rsidRPr="00CB6680">
        <w:t xml:space="preserve"> standard terminology for Chronic Kidney Disease stages should be included in the PI when referring to degrees of renal impairment</w:t>
      </w:r>
      <w:r w:rsidR="000114DE">
        <w:t>.</w:t>
      </w:r>
    </w:p>
    <w:p w:rsidR="00B10D3E" w:rsidRPr="006351E7" w:rsidRDefault="00CB6680" w:rsidP="006351E7">
      <w:pPr>
        <w:pStyle w:val="Heading5"/>
        <w:rPr>
          <w:highlight w:val="yellow"/>
        </w:rPr>
      </w:pPr>
      <w:r>
        <w:rPr>
          <w:lang w:val="en-GB"/>
        </w:rPr>
        <w:t xml:space="preserve">Specific </w:t>
      </w:r>
      <w:r w:rsidR="006351E7">
        <w:rPr>
          <w:lang w:val="en-GB"/>
        </w:rPr>
        <w:t>a</w:t>
      </w:r>
      <w:r>
        <w:rPr>
          <w:lang w:val="en-GB"/>
        </w:rPr>
        <w:t>dvice</w:t>
      </w:r>
    </w:p>
    <w:p w:rsidR="00B10D3E" w:rsidRPr="00656ED1" w:rsidRDefault="00B10D3E" w:rsidP="00656ED1">
      <w:pPr>
        <w:pStyle w:val="Numberbullet0"/>
        <w:rPr>
          <w:i/>
        </w:rPr>
      </w:pPr>
      <w:proofErr w:type="spellStart"/>
      <w:r w:rsidRPr="00656ED1">
        <w:rPr>
          <w:i/>
        </w:rPr>
        <w:t>Lurasidone</w:t>
      </w:r>
      <w:proofErr w:type="spellEnd"/>
      <w:r w:rsidRPr="00656ED1">
        <w:rPr>
          <w:i/>
        </w:rPr>
        <w:t xml:space="preserve"> has quite variable kinetics with potential for large changes in bioavailability when given with other medications and in relation to food. The sponsor has proposed a 50% reduction in the maximum daily dose for: patients with moderate to severe renal impairment; patients with moderate hepatic impairment; and patients taking concomitant moderate CYP3A4 inhibitors. A 75% dose reduction has been proposed for patients with severe hepatic impairment and use with strong CYP3A4 inhibitors is proposed to be contraindicated. The committee’s advice on whether these proposed dose reductions are desirable and/or appropriate is requested. Does the committee consider the PI should recommend an alternative treatment in patients with severe renal or hepatic impairment?</w:t>
      </w:r>
    </w:p>
    <w:p w:rsidR="00B10D3E" w:rsidRPr="00CB6680" w:rsidRDefault="00B10D3E" w:rsidP="00656ED1">
      <w:pPr>
        <w:pStyle w:val="ListBullet2"/>
      </w:pPr>
      <w:r w:rsidRPr="00CB6680">
        <w:t xml:space="preserve">The evidence for safety in patients with severe hepatic and renal impairment is limited and the variability demonstrated in the </w:t>
      </w:r>
      <w:r w:rsidR="0064096A">
        <w:t>PK</w:t>
      </w:r>
      <w:r w:rsidRPr="00CB6680">
        <w:t xml:space="preserve"> of lurasidone mean that safety margins are very uncertain and the ACPM was of the view that lurasidone should be contraindicated in these populations. The dose reductions suggested by the sponsor for moderate impairment were considered suitable with monitoring. The PI should reflect the lack of safety data in patients with severe renal or hepatic impairment and the difficulties of using this with CYP3A4 inhibitors, including the marked increase (up to 7 fold) in drug levels when used with CYP3A4 inhibitors. The PI should als</w:t>
      </w:r>
      <w:r w:rsidR="00656ED1">
        <w:t>o advise on the effect of food.</w:t>
      </w:r>
    </w:p>
    <w:p w:rsidR="00B10D3E" w:rsidRPr="00CB6680" w:rsidRDefault="00B10D3E" w:rsidP="00656ED1">
      <w:pPr>
        <w:pStyle w:val="ListBullet2"/>
      </w:pPr>
      <w:r w:rsidRPr="00CB6680">
        <w:t>The ACPM was of the view that alternative treatments in patients with severe renal or hepatic impairment should be left to the clinician.</w:t>
      </w:r>
    </w:p>
    <w:p w:rsidR="00B10D3E" w:rsidRPr="00656ED1" w:rsidRDefault="00B10D3E" w:rsidP="00656ED1">
      <w:pPr>
        <w:pStyle w:val="Numberbullet0"/>
        <w:rPr>
          <w:i/>
        </w:rPr>
      </w:pPr>
      <w:r w:rsidRPr="00656ED1">
        <w:rPr>
          <w:i/>
        </w:rPr>
        <w:t>The sponsor has not proposed to separately include acute treatment, prevention of relapse or maintenance treatment in the indication, but rather to indicate schizophrenia only. The indications for other atypical antipsychotic medicatio</w:t>
      </w:r>
      <w:r w:rsidR="000114DE" w:rsidRPr="00656ED1">
        <w:rPr>
          <w:i/>
        </w:rPr>
        <w:t>ns generally specify acute and/</w:t>
      </w:r>
      <w:r w:rsidRPr="00656ED1">
        <w:rPr>
          <w:i/>
        </w:rPr>
        <w:t>or maintenance treatment. The committee’s advice on whether a general schizophrenia indication is appropriate is requested.</w:t>
      </w:r>
    </w:p>
    <w:p w:rsidR="00B10D3E" w:rsidRPr="00CB6680" w:rsidRDefault="00B10D3E" w:rsidP="00656ED1">
      <w:pPr>
        <w:pStyle w:val="ListBullet2"/>
      </w:pPr>
      <w:r w:rsidRPr="00CB6680">
        <w:t xml:space="preserve">The ACPM advised that the evidence in support of safety and efficacy for treatment of acute </w:t>
      </w:r>
      <w:r w:rsidR="000114DE">
        <w:t>s</w:t>
      </w:r>
      <w:r w:rsidRPr="00CB6680">
        <w:t xml:space="preserve">chizophrenia was adequate; however, the </w:t>
      </w:r>
      <w:proofErr w:type="spellStart"/>
      <w:r w:rsidRPr="00CB6680">
        <w:t>non</w:t>
      </w:r>
      <w:r w:rsidR="000114DE">
        <w:t xml:space="preserve"> </w:t>
      </w:r>
      <w:r w:rsidRPr="00CB6680">
        <w:t>inferiority</w:t>
      </w:r>
      <w:proofErr w:type="spellEnd"/>
      <w:r w:rsidRPr="00CB6680">
        <w:t xml:space="preserve"> study provided was considered insufficient to support long term safety and efficacy in the treatment of </w:t>
      </w:r>
      <w:r w:rsidR="000114DE">
        <w:t>s</w:t>
      </w:r>
      <w:r w:rsidRPr="00CB6680">
        <w:t>chizophrenia. A second 12 month study also did not demonstrate non</w:t>
      </w:r>
      <w:r w:rsidR="000114DE">
        <w:t xml:space="preserve"> </w:t>
      </w:r>
      <w:r w:rsidRPr="00CB6680">
        <w:t xml:space="preserve">inferiority to </w:t>
      </w:r>
      <w:proofErr w:type="spellStart"/>
      <w:r w:rsidRPr="00CB6680">
        <w:t>risperidone</w:t>
      </w:r>
      <w:proofErr w:type="spellEnd"/>
      <w:r w:rsidRPr="00CB6680">
        <w:t xml:space="preserve">. The committee felt that neither efficacy nor safety had been demonstrated </w:t>
      </w:r>
      <w:r w:rsidR="00656ED1">
        <w:t>to date in longer term studies.</w:t>
      </w:r>
    </w:p>
    <w:p w:rsidR="00B10D3E" w:rsidRPr="000114DE" w:rsidRDefault="00B10D3E" w:rsidP="00656ED1">
      <w:pPr>
        <w:pStyle w:val="Numberbullet0"/>
      </w:pPr>
      <w:r w:rsidRPr="000114DE">
        <w:t>Does the committee consider the indication should specify adults?</w:t>
      </w:r>
    </w:p>
    <w:p w:rsidR="00B10D3E" w:rsidRPr="00CB6680" w:rsidRDefault="00B10D3E" w:rsidP="00656ED1">
      <w:pPr>
        <w:pStyle w:val="ListBullet2"/>
      </w:pPr>
      <w:r w:rsidRPr="00CB6680">
        <w:lastRenderedPageBreak/>
        <w:t>There is no evidence of efficacy and safety in paediatric or geriatric populations. Adults should be specified until data is forthcoming, ages 18-65 years.</w:t>
      </w:r>
    </w:p>
    <w:p w:rsidR="00B10D3E" w:rsidRPr="00CB6680" w:rsidRDefault="00B10D3E" w:rsidP="00656ED1">
      <w:pPr>
        <w:pStyle w:val="ListBullet2"/>
      </w:pPr>
      <w:r w:rsidRPr="00CB6680">
        <w:t>The ACPM advised that the implementation by the sponsor of the recommendations outlined above to the satisfaction of the TGA, in addition to the evidence of efficacy and safety provided would support the safe and ef</w:t>
      </w:r>
      <w:r w:rsidR="00656ED1">
        <w:t>fective use of these products.</w:t>
      </w:r>
    </w:p>
    <w:p w:rsidR="00B10D3E" w:rsidRPr="00CB6680" w:rsidRDefault="00B10D3E" w:rsidP="00656ED1">
      <w:pPr>
        <w:pStyle w:val="ListBullet2"/>
      </w:pPr>
      <w:r w:rsidRPr="00CB6680">
        <w:t>The ACPM taking into account the submitted evidence of pharmaceutical efficacy, safety and quality considered this pro</w:t>
      </w:r>
      <w:r w:rsidR="000114DE">
        <w:t>duct to have a negative benefit-</w:t>
      </w:r>
      <w:r w:rsidRPr="00CB6680">
        <w:t>risk profile for the long term use of lurasidone.</w:t>
      </w:r>
    </w:p>
    <w:p w:rsidR="00B10D3E" w:rsidRPr="00CB6680" w:rsidRDefault="00B10D3E" w:rsidP="00656ED1">
      <w:pPr>
        <w:pStyle w:val="ListBullet2"/>
      </w:pPr>
      <w:r w:rsidRPr="00CB6680">
        <w:t>In making this recommendation</w:t>
      </w:r>
      <w:r w:rsidR="00CB6680">
        <w:t>, the ACPM:</w:t>
      </w:r>
    </w:p>
    <w:p w:rsidR="00B10D3E" w:rsidRPr="00CB6680" w:rsidRDefault="00586533" w:rsidP="00656ED1">
      <w:pPr>
        <w:pStyle w:val="ListBullet3"/>
      </w:pPr>
      <w:r>
        <w:t>N</w:t>
      </w:r>
      <w:r w:rsidR="00B10D3E" w:rsidRPr="00CB6680">
        <w:t>oted the long term risks are poorly defined with limited data for a maximum of 12 months</w:t>
      </w:r>
    </w:p>
    <w:p w:rsidR="00B10D3E" w:rsidRPr="00CB6680" w:rsidRDefault="00586533" w:rsidP="00656ED1">
      <w:pPr>
        <w:pStyle w:val="ListBullet3"/>
      </w:pPr>
      <w:r>
        <w:t>N</w:t>
      </w:r>
      <w:r w:rsidR="00B10D3E" w:rsidRPr="00CB6680">
        <w:t>oted the long</w:t>
      </w:r>
      <w:r>
        <w:t xml:space="preserve"> </w:t>
      </w:r>
      <w:r w:rsidR="00B10D3E" w:rsidRPr="00CB6680">
        <w:t>term risks are not sufficiently identified.</w:t>
      </w:r>
    </w:p>
    <w:p w:rsidR="00B10D3E" w:rsidRPr="00CB6680" w:rsidRDefault="00586533" w:rsidP="00656ED1">
      <w:pPr>
        <w:pStyle w:val="ListBullet3"/>
      </w:pPr>
      <w:r>
        <w:t>N</w:t>
      </w:r>
      <w:r w:rsidR="00B10D3E" w:rsidRPr="00CB6680">
        <w:t>oted the investigation of QT prolongation did not provide evidence of an effect but that 5 deaths fro</w:t>
      </w:r>
      <w:r w:rsidR="00656ED1">
        <w:t>m cardiac events were reported.</w:t>
      </w:r>
    </w:p>
    <w:p w:rsidR="00B10D3E" w:rsidRPr="00CB6680" w:rsidRDefault="00586533" w:rsidP="00656ED1">
      <w:pPr>
        <w:pStyle w:val="ListBullet3"/>
      </w:pPr>
      <w:r>
        <w:t>E</w:t>
      </w:r>
      <w:r w:rsidR="00B10D3E" w:rsidRPr="00CB6680">
        <w:t>xpressed concern that the place of this product in clinical practice is problema</w:t>
      </w:r>
      <w:r w:rsidR="004C490A">
        <w:t>tic without good long term data</w:t>
      </w:r>
      <w:r w:rsidR="00B10D3E" w:rsidRPr="00CB6680">
        <w:t>, given the nature of the illness. Since the incidence of relapse/recurrence is high in this disease it is im</w:t>
      </w:r>
      <w:r w:rsidR="004C490A">
        <w:t xml:space="preserve">portant to know more about long </w:t>
      </w:r>
      <w:r w:rsidR="00B10D3E" w:rsidRPr="00CB6680">
        <w:t>term effects of treatment.</w:t>
      </w:r>
    </w:p>
    <w:p w:rsidR="00B10D3E" w:rsidRPr="00CB6680" w:rsidRDefault="00586533" w:rsidP="00656ED1">
      <w:pPr>
        <w:pStyle w:val="ListBullet3"/>
      </w:pPr>
      <w:r>
        <w:t>W</w:t>
      </w:r>
      <w:r w:rsidR="00B10D3E" w:rsidRPr="00CB6680">
        <w:t>as of the view that the clinical use of this agent is limited given that it is common practice to continue an effective antipsychotic used in the acute phase of the illness in the long term management of a given patient and this is not practical with this agent as the long term safety and efficacy remain uncertain.</w:t>
      </w:r>
    </w:p>
    <w:p w:rsidR="008E7846" w:rsidRPr="00164BB6" w:rsidRDefault="008E7846" w:rsidP="00164BB6">
      <w:pPr>
        <w:pStyle w:val="Heading3"/>
      </w:pPr>
      <w:bookmarkStart w:id="172" w:name="_Toc247691532"/>
      <w:bookmarkStart w:id="173" w:name="_Toc314842516"/>
      <w:bookmarkStart w:id="174" w:name="_Toc392682469"/>
      <w:bookmarkEnd w:id="101"/>
      <w:bookmarkEnd w:id="167"/>
      <w:bookmarkEnd w:id="168"/>
      <w:r>
        <w:t>Outcome</w:t>
      </w:r>
      <w:bookmarkEnd w:id="172"/>
      <w:bookmarkEnd w:id="173"/>
      <w:bookmarkEnd w:id="174"/>
    </w:p>
    <w:p w:rsidR="00D23139" w:rsidRPr="00D23139" w:rsidRDefault="00D23139" w:rsidP="00164BB6">
      <w:bookmarkStart w:id="175" w:name="_Toc247691533"/>
      <w:bookmarkStart w:id="176" w:name="_Toc314842517"/>
      <w:r w:rsidRPr="00D23139">
        <w:t xml:space="preserve">Based on a review of quality, safety and efficacy, TGA approved the registration of </w:t>
      </w:r>
      <w:r w:rsidR="00C83D1E">
        <w:t>Latuda (l</w:t>
      </w:r>
      <w:r w:rsidR="00C83D1E" w:rsidRPr="00C83D1E">
        <w:t>urasidone hydrochloride</w:t>
      </w:r>
      <w:r w:rsidR="00C83D1E">
        <w:t>)</w:t>
      </w:r>
      <w:r w:rsidR="003E3B53">
        <w:t xml:space="preserve"> </w:t>
      </w:r>
      <w:r w:rsidR="00EE3E07">
        <w:t xml:space="preserve">20 mg, 40 mg and 80 mg film-coated tablets </w:t>
      </w:r>
      <w:r w:rsidRPr="00D23139">
        <w:t>indicated for:</w:t>
      </w:r>
    </w:p>
    <w:p w:rsidR="00D23139" w:rsidRPr="00164BB6" w:rsidRDefault="00893E5E" w:rsidP="00164BB6">
      <w:pPr>
        <w:ind w:left="720"/>
        <w:rPr>
          <w:i/>
        </w:rPr>
      </w:pPr>
      <w:r w:rsidRPr="00164BB6">
        <w:rPr>
          <w:i/>
        </w:rPr>
        <w:t>Latuda is indicated for the treatment of adults with schizophrenia.</w:t>
      </w:r>
    </w:p>
    <w:p w:rsidR="00D23139" w:rsidRPr="00164BB6" w:rsidRDefault="00D23139" w:rsidP="00164BB6">
      <w:pPr>
        <w:pStyle w:val="Heading4"/>
      </w:pPr>
      <w:r w:rsidRPr="00D23139">
        <w:t>Specific conditions of registration applying to these goods</w:t>
      </w:r>
    </w:p>
    <w:p w:rsidR="00D23139" w:rsidRPr="00732D44" w:rsidRDefault="00390817" w:rsidP="00164BB6">
      <w:pPr>
        <w:pStyle w:val="ListBullet"/>
      </w:pPr>
      <w:r w:rsidRPr="00732D44">
        <w:t xml:space="preserve">Any changes to the </w:t>
      </w:r>
      <w:r w:rsidR="003D78E0">
        <w:t>RMP</w:t>
      </w:r>
      <w:r w:rsidRPr="00732D44">
        <w:t xml:space="preserve"> that were agreed to by the</w:t>
      </w:r>
      <w:r w:rsidR="00732D44">
        <w:t xml:space="preserve"> </w:t>
      </w:r>
      <w:r w:rsidRPr="00732D44">
        <w:t xml:space="preserve">sponsor become </w:t>
      </w:r>
      <w:r w:rsidRPr="00164BB6">
        <w:t>part</w:t>
      </w:r>
      <w:r w:rsidRPr="00732D44">
        <w:t xml:space="preserve"> of the RMP, whether they are included in the currently available version of the RMP document, or not included, inadvertently or otherwise.</w:t>
      </w:r>
    </w:p>
    <w:p w:rsidR="00390817" w:rsidRPr="00732D44" w:rsidRDefault="00390817" w:rsidP="00164BB6">
      <w:pPr>
        <w:pStyle w:val="ListBullet"/>
      </w:pPr>
      <w:r w:rsidRPr="00732D44">
        <w:t>The implementation of the EU-RMP Version 1.0 dated 31</w:t>
      </w:r>
      <w:r w:rsidR="00732D44">
        <w:t xml:space="preserve"> August 2012, with </w:t>
      </w:r>
      <w:r w:rsidRPr="00732D44">
        <w:t xml:space="preserve">Australian Specific Annex (dated October 2013), and any future updates as agreed with the </w:t>
      </w:r>
      <w:r w:rsidR="00732D44" w:rsidRPr="00732D44">
        <w:t>OPR</w:t>
      </w:r>
      <w:r w:rsidRPr="00732D44">
        <w:t xml:space="preserve"> at the TGA is a condition of registration.</w:t>
      </w:r>
    </w:p>
    <w:p w:rsidR="008E7846" w:rsidRDefault="008E7846" w:rsidP="00164BB6">
      <w:pPr>
        <w:pStyle w:val="Heading2"/>
      </w:pPr>
      <w:bookmarkStart w:id="177" w:name="_Toc392682470"/>
      <w:proofErr w:type="gramStart"/>
      <w:r>
        <w:t>Attachment 1.</w:t>
      </w:r>
      <w:proofErr w:type="gramEnd"/>
      <w:r w:rsidR="00164BB6">
        <w:t xml:space="preserve"> </w:t>
      </w:r>
      <w:r>
        <w:t xml:space="preserve">Product </w:t>
      </w:r>
      <w:r w:rsidR="00AA0ED0" w:rsidRPr="00164BB6">
        <w:t>I</w:t>
      </w:r>
      <w:r w:rsidRPr="00164BB6">
        <w:t>nformation</w:t>
      </w:r>
      <w:bookmarkEnd w:id="175"/>
      <w:bookmarkEnd w:id="176"/>
      <w:bookmarkEnd w:id="177"/>
    </w:p>
    <w:p w:rsidR="00C80137" w:rsidRDefault="002B3624" w:rsidP="00164BB6">
      <w:pPr>
        <w:rPr>
          <w:color w:val="000000"/>
          <w:lang w:eastAsia="en-AU"/>
        </w:rPr>
      </w:pPr>
      <w:r w:rsidRPr="002B3624">
        <w:t xml:space="preserve">The Product Information approved for main </w:t>
      </w:r>
      <w:r w:rsidR="00650D90">
        <w:t>Latuda</w:t>
      </w:r>
      <w:r w:rsidRPr="002B3624">
        <w:t xml:space="preserve"> at the time this AusPAR was published is at Attachment 1. For the most recent Product Information please refer to the TGA website at &lt;</w:t>
      </w:r>
      <w:hyperlink r:id="rId43" w:history="1">
        <w:r w:rsidRPr="000734D8">
          <w:rPr>
            <w:rStyle w:val="Hyperlink"/>
          </w:rPr>
          <w:t>http://www.tga.gov.au/hp/information-medicines-pi.htm</w:t>
        </w:r>
      </w:hyperlink>
      <w:r w:rsidR="00650D90">
        <w:t>&gt;.</w:t>
      </w:r>
    </w:p>
    <w:p w:rsidR="000E55BF" w:rsidRDefault="00C80137" w:rsidP="00164BB6">
      <w:pPr>
        <w:pStyle w:val="Heading2"/>
        <w:rPr>
          <w:b w:val="0"/>
        </w:rPr>
      </w:pPr>
      <w:bookmarkStart w:id="178" w:name="_Toc392682471"/>
      <w:proofErr w:type="gramStart"/>
      <w:r>
        <w:rPr>
          <w:lang w:eastAsia="en-AU"/>
        </w:rPr>
        <w:lastRenderedPageBreak/>
        <w:t>Attachment 2.</w:t>
      </w:r>
      <w:proofErr w:type="gramEnd"/>
      <w:r>
        <w:rPr>
          <w:lang w:eastAsia="en-AU"/>
        </w:rPr>
        <w:t xml:space="preserve"> Extract from the Clinical Evaluation Report</w:t>
      </w:r>
      <w:bookmarkEnd w:id="178"/>
    </w:p>
    <w:p w:rsidR="00C80137" w:rsidRPr="001D043B" w:rsidRDefault="008E7846" w:rsidP="003A7F6C">
      <w:pPr>
        <w:pStyle w:val="TableTitle"/>
        <w:sectPr w:rsidR="00C80137" w:rsidRPr="001D043B" w:rsidSect="00B452CE">
          <w:headerReference w:type="even" r:id="rId44"/>
          <w:headerReference w:type="default" r:id="rId45"/>
          <w:headerReference w:type="first" r:id="rId46"/>
          <w:footerReference w:type="first" r:id="rId47"/>
          <w:pgSz w:w="11906" w:h="16838" w:code="9"/>
          <w:pgMar w:top="834" w:right="1701" w:bottom="1191" w:left="1701" w:header="907" w:footer="216" w:gutter="0"/>
          <w:cols w:space="708"/>
          <w:docGrid w:linePitch="360"/>
        </w:sectPr>
      </w:pPr>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lastRenderedPageBreak/>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48" w:history="1">
              <w:r w:rsidRPr="004C239D">
                <w:rPr>
                  <w:rStyle w:val="Hyperlink"/>
                </w:rPr>
                <w:t>info@tga.gov.au</w:t>
              </w:r>
            </w:hyperlink>
            <w:r w:rsidR="00431E88">
              <w:t xml:space="preserve"> </w:t>
            </w:r>
            <w:r w:rsidRPr="00487162">
              <w:t>Phone: 1800 020 653</w:t>
            </w:r>
            <w:r w:rsidR="00431E88">
              <w:t xml:space="preserve"> </w:t>
            </w:r>
            <w:r w:rsidRPr="00487162">
              <w:t>Fax: 02 6232 8605</w:t>
            </w:r>
          </w:p>
          <w:p w:rsidR="001C32CD" w:rsidRPr="004C239D" w:rsidRDefault="00250F61" w:rsidP="00250F61">
            <w:pPr>
              <w:pStyle w:val="Address"/>
              <w:spacing w:line="260" w:lineRule="atLeast"/>
              <w:rPr>
                <w:b/>
                <w:color w:val="0000FF"/>
                <w:u w:val="single"/>
              </w:rPr>
            </w:pPr>
            <w:hyperlink r:id="rId49"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50"/>
      <w:headerReference w:type="default" r:id="rId51"/>
      <w:footerReference w:type="default" r:id="rId52"/>
      <w:headerReference w:type="first" r:id="rId53"/>
      <w:footerReference w:type="first" r:id="rId54"/>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B56" w:rsidRDefault="002A1B56" w:rsidP="00C40A36">
      <w:pPr>
        <w:spacing w:after="0"/>
      </w:pPr>
      <w:r>
        <w:separator/>
      </w:r>
    </w:p>
  </w:endnote>
  <w:endnote w:type="continuationSeparator" w:id="0">
    <w:p w:rsidR="002A1B56" w:rsidRDefault="002A1B5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120" w:rsidRDefault="008B7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4577F" w:rsidRPr="00487162" w:rsidTr="00DB750B">
      <w:trPr>
        <w:trHeight w:val="269"/>
      </w:trPr>
      <w:tc>
        <w:tcPr>
          <w:tcW w:w="7371" w:type="dxa"/>
          <w:tcMar>
            <w:top w:w="142" w:type="dxa"/>
            <w:bottom w:w="0" w:type="dxa"/>
          </w:tcMar>
        </w:tcPr>
        <w:p w:rsidR="00C4577F" w:rsidRPr="00487162" w:rsidRDefault="00C4577F" w:rsidP="008B7120">
          <w:pPr>
            <w:pStyle w:val="Footer"/>
          </w:pPr>
          <w:r w:rsidRPr="00487162">
            <w:t xml:space="preserve">AusPAR </w:t>
          </w:r>
          <w:r>
            <w:t>Latuda</w:t>
          </w:r>
          <w:r w:rsidRPr="00487162">
            <w:t xml:space="preserve"> </w:t>
          </w:r>
          <w:r>
            <w:t>Commercial Eyes Pty Ltd</w:t>
          </w:r>
          <w:r w:rsidRPr="00487162">
            <w:t xml:space="preserve"> </w:t>
          </w:r>
          <w:r w:rsidRPr="00FF3F01">
            <w:t>PM-2012-04452-1-1</w:t>
          </w:r>
          <w:r>
            <w:br/>
          </w:r>
          <w:r w:rsidR="008B7120">
            <w:t>Final 20</w:t>
          </w:r>
          <w:r w:rsidR="00624672">
            <w:t xml:space="preserve"> June</w:t>
          </w:r>
          <w:r>
            <w:t xml:space="preserve"> 2014</w:t>
          </w:r>
        </w:p>
      </w:tc>
      <w:tc>
        <w:tcPr>
          <w:tcW w:w="1490" w:type="dxa"/>
          <w:tcMar>
            <w:top w:w="142" w:type="dxa"/>
            <w:bottom w:w="0" w:type="dxa"/>
          </w:tcMar>
        </w:tcPr>
        <w:p w:rsidR="00C4577F" w:rsidRPr="00487162" w:rsidRDefault="00C4577F" w:rsidP="00DB750B">
          <w:pPr>
            <w:pStyle w:val="Footer"/>
            <w:jc w:val="right"/>
          </w:pPr>
          <w:r w:rsidRPr="00487162">
            <w:t xml:space="preserve">Page </w:t>
          </w:r>
          <w:r>
            <w:fldChar w:fldCharType="begin"/>
          </w:r>
          <w:r>
            <w:instrText xml:space="preserve"> PAGE  \* Arabic </w:instrText>
          </w:r>
          <w:r>
            <w:fldChar w:fldCharType="separate"/>
          </w:r>
          <w:r w:rsidR="000C7767">
            <w:rPr>
              <w:noProof/>
            </w:rPr>
            <w:t>2</w:t>
          </w:r>
          <w:r>
            <w:fldChar w:fldCharType="end"/>
          </w:r>
          <w:r w:rsidRPr="00487162">
            <w:t xml:space="preserve"> of </w:t>
          </w:r>
          <w:r>
            <w:fldChar w:fldCharType="begin"/>
          </w:r>
          <w:r>
            <w:instrText xml:space="preserve"> NUMPAGES  \* Arabic </w:instrText>
          </w:r>
          <w:r>
            <w:fldChar w:fldCharType="separate"/>
          </w:r>
          <w:r w:rsidR="000C7767">
            <w:rPr>
              <w:noProof/>
            </w:rPr>
            <w:t>96</w:t>
          </w:r>
          <w:r>
            <w:rPr>
              <w:noProof/>
            </w:rPr>
            <w:fldChar w:fldCharType="end"/>
          </w:r>
        </w:p>
      </w:tc>
    </w:tr>
  </w:tbl>
  <w:p w:rsidR="00C4577F" w:rsidRDefault="00C4577F"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120" w:rsidRDefault="008B71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4577F" w:rsidRPr="00487162" w:rsidTr="00E45619">
      <w:trPr>
        <w:trHeight w:val="269"/>
      </w:trPr>
      <w:tc>
        <w:tcPr>
          <w:tcW w:w="4519" w:type="dxa"/>
          <w:tcBorders>
            <w:top w:val="single" w:sz="4" w:space="0" w:color="auto"/>
          </w:tcBorders>
          <w:tcMar>
            <w:top w:w="142" w:type="dxa"/>
            <w:bottom w:w="0" w:type="dxa"/>
          </w:tcMar>
        </w:tcPr>
        <w:p w:rsidR="00C4577F" w:rsidRPr="00487162" w:rsidRDefault="00C4577F" w:rsidP="00FE1DEE">
          <w:pPr>
            <w:pStyle w:val="Footer"/>
          </w:pPr>
          <w:r w:rsidRPr="00487162">
            <w:t>Document title, Part #, Section # - Section title</w:t>
          </w:r>
        </w:p>
        <w:p w:rsidR="00C4577F" w:rsidRPr="00487162" w:rsidRDefault="00C4577F" w:rsidP="00FE1DEE">
          <w:pPr>
            <w:pStyle w:val="Footer"/>
          </w:pPr>
          <w:r w:rsidRPr="00487162">
            <w:t>V1.0 October 2010</w:t>
          </w:r>
        </w:p>
      </w:tc>
      <w:tc>
        <w:tcPr>
          <w:tcW w:w="4342" w:type="dxa"/>
          <w:tcBorders>
            <w:top w:val="single" w:sz="4" w:space="0" w:color="auto"/>
          </w:tcBorders>
          <w:tcMar>
            <w:top w:w="142" w:type="dxa"/>
            <w:bottom w:w="0" w:type="dxa"/>
          </w:tcMar>
        </w:tcPr>
        <w:p w:rsidR="00C4577F" w:rsidRPr="00487162" w:rsidRDefault="00C4577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C4577F" w:rsidRDefault="00C457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Pr="001C32CD" w:rsidRDefault="00C4577F"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4577F" w:rsidTr="0010601F">
      <w:trPr>
        <w:trHeight w:val="108"/>
      </w:trPr>
      <w:tc>
        <w:tcPr>
          <w:tcW w:w="8875" w:type="dxa"/>
          <w:gridSpan w:val="2"/>
          <w:tcBorders>
            <w:bottom w:val="single" w:sz="4" w:space="0" w:color="auto"/>
          </w:tcBorders>
          <w:tcMar>
            <w:right w:w="284" w:type="dxa"/>
          </w:tcMar>
        </w:tcPr>
        <w:p w:rsidR="00C4577F" w:rsidRDefault="00C4577F" w:rsidP="006E08B3">
          <w:pPr>
            <w:pStyle w:val="Heading3"/>
          </w:pPr>
          <w:r>
            <w:t>Copyright</w:t>
          </w:r>
        </w:p>
        <w:p w:rsidR="00C4577F" w:rsidRDefault="00C4577F" w:rsidP="006E08B3">
          <w:r>
            <w:rPr>
              <w:rFonts w:cs="Arial"/>
            </w:rPr>
            <w:t>©</w:t>
          </w:r>
          <w:r>
            <w:t xml:space="preserve"> Commonwealth of Australia [add year]</w:t>
          </w:r>
        </w:p>
        <w:p w:rsidR="00C4577F" w:rsidRDefault="00C4577F" w:rsidP="006E08B3"/>
        <w:p w:rsidR="00C4577F" w:rsidRDefault="00C4577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4577F" w:rsidRDefault="00C4577F" w:rsidP="006E08B3"/>
        <w:p w:rsidR="00C4577F" w:rsidRDefault="00C4577F" w:rsidP="006E08B3">
          <w:pPr>
            <w:pStyle w:val="Heading3"/>
          </w:pPr>
          <w:r>
            <w:t>Confidentiality</w:t>
          </w:r>
        </w:p>
        <w:p w:rsidR="00C4577F" w:rsidRDefault="00C4577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4577F" w:rsidRDefault="00C4577F" w:rsidP="006E08B3"/>
        <w:p w:rsidR="00C4577F" w:rsidRDefault="00C4577F" w:rsidP="006E08B3">
          <w:r>
            <w:t>For submission made by individuals, all personal details, other than your name, will be removed from your submission before it is published on the TGA’s Internet site.</w:t>
          </w:r>
        </w:p>
        <w:p w:rsidR="00C4577F" w:rsidRDefault="00C4577F" w:rsidP="006E08B3"/>
        <w:p w:rsidR="00C4577F" w:rsidRDefault="00C4577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4577F" w:rsidTr="0010601F">
      <w:trPr>
        <w:trHeight w:val="417"/>
      </w:trPr>
      <w:tc>
        <w:tcPr>
          <w:tcW w:w="4519" w:type="dxa"/>
          <w:tcBorders>
            <w:top w:val="single" w:sz="4" w:space="0" w:color="auto"/>
          </w:tcBorders>
          <w:tcMar>
            <w:top w:w="142" w:type="dxa"/>
            <w:bottom w:w="0" w:type="dxa"/>
          </w:tcMar>
        </w:tcPr>
        <w:p w:rsidR="00C4577F" w:rsidRDefault="00C4577F" w:rsidP="006E08B3">
          <w:r>
            <w:t>Document title, Part #, Section # - Section title</w:t>
          </w:r>
        </w:p>
        <w:p w:rsidR="00C4577F" w:rsidRDefault="00C4577F" w:rsidP="006E08B3">
          <w:r>
            <w:t>V1.0 October 2010</w:t>
          </w:r>
        </w:p>
      </w:tc>
      <w:tc>
        <w:tcPr>
          <w:tcW w:w="4356" w:type="dxa"/>
          <w:tcBorders>
            <w:top w:val="single" w:sz="4" w:space="0" w:color="auto"/>
          </w:tcBorders>
          <w:tcMar>
            <w:top w:w="142" w:type="dxa"/>
            <w:bottom w:w="0" w:type="dxa"/>
          </w:tcMar>
        </w:tcPr>
        <w:p w:rsidR="00C4577F" w:rsidRDefault="00C4577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C4577F" w:rsidRDefault="00C457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B56" w:rsidRDefault="002A1B56" w:rsidP="00C40A36">
      <w:pPr>
        <w:spacing w:after="0"/>
      </w:pPr>
      <w:r>
        <w:separator/>
      </w:r>
    </w:p>
  </w:footnote>
  <w:footnote w:type="continuationSeparator" w:id="0">
    <w:p w:rsidR="002A1B56" w:rsidRDefault="002A1B56" w:rsidP="00C40A36">
      <w:pPr>
        <w:spacing w:after="0"/>
      </w:pPr>
      <w:r>
        <w:continuationSeparator/>
      </w:r>
    </w:p>
  </w:footnote>
  <w:footnote w:id="1">
    <w:p w:rsidR="00C4577F" w:rsidRDefault="00C4577F" w:rsidP="009024C7">
      <w:pPr>
        <w:pStyle w:val="FootnoteText"/>
      </w:pPr>
      <w:r>
        <w:rPr>
          <w:rStyle w:val="FootnoteReference"/>
        </w:rPr>
        <w:footnoteRef/>
      </w:r>
      <w:r>
        <w:t xml:space="preserve"> </w:t>
      </w:r>
      <w:r w:rsidRPr="00370FF7">
        <w:t xml:space="preserve">Psychotropic Expert Group. Therapeutic guidelines: </w:t>
      </w:r>
      <w:r w:rsidRPr="009024C7">
        <w:t>psychotropic</w:t>
      </w:r>
      <w:r w:rsidRPr="00370FF7">
        <w:t xml:space="preserve">. </w:t>
      </w:r>
      <w:proofErr w:type="gramStart"/>
      <w:r w:rsidRPr="00370FF7">
        <w:t>Version 7.</w:t>
      </w:r>
      <w:proofErr w:type="gramEnd"/>
      <w:r w:rsidRPr="00370FF7">
        <w:t xml:space="preserve"> Melbourne: Therapeutic Guidelines Limited; 2013.</w:t>
      </w:r>
    </w:p>
  </w:footnote>
  <w:footnote w:id="2">
    <w:p w:rsidR="00C4577F" w:rsidRPr="009024C7" w:rsidRDefault="00C4577F" w:rsidP="009024C7">
      <w:pPr>
        <w:pStyle w:val="FootnoteText"/>
      </w:pPr>
      <w:r>
        <w:rPr>
          <w:rStyle w:val="FootnoteReference"/>
        </w:rPr>
        <w:footnoteRef/>
      </w:r>
      <w:r>
        <w:t xml:space="preserve"> </w:t>
      </w:r>
      <w:proofErr w:type="spellStart"/>
      <w:r>
        <w:t>Jayachandra</w:t>
      </w:r>
      <w:proofErr w:type="spellEnd"/>
      <w:r>
        <w:t xml:space="preserve"> SB, et al.</w:t>
      </w:r>
      <w:r w:rsidRPr="0035793D">
        <w:t xml:space="preserve"> Patent WO 2012107890 A2</w:t>
      </w:r>
      <w:r>
        <w:t>.</w:t>
      </w:r>
    </w:p>
  </w:footnote>
  <w:footnote w:id="3">
    <w:p w:rsidR="00C4577F" w:rsidRPr="009024C7" w:rsidRDefault="00C4577F" w:rsidP="009024C7">
      <w:pPr>
        <w:pStyle w:val="FootnoteText"/>
      </w:pPr>
      <w:r>
        <w:rPr>
          <w:rStyle w:val="FootnoteReference"/>
        </w:rPr>
        <w:footnoteRef/>
      </w:r>
      <w:r>
        <w:t xml:space="preserve"> </w:t>
      </w:r>
      <w:proofErr w:type="spellStart"/>
      <w:proofErr w:type="gramStart"/>
      <w:r>
        <w:t>Marom</w:t>
      </w:r>
      <w:proofErr w:type="spellEnd"/>
      <w:r>
        <w:t xml:space="preserve"> E, </w:t>
      </w:r>
      <w:proofErr w:type="spellStart"/>
      <w:r>
        <w:t>Rubnov</w:t>
      </w:r>
      <w:proofErr w:type="spellEnd"/>
      <w:r>
        <w:t xml:space="preserve"> S. </w:t>
      </w:r>
      <w:r w:rsidRPr="0035793D">
        <w:t>Patent WO/2012/063246</w:t>
      </w:r>
      <w:r>
        <w:t>.</w:t>
      </w:r>
      <w:proofErr w:type="gramEnd"/>
    </w:p>
  </w:footnote>
  <w:footnote w:id="4">
    <w:p w:rsidR="00552818" w:rsidRPr="00F0794A" w:rsidRDefault="00552818" w:rsidP="00F0794A">
      <w:pPr>
        <w:pStyle w:val="FootnoteText"/>
      </w:pPr>
      <w:r>
        <w:rPr>
          <w:rStyle w:val="FootnoteReference"/>
        </w:rPr>
        <w:footnoteRef/>
      </w:r>
      <w:r>
        <w:t xml:space="preserve"> </w:t>
      </w:r>
      <w:r w:rsidRPr="00DA4D89">
        <w:t>Not proposed for the Australian market</w:t>
      </w:r>
      <w:r>
        <w:t>.</w:t>
      </w:r>
    </w:p>
  </w:footnote>
  <w:footnote w:id="5">
    <w:p w:rsidR="00C4577F" w:rsidRDefault="00C4577F">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Guidance on the Investigation of Bioequivalence (CPMP/EWP/QWP/1401/98 Rev. 1)</w:t>
      </w:r>
      <w:r w:rsidRPr="00E86CA1">
        <w:t xml:space="preserve">”, </w:t>
      </w:r>
      <w:r w:rsidRPr="00DA4D89">
        <w:t>20 January 2010</w:t>
      </w:r>
      <w:r>
        <w:t>.</w:t>
      </w:r>
    </w:p>
  </w:footnote>
  <w:footnote w:id="6">
    <w:p w:rsidR="00552818" w:rsidRPr="00F0794A" w:rsidRDefault="00552818" w:rsidP="00F0794A">
      <w:pPr>
        <w:pStyle w:val="FootnoteText"/>
      </w:pPr>
      <w:r>
        <w:rPr>
          <w:rStyle w:val="FootnoteReference"/>
        </w:rPr>
        <w:footnoteRef/>
      </w:r>
      <w:r>
        <w:t xml:space="preserve"> </w:t>
      </w:r>
      <w:r w:rsidRPr="00DA4D89">
        <w:t>Not proposed for the Australian market</w:t>
      </w:r>
      <w:r>
        <w:t>.</w:t>
      </w:r>
    </w:p>
  </w:footnote>
  <w:footnote w:id="7">
    <w:p w:rsidR="00C4577F" w:rsidRPr="00F0794A" w:rsidRDefault="00C4577F" w:rsidP="00F0794A">
      <w:pPr>
        <w:pStyle w:val="FootnoteText"/>
      </w:pPr>
      <w:r>
        <w:rPr>
          <w:rStyle w:val="FootnoteReference"/>
        </w:rPr>
        <w:footnoteRef/>
      </w:r>
      <w:r>
        <w:t xml:space="preserve"> </w:t>
      </w:r>
      <w:r w:rsidRPr="00DA4D89">
        <w:t>Not proposed for the Australian market</w:t>
      </w:r>
      <w:r>
        <w:t>.</w:t>
      </w:r>
    </w:p>
  </w:footnote>
  <w:footnote w:id="8">
    <w:p w:rsidR="00C4577F" w:rsidRDefault="00C4577F">
      <w:pPr>
        <w:pStyle w:val="FootnoteText"/>
      </w:pPr>
      <w:r>
        <w:rPr>
          <w:rStyle w:val="FootnoteReference"/>
        </w:rPr>
        <w:footnoteRef/>
      </w:r>
      <w:r>
        <w:t xml:space="preserve"> </w:t>
      </w:r>
      <w:r w:rsidRPr="00120BAA">
        <w:t xml:space="preserve">Meyer JM, </w:t>
      </w:r>
      <w:proofErr w:type="spellStart"/>
      <w:r w:rsidRPr="00120BAA">
        <w:t>Loebel</w:t>
      </w:r>
      <w:proofErr w:type="spellEnd"/>
      <w:r w:rsidRPr="00120BAA">
        <w:t xml:space="preserve"> AD, </w:t>
      </w:r>
      <w:proofErr w:type="spellStart"/>
      <w:r w:rsidRPr="00120BAA">
        <w:t>Schweizer</w:t>
      </w:r>
      <w:proofErr w:type="spellEnd"/>
      <w:r w:rsidRPr="00120BAA">
        <w:t xml:space="preserve"> E. (2009) Lurasidone: a new drug in development for schizophrenia. </w:t>
      </w:r>
      <w:r w:rsidRPr="005F75CB">
        <w:rPr>
          <w:i/>
        </w:rPr>
        <w:t xml:space="preserve">Expert </w:t>
      </w:r>
      <w:proofErr w:type="spellStart"/>
      <w:r w:rsidRPr="005F75CB">
        <w:rPr>
          <w:i/>
        </w:rPr>
        <w:t>Opin</w:t>
      </w:r>
      <w:proofErr w:type="spellEnd"/>
      <w:r w:rsidRPr="005F75CB">
        <w:rPr>
          <w:i/>
        </w:rPr>
        <w:t xml:space="preserve"> </w:t>
      </w:r>
      <w:proofErr w:type="spellStart"/>
      <w:r w:rsidRPr="005F75CB">
        <w:rPr>
          <w:i/>
        </w:rPr>
        <w:t>Investig</w:t>
      </w:r>
      <w:proofErr w:type="spellEnd"/>
      <w:r w:rsidRPr="005F75CB">
        <w:rPr>
          <w:i/>
        </w:rPr>
        <w:t xml:space="preserve"> Drugs</w:t>
      </w:r>
      <w:r>
        <w:t xml:space="preserve"> 18</w:t>
      </w:r>
      <w:r w:rsidRPr="00120BAA">
        <w:t>:</w:t>
      </w:r>
      <w:r>
        <w:t xml:space="preserve"> </w:t>
      </w:r>
      <w:r w:rsidRPr="00120BAA">
        <w:t xml:space="preserve">1715-26; </w:t>
      </w:r>
      <w:proofErr w:type="spellStart"/>
      <w:r w:rsidRPr="00120BAA">
        <w:t>Citrome</w:t>
      </w:r>
      <w:proofErr w:type="spellEnd"/>
      <w:r w:rsidRPr="00120BAA">
        <w:t xml:space="preserve"> L. (2011) Lurasidone for schizophrenia: a review of the efficacy and safety profile for this newly approved second-generation antipsychotic. </w:t>
      </w:r>
      <w:proofErr w:type="spellStart"/>
      <w:r w:rsidRPr="005F75CB">
        <w:rPr>
          <w:i/>
        </w:rPr>
        <w:t>Int</w:t>
      </w:r>
      <w:proofErr w:type="spellEnd"/>
      <w:r w:rsidRPr="005F75CB">
        <w:rPr>
          <w:i/>
        </w:rPr>
        <w:t xml:space="preserve"> J </w:t>
      </w:r>
      <w:proofErr w:type="spellStart"/>
      <w:r w:rsidRPr="005F75CB">
        <w:rPr>
          <w:i/>
        </w:rPr>
        <w:t>Clin</w:t>
      </w:r>
      <w:proofErr w:type="spellEnd"/>
      <w:r w:rsidRPr="005F75CB">
        <w:rPr>
          <w:i/>
        </w:rPr>
        <w:t xml:space="preserve"> </w:t>
      </w:r>
      <w:proofErr w:type="spellStart"/>
      <w:r w:rsidRPr="005F75CB">
        <w:rPr>
          <w:i/>
        </w:rPr>
        <w:t>Pract</w:t>
      </w:r>
      <w:proofErr w:type="spellEnd"/>
      <w:r w:rsidRPr="005F75CB">
        <w:rPr>
          <w:i/>
        </w:rPr>
        <w:t>.</w:t>
      </w:r>
      <w:r w:rsidRPr="00120BAA">
        <w:t> 65:</w:t>
      </w:r>
      <w:r>
        <w:t xml:space="preserve"> </w:t>
      </w:r>
      <w:r w:rsidRPr="00120BAA">
        <w:t>189-210</w:t>
      </w:r>
      <w:r>
        <w:t>.</w:t>
      </w:r>
    </w:p>
  </w:footnote>
  <w:footnote w:id="9">
    <w:p w:rsidR="00C4577F" w:rsidRPr="006A5F42" w:rsidRDefault="00C4577F" w:rsidP="006A5F42">
      <w:pPr>
        <w:pStyle w:val="FootnoteText"/>
      </w:pPr>
      <w:r>
        <w:rPr>
          <w:rStyle w:val="FootnoteReference"/>
        </w:rPr>
        <w:footnoteRef/>
      </w:r>
      <w:r>
        <w:t xml:space="preserve"> Levant</w:t>
      </w:r>
      <w:r w:rsidRPr="004B34C6">
        <w:t xml:space="preserve"> B. (1997) The D3 dopamine receptor: Neurobiology and potentia</w:t>
      </w:r>
      <w:r>
        <w:t xml:space="preserve">l clinical relevance. </w:t>
      </w:r>
      <w:proofErr w:type="spellStart"/>
      <w:proofErr w:type="gramStart"/>
      <w:r w:rsidRPr="00EC4209">
        <w:rPr>
          <w:i/>
        </w:rPr>
        <w:t>Pharmacol</w:t>
      </w:r>
      <w:proofErr w:type="spellEnd"/>
      <w:r w:rsidRPr="00EC4209">
        <w:rPr>
          <w:i/>
        </w:rPr>
        <w:t xml:space="preserve"> Rev.</w:t>
      </w:r>
      <w:r w:rsidRPr="004B34C6">
        <w:t xml:space="preserve"> 49: 231-252</w:t>
      </w:r>
      <w:r>
        <w:t>.</w:t>
      </w:r>
      <w:proofErr w:type="gramEnd"/>
    </w:p>
  </w:footnote>
  <w:footnote w:id="10">
    <w:p w:rsidR="00ED1252" w:rsidRDefault="00ED1252" w:rsidP="006A5F42">
      <w:pPr>
        <w:pStyle w:val="FootnoteText"/>
      </w:pPr>
      <w:r>
        <w:rPr>
          <w:rStyle w:val="FootnoteReference"/>
        </w:rPr>
        <w:footnoteRef/>
      </w:r>
      <w:r>
        <w:t xml:space="preserve"> Bean AJ,</w:t>
      </w:r>
      <w:r w:rsidRPr="00BF7B1D">
        <w:t xml:space="preserve"> Roth RH. </w:t>
      </w:r>
      <w:proofErr w:type="gramStart"/>
      <w:r w:rsidRPr="00BF7B1D">
        <w:t xml:space="preserve">(1991) Effects of haloperidol administration on </w:t>
      </w:r>
      <w:r w:rsidRPr="006A5F42">
        <w:t>in</w:t>
      </w:r>
      <w:r w:rsidRPr="00BF7B1D">
        <w:t xml:space="preserve"> vivo extracellular dopamine in striatum and prefrontal cortex after partial dopamine lesions.</w:t>
      </w:r>
      <w:proofErr w:type="gramEnd"/>
      <w:r w:rsidRPr="00BF7B1D">
        <w:t xml:space="preserve"> </w:t>
      </w:r>
      <w:r w:rsidRPr="00BF7B1D">
        <w:rPr>
          <w:i/>
        </w:rPr>
        <w:t>Brain Res.</w:t>
      </w:r>
      <w:r w:rsidRPr="00BF7B1D">
        <w:t xml:space="preserve"> 549: 155-158</w:t>
      </w:r>
      <w:r>
        <w:t>.</w:t>
      </w:r>
    </w:p>
  </w:footnote>
  <w:footnote w:id="11">
    <w:p w:rsidR="00ED1252" w:rsidRDefault="00ED1252" w:rsidP="006A5F42">
      <w:pPr>
        <w:pStyle w:val="FootnoteText"/>
      </w:pPr>
      <w:r>
        <w:rPr>
          <w:rStyle w:val="FootnoteReference"/>
        </w:rPr>
        <w:footnoteRef/>
      </w:r>
      <w:r>
        <w:t xml:space="preserve"> Ichikawa J, et al. </w:t>
      </w:r>
      <w:r w:rsidRPr="00961743">
        <w:t xml:space="preserve">(1998) Effect of antipsychotic drugs on </w:t>
      </w:r>
      <w:r w:rsidRPr="006A5F42">
        <w:t>extracellular</w:t>
      </w:r>
      <w:r w:rsidRPr="00961743">
        <w:t xml:space="preserve"> serotonin levels in rat medial prefrontal co</w:t>
      </w:r>
      <w:r>
        <w:t xml:space="preserve">rtex and nucleus </w:t>
      </w:r>
      <w:proofErr w:type="spellStart"/>
      <w:r>
        <w:t>accumbens</w:t>
      </w:r>
      <w:proofErr w:type="spellEnd"/>
      <w:r>
        <w:t xml:space="preserve">. </w:t>
      </w:r>
      <w:proofErr w:type="spellStart"/>
      <w:r w:rsidRPr="00961743">
        <w:rPr>
          <w:i/>
        </w:rPr>
        <w:t>Eur</w:t>
      </w:r>
      <w:proofErr w:type="spellEnd"/>
      <w:r w:rsidRPr="00961743">
        <w:rPr>
          <w:i/>
        </w:rPr>
        <w:t xml:space="preserve"> J </w:t>
      </w:r>
      <w:proofErr w:type="spellStart"/>
      <w:r w:rsidRPr="00961743">
        <w:rPr>
          <w:i/>
        </w:rPr>
        <w:t>Pharmacol</w:t>
      </w:r>
      <w:proofErr w:type="spellEnd"/>
      <w:r w:rsidRPr="00961743">
        <w:rPr>
          <w:i/>
        </w:rPr>
        <w:t>.</w:t>
      </w:r>
      <w:r w:rsidRPr="00961743">
        <w:t xml:space="preserve"> 351:</w:t>
      </w:r>
      <w:r>
        <w:t xml:space="preserve"> </w:t>
      </w:r>
      <w:r w:rsidRPr="00961743">
        <w:t>163-171</w:t>
      </w:r>
      <w:r>
        <w:t>.</w:t>
      </w:r>
    </w:p>
  </w:footnote>
  <w:footnote w:id="12">
    <w:p w:rsidR="00C4577F" w:rsidRDefault="00C4577F" w:rsidP="006A5F42">
      <w:pPr>
        <w:pStyle w:val="FootnoteText"/>
      </w:pPr>
      <w:r>
        <w:rPr>
          <w:rStyle w:val="FootnoteReference"/>
        </w:rPr>
        <w:footnoteRef/>
      </w:r>
      <w:r>
        <w:t xml:space="preserve"> In cardiology, the QT interval is a </w:t>
      </w:r>
      <w:r w:rsidRPr="006A5F42">
        <w:t>measure</w:t>
      </w:r>
      <w:r>
        <w:t xml:space="preserve"> of the time between the start of the Q wave and the end of the T wave in the heart’s electrical cycle.</w:t>
      </w:r>
    </w:p>
  </w:footnote>
  <w:footnote w:id="13">
    <w:p w:rsidR="00C4577F" w:rsidRDefault="00C4577F" w:rsidP="00624C71">
      <w:pPr>
        <w:pStyle w:val="FootnoteText"/>
      </w:pPr>
      <w:r>
        <w:rPr>
          <w:rStyle w:val="FootnoteReference"/>
        </w:rPr>
        <w:footnoteRef/>
      </w:r>
      <w:r>
        <w:t xml:space="preserve"> </w:t>
      </w:r>
      <w:r w:rsidRPr="00264719">
        <w:t xml:space="preserve">European Medicines </w:t>
      </w:r>
      <w:r w:rsidRPr="00E86CA1">
        <w:t>Agency, “</w:t>
      </w:r>
      <w:r w:rsidRPr="00D70133">
        <w:t xml:space="preserve">Committee for Human Medicinal </w:t>
      </w:r>
      <w:r w:rsidRPr="00624C71">
        <w:t>Products</w:t>
      </w:r>
      <w:r w:rsidRPr="00D70133">
        <w:t xml:space="preserve"> (CHMP)</w:t>
      </w:r>
      <w:r>
        <w:t xml:space="preserve">: </w:t>
      </w:r>
      <w:r w:rsidRPr="00D70133">
        <w:t>Guideline on the Investigation of Drug Interactions</w:t>
      </w:r>
      <w:r>
        <w:t xml:space="preserve"> (CPMP/EWP/560/95/Rev. 1)</w:t>
      </w:r>
      <w:r w:rsidRPr="00E86CA1">
        <w:t xml:space="preserve">”, </w:t>
      </w:r>
      <w:r w:rsidRPr="00D70133">
        <w:t>21 June 2012</w:t>
      </w:r>
      <w:r>
        <w:t>.</w:t>
      </w:r>
    </w:p>
  </w:footnote>
  <w:footnote w:id="14">
    <w:p w:rsidR="00C4577F" w:rsidRDefault="00C4577F" w:rsidP="00624C71">
      <w:pPr>
        <w:pStyle w:val="FootnoteText"/>
      </w:pPr>
      <w:r>
        <w:rPr>
          <w:rStyle w:val="FootnoteReference"/>
        </w:rPr>
        <w:footnoteRef/>
      </w:r>
      <w:r>
        <w:t xml:space="preserve"> </w:t>
      </w:r>
      <w:r w:rsidRPr="00264719">
        <w:t xml:space="preserve">European Medicines </w:t>
      </w:r>
      <w:r w:rsidRPr="00E86CA1">
        <w:t>Agency, “</w:t>
      </w:r>
      <w:r w:rsidRPr="00D70133">
        <w:t xml:space="preserve">Committee for Human Medicinal </w:t>
      </w:r>
      <w:r w:rsidRPr="00624C71">
        <w:t>Products</w:t>
      </w:r>
      <w:r w:rsidRPr="00D70133">
        <w:t xml:space="preserve"> (CHMP)</w:t>
      </w:r>
      <w:r>
        <w:t xml:space="preserve">: </w:t>
      </w:r>
      <w:r w:rsidRPr="00D70133">
        <w:t>Guideline on the Investigation of Drug Interactions</w:t>
      </w:r>
      <w:r>
        <w:t xml:space="preserve"> (CPMP/EWP/560/95/Rev. 1)</w:t>
      </w:r>
      <w:r w:rsidRPr="00E86CA1">
        <w:t xml:space="preserve">”, </w:t>
      </w:r>
      <w:r w:rsidRPr="00D70133">
        <w:t>21 June 2012</w:t>
      </w:r>
      <w:r>
        <w:t>.</w:t>
      </w:r>
    </w:p>
  </w:footnote>
  <w:footnote w:id="15">
    <w:p w:rsidR="00C4577F" w:rsidRDefault="00C4577F" w:rsidP="00BD4594">
      <w:pPr>
        <w:pStyle w:val="FootnoteText"/>
      </w:pPr>
      <w:r>
        <w:rPr>
          <w:rStyle w:val="FootnoteReference"/>
        </w:rPr>
        <w:footnoteRef/>
      </w:r>
      <w:r>
        <w:t xml:space="preserve"> </w:t>
      </w:r>
      <w:proofErr w:type="gramStart"/>
      <w:r>
        <w:t>Woodman D</w:t>
      </w:r>
      <w:r w:rsidRPr="001A06F5">
        <w:t>D. (1997) Laboratory animal endocrinology.</w:t>
      </w:r>
      <w:proofErr w:type="gramEnd"/>
      <w:r w:rsidRPr="001A06F5">
        <w:t xml:space="preserve"> Chichester UK: John Wiley &amp; Sons</w:t>
      </w:r>
      <w:r>
        <w:t>; Yen SS</w:t>
      </w:r>
      <w:r w:rsidRPr="001A06F5">
        <w:t>C</w:t>
      </w:r>
      <w:r>
        <w:t>, Jaffe R</w:t>
      </w:r>
      <w:r w:rsidRPr="001A06F5">
        <w:t xml:space="preserve">B. </w:t>
      </w:r>
      <w:proofErr w:type="gramStart"/>
      <w:r w:rsidRPr="001A06F5">
        <w:t>(1999) Prolactin in human reprodu</w:t>
      </w:r>
      <w:r>
        <w:t>ction.</w:t>
      </w:r>
      <w:proofErr w:type="gramEnd"/>
      <w:r>
        <w:t xml:space="preserve"> In: Yen SSC, Jaffe RB, </w:t>
      </w:r>
      <w:proofErr w:type="spellStart"/>
      <w:r w:rsidRPr="001A06F5">
        <w:t>Barbieri</w:t>
      </w:r>
      <w:proofErr w:type="spellEnd"/>
      <w:r w:rsidRPr="001A06F5">
        <w:t xml:space="preserve"> RI, eds. Reproductive endocrinology, 4th ed., Philadelphia: WB Saunders Co., p. 257-283</w:t>
      </w:r>
      <w:r>
        <w:t>.</w:t>
      </w:r>
    </w:p>
  </w:footnote>
  <w:footnote w:id="16">
    <w:p w:rsidR="00C4577F" w:rsidRDefault="00C4577F" w:rsidP="00BD4594">
      <w:pPr>
        <w:pStyle w:val="FootnoteText"/>
      </w:pPr>
      <w:r>
        <w:rPr>
          <w:rStyle w:val="FootnoteReference"/>
        </w:rPr>
        <w:footnoteRef/>
      </w:r>
      <w:r>
        <w:t xml:space="preserve"> </w:t>
      </w:r>
      <w:proofErr w:type="gramStart"/>
      <w:r>
        <w:t>Smith M</w:t>
      </w:r>
      <w:r w:rsidRPr="00AB35D9">
        <w:t xml:space="preserve">S. (1980) Role of prolactin in regulating </w:t>
      </w:r>
      <w:r w:rsidRPr="00BD4594">
        <w:t>gonadotropin</w:t>
      </w:r>
      <w:r w:rsidRPr="00AB35D9">
        <w:t xml:space="preserve"> secretion and gonad function in female rats.</w:t>
      </w:r>
      <w:proofErr w:type="gramEnd"/>
      <w:r w:rsidRPr="00AB35D9">
        <w:t xml:space="preserve"> </w:t>
      </w:r>
      <w:proofErr w:type="gramStart"/>
      <w:r w:rsidRPr="00AB35D9">
        <w:rPr>
          <w:i/>
        </w:rPr>
        <w:t>Fed Proc.</w:t>
      </w:r>
      <w:r w:rsidRPr="00AB35D9">
        <w:t xml:space="preserve"> 39: 2571-2576</w:t>
      </w:r>
      <w:r>
        <w:t xml:space="preserve">; </w:t>
      </w:r>
      <w:proofErr w:type="spellStart"/>
      <w:r>
        <w:t>Onclin</w:t>
      </w:r>
      <w:proofErr w:type="spellEnd"/>
      <w:r>
        <w:t xml:space="preserve"> K</w:t>
      </w:r>
      <w:r w:rsidRPr="00AB35D9">
        <w:t xml:space="preserve">, </w:t>
      </w:r>
      <w:r>
        <w:t>et al.</w:t>
      </w:r>
      <w:r w:rsidRPr="00AB35D9">
        <w:t xml:space="preserve"> (1993) </w:t>
      </w:r>
      <w:proofErr w:type="spellStart"/>
      <w:r w:rsidRPr="00AB35D9">
        <w:t>Luteotrophic</w:t>
      </w:r>
      <w:proofErr w:type="spellEnd"/>
      <w:r w:rsidRPr="00AB35D9">
        <w:t xml:space="preserve"> action of prolactin in dogs and the effects of a dopamine agonist, </w:t>
      </w:r>
      <w:proofErr w:type="spellStart"/>
      <w:r w:rsidRPr="00AB35D9">
        <w:t>cabergoline</w:t>
      </w:r>
      <w:proofErr w:type="spellEnd"/>
      <w:r>
        <w:t>.</w:t>
      </w:r>
      <w:proofErr w:type="gramEnd"/>
      <w:r>
        <w:t xml:space="preserve"> </w:t>
      </w:r>
      <w:proofErr w:type="gramStart"/>
      <w:r w:rsidRPr="00AB35D9">
        <w:rPr>
          <w:i/>
        </w:rPr>
        <w:t xml:space="preserve">J </w:t>
      </w:r>
      <w:proofErr w:type="spellStart"/>
      <w:r w:rsidRPr="00AB35D9">
        <w:rPr>
          <w:i/>
        </w:rPr>
        <w:t>Reprod</w:t>
      </w:r>
      <w:proofErr w:type="spellEnd"/>
      <w:r w:rsidRPr="00AB35D9">
        <w:rPr>
          <w:i/>
        </w:rPr>
        <w:t xml:space="preserve"> </w:t>
      </w:r>
      <w:proofErr w:type="spellStart"/>
      <w:r w:rsidRPr="00AB35D9">
        <w:rPr>
          <w:i/>
        </w:rPr>
        <w:t>Fertil</w:t>
      </w:r>
      <w:proofErr w:type="spellEnd"/>
      <w:r w:rsidRPr="00AB35D9">
        <w:rPr>
          <w:i/>
        </w:rPr>
        <w:t>.</w:t>
      </w:r>
      <w:proofErr w:type="gramEnd"/>
      <w:r w:rsidRPr="00AB35D9">
        <w:rPr>
          <w:i/>
        </w:rPr>
        <w:t xml:space="preserve"> </w:t>
      </w:r>
      <w:r w:rsidRPr="00AB35D9">
        <w:t>47:</w:t>
      </w:r>
      <w:r>
        <w:t xml:space="preserve"> </w:t>
      </w:r>
      <w:r w:rsidRPr="00AB35D9">
        <w:t>403-409</w:t>
      </w:r>
      <w:r>
        <w:t>.</w:t>
      </w:r>
    </w:p>
  </w:footnote>
  <w:footnote w:id="17">
    <w:p w:rsidR="00C4577F" w:rsidRPr="00BD4594" w:rsidRDefault="00C4577F" w:rsidP="00BD4594">
      <w:pPr>
        <w:pStyle w:val="FootnoteText"/>
      </w:pPr>
      <w:r>
        <w:rPr>
          <w:rStyle w:val="FootnoteReference"/>
        </w:rPr>
        <w:footnoteRef/>
      </w:r>
      <w:r>
        <w:t xml:space="preserve"> </w:t>
      </w:r>
      <w:proofErr w:type="gramStart"/>
      <w:r>
        <w:t>Smith M</w:t>
      </w:r>
      <w:r w:rsidRPr="00AB35D9">
        <w:t>S. (1980) Role of prolactin in regulating gonadotropin secretion and gonad function in female rats.</w:t>
      </w:r>
      <w:proofErr w:type="gramEnd"/>
      <w:r w:rsidRPr="00AB35D9">
        <w:t xml:space="preserve"> </w:t>
      </w:r>
      <w:proofErr w:type="gramStart"/>
      <w:r w:rsidRPr="00AB35D9">
        <w:rPr>
          <w:i/>
        </w:rPr>
        <w:t>Fed Proc.</w:t>
      </w:r>
      <w:r w:rsidRPr="00AB35D9">
        <w:t xml:space="preserve"> 39: 2571-2576</w:t>
      </w:r>
      <w:r>
        <w:t>.</w:t>
      </w:r>
      <w:proofErr w:type="gramEnd"/>
    </w:p>
  </w:footnote>
  <w:footnote w:id="18">
    <w:p w:rsidR="00C4577F" w:rsidRDefault="00C4577F" w:rsidP="00BD4594">
      <w:pPr>
        <w:pStyle w:val="FootnoteText"/>
      </w:pPr>
      <w:r>
        <w:rPr>
          <w:rStyle w:val="FootnoteReference"/>
        </w:rPr>
        <w:footnoteRef/>
      </w:r>
      <w:r>
        <w:t xml:space="preserve"> </w:t>
      </w:r>
      <w:proofErr w:type="spellStart"/>
      <w:r>
        <w:t>Seriwatanachai</w:t>
      </w:r>
      <w:proofErr w:type="spellEnd"/>
      <w:r w:rsidRPr="0057632A">
        <w:t xml:space="preserve"> D</w:t>
      </w:r>
      <w:r>
        <w:t>, et al.</w:t>
      </w:r>
      <w:r w:rsidRPr="0057632A">
        <w:t xml:space="preserve"> (2008) Prolactin directly enhances bone turnover by </w:t>
      </w:r>
      <w:r w:rsidRPr="00BD4594">
        <w:t>raising</w:t>
      </w:r>
      <w:r w:rsidRPr="0057632A">
        <w:t xml:space="preserve"> osteoblast-expressed receptor activator of nuclear factor </w:t>
      </w:r>
      <w:proofErr w:type="spellStart"/>
      <w:r w:rsidRPr="0057632A">
        <w:t>κB</w:t>
      </w:r>
      <w:proofErr w:type="spellEnd"/>
      <w:r w:rsidRPr="0057632A">
        <w:t xml:space="preserve"> ligand/</w:t>
      </w:r>
      <w:proofErr w:type="spellStart"/>
      <w:r w:rsidRPr="0057632A">
        <w:t>oste</w:t>
      </w:r>
      <w:r>
        <w:t>oprotegerin</w:t>
      </w:r>
      <w:proofErr w:type="spellEnd"/>
      <w:r>
        <w:t xml:space="preserve"> ratio. </w:t>
      </w:r>
      <w:r w:rsidRPr="0057632A">
        <w:rPr>
          <w:i/>
        </w:rPr>
        <w:t>Bone</w:t>
      </w:r>
      <w:r>
        <w:t xml:space="preserve"> 42: 535-</w:t>
      </w:r>
      <w:r w:rsidRPr="0057632A">
        <w:t>546</w:t>
      </w:r>
      <w:r>
        <w:t>.</w:t>
      </w:r>
    </w:p>
  </w:footnote>
  <w:footnote w:id="19">
    <w:p w:rsidR="00C4577F" w:rsidRDefault="00C4577F" w:rsidP="00BD4594">
      <w:pPr>
        <w:pStyle w:val="FootnoteText"/>
      </w:pPr>
      <w:r>
        <w:rPr>
          <w:rStyle w:val="FootnoteReference"/>
        </w:rPr>
        <w:footnoteRef/>
      </w:r>
      <w:r>
        <w:t xml:space="preserve"> Moore BJ, et al</w:t>
      </w:r>
      <w:r w:rsidRPr="00780B8C">
        <w:t xml:space="preserve">. (1986) </w:t>
      </w:r>
      <w:proofErr w:type="spellStart"/>
      <w:r w:rsidRPr="00780B8C">
        <w:t>Hyperprolactinemia</w:t>
      </w:r>
      <w:proofErr w:type="spellEnd"/>
      <w:r w:rsidRPr="00780B8C">
        <w:t xml:space="preserve"> stimulates food </w:t>
      </w:r>
      <w:r w:rsidRPr="00BD4594">
        <w:t>intake</w:t>
      </w:r>
      <w:r w:rsidRPr="00780B8C">
        <w:t xml:space="preserve"> in the female rat. </w:t>
      </w:r>
      <w:r w:rsidRPr="00780B8C">
        <w:rPr>
          <w:i/>
        </w:rPr>
        <w:t>Brain Res. Bull.</w:t>
      </w:r>
      <w:r w:rsidRPr="00780B8C">
        <w:t xml:space="preserve"> 17:</w:t>
      </w:r>
      <w:r>
        <w:t xml:space="preserve"> </w:t>
      </w:r>
      <w:r w:rsidRPr="00780B8C">
        <w:t>563-569</w:t>
      </w:r>
      <w:r>
        <w:t>.</w:t>
      </w:r>
    </w:p>
  </w:footnote>
  <w:footnote w:id="20">
    <w:p w:rsidR="00C4577F" w:rsidRDefault="00C4577F" w:rsidP="00BD4594">
      <w:pPr>
        <w:pStyle w:val="FootnoteText"/>
      </w:pPr>
      <w:r>
        <w:rPr>
          <w:rStyle w:val="FootnoteReference"/>
        </w:rPr>
        <w:footnoteRef/>
      </w:r>
      <w:r>
        <w:t xml:space="preserve"> Harvey P</w:t>
      </w:r>
      <w:r w:rsidRPr="00511DBD">
        <w:t xml:space="preserve">W. (2005) Human relevance </w:t>
      </w:r>
      <w:r w:rsidRPr="00BD4594">
        <w:t>of</w:t>
      </w:r>
      <w:r w:rsidRPr="00511DBD">
        <w:t xml:space="preserve"> rodent prolactin-induced non-</w:t>
      </w:r>
      <w:proofErr w:type="spellStart"/>
      <w:r w:rsidRPr="00511DBD">
        <w:t>genotoxic</w:t>
      </w:r>
      <w:proofErr w:type="spellEnd"/>
      <w:r w:rsidRPr="00511DBD">
        <w:t xml:space="preserve"> mammary carcinogenesis: prolactin involvement in human breast cancer and significance of toxicology risk assessments. </w:t>
      </w:r>
      <w:proofErr w:type="gramStart"/>
      <w:r w:rsidRPr="00511DBD">
        <w:rPr>
          <w:i/>
        </w:rPr>
        <w:t xml:space="preserve">J </w:t>
      </w:r>
      <w:proofErr w:type="spellStart"/>
      <w:r w:rsidRPr="00511DBD">
        <w:rPr>
          <w:i/>
        </w:rPr>
        <w:t>Appl</w:t>
      </w:r>
      <w:proofErr w:type="spellEnd"/>
      <w:r w:rsidRPr="00511DBD">
        <w:rPr>
          <w:i/>
        </w:rPr>
        <w:t xml:space="preserve"> </w:t>
      </w:r>
      <w:proofErr w:type="spellStart"/>
      <w:r w:rsidRPr="00511DBD">
        <w:rPr>
          <w:i/>
        </w:rPr>
        <w:t>Toxicol</w:t>
      </w:r>
      <w:proofErr w:type="spellEnd"/>
      <w:r w:rsidRPr="00511DBD">
        <w:rPr>
          <w:i/>
        </w:rPr>
        <w:t>.</w:t>
      </w:r>
      <w:proofErr w:type="gramEnd"/>
      <w:r>
        <w:t xml:space="preserve"> </w:t>
      </w:r>
      <w:r w:rsidRPr="00511DBD">
        <w:t>25: 179-183</w:t>
      </w:r>
      <w:r>
        <w:t xml:space="preserve">; Harvey PW, et al. </w:t>
      </w:r>
      <w:r w:rsidRPr="0042151C">
        <w:t xml:space="preserve">(2006) </w:t>
      </w:r>
      <w:proofErr w:type="spellStart"/>
      <w:r w:rsidRPr="0042151C">
        <w:t>Hyperprolactinemia</w:t>
      </w:r>
      <w:proofErr w:type="spellEnd"/>
      <w:r w:rsidRPr="0042151C">
        <w:t xml:space="preserve"> as an adverse effect in rodents and regulatory and clinical toxicology: role in breas</w:t>
      </w:r>
      <w:r>
        <w:t xml:space="preserve">t and prostate cancer. </w:t>
      </w:r>
      <w:r w:rsidRPr="0042151C">
        <w:rPr>
          <w:i/>
        </w:rPr>
        <w:t xml:space="preserve">Hum </w:t>
      </w:r>
      <w:proofErr w:type="spellStart"/>
      <w:r w:rsidRPr="0042151C">
        <w:rPr>
          <w:i/>
        </w:rPr>
        <w:t>Exp</w:t>
      </w:r>
      <w:proofErr w:type="spellEnd"/>
      <w:r w:rsidRPr="0042151C">
        <w:rPr>
          <w:i/>
        </w:rPr>
        <w:t xml:space="preserve"> </w:t>
      </w:r>
      <w:proofErr w:type="spellStart"/>
      <w:r w:rsidRPr="0042151C">
        <w:rPr>
          <w:i/>
        </w:rPr>
        <w:t>Toxicol</w:t>
      </w:r>
      <w:proofErr w:type="spellEnd"/>
      <w:r w:rsidRPr="0042151C">
        <w:rPr>
          <w:i/>
        </w:rPr>
        <w:t xml:space="preserve">. </w:t>
      </w:r>
      <w:r w:rsidRPr="0042151C">
        <w:t>25: 395-404</w:t>
      </w:r>
      <w:r>
        <w:t xml:space="preserve">; Hargreaves A, </w:t>
      </w:r>
      <w:proofErr w:type="spellStart"/>
      <w:r>
        <w:t>Harleman</w:t>
      </w:r>
      <w:proofErr w:type="spellEnd"/>
      <w:r w:rsidRPr="00EE3189">
        <w:t xml:space="preserve"> J. (2011) Preclinical risk assessment of drug-induced </w:t>
      </w:r>
      <w:r>
        <w:t xml:space="preserve">hypo- and </w:t>
      </w:r>
      <w:proofErr w:type="spellStart"/>
      <w:r>
        <w:t>hyperprolactinemia</w:t>
      </w:r>
      <w:proofErr w:type="spellEnd"/>
      <w:r>
        <w:t xml:space="preserve">. </w:t>
      </w:r>
      <w:proofErr w:type="gramStart"/>
      <w:r w:rsidRPr="00EE3189">
        <w:rPr>
          <w:i/>
        </w:rPr>
        <w:t xml:space="preserve">J </w:t>
      </w:r>
      <w:proofErr w:type="spellStart"/>
      <w:r w:rsidRPr="00EE3189">
        <w:rPr>
          <w:i/>
        </w:rPr>
        <w:t>Appl</w:t>
      </w:r>
      <w:proofErr w:type="spellEnd"/>
      <w:r w:rsidRPr="00EE3189">
        <w:rPr>
          <w:i/>
        </w:rPr>
        <w:t xml:space="preserve"> </w:t>
      </w:r>
      <w:proofErr w:type="spellStart"/>
      <w:r w:rsidRPr="00EE3189">
        <w:rPr>
          <w:i/>
        </w:rPr>
        <w:t>Toxicol</w:t>
      </w:r>
      <w:proofErr w:type="spellEnd"/>
      <w:r w:rsidRPr="00EE3189">
        <w:rPr>
          <w:i/>
        </w:rPr>
        <w:t>.</w:t>
      </w:r>
      <w:proofErr w:type="gramEnd"/>
      <w:r w:rsidRPr="00EE3189">
        <w:t xml:space="preserve"> 31: 599-607</w:t>
      </w:r>
      <w:r>
        <w:t>; Harvey P</w:t>
      </w:r>
      <w:r w:rsidRPr="00EE3189">
        <w:t xml:space="preserve">W. (2012) Hypothesis Prolactin is tumorigenic to human breast: dispelling the myth that prolactin-induced mammary </w:t>
      </w:r>
      <w:proofErr w:type="spellStart"/>
      <w:r w:rsidRPr="00EE3189">
        <w:t>tumo</w:t>
      </w:r>
      <w:r>
        <w:t>rs</w:t>
      </w:r>
      <w:proofErr w:type="spellEnd"/>
      <w:r>
        <w:t xml:space="preserve"> are rodent-specific. </w:t>
      </w:r>
      <w:proofErr w:type="gramStart"/>
      <w:r w:rsidRPr="00EE3189">
        <w:rPr>
          <w:i/>
        </w:rPr>
        <w:t xml:space="preserve">J </w:t>
      </w:r>
      <w:proofErr w:type="spellStart"/>
      <w:r w:rsidRPr="00EE3189">
        <w:rPr>
          <w:i/>
        </w:rPr>
        <w:t>Appl</w:t>
      </w:r>
      <w:proofErr w:type="spellEnd"/>
      <w:r w:rsidRPr="00EE3189">
        <w:rPr>
          <w:i/>
        </w:rPr>
        <w:t xml:space="preserve"> </w:t>
      </w:r>
      <w:proofErr w:type="spellStart"/>
      <w:r w:rsidRPr="00EE3189">
        <w:rPr>
          <w:i/>
        </w:rPr>
        <w:t>Toxicol</w:t>
      </w:r>
      <w:proofErr w:type="spellEnd"/>
      <w:r w:rsidRPr="00EE3189">
        <w:rPr>
          <w:i/>
        </w:rPr>
        <w:t>.</w:t>
      </w:r>
      <w:proofErr w:type="gramEnd"/>
      <w:r w:rsidRPr="00EE3189">
        <w:rPr>
          <w:i/>
        </w:rPr>
        <w:t xml:space="preserve"> </w:t>
      </w:r>
      <w:r w:rsidRPr="00EE3189">
        <w:t>32: 1-9</w:t>
      </w:r>
      <w:r>
        <w:t>.</w:t>
      </w:r>
    </w:p>
  </w:footnote>
  <w:footnote w:id="21">
    <w:p w:rsidR="00C4577F" w:rsidRDefault="00C4577F" w:rsidP="00BD4594">
      <w:pPr>
        <w:pStyle w:val="FootnoteText"/>
      </w:pPr>
      <w:r>
        <w:rPr>
          <w:rStyle w:val="FootnoteReference"/>
        </w:rPr>
        <w:footnoteRef/>
      </w:r>
      <w:r>
        <w:t xml:space="preserve"> </w:t>
      </w:r>
      <w:proofErr w:type="spellStart"/>
      <w:r>
        <w:t>Gopinath</w:t>
      </w:r>
      <w:proofErr w:type="spellEnd"/>
      <w:r w:rsidRPr="004E5658">
        <w:t xml:space="preserve"> C. (1995) </w:t>
      </w:r>
      <w:proofErr w:type="gramStart"/>
      <w:r w:rsidRPr="004E5658">
        <w:t>The</w:t>
      </w:r>
      <w:proofErr w:type="gramEnd"/>
      <w:r w:rsidRPr="004E5658">
        <w:t xml:space="preserve"> predictive </w:t>
      </w:r>
      <w:r w:rsidRPr="00BD4594">
        <w:t>value</w:t>
      </w:r>
      <w:r w:rsidRPr="004E5658">
        <w:t xml:space="preserve"> of pathological findings in anima</w:t>
      </w:r>
      <w:r>
        <w:t xml:space="preserve">l toxicity studies. </w:t>
      </w:r>
      <w:proofErr w:type="gramStart"/>
      <w:r w:rsidRPr="004E5658">
        <w:rPr>
          <w:i/>
        </w:rPr>
        <w:t xml:space="preserve">J </w:t>
      </w:r>
      <w:proofErr w:type="spellStart"/>
      <w:r w:rsidRPr="004E5658">
        <w:rPr>
          <w:i/>
        </w:rPr>
        <w:t>Toxicol</w:t>
      </w:r>
      <w:proofErr w:type="spellEnd"/>
      <w:r w:rsidRPr="004E5658">
        <w:rPr>
          <w:i/>
        </w:rPr>
        <w:t xml:space="preserve"> Path.</w:t>
      </w:r>
      <w:proofErr w:type="gramEnd"/>
      <w:r w:rsidRPr="004E5658">
        <w:t xml:space="preserve"> 8: 89-100</w:t>
      </w:r>
      <w:r>
        <w:t>;</w:t>
      </w:r>
      <w:r w:rsidRPr="00511DBD">
        <w:t xml:space="preserve"> </w:t>
      </w:r>
      <w:proofErr w:type="spellStart"/>
      <w:r w:rsidRPr="00511DBD">
        <w:t>Gopi</w:t>
      </w:r>
      <w:r>
        <w:t>nath</w:t>
      </w:r>
      <w:proofErr w:type="spellEnd"/>
      <w:r>
        <w:t xml:space="preserve"> </w:t>
      </w:r>
      <w:r w:rsidRPr="00511DBD">
        <w:t xml:space="preserve">C. (1999) Comparative endocrine carcinogenesis. </w:t>
      </w:r>
      <w:proofErr w:type="gramStart"/>
      <w:r w:rsidRPr="00511DBD">
        <w:t xml:space="preserve">In Endocrine </w:t>
      </w:r>
      <w:r>
        <w:t>and Hormonal Toxicology, Harvey PW, Rush KC and Cockburn</w:t>
      </w:r>
      <w:r w:rsidRPr="00511DBD">
        <w:t xml:space="preserve"> A. (eds.) Wiley, Chichester</w:t>
      </w:r>
      <w:r>
        <w:t>.</w:t>
      </w:r>
      <w:proofErr w:type="gramEnd"/>
    </w:p>
  </w:footnote>
  <w:footnote w:id="22">
    <w:p w:rsidR="00C4577F" w:rsidRDefault="00C4577F" w:rsidP="00BD4594">
      <w:pPr>
        <w:pStyle w:val="FootnoteText"/>
      </w:pPr>
      <w:r>
        <w:rPr>
          <w:rStyle w:val="FootnoteReference"/>
        </w:rPr>
        <w:footnoteRef/>
      </w:r>
      <w:r>
        <w:t xml:space="preserve"> Harvey P</w:t>
      </w:r>
      <w:r w:rsidRPr="00EE3189">
        <w:t xml:space="preserve">W. (2012) Hypothesis </w:t>
      </w:r>
      <w:r w:rsidRPr="00BD4594">
        <w:t>Prolactin</w:t>
      </w:r>
      <w:r w:rsidRPr="00EE3189">
        <w:t xml:space="preserve"> is tumorigenic to human breast: dispelling the myth that prolactin-induced mammary </w:t>
      </w:r>
      <w:proofErr w:type="spellStart"/>
      <w:r w:rsidRPr="00EE3189">
        <w:t>tumo</w:t>
      </w:r>
      <w:r>
        <w:t>rs</w:t>
      </w:r>
      <w:proofErr w:type="spellEnd"/>
      <w:r>
        <w:t xml:space="preserve"> are rodent-specific. </w:t>
      </w:r>
      <w:proofErr w:type="gramStart"/>
      <w:r w:rsidRPr="00EE3189">
        <w:rPr>
          <w:i/>
        </w:rPr>
        <w:t xml:space="preserve">J </w:t>
      </w:r>
      <w:proofErr w:type="spellStart"/>
      <w:r w:rsidRPr="00EE3189">
        <w:rPr>
          <w:i/>
        </w:rPr>
        <w:t>Appl</w:t>
      </w:r>
      <w:proofErr w:type="spellEnd"/>
      <w:r w:rsidRPr="00EE3189">
        <w:rPr>
          <w:i/>
        </w:rPr>
        <w:t xml:space="preserve"> </w:t>
      </w:r>
      <w:proofErr w:type="spellStart"/>
      <w:r w:rsidRPr="00EE3189">
        <w:rPr>
          <w:i/>
        </w:rPr>
        <w:t>Toxicol</w:t>
      </w:r>
      <w:proofErr w:type="spellEnd"/>
      <w:r w:rsidRPr="00EE3189">
        <w:rPr>
          <w:i/>
        </w:rPr>
        <w:t>.</w:t>
      </w:r>
      <w:proofErr w:type="gramEnd"/>
      <w:r w:rsidRPr="00EE3189">
        <w:rPr>
          <w:i/>
        </w:rPr>
        <w:t xml:space="preserve"> </w:t>
      </w:r>
      <w:r w:rsidRPr="00EE3189">
        <w:t>32: 1-9</w:t>
      </w:r>
      <w:r>
        <w:t>.</w:t>
      </w:r>
    </w:p>
  </w:footnote>
  <w:footnote w:id="23">
    <w:p w:rsidR="00C4577F" w:rsidRDefault="00C4577F" w:rsidP="00BD4594">
      <w:pPr>
        <w:pStyle w:val="FootnoteText"/>
      </w:pPr>
      <w:r>
        <w:rPr>
          <w:rStyle w:val="FootnoteReference"/>
        </w:rPr>
        <w:footnoteRef/>
      </w:r>
      <w:r>
        <w:t xml:space="preserve"> TGA pregnancy category B1: </w:t>
      </w:r>
      <w:r w:rsidRPr="00D33FF7">
        <w:t>Drugs which have been taken by only a limited number of pregnant women and women of childbearing age, without an increase in the frequency of malformation or other direct or indirect harmful effects on the human f</w:t>
      </w:r>
      <w:r>
        <w:t>o</w:t>
      </w:r>
      <w:r w:rsidRPr="00D33FF7">
        <w:t xml:space="preserve">etus having been </w:t>
      </w:r>
      <w:r w:rsidRPr="00BD4594">
        <w:t>observed</w:t>
      </w:r>
      <w:r w:rsidRPr="00D33FF7">
        <w:t>.</w:t>
      </w:r>
      <w:r>
        <w:t xml:space="preserve"> </w:t>
      </w:r>
      <w:r w:rsidRPr="00D33FF7">
        <w:t>Studies in animals have not shown evidence of an increased occurrence of f</w:t>
      </w:r>
      <w:r>
        <w:t>o</w:t>
      </w:r>
      <w:r w:rsidRPr="00D33FF7">
        <w:t>etal damage</w:t>
      </w:r>
      <w:r>
        <w:t>.</w:t>
      </w:r>
    </w:p>
  </w:footnote>
  <w:footnote w:id="24">
    <w:p w:rsidR="00C4577F" w:rsidRDefault="00C4577F" w:rsidP="0065562D">
      <w:pPr>
        <w:pStyle w:val="FootnoteText"/>
      </w:pPr>
      <w:r>
        <w:rPr>
          <w:rStyle w:val="FootnoteReference"/>
        </w:rPr>
        <w:footnoteRef/>
      </w:r>
      <w:r>
        <w:t xml:space="preserve"> Yu-Lee L</w:t>
      </w:r>
      <w:r w:rsidRPr="00DE66BC">
        <w:t xml:space="preserve">Y. </w:t>
      </w:r>
      <w:proofErr w:type="gramStart"/>
      <w:r w:rsidRPr="00DE66BC">
        <w:t xml:space="preserve">(1997) Molecular actions of prolactin </w:t>
      </w:r>
      <w:r>
        <w:t xml:space="preserve">in the </w:t>
      </w:r>
      <w:r w:rsidRPr="0065562D">
        <w:t>immune</w:t>
      </w:r>
      <w:r>
        <w:t xml:space="preserve"> system.</w:t>
      </w:r>
      <w:proofErr w:type="gramEnd"/>
      <w:r>
        <w:t xml:space="preserve"> </w:t>
      </w:r>
      <w:proofErr w:type="spellStart"/>
      <w:r w:rsidRPr="00DE66BC">
        <w:rPr>
          <w:i/>
        </w:rPr>
        <w:t>Proc</w:t>
      </w:r>
      <w:proofErr w:type="spellEnd"/>
      <w:r w:rsidRPr="00DE66BC">
        <w:rPr>
          <w:i/>
        </w:rPr>
        <w:t xml:space="preserve"> </w:t>
      </w:r>
      <w:proofErr w:type="spellStart"/>
      <w:r w:rsidRPr="00DE66BC">
        <w:rPr>
          <w:i/>
        </w:rPr>
        <w:t>Soc</w:t>
      </w:r>
      <w:proofErr w:type="spellEnd"/>
      <w:r w:rsidRPr="00DE66BC">
        <w:rPr>
          <w:i/>
        </w:rPr>
        <w:t xml:space="preserve"> </w:t>
      </w:r>
      <w:proofErr w:type="spellStart"/>
      <w:r w:rsidRPr="00DE66BC">
        <w:rPr>
          <w:i/>
        </w:rPr>
        <w:t>Exp</w:t>
      </w:r>
      <w:proofErr w:type="spellEnd"/>
      <w:r w:rsidRPr="00DE66BC">
        <w:rPr>
          <w:i/>
        </w:rPr>
        <w:t xml:space="preserve"> </w:t>
      </w:r>
      <w:proofErr w:type="spellStart"/>
      <w:r w:rsidRPr="00DE66BC">
        <w:rPr>
          <w:i/>
        </w:rPr>
        <w:t>Biol</w:t>
      </w:r>
      <w:proofErr w:type="spellEnd"/>
      <w:r w:rsidRPr="00DE66BC">
        <w:rPr>
          <w:i/>
        </w:rPr>
        <w:t xml:space="preserve"> Med.</w:t>
      </w:r>
      <w:r w:rsidRPr="00DE66BC">
        <w:t xml:space="preserve"> 215: 35-52</w:t>
      </w:r>
      <w:r>
        <w:t>.</w:t>
      </w:r>
    </w:p>
  </w:footnote>
  <w:footnote w:id="25">
    <w:p w:rsidR="00C4577F" w:rsidRDefault="00C4577F" w:rsidP="00A41E26">
      <w:pPr>
        <w:pStyle w:val="FootnoteText"/>
      </w:pPr>
      <w:r>
        <w:rPr>
          <w:rStyle w:val="FootnoteReference"/>
        </w:rPr>
        <w:footnoteRef/>
      </w:r>
      <w:r>
        <w:t xml:space="preserve"> </w:t>
      </w:r>
      <w:r w:rsidRPr="00264719">
        <w:t xml:space="preserve">European </w:t>
      </w:r>
      <w:r w:rsidRPr="00A41E26">
        <w:t>Medicines</w:t>
      </w:r>
      <w:r w:rsidRPr="00264719">
        <w:t xml:space="preserve"> </w:t>
      </w:r>
      <w:r w:rsidRPr="00E86CA1">
        <w:t>Agency, “</w:t>
      </w:r>
      <w:r>
        <w:t xml:space="preserve">Committee for Medicinal Products for Human Use (CHMP): </w:t>
      </w:r>
      <w:r w:rsidRPr="00D16554">
        <w:t>Guideline on clinical investigation of medicinal products,</w:t>
      </w:r>
      <w:r>
        <w:t xml:space="preserve"> </w:t>
      </w:r>
      <w:r w:rsidRPr="00D16554">
        <w:t>including depot preparations in the treatment of</w:t>
      </w:r>
      <w:r>
        <w:t xml:space="preserve"> schizophrenia (</w:t>
      </w:r>
      <w:r w:rsidRPr="00D16554">
        <w:t>EMA/CHMP/40072/2010 Rev. 1</w:t>
      </w:r>
      <w:r>
        <w:t>)</w:t>
      </w:r>
      <w:r w:rsidRPr="00E86CA1">
        <w:t xml:space="preserve">”, </w:t>
      </w:r>
      <w:r w:rsidRPr="00D16554">
        <w:t>20 September 2012</w:t>
      </w:r>
      <w:r>
        <w:t>.</w:t>
      </w:r>
    </w:p>
  </w:footnote>
  <w:footnote w:id="26">
    <w:p w:rsidR="00C4577F" w:rsidRDefault="00C4577F" w:rsidP="00D5559F">
      <w:pPr>
        <w:pStyle w:val="FootnoteText"/>
      </w:pPr>
      <w:r>
        <w:rPr>
          <w:rStyle w:val="FootnoteReference"/>
        </w:rPr>
        <w:footnoteRef/>
      </w:r>
      <w:r>
        <w:t xml:space="preserve"> US Food and Drug Administration</w:t>
      </w:r>
      <w:r w:rsidRPr="00E86CA1">
        <w:t>, “</w:t>
      </w:r>
      <w:r w:rsidRPr="000D2C50">
        <w:t>Guidance for Industry</w:t>
      </w:r>
      <w:r>
        <w:t xml:space="preserve">: </w:t>
      </w:r>
      <w:r w:rsidRPr="000D2C50">
        <w:t>E14 Clinical Evaluation of QT/</w:t>
      </w:r>
      <w:proofErr w:type="spellStart"/>
      <w:r w:rsidRPr="000D2C50">
        <w:t>QTc</w:t>
      </w:r>
      <w:proofErr w:type="spellEnd"/>
      <w:r w:rsidRPr="000D2C50">
        <w:t xml:space="preserve"> Interval Prolongation and </w:t>
      </w:r>
      <w:proofErr w:type="spellStart"/>
      <w:r w:rsidRPr="000D2C50">
        <w:t>Proarrhythmic</w:t>
      </w:r>
      <w:proofErr w:type="spellEnd"/>
      <w:r w:rsidRPr="000D2C50">
        <w:t xml:space="preserve"> Potential for Non-Antiarrhythmic Drugs</w:t>
      </w:r>
      <w:r w:rsidRPr="00E86CA1">
        <w:t xml:space="preserve">”, </w:t>
      </w:r>
      <w:r>
        <w:t>October 2005.</w:t>
      </w:r>
    </w:p>
  </w:footnote>
  <w:footnote w:id="27">
    <w:p w:rsidR="00C4577F" w:rsidRDefault="00C4577F" w:rsidP="00D5559F">
      <w:pPr>
        <w:pStyle w:val="FootnoteText"/>
      </w:pPr>
      <w:r>
        <w:rPr>
          <w:rStyle w:val="FootnoteReference"/>
        </w:rPr>
        <w:footnoteRef/>
      </w:r>
      <w:r>
        <w:t xml:space="preserve"> </w:t>
      </w:r>
      <w:r w:rsidRPr="00264719">
        <w:t xml:space="preserve">European Medicines </w:t>
      </w:r>
      <w:r w:rsidRPr="00E86CA1">
        <w:t>Agency, “</w:t>
      </w:r>
      <w:r>
        <w:t xml:space="preserve">Committee for Medicinal </w:t>
      </w:r>
      <w:r w:rsidRPr="00D5559F">
        <w:t>Products</w:t>
      </w:r>
      <w:r>
        <w:t xml:space="preserve"> for Human Use (CHMP): </w:t>
      </w:r>
      <w:r w:rsidRPr="00D16554">
        <w:t>Guideline on clinical investigation of medicinal products,</w:t>
      </w:r>
      <w:r>
        <w:t xml:space="preserve"> </w:t>
      </w:r>
      <w:r w:rsidRPr="00D16554">
        <w:t>including depot preparations in the treatment of</w:t>
      </w:r>
      <w:r>
        <w:t xml:space="preserve"> schizophrenia (</w:t>
      </w:r>
      <w:r w:rsidRPr="00D16554">
        <w:t>EMA/CHMP/40072/2010 Rev. 1</w:t>
      </w:r>
      <w:r>
        <w:t>)</w:t>
      </w:r>
      <w:r w:rsidRPr="00E86CA1">
        <w:t xml:space="preserve">”, </w:t>
      </w:r>
      <w:r w:rsidRPr="00D16554">
        <w:t>20 September 2012</w:t>
      </w:r>
      <w:r>
        <w:t>.</w:t>
      </w:r>
    </w:p>
  </w:footnote>
  <w:footnote w:id="28">
    <w:p w:rsidR="00C4577F" w:rsidRDefault="00C4577F" w:rsidP="00117BB1">
      <w:pPr>
        <w:pStyle w:val="FootnoteText"/>
      </w:pPr>
      <w:r>
        <w:rPr>
          <w:rStyle w:val="FootnoteReference"/>
        </w:rPr>
        <w:footnoteRef/>
      </w:r>
      <w:r>
        <w:t xml:space="preserve"> </w:t>
      </w:r>
      <w:r w:rsidRPr="00A041F2">
        <w:t xml:space="preserve">The BAS is a rating scale for drug-induced </w:t>
      </w:r>
      <w:proofErr w:type="spellStart"/>
      <w:r w:rsidRPr="00A041F2">
        <w:t>akathisia</w:t>
      </w:r>
      <w:proofErr w:type="spellEnd"/>
      <w:r w:rsidRPr="00A041F2">
        <w:t xml:space="preserve"> that incorporates </w:t>
      </w:r>
      <w:r w:rsidRPr="00117BB1">
        <w:t>diagnostic</w:t>
      </w:r>
      <w:r w:rsidRPr="00A041F2">
        <w:t xml:space="preserve"> criteria for </w:t>
      </w:r>
      <w:proofErr w:type="spellStart"/>
      <w:r w:rsidRPr="00A041F2">
        <w:t>pseudoakathisia</w:t>
      </w:r>
      <w:proofErr w:type="spellEnd"/>
      <w:r w:rsidRPr="00A041F2">
        <w:t xml:space="preserve">, and mild, moderate, and severe </w:t>
      </w:r>
      <w:proofErr w:type="spellStart"/>
      <w:r w:rsidRPr="00A041F2">
        <w:t>akathisia</w:t>
      </w:r>
      <w:proofErr w:type="spellEnd"/>
      <w:r w:rsidRPr="00A041F2">
        <w:t>. The scale comprises items for rating the observable restless movements that characterise the condition, the subjective awareness of restlessness, and any distress associated with t</w:t>
      </w:r>
      <w:r>
        <w:t xml:space="preserve">he </w:t>
      </w:r>
      <w:proofErr w:type="spellStart"/>
      <w:r>
        <w:t>akathisia</w:t>
      </w:r>
      <w:proofErr w:type="spellEnd"/>
      <w:r>
        <w:t xml:space="preserve"> (each on a 0 to 3 </w:t>
      </w:r>
      <w:r w:rsidRPr="00A041F2">
        <w:t>point scale from normal to severe). In addition, there is a global severity f</w:t>
      </w:r>
      <w:r>
        <w:t xml:space="preserve">or </w:t>
      </w:r>
      <w:proofErr w:type="spellStart"/>
      <w:r>
        <w:t>akathisia</w:t>
      </w:r>
      <w:proofErr w:type="spellEnd"/>
      <w:r>
        <w:t xml:space="preserve"> rated on a 0 to 5 </w:t>
      </w:r>
      <w:r w:rsidRPr="00A041F2">
        <w:t xml:space="preserve">point scale (absent to severe </w:t>
      </w:r>
      <w:proofErr w:type="spellStart"/>
      <w:r w:rsidRPr="00A041F2">
        <w:t>akathisia</w:t>
      </w:r>
      <w:proofErr w:type="spellEnd"/>
      <w:r w:rsidRPr="00A041F2">
        <w:t>).</w:t>
      </w:r>
    </w:p>
  </w:footnote>
  <w:footnote w:id="29">
    <w:p w:rsidR="00C4577F" w:rsidRDefault="00C4577F" w:rsidP="00117BB1">
      <w:pPr>
        <w:pStyle w:val="FootnoteText"/>
      </w:pPr>
      <w:r>
        <w:rPr>
          <w:rStyle w:val="FootnoteReference"/>
        </w:rPr>
        <w:footnoteRef/>
      </w:r>
      <w:r>
        <w:t xml:space="preserve"> </w:t>
      </w:r>
      <w:r w:rsidRPr="00A961B9">
        <w:t xml:space="preserve">The AIMS is a valid and reliable method of screening for tardive dyskinesia and measures facial, oral, extremities, and trunk movements as well as the subject's awareness of abnormal movements. The AIMS contains 10 items rated on a 0 (none) to 4 (severe) scale. There are an additional 2 items on dental status that are answered </w:t>
      </w:r>
      <w:proofErr w:type="gramStart"/>
      <w:r w:rsidRPr="00A961B9">
        <w:t>yes or no</w:t>
      </w:r>
      <w:proofErr w:type="gramEnd"/>
      <w:r>
        <w:t>.</w:t>
      </w:r>
    </w:p>
  </w:footnote>
  <w:footnote w:id="30">
    <w:p w:rsidR="00C4577F" w:rsidRDefault="00C4577F" w:rsidP="00117BB1">
      <w:pPr>
        <w:pStyle w:val="FootnoteText"/>
      </w:pPr>
      <w:r>
        <w:rPr>
          <w:rStyle w:val="FootnoteReference"/>
        </w:rPr>
        <w:footnoteRef/>
      </w:r>
      <w:r>
        <w:t xml:space="preserve"> </w:t>
      </w:r>
      <w:r w:rsidRPr="00027289">
        <w:t xml:space="preserve">The SAS is a 10 item scale that rates gait, arm and head dropping, shoulder </w:t>
      </w:r>
      <w:r w:rsidRPr="00117BB1">
        <w:t>shaking</w:t>
      </w:r>
      <w:r w:rsidRPr="00027289">
        <w:t xml:space="preserve">, elbow and wrist rigidity, leg pendulousness, </w:t>
      </w:r>
      <w:proofErr w:type="spellStart"/>
      <w:r w:rsidRPr="00027289">
        <w:t>glabellar</w:t>
      </w:r>
      <w:proofErr w:type="spellEnd"/>
      <w:r w:rsidRPr="00027289">
        <w:t xml:space="preserve"> tap reflex</w:t>
      </w:r>
      <w:r>
        <w:t xml:space="preserve">, tremor, and salivation on a 5 </w:t>
      </w:r>
      <w:r w:rsidRPr="00027289">
        <w:t>point scale ranging from 0 (normal) to 4 (extreme symptoms)</w:t>
      </w:r>
      <w:r>
        <w:t>.</w:t>
      </w:r>
    </w:p>
  </w:footnote>
  <w:footnote w:id="31">
    <w:p w:rsidR="00C4577F" w:rsidRDefault="00C4577F" w:rsidP="001F73D3">
      <w:pPr>
        <w:pStyle w:val="FootnoteText"/>
      </w:pPr>
      <w:r>
        <w:rPr>
          <w:rStyle w:val="FootnoteReference"/>
        </w:rPr>
        <w:footnoteRef/>
      </w:r>
      <w:r>
        <w:t xml:space="preserve"> </w:t>
      </w:r>
      <w:r w:rsidRPr="00264719">
        <w:t xml:space="preserve">European Medicines </w:t>
      </w:r>
      <w:r w:rsidRPr="00E86CA1">
        <w:t>Agency, “</w:t>
      </w:r>
      <w:r w:rsidRPr="001F73D3">
        <w:t>Committee</w:t>
      </w:r>
      <w:r>
        <w:t xml:space="preserve"> for Medicinal Products for Human Use (CHMP): </w:t>
      </w:r>
      <w:r w:rsidRPr="00D16554">
        <w:t>Guideline on clinical investigation of medicinal products,</w:t>
      </w:r>
      <w:r>
        <w:t xml:space="preserve"> </w:t>
      </w:r>
      <w:r w:rsidRPr="00D16554">
        <w:t>including depot preparations in the treatment of</w:t>
      </w:r>
      <w:r>
        <w:t xml:space="preserve"> schizophrenia (</w:t>
      </w:r>
      <w:r w:rsidRPr="00D16554">
        <w:t>EMA/CHMP/40072/2010 Rev. 1</w:t>
      </w:r>
      <w:r>
        <w:t>)</w:t>
      </w:r>
      <w:r w:rsidRPr="00E86CA1">
        <w:t xml:space="preserve">”, </w:t>
      </w:r>
      <w:r w:rsidRPr="00D16554">
        <w:t>20 September 2012</w:t>
      </w:r>
      <w:r>
        <w:t>.</w:t>
      </w:r>
    </w:p>
  </w:footnote>
  <w:footnote w:id="32">
    <w:p w:rsidR="00C4577F" w:rsidRDefault="00C4577F" w:rsidP="001F73D3">
      <w:pPr>
        <w:pStyle w:val="FootnoteText"/>
      </w:pPr>
      <w:r>
        <w:rPr>
          <w:rStyle w:val="FootnoteReference"/>
        </w:rPr>
        <w:footnoteRef/>
      </w:r>
      <w:r>
        <w:t xml:space="preserve"> </w:t>
      </w:r>
      <w:r w:rsidRPr="00264719">
        <w:t xml:space="preserve">European Medicines </w:t>
      </w:r>
      <w:r w:rsidRPr="00E86CA1">
        <w:t>Agency, “</w:t>
      </w:r>
      <w:r w:rsidRPr="001F73D3">
        <w:t>Committee</w:t>
      </w:r>
      <w:r>
        <w:t xml:space="preserve"> for Medicinal Products for Human Use (CHMP): </w:t>
      </w:r>
      <w:r w:rsidRPr="00D16554">
        <w:t>Guideline on clinical investigation of medicinal products,</w:t>
      </w:r>
      <w:r>
        <w:t xml:space="preserve"> </w:t>
      </w:r>
      <w:r w:rsidRPr="00D16554">
        <w:t>including depot preparations in the treatment of</w:t>
      </w:r>
      <w:r>
        <w:t xml:space="preserve"> schizophrenia (</w:t>
      </w:r>
      <w:r w:rsidRPr="00D16554">
        <w:t>EMA/CHMP/40072/2010 Rev. 1</w:t>
      </w:r>
      <w:r>
        <w:t>)</w:t>
      </w:r>
      <w:r w:rsidRPr="00E86CA1">
        <w:t xml:space="preserve">”, </w:t>
      </w:r>
      <w:r w:rsidRPr="00D16554">
        <w:t>20 September 2012</w:t>
      </w:r>
      <w:r>
        <w:t>.</w:t>
      </w:r>
    </w:p>
  </w:footnote>
  <w:footnote w:id="33">
    <w:p w:rsidR="00C4577F" w:rsidRDefault="00C4577F" w:rsidP="001F73D3">
      <w:pPr>
        <w:pStyle w:val="FootnoteText"/>
      </w:pPr>
      <w:r>
        <w:rPr>
          <w:rStyle w:val="FootnoteReference"/>
        </w:rPr>
        <w:footnoteRef/>
      </w:r>
      <w:r>
        <w:t xml:space="preserve"> </w:t>
      </w:r>
      <w:proofErr w:type="gramStart"/>
      <w:r w:rsidRPr="0068194D">
        <w:t>Morg</w:t>
      </w:r>
      <w:r>
        <w:t xml:space="preserve">an VA, </w:t>
      </w:r>
      <w:r w:rsidRPr="0068194D">
        <w:t xml:space="preserve">et al. </w:t>
      </w:r>
      <w:r>
        <w:t xml:space="preserve">(2011) </w:t>
      </w:r>
      <w:r w:rsidRPr="0068194D">
        <w:t>People living with psychotic illness 2010.</w:t>
      </w:r>
      <w:proofErr w:type="gramEnd"/>
      <w:r w:rsidRPr="0068194D">
        <w:t xml:space="preserve"> </w:t>
      </w:r>
      <w:proofErr w:type="gramStart"/>
      <w:r w:rsidRPr="0068194D">
        <w:t>Report of the second Australian national survey.</w:t>
      </w:r>
      <w:proofErr w:type="gramEnd"/>
      <w:r w:rsidRPr="0068194D">
        <w:t xml:space="preserve"> Commonwealth of Australia Department of </w:t>
      </w:r>
      <w:r>
        <w:t>Health and Ageing: Canberra.</w:t>
      </w:r>
    </w:p>
  </w:footnote>
  <w:footnote w:id="34">
    <w:p w:rsidR="007C3317" w:rsidRDefault="007C3317" w:rsidP="00532B26">
      <w:pPr>
        <w:pStyle w:val="FootnoteText"/>
      </w:pPr>
      <w:r>
        <w:rPr>
          <w:rStyle w:val="FootnoteReference"/>
        </w:rPr>
        <w:footnoteRef/>
      </w:r>
      <w:r>
        <w:t xml:space="preserve"> </w:t>
      </w:r>
      <w:proofErr w:type="spellStart"/>
      <w:r w:rsidRPr="007974BB">
        <w:t>Cac</w:t>
      </w:r>
      <w:r>
        <w:t>cia</w:t>
      </w:r>
      <w:proofErr w:type="spellEnd"/>
      <w:r>
        <w:t xml:space="preserve"> S, et al. (2012)</w:t>
      </w:r>
      <w:r w:rsidRPr="007974BB">
        <w:t xml:space="preserve"> Critical appraisal of </w:t>
      </w:r>
      <w:proofErr w:type="spellStart"/>
      <w:r w:rsidRPr="00532B26">
        <w:t>lurasidone</w:t>
      </w:r>
      <w:proofErr w:type="spellEnd"/>
      <w:r w:rsidRPr="007974BB">
        <w:t xml:space="preserve"> in the management of schizophrenia. </w:t>
      </w:r>
      <w:proofErr w:type="spellStart"/>
      <w:r w:rsidRPr="007974BB">
        <w:rPr>
          <w:i/>
        </w:rPr>
        <w:t>Neuropsychiatr</w:t>
      </w:r>
      <w:proofErr w:type="spellEnd"/>
      <w:r w:rsidRPr="007974BB">
        <w:rPr>
          <w:i/>
        </w:rPr>
        <w:t xml:space="preserve"> Dis Treat. </w:t>
      </w:r>
      <w:r>
        <w:t>8:</w:t>
      </w:r>
      <w:r w:rsidRPr="007974BB">
        <w:t xml:space="preserve"> 155-168</w:t>
      </w:r>
      <w:r>
        <w:t>.</w:t>
      </w:r>
    </w:p>
  </w:footnote>
  <w:footnote w:id="35">
    <w:p w:rsidR="00C4577F" w:rsidRDefault="00C4577F" w:rsidP="00532B26">
      <w:pPr>
        <w:pStyle w:val="FootnoteText"/>
      </w:pPr>
      <w:r>
        <w:rPr>
          <w:rStyle w:val="FootnoteReference"/>
        </w:rPr>
        <w:footnoteRef/>
      </w:r>
      <w:r>
        <w:t xml:space="preserve"> </w:t>
      </w:r>
      <w:proofErr w:type="spellStart"/>
      <w:r w:rsidRPr="007974BB">
        <w:t>Cac</w:t>
      </w:r>
      <w:r>
        <w:t>cia</w:t>
      </w:r>
      <w:proofErr w:type="spellEnd"/>
      <w:r>
        <w:t xml:space="preserve"> S, et al. (2012)</w:t>
      </w:r>
      <w:r w:rsidRPr="007974BB">
        <w:t xml:space="preserve"> Critical appraisal of </w:t>
      </w:r>
      <w:proofErr w:type="spellStart"/>
      <w:r w:rsidRPr="00532B26">
        <w:t>lurasidone</w:t>
      </w:r>
      <w:proofErr w:type="spellEnd"/>
      <w:r w:rsidRPr="007974BB">
        <w:t xml:space="preserve"> in the management of schizophrenia. </w:t>
      </w:r>
      <w:proofErr w:type="spellStart"/>
      <w:r w:rsidRPr="007974BB">
        <w:rPr>
          <w:i/>
        </w:rPr>
        <w:t>Neuropsychiatr</w:t>
      </w:r>
      <w:proofErr w:type="spellEnd"/>
      <w:r w:rsidRPr="007974BB">
        <w:rPr>
          <w:i/>
        </w:rPr>
        <w:t xml:space="preserve"> Dis Treat. </w:t>
      </w:r>
      <w:r>
        <w:t>8:</w:t>
      </w:r>
      <w:r w:rsidRPr="007974BB">
        <w:t xml:space="preserve"> 155-168</w:t>
      </w:r>
      <w:r>
        <w:t>;</w:t>
      </w:r>
      <w:r w:rsidRPr="007974BB">
        <w:t xml:space="preserve"> </w:t>
      </w:r>
      <w:proofErr w:type="spellStart"/>
      <w:r>
        <w:t>Leucht</w:t>
      </w:r>
      <w:proofErr w:type="spellEnd"/>
      <w:r>
        <w:t xml:space="preserve"> S, et al. (2013) Comparative efficacy and tolerability of 15 antipsychotic drugs in schizophrenia</w:t>
      </w:r>
      <w:r w:rsidRPr="00791A09">
        <w:t xml:space="preserve">: a multiple-treatments meta-analysis. </w:t>
      </w:r>
      <w:r w:rsidRPr="007974BB">
        <w:rPr>
          <w:i/>
        </w:rPr>
        <w:t>Lancet</w:t>
      </w:r>
      <w:r>
        <w:t xml:space="preserve"> 382</w:t>
      </w:r>
      <w:r w:rsidRPr="00791A09">
        <w:t>:</w:t>
      </w:r>
      <w:r>
        <w:t xml:space="preserve"> </w:t>
      </w:r>
      <w:r w:rsidRPr="00791A09">
        <w:t>951-</w:t>
      </w:r>
      <w:r>
        <w:t>9</w:t>
      </w:r>
      <w:r w:rsidRPr="00791A09">
        <w:t>62</w:t>
      </w:r>
      <w:r>
        <w:t xml:space="preserve">; </w:t>
      </w:r>
      <w:proofErr w:type="spellStart"/>
      <w:r>
        <w:t>Citrome</w:t>
      </w:r>
      <w:proofErr w:type="spellEnd"/>
      <w:r>
        <w:t xml:space="preserve"> L. (2012)</w:t>
      </w:r>
      <w:r w:rsidRPr="00880577">
        <w:t xml:space="preserve"> Lurasidone in </w:t>
      </w:r>
      <w:r>
        <w:t>s</w:t>
      </w:r>
      <w:r w:rsidRPr="00880577">
        <w:t xml:space="preserve">chizophrenia: </w:t>
      </w:r>
      <w:r>
        <w:t>n</w:t>
      </w:r>
      <w:r w:rsidRPr="00880577">
        <w:t xml:space="preserve">ew </w:t>
      </w:r>
      <w:r>
        <w:t>i</w:t>
      </w:r>
      <w:r w:rsidRPr="00880577">
        <w:t xml:space="preserve">nformation </w:t>
      </w:r>
      <w:r>
        <w:t>a</w:t>
      </w:r>
      <w:r w:rsidRPr="00880577">
        <w:t xml:space="preserve">bout </w:t>
      </w:r>
      <w:r>
        <w:t>d</w:t>
      </w:r>
      <w:r w:rsidRPr="00880577">
        <w:t xml:space="preserve">osage and </w:t>
      </w:r>
      <w:r>
        <w:t>p</w:t>
      </w:r>
      <w:r w:rsidRPr="00880577">
        <w:t xml:space="preserve">lace in </w:t>
      </w:r>
      <w:r>
        <w:t xml:space="preserve">therapy. </w:t>
      </w:r>
      <w:proofErr w:type="spellStart"/>
      <w:r w:rsidRPr="00880577">
        <w:rPr>
          <w:i/>
        </w:rPr>
        <w:t>Adv</w:t>
      </w:r>
      <w:proofErr w:type="spellEnd"/>
      <w:r w:rsidRPr="00880577">
        <w:rPr>
          <w:i/>
        </w:rPr>
        <w:t xml:space="preserve"> </w:t>
      </w:r>
      <w:proofErr w:type="spellStart"/>
      <w:r w:rsidRPr="00880577">
        <w:rPr>
          <w:i/>
        </w:rPr>
        <w:t>Ther</w:t>
      </w:r>
      <w:proofErr w:type="spellEnd"/>
      <w:r w:rsidRPr="00880577">
        <w:rPr>
          <w:i/>
        </w:rPr>
        <w:t>.</w:t>
      </w:r>
      <w:r>
        <w:t xml:space="preserve"> 29</w:t>
      </w:r>
      <w:r w:rsidRPr="00880577">
        <w:t>: 815-825</w:t>
      </w:r>
      <w:r>
        <w:t xml:space="preserve">; </w:t>
      </w:r>
      <w:proofErr w:type="spellStart"/>
      <w:r w:rsidRPr="00DE4054">
        <w:t>Potkin</w:t>
      </w:r>
      <w:proofErr w:type="spellEnd"/>
      <w:r w:rsidRPr="00DE4054">
        <w:t xml:space="preserve"> SG, </w:t>
      </w:r>
      <w:r>
        <w:t xml:space="preserve">et al. (2011) </w:t>
      </w:r>
      <w:r w:rsidRPr="00DE4054">
        <w:t xml:space="preserve">Double-blind comparison of the safety and efficacy of lurasidone and </w:t>
      </w:r>
      <w:proofErr w:type="spellStart"/>
      <w:r w:rsidRPr="00DE4054">
        <w:t>ziprasidone</w:t>
      </w:r>
      <w:proofErr w:type="spellEnd"/>
      <w:r w:rsidRPr="00DE4054">
        <w:t xml:space="preserve"> in clinically stable outpatients with schizophrenia or schizoaffective </w:t>
      </w:r>
      <w:r w:rsidRPr="00532B26">
        <w:t>disorder</w:t>
      </w:r>
      <w:r>
        <w:t xml:space="preserve">. </w:t>
      </w:r>
      <w:proofErr w:type="spellStart"/>
      <w:r w:rsidRPr="00DE4054">
        <w:rPr>
          <w:i/>
        </w:rPr>
        <w:t>Schizophr</w:t>
      </w:r>
      <w:proofErr w:type="spellEnd"/>
      <w:r w:rsidRPr="00DE4054">
        <w:rPr>
          <w:i/>
        </w:rPr>
        <w:t xml:space="preserve"> Res.</w:t>
      </w:r>
      <w:r>
        <w:t xml:space="preserve"> 132</w:t>
      </w:r>
      <w:r w:rsidRPr="00DE4054">
        <w:t>:</w:t>
      </w:r>
      <w:r>
        <w:t xml:space="preserve"> </w:t>
      </w:r>
      <w:r w:rsidRPr="00DE4054">
        <w:t>101-</w:t>
      </w:r>
      <w:r>
        <w:t>10</w:t>
      </w:r>
      <w:r w:rsidRPr="00DE4054">
        <w:t>7</w:t>
      </w:r>
      <w:r>
        <w:t>.</w:t>
      </w:r>
    </w:p>
  </w:footnote>
  <w:footnote w:id="36">
    <w:p w:rsidR="008F0030" w:rsidRDefault="008F0030" w:rsidP="00532B26">
      <w:pPr>
        <w:pStyle w:val="FootnoteText"/>
      </w:pPr>
      <w:r>
        <w:rPr>
          <w:rStyle w:val="FootnoteReference"/>
        </w:rPr>
        <w:footnoteRef/>
      </w:r>
      <w:r>
        <w:t xml:space="preserve"> </w:t>
      </w:r>
      <w:proofErr w:type="gramStart"/>
      <w:r w:rsidRPr="008F0030">
        <w:t xml:space="preserve">Sanford M. </w:t>
      </w:r>
      <w:r>
        <w:t>(2012)</w:t>
      </w:r>
      <w:r w:rsidRPr="008F0030">
        <w:t xml:space="preserve"> Lurasidone in the treatment of schizophrenia.</w:t>
      </w:r>
      <w:proofErr w:type="gramEnd"/>
      <w:r w:rsidRPr="008F0030">
        <w:t xml:space="preserve"> </w:t>
      </w:r>
      <w:r w:rsidRPr="008F0030">
        <w:rPr>
          <w:i/>
        </w:rPr>
        <w:t>CNS Drugs</w:t>
      </w:r>
      <w:r w:rsidRPr="008F0030">
        <w:t xml:space="preserve"> 27:</w:t>
      </w:r>
      <w:r>
        <w:t xml:space="preserve"> </w:t>
      </w:r>
      <w:r w:rsidRPr="008F0030">
        <w:t>67-80.</w:t>
      </w:r>
    </w:p>
  </w:footnote>
  <w:footnote w:id="37">
    <w:p w:rsidR="00C4577F" w:rsidRDefault="00C4577F">
      <w:pPr>
        <w:pStyle w:val="FootnoteText"/>
      </w:pPr>
      <w:r>
        <w:rPr>
          <w:rStyle w:val="FootnoteReference"/>
        </w:rPr>
        <w:footnoteRef/>
      </w:r>
      <w:r>
        <w:t xml:space="preserve"> </w:t>
      </w:r>
      <w:proofErr w:type="spellStart"/>
      <w:r w:rsidRPr="00DE4054">
        <w:t>Potkin</w:t>
      </w:r>
      <w:proofErr w:type="spellEnd"/>
      <w:r w:rsidRPr="00DE4054">
        <w:t xml:space="preserve"> SG, </w:t>
      </w:r>
      <w:r>
        <w:t xml:space="preserve">et al. (2011) </w:t>
      </w:r>
      <w:r w:rsidRPr="00DE4054">
        <w:t xml:space="preserve">Double-blind comparison of the safety and efficacy of lurasidone and </w:t>
      </w:r>
      <w:proofErr w:type="spellStart"/>
      <w:r w:rsidRPr="00DE4054">
        <w:t>ziprasidone</w:t>
      </w:r>
      <w:proofErr w:type="spellEnd"/>
      <w:r w:rsidRPr="00DE4054">
        <w:t xml:space="preserve"> in clinically stable outpatients with schizophrenia or schizoaffective </w:t>
      </w:r>
      <w:r>
        <w:t xml:space="preserve">disorder. </w:t>
      </w:r>
      <w:proofErr w:type="spellStart"/>
      <w:r w:rsidRPr="00DE4054">
        <w:rPr>
          <w:i/>
        </w:rPr>
        <w:t>Schizophr</w:t>
      </w:r>
      <w:proofErr w:type="spellEnd"/>
      <w:r w:rsidRPr="00DE4054">
        <w:rPr>
          <w:i/>
        </w:rPr>
        <w:t xml:space="preserve"> Res.</w:t>
      </w:r>
      <w:r>
        <w:t xml:space="preserve"> 132</w:t>
      </w:r>
      <w:r w:rsidRPr="00DE4054">
        <w:t>:</w:t>
      </w:r>
      <w:r>
        <w:t xml:space="preserve"> </w:t>
      </w:r>
      <w:r w:rsidRPr="00DE4054">
        <w:t>101-</w:t>
      </w:r>
      <w:r>
        <w:t>10</w:t>
      </w:r>
      <w:r w:rsidRPr="00DE4054">
        <w:t>7</w:t>
      </w:r>
      <w:r>
        <w:t>.</w:t>
      </w:r>
    </w:p>
  </w:footnote>
  <w:footnote w:id="38">
    <w:p w:rsidR="00C4577F" w:rsidRDefault="00C4577F" w:rsidP="00532B26">
      <w:pPr>
        <w:pStyle w:val="FootnoteText"/>
      </w:pPr>
      <w:r>
        <w:rPr>
          <w:rStyle w:val="FootnoteReference"/>
        </w:rPr>
        <w:footnoteRef/>
      </w:r>
      <w:r>
        <w:t xml:space="preserve"> </w:t>
      </w:r>
      <w:proofErr w:type="spellStart"/>
      <w:r>
        <w:t>Leucht</w:t>
      </w:r>
      <w:proofErr w:type="spellEnd"/>
      <w:r>
        <w:t xml:space="preserve"> S, et al. (2013) Comparative efficacy and tolerability of 15 </w:t>
      </w:r>
      <w:r w:rsidRPr="00532B26">
        <w:t>antipsychotic</w:t>
      </w:r>
      <w:r>
        <w:t xml:space="preserve"> drugs in schizophrenia</w:t>
      </w:r>
      <w:r w:rsidRPr="00791A09">
        <w:t xml:space="preserve">: a multiple-treatments meta-analysis. </w:t>
      </w:r>
      <w:r w:rsidRPr="007974BB">
        <w:rPr>
          <w:i/>
        </w:rPr>
        <w:t>Lancet</w:t>
      </w:r>
      <w:r>
        <w:t xml:space="preserve"> 382</w:t>
      </w:r>
      <w:r w:rsidRPr="00791A09">
        <w:t>:</w:t>
      </w:r>
      <w:r>
        <w:t xml:space="preserve"> </w:t>
      </w:r>
      <w:r w:rsidRPr="00791A09">
        <w:t>951-</w:t>
      </w:r>
      <w:r>
        <w:t>9</w:t>
      </w:r>
      <w:r w:rsidRPr="00791A09">
        <w:t>62</w:t>
      </w:r>
      <w:r>
        <w:t>.</w:t>
      </w:r>
    </w:p>
  </w:footnote>
  <w:footnote w:id="39">
    <w:p w:rsidR="00C4577F" w:rsidRDefault="00C4577F" w:rsidP="00532B26">
      <w:pPr>
        <w:pStyle w:val="FootnoteText"/>
      </w:pPr>
      <w:r>
        <w:rPr>
          <w:rStyle w:val="FootnoteReference"/>
        </w:rPr>
        <w:footnoteRef/>
      </w:r>
      <w:r>
        <w:t xml:space="preserve"> </w:t>
      </w:r>
      <w:r w:rsidRPr="00791A09">
        <w:t>Owen RT</w:t>
      </w:r>
      <w:r>
        <w:t xml:space="preserve">. (2011) </w:t>
      </w:r>
      <w:r w:rsidRPr="00791A09">
        <w:t>Lurasidone: a new treatment option for </w:t>
      </w:r>
      <w:r w:rsidRPr="00532B26">
        <w:t>schizophrenia</w:t>
      </w:r>
      <w:r w:rsidRPr="00791A09">
        <w:t xml:space="preserve">. </w:t>
      </w:r>
      <w:proofErr w:type="gramStart"/>
      <w:r w:rsidRPr="0088611D">
        <w:rPr>
          <w:i/>
        </w:rPr>
        <w:t>Drugs Today (</w:t>
      </w:r>
      <w:proofErr w:type="spellStart"/>
      <w:r w:rsidRPr="0088611D">
        <w:rPr>
          <w:i/>
        </w:rPr>
        <w:t>Barc</w:t>
      </w:r>
      <w:proofErr w:type="spellEnd"/>
      <w:r w:rsidRPr="0088611D">
        <w:rPr>
          <w:i/>
        </w:rPr>
        <w:t>).</w:t>
      </w:r>
      <w:proofErr w:type="gramEnd"/>
      <w:r w:rsidRPr="00791A09">
        <w:t> 47:</w:t>
      </w:r>
      <w:r>
        <w:t xml:space="preserve"> </w:t>
      </w:r>
      <w:r w:rsidRPr="00791A09">
        <w:t>807-</w:t>
      </w:r>
      <w:r>
        <w:t>8</w:t>
      </w:r>
      <w:r w:rsidRPr="00791A09">
        <w:t>16</w:t>
      </w:r>
      <w:r>
        <w:t>.</w:t>
      </w:r>
    </w:p>
  </w:footnote>
  <w:footnote w:id="40">
    <w:p w:rsidR="00C4577F" w:rsidRDefault="00C4577F" w:rsidP="00532B26">
      <w:pPr>
        <w:pStyle w:val="FootnoteText"/>
      </w:pPr>
      <w:r>
        <w:rPr>
          <w:rStyle w:val="FootnoteReference"/>
        </w:rPr>
        <w:footnoteRef/>
      </w:r>
      <w:r>
        <w:t xml:space="preserve"> </w:t>
      </w:r>
      <w:proofErr w:type="spellStart"/>
      <w:r>
        <w:t>Leucht</w:t>
      </w:r>
      <w:proofErr w:type="spellEnd"/>
      <w:r>
        <w:t xml:space="preserve"> S, et al. (2013) Comparative efficacy and tolerability of 15 </w:t>
      </w:r>
      <w:r w:rsidRPr="00532B26">
        <w:t>antipsychotic</w:t>
      </w:r>
      <w:r>
        <w:t xml:space="preserve"> drugs in schizophrenia</w:t>
      </w:r>
      <w:r w:rsidRPr="00791A09">
        <w:t xml:space="preserve">: a multiple-treatments meta-analysis. </w:t>
      </w:r>
      <w:r w:rsidRPr="007974BB">
        <w:rPr>
          <w:i/>
        </w:rPr>
        <w:t>Lancet</w:t>
      </w:r>
      <w:r>
        <w:t xml:space="preserve"> 382</w:t>
      </w:r>
      <w:r w:rsidRPr="00791A09">
        <w:t>:</w:t>
      </w:r>
      <w:r>
        <w:t xml:space="preserve"> </w:t>
      </w:r>
      <w:r w:rsidRPr="00791A09">
        <w:t>951-</w:t>
      </w:r>
      <w:r>
        <w:t>9</w:t>
      </w:r>
      <w:r w:rsidRPr="00791A09">
        <w:t>62</w:t>
      </w:r>
      <w:r>
        <w:t>.</w:t>
      </w:r>
    </w:p>
  </w:footnote>
  <w:footnote w:id="41">
    <w:p w:rsidR="00C4577F" w:rsidRDefault="00C4577F" w:rsidP="00532B26">
      <w:pPr>
        <w:pStyle w:val="FootnoteText"/>
      </w:pPr>
      <w:r>
        <w:rPr>
          <w:rStyle w:val="FootnoteReference"/>
        </w:rPr>
        <w:footnoteRef/>
      </w:r>
      <w:r>
        <w:t xml:space="preserve"> Stewart JT. (2003)</w:t>
      </w:r>
      <w:r w:rsidRPr="006E30D4">
        <w:t xml:space="preserve"> Dysphagia associated with </w:t>
      </w:r>
      <w:proofErr w:type="spellStart"/>
      <w:r w:rsidRPr="006E30D4">
        <w:t>ris</w:t>
      </w:r>
      <w:r>
        <w:t>peridone</w:t>
      </w:r>
      <w:proofErr w:type="spellEnd"/>
      <w:r>
        <w:t xml:space="preserve"> therapy. </w:t>
      </w:r>
      <w:r w:rsidRPr="006E30D4">
        <w:rPr>
          <w:i/>
        </w:rPr>
        <w:t>Dysphagia</w:t>
      </w:r>
      <w:r>
        <w:t xml:space="preserve"> 18</w:t>
      </w:r>
      <w:r w:rsidRPr="006E30D4">
        <w:t>:</w:t>
      </w:r>
      <w:r>
        <w:t xml:space="preserve"> </w:t>
      </w:r>
      <w:r w:rsidRPr="006E30D4">
        <w:t>274-</w:t>
      </w:r>
      <w:r>
        <w:t>27</w:t>
      </w:r>
      <w:r w:rsidRPr="006E30D4">
        <w:t>5</w:t>
      </w:r>
      <w:r>
        <w:t xml:space="preserve">; </w:t>
      </w:r>
      <w:proofErr w:type="spellStart"/>
      <w:r w:rsidRPr="006E30D4">
        <w:t>Knol</w:t>
      </w:r>
      <w:proofErr w:type="spellEnd"/>
      <w:r w:rsidRPr="006E30D4">
        <w:t xml:space="preserve"> W, </w:t>
      </w:r>
      <w:r>
        <w:t xml:space="preserve">et al. (2008) </w:t>
      </w:r>
      <w:r w:rsidRPr="006E30D4">
        <w:t xml:space="preserve">Antipsychotic drug use and risk of pneumonia in elderly people. </w:t>
      </w:r>
      <w:r w:rsidRPr="006E30D4">
        <w:rPr>
          <w:i/>
        </w:rPr>
        <w:t xml:space="preserve">J Am </w:t>
      </w:r>
      <w:proofErr w:type="spellStart"/>
      <w:r w:rsidRPr="006E30D4">
        <w:rPr>
          <w:i/>
        </w:rPr>
        <w:t>Geriatr</w:t>
      </w:r>
      <w:proofErr w:type="spellEnd"/>
      <w:r w:rsidRPr="006E30D4">
        <w:rPr>
          <w:i/>
        </w:rPr>
        <w:t xml:space="preserve"> Soc.</w:t>
      </w:r>
      <w:r>
        <w:t xml:space="preserve"> 56</w:t>
      </w:r>
      <w:r w:rsidRPr="006E30D4">
        <w:t>:</w:t>
      </w:r>
      <w:r>
        <w:t xml:space="preserve"> </w:t>
      </w:r>
      <w:r w:rsidRPr="006E30D4">
        <w:t>661-</w:t>
      </w:r>
      <w:r>
        <w:t>66</w:t>
      </w:r>
      <w:r w:rsidRPr="006E30D4">
        <w:t>6</w:t>
      </w:r>
      <w:r>
        <w:t>.</w:t>
      </w:r>
    </w:p>
  </w:footnote>
  <w:footnote w:id="42">
    <w:p w:rsidR="00C4577F" w:rsidRDefault="00C4577F" w:rsidP="00532B26">
      <w:pPr>
        <w:pStyle w:val="FootnoteText"/>
      </w:pPr>
      <w:r>
        <w:rPr>
          <w:rStyle w:val="FootnoteReference"/>
        </w:rPr>
        <w:footnoteRef/>
      </w:r>
      <w:r>
        <w:t xml:space="preserve"> </w:t>
      </w:r>
      <w:proofErr w:type="gramStart"/>
      <w:r w:rsidRPr="0068194D">
        <w:t>Morg</w:t>
      </w:r>
      <w:r>
        <w:t xml:space="preserve">an VA, </w:t>
      </w:r>
      <w:r w:rsidRPr="0068194D">
        <w:t xml:space="preserve">et al. </w:t>
      </w:r>
      <w:r>
        <w:t xml:space="preserve">(2011) </w:t>
      </w:r>
      <w:r w:rsidRPr="0068194D">
        <w:t>People living with psychotic illness 2010.</w:t>
      </w:r>
      <w:proofErr w:type="gramEnd"/>
      <w:r w:rsidRPr="0068194D">
        <w:t xml:space="preserve"> </w:t>
      </w:r>
      <w:proofErr w:type="gramStart"/>
      <w:r w:rsidRPr="0068194D">
        <w:t>Report of the second Australian national survey.</w:t>
      </w:r>
      <w:proofErr w:type="gramEnd"/>
      <w:r w:rsidRPr="0068194D">
        <w:t xml:space="preserve"> Commonwealth of Australia Department of </w:t>
      </w:r>
      <w:r>
        <w:t xml:space="preserve">Health and Ageing: Canberra; </w:t>
      </w:r>
      <w:r w:rsidRPr="00D66952">
        <w:t xml:space="preserve">Morgan VA, et al. (2012) People living with psychotic illness in 2010: the second Australian national survey of psychosis. </w:t>
      </w:r>
      <w:proofErr w:type="spellStart"/>
      <w:r w:rsidRPr="00D66952">
        <w:rPr>
          <w:i/>
        </w:rPr>
        <w:t>Aust</w:t>
      </w:r>
      <w:proofErr w:type="spellEnd"/>
      <w:r w:rsidRPr="00D66952">
        <w:rPr>
          <w:i/>
        </w:rPr>
        <w:t xml:space="preserve"> N Z J Psychiatry </w:t>
      </w:r>
      <w:r>
        <w:t>46</w:t>
      </w:r>
      <w:r w:rsidRPr="00D66952">
        <w:t>:</w:t>
      </w:r>
      <w:r>
        <w:t xml:space="preserve"> </w:t>
      </w:r>
      <w:r w:rsidRPr="00D66952">
        <w:t>735-</w:t>
      </w:r>
      <w:r>
        <w:t>7</w:t>
      </w:r>
      <w:r w:rsidRPr="00D66952">
        <w:t>52</w:t>
      </w:r>
      <w:r>
        <w:t>.</w:t>
      </w:r>
    </w:p>
  </w:footnote>
  <w:footnote w:id="43">
    <w:p w:rsidR="00F2092A" w:rsidRDefault="00F2092A" w:rsidP="00737A7F">
      <w:pPr>
        <w:pStyle w:val="FootnoteText"/>
      </w:pPr>
      <w:r>
        <w:rPr>
          <w:rStyle w:val="FootnoteReference"/>
        </w:rPr>
        <w:footnoteRef/>
      </w:r>
      <w:r>
        <w:t xml:space="preserve"> </w:t>
      </w:r>
      <w:proofErr w:type="spellStart"/>
      <w:proofErr w:type="gramStart"/>
      <w:r w:rsidRPr="00F2092A">
        <w:t>Samaha</w:t>
      </w:r>
      <w:proofErr w:type="spellEnd"/>
      <w:r w:rsidRPr="00F2092A">
        <w:t xml:space="preserve"> AN. (2014) Can antipsychotic treatment contribute to drug addiction in schizophrenia?</w:t>
      </w:r>
      <w:proofErr w:type="gramEnd"/>
      <w:r w:rsidRPr="00F2092A">
        <w:t xml:space="preserve"> </w:t>
      </w:r>
      <w:proofErr w:type="spellStart"/>
      <w:proofErr w:type="gramStart"/>
      <w:r w:rsidRPr="002F5772">
        <w:rPr>
          <w:i/>
        </w:rPr>
        <w:t>Prog</w:t>
      </w:r>
      <w:proofErr w:type="spellEnd"/>
      <w:r w:rsidRPr="002F5772">
        <w:rPr>
          <w:i/>
        </w:rPr>
        <w:t xml:space="preserve"> </w:t>
      </w:r>
      <w:proofErr w:type="spellStart"/>
      <w:r w:rsidRPr="00F2092A">
        <w:rPr>
          <w:i/>
        </w:rPr>
        <w:t>Neuropsychopharmacol</w:t>
      </w:r>
      <w:proofErr w:type="spellEnd"/>
      <w:r w:rsidRPr="00F2092A">
        <w:rPr>
          <w:i/>
        </w:rPr>
        <w:t xml:space="preserve"> </w:t>
      </w:r>
      <w:proofErr w:type="spellStart"/>
      <w:r w:rsidRPr="00F2092A">
        <w:rPr>
          <w:i/>
        </w:rPr>
        <w:t>Biol</w:t>
      </w:r>
      <w:proofErr w:type="spellEnd"/>
      <w:r w:rsidRPr="00F2092A">
        <w:rPr>
          <w:i/>
        </w:rPr>
        <w:t xml:space="preserve"> Psychiatry.</w:t>
      </w:r>
      <w:proofErr w:type="gramEnd"/>
      <w:r>
        <w:t xml:space="preserve"> </w:t>
      </w:r>
      <w:r w:rsidRPr="00F2092A">
        <w:t>52:</w:t>
      </w:r>
      <w:r>
        <w:t xml:space="preserve"> </w:t>
      </w:r>
      <w:r w:rsidRPr="00F2092A">
        <w:t>9-16</w:t>
      </w:r>
      <w:r>
        <w:t>.</w:t>
      </w:r>
    </w:p>
  </w:footnote>
  <w:footnote w:id="44">
    <w:p w:rsidR="00B45C66" w:rsidRDefault="00B45C66" w:rsidP="002E6674">
      <w:pPr>
        <w:pStyle w:val="FootnoteText"/>
      </w:pPr>
      <w:r>
        <w:rPr>
          <w:rStyle w:val="FootnoteReference"/>
        </w:rPr>
        <w:footnoteRef/>
      </w:r>
      <w:r>
        <w:t xml:space="preserve"> </w:t>
      </w:r>
      <w:proofErr w:type="spellStart"/>
      <w:r w:rsidR="00016ECF">
        <w:t>Leucht</w:t>
      </w:r>
      <w:proofErr w:type="spellEnd"/>
      <w:r w:rsidR="00016ECF">
        <w:t xml:space="preserve"> S, et al. (2013) Comparative efficacy and tolerability of 15 </w:t>
      </w:r>
      <w:r w:rsidR="00016ECF" w:rsidRPr="002E6674">
        <w:t>antipsychotic</w:t>
      </w:r>
      <w:r w:rsidR="00016ECF">
        <w:t xml:space="preserve"> drugs in schizophrenia</w:t>
      </w:r>
      <w:r w:rsidR="00016ECF" w:rsidRPr="00791A09">
        <w:t xml:space="preserve">: a multiple-treatments meta-analysis. </w:t>
      </w:r>
      <w:r w:rsidR="00016ECF" w:rsidRPr="007974BB">
        <w:rPr>
          <w:i/>
        </w:rPr>
        <w:t>Lancet</w:t>
      </w:r>
      <w:r w:rsidR="00016ECF">
        <w:t xml:space="preserve"> 382</w:t>
      </w:r>
      <w:r w:rsidR="00016ECF" w:rsidRPr="00791A09">
        <w:t>:</w:t>
      </w:r>
      <w:r w:rsidR="00016ECF">
        <w:t xml:space="preserve"> </w:t>
      </w:r>
      <w:r w:rsidR="00016ECF" w:rsidRPr="00791A09">
        <w:t>951-</w:t>
      </w:r>
      <w:r w:rsidR="00016ECF">
        <w:t>9</w:t>
      </w:r>
      <w:r w:rsidR="00016ECF" w:rsidRPr="00791A09">
        <w:t>62</w:t>
      </w:r>
      <w:r w:rsidR="00016ECF">
        <w:t>.</w:t>
      </w:r>
    </w:p>
  </w:footnote>
  <w:footnote w:id="45">
    <w:p w:rsidR="00E02714" w:rsidRDefault="00E02714" w:rsidP="00385ABD">
      <w:pPr>
        <w:pStyle w:val="FootnoteText"/>
      </w:pPr>
      <w:r>
        <w:rPr>
          <w:rStyle w:val="FootnoteReference"/>
        </w:rPr>
        <w:footnoteRef/>
      </w:r>
      <w:r>
        <w:t xml:space="preserve"> </w:t>
      </w:r>
      <w:proofErr w:type="spellStart"/>
      <w:proofErr w:type="gramStart"/>
      <w:r w:rsidRPr="00F2092A">
        <w:t>Samaha</w:t>
      </w:r>
      <w:proofErr w:type="spellEnd"/>
      <w:r w:rsidRPr="00F2092A">
        <w:t xml:space="preserve"> AN. (2014) Can antipsychotic </w:t>
      </w:r>
      <w:r w:rsidRPr="00385ABD">
        <w:t>treatment</w:t>
      </w:r>
      <w:r w:rsidRPr="00F2092A">
        <w:t xml:space="preserve"> contribute to drug addiction in schizophrenia?</w:t>
      </w:r>
      <w:proofErr w:type="gramEnd"/>
      <w:r w:rsidRPr="00F2092A">
        <w:t xml:space="preserve"> </w:t>
      </w:r>
      <w:proofErr w:type="spellStart"/>
      <w:proofErr w:type="gramStart"/>
      <w:r w:rsidRPr="002F5772">
        <w:rPr>
          <w:i/>
        </w:rPr>
        <w:t>Prog</w:t>
      </w:r>
      <w:proofErr w:type="spellEnd"/>
      <w:r w:rsidRPr="002F5772">
        <w:rPr>
          <w:i/>
        </w:rPr>
        <w:t xml:space="preserve"> </w:t>
      </w:r>
      <w:proofErr w:type="spellStart"/>
      <w:r w:rsidRPr="00F2092A">
        <w:rPr>
          <w:i/>
        </w:rPr>
        <w:t>Neuropsychopharmacol</w:t>
      </w:r>
      <w:proofErr w:type="spellEnd"/>
      <w:r w:rsidRPr="00F2092A">
        <w:rPr>
          <w:i/>
        </w:rPr>
        <w:t xml:space="preserve"> </w:t>
      </w:r>
      <w:proofErr w:type="spellStart"/>
      <w:r w:rsidRPr="00F2092A">
        <w:rPr>
          <w:i/>
        </w:rPr>
        <w:t>Biol</w:t>
      </w:r>
      <w:proofErr w:type="spellEnd"/>
      <w:r w:rsidRPr="00F2092A">
        <w:rPr>
          <w:i/>
        </w:rPr>
        <w:t xml:space="preserve"> Psychiatry.</w:t>
      </w:r>
      <w:proofErr w:type="gramEnd"/>
      <w:r>
        <w:t xml:space="preserve"> </w:t>
      </w:r>
      <w:r w:rsidRPr="00F2092A">
        <w:t>52:</w:t>
      </w:r>
      <w:r>
        <w:t xml:space="preserve"> </w:t>
      </w:r>
      <w:r w:rsidRPr="00F2092A">
        <w:t>9-16</w:t>
      </w:r>
      <w:r>
        <w:t>.</w:t>
      </w:r>
    </w:p>
  </w:footnote>
  <w:footnote w:id="46">
    <w:p w:rsidR="00D7026F" w:rsidRDefault="00D7026F" w:rsidP="0079531B">
      <w:pPr>
        <w:pStyle w:val="FootnoteText"/>
      </w:pPr>
      <w:r>
        <w:rPr>
          <w:rStyle w:val="FootnoteReference"/>
        </w:rPr>
        <w:footnoteRef/>
      </w:r>
      <w:r>
        <w:t xml:space="preserve"> </w:t>
      </w:r>
      <w:proofErr w:type="spellStart"/>
      <w:r>
        <w:t>Leucht</w:t>
      </w:r>
      <w:proofErr w:type="spellEnd"/>
      <w:r>
        <w:t xml:space="preserve"> S, et al. (2013) </w:t>
      </w:r>
      <w:r w:rsidRPr="0079531B">
        <w:t>Comparative</w:t>
      </w:r>
      <w:r>
        <w:t xml:space="preserve"> efficacy and tolerability of 15 antipsychotic drugs in schizophrenia</w:t>
      </w:r>
      <w:r w:rsidRPr="00791A09">
        <w:t xml:space="preserve">: a multiple-treatments meta-analysis. </w:t>
      </w:r>
      <w:r w:rsidRPr="007974BB">
        <w:rPr>
          <w:i/>
        </w:rPr>
        <w:t>Lancet</w:t>
      </w:r>
      <w:r>
        <w:t xml:space="preserve"> 382</w:t>
      </w:r>
      <w:r w:rsidRPr="00791A09">
        <w:t>:</w:t>
      </w:r>
      <w:r>
        <w:t xml:space="preserve"> </w:t>
      </w:r>
      <w:r w:rsidRPr="00791A09">
        <w:t>951-</w:t>
      </w:r>
      <w:r>
        <w:t>9</w:t>
      </w:r>
      <w:r w:rsidRPr="00791A09">
        <w:t>62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120" w:rsidRDefault="008B71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85C44">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7F" w:rsidRDefault="00C85C44" w:rsidP="00593AD1">
    <w:pPr>
      <w:pStyle w:val="HeaderNoLine"/>
    </w:pPr>
    <w:r>
      <w:rPr>
        <w:noProof/>
        <w:lang w:eastAsia="en-AU"/>
      </w:rPr>
      <w:drawing>
        <wp:inline distT="0" distB="0" distL="0" distR="0">
          <wp:extent cx="5396865" cy="7635240"/>
          <wp:effectExtent l="0" t="0" r="0" b="3810"/>
          <wp:docPr id="26" name="Picture 2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F" w:rsidRDefault="00C4577F" w:rsidP="006E08B3">
    <w:r>
      <w:t>Therapeutic Goods Administration</w:t>
    </w:r>
  </w:p>
  <w:p w:rsidR="00C4577F" w:rsidRDefault="00C4577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4754_"/>
      </v:shape>
    </w:pict>
  </w:numPicBullet>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3066740A"/>
    <w:multiLevelType w:val="hybridMultilevel"/>
    <w:tmpl w:val="1838973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5"/>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0C91"/>
    <w:rsid w:val="000010E7"/>
    <w:rsid w:val="00002031"/>
    <w:rsid w:val="00004734"/>
    <w:rsid w:val="00005977"/>
    <w:rsid w:val="00006B22"/>
    <w:rsid w:val="0000771C"/>
    <w:rsid w:val="00010B98"/>
    <w:rsid w:val="000114DE"/>
    <w:rsid w:val="0001276A"/>
    <w:rsid w:val="0001495B"/>
    <w:rsid w:val="00016683"/>
    <w:rsid w:val="00016ECF"/>
    <w:rsid w:val="00016F33"/>
    <w:rsid w:val="0002095D"/>
    <w:rsid w:val="00022896"/>
    <w:rsid w:val="000246AE"/>
    <w:rsid w:val="00025C67"/>
    <w:rsid w:val="00027289"/>
    <w:rsid w:val="0002742E"/>
    <w:rsid w:val="00027F55"/>
    <w:rsid w:val="00030516"/>
    <w:rsid w:val="00035694"/>
    <w:rsid w:val="00044772"/>
    <w:rsid w:val="00052220"/>
    <w:rsid w:val="00055329"/>
    <w:rsid w:val="0005559E"/>
    <w:rsid w:val="00057F27"/>
    <w:rsid w:val="000604D6"/>
    <w:rsid w:val="000605C2"/>
    <w:rsid w:val="00060B57"/>
    <w:rsid w:val="00061103"/>
    <w:rsid w:val="00061F11"/>
    <w:rsid w:val="00063F82"/>
    <w:rsid w:val="00066034"/>
    <w:rsid w:val="0006681B"/>
    <w:rsid w:val="0006741A"/>
    <w:rsid w:val="000675D9"/>
    <w:rsid w:val="000734D8"/>
    <w:rsid w:val="000749B1"/>
    <w:rsid w:val="00077775"/>
    <w:rsid w:val="00080C57"/>
    <w:rsid w:val="00082890"/>
    <w:rsid w:val="000845DA"/>
    <w:rsid w:val="00087D72"/>
    <w:rsid w:val="00090471"/>
    <w:rsid w:val="000916BF"/>
    <w:rsid w:val="00096AA7"/>
    <w:rsid w:val="00097E62"/>
    <w:rsid w:val="000A047E"/>
    <w:rsid w:val="000A178A"/>
    <w:rsid w:val="000A3AED"/>
    <w:rsid w:val="000A54F5"/>
    <w:rsid w:val="000A5668"/>
    <w:rsid w:val="000A6D44"/>
    <w:rsid w:val="000B3532"/>
    <w:rsid w:val="000B37AC"/>
    <w:rsid w:val="000B3A75"/>
    <w:rsid w:val="000B40E2"/>
    <w:rsid w:val="000C690F"/>
    <w:rsid w:val="000C7767"/>
    <w:rsid w:val="000C79DC"/>
    <w:rsid w:val="000D1295"/>
    <w:rsid w:val="000D2C50"/>
    <w:rsid w:val="000D2D5E"/>
    <w:rsid w:val="000D391B"/>
    <w:rsid w:val="000D3D6D"/>
    <w:rsid w:val="000D4FC7"/>
    <w:rsid w:val="000D532A"/>
    <w:rsid w:val="000D6B24"/>
    <w:rsid w:val="000D76FC"/>
    <w:rsid w:val="000E406E"/>
    <w:rsid w:val="000E55BF"/>
    <w:rsid w:val="000F126D"/>
    <w:rsid w:val="000F1EDF"/>
    <w:rsid w:val="000F3AD5"/>
    <w:rsid w:val="000F4869"/>
    <w:rsid w:val="000F5B42"/>
    <w:rsid w:val="000F5C1D"/>
    <w:rsid w:val="000F6E6F"/>
    <w:rsid w:val="00103FFC"/>
    <w:rsid w:val="0010543D"/>
    <w:rsid w:val="0010601F"/>
    <w:rsid w:val="001073A2"/>
    <w:rsid w:val="0010788A"/>
    <w:rsid w:val="00107A31"/>
    <w:rsid w:val="00110EA5"/>
    <w:rsid w:val="001129F5"/>
    <w:rsid w:val="00112F56"/>
    <w:rsid w:val="00117BB1"/>
    <w:rsid w:val="00125318"/>
    <w:rsid w:val="001305A2"/>
    <w:rsid w:val="00132C04"/>
    <w:rsid w:val="00133238"/>
    <w:rsid w:val="00134A29"/>
    <w:rsid w:val="00134EF5"/>
    <w:rsid w:val="0014197B"/>
    <w:rsid w:val="0014317B"/>
    <w:rsid w:val="001447CD"/>
    <w:rsid w:val="0015019E"/>
    <w:rsid w:val="00150204"/>
    <w:rsid w:val="00150FCF"/>
    <w:rsid w:val="001516B1"/>
    <w:rsid w:val="00151D5D"/>
    <w:rsid w:val="00151E09"/>
    <w:rsid w:val="00153352"/>
    <w:rsid w:val="00153908"/>
    <w:rsid w:val="00154EBB"/>
    <w:rsid w:val="0015613E"/>
    <w:rsid w:val="00156316"/>
    <w:rsid w:val="001627A4"/>
    <w:rsid w:val="00162D14"/>
    <w:rsid w:val="001633CB"/>
    <w:rsid w:val="00163A98"/>
    <w:rsid w:val="001645DC"/>
    <w:rsid w:val="00164BB6"/>
    <w:rsid w:val="00165389"/>
    <w:rsid w:val="00166E42"/>
    <w:rsid w:val="0017693F"/>
    <w:rsid w:val="00180B21"/>
    <w:rsid w:val="00181034"/>
    <w:rsid w:val="0018110E"/>
    <w:rsid w:val="00181684"/>
    <w:rsid w:val="0018279C"/>
    <w:rsid w:val="00183E94"/>
    <w:rsid w:val="001843C6"/>
    <w:rsid w:val="001850E0"/>
    <w:rsid w:val="00186CF3"/>
    <w:rsid w:val="001904F0"/>
    <w:rsid w:val="00193EFA"/>
    <w:rsid w:val="00197645"/>
    <w:rsid w:val="001A06F5"/>
    <w:rsid w:val="001A16DB"/>
    <w:rsid w:val="001A1F41"/>
    <w:rsid w:val="001A2158"/>
    <w:rsid w:val="001A44C4"/>
    <w:rsid w:val="001A525F"/>
    <w:rsid w:val="001A52B2"/>
    <w:rsid w:val="001A7561"/>
    <w:rsid w:val="001B052B"/>
    <w:rsid w:val="001B09F9"/>
    <w:rsid w:val="001B3C07"/>
    <w:rsid w:val="001B5C90"/>
    <w:rsid w:val="001B6448"/>
    <w:rsid w:val="001B6B4F"/>
    <w:rsid w:val="001B7A36"/>
    <w:rsid w:val="001B7E06"/>
    <w:rsid w:val="001C32CD"/>
    <w:rsid w:val="001C4AEA"/>
    <w:rsid w:val="001D0AF8"/>
    <w:rsid w:val="001D2984"/>
    <w:rsid w:val="001E0754"/>
    <w:rsid w:val="001E07CF"/>
    <w:rsid w:val="001E1FDA"/>
    <w:rsid w:val="001E4E9E"/>
    <w:rsid w:val="001E59A4"/>
    <w:rsid w:val="001E59F1"/>
    <w:rsid w:val="001E5E0C"/>
    <w:rsid w:val="001E7479"/>
    <w:rsid w:val="001F49EB"/>
    <w:rsid w:val="001F6CBA"/>
    <w:rsid w:val="001F71EC"/>
    <w:rsid w:val="001F73D3"/>
    <w:rsid w:val="00200CCC"/>
    <w:rsid w:val="00201D4E"/>
    <w:rsid w:val="00201D87"/>
    <w:rsid w:val="00202D46"/>
    <w:rsid w:val="00206EBE"/>
    <w:rsid w:val="002076C9"/>
    <w:rsid w:val="002110D2"/>
    <w:rsid w:val="00212CE5"/>
    <w:rsid w:val="002139CD"/>
    <w:rsid w:val="00215309"/>
    <w:rsid w:val="00220B8A"/>
    <w:rsid w:val="00220ECE"/>
    <w:rsid w:val="002221C9"/>
    <w:rsid w:val="002225D1"/>
    <w:rsid w:val="002257F3"/>
    <w:rsid w:val="00232E72"/>
    <w:rsid w:val="002330D1"/>
    <w:rsid w:val="00233456"/>
    <w:rsid w:val="002339A5"/>
    <w:rsid w:val="00242EB8"/>
    <w:rsid w:val="002443BE"/>
    <w:rsid w:val="00246B48"/>
    <w:rsid w:val="00250F61"/>
    <w:rsid w:val="00253D80"/>
    <w:rsid w:val="0025613C"/>
    <w:rsid w:val="002561CA"/>
    <w:rsid w:val="00257848"/>
    <w:rsid w:val="002626F4"/>
    <w:rsid w:val="00263B48"/>
    <w:rsid w:val="0027084A"/>
    <w:rsid w:val="00273560"/>
    <w:rsid w:val="002735FC"/>
    <w:rsid w:val="00275704"/>
    <w:rsid w:val="00282EF5"/>
    <w:rsid w:val="0028486C"/>
    <w:rsid w:val="00286434"/>
    <w:rsid w:val="00286C59"/>
    <w:rsid w:val="00286FD4"/>
    <w:rsid w:val="0028719B"/>
    <w:rsid w:val="0028775C"/>
    <w:rsid w:val="00291957"/>
    <w:rsid w:val="002942D1"/>
    <w:rsid w:val="0029501A"/>
    <w:rsid w:val="002A1B56"/>
    <w:rsid w:val="002A5023"/>
    <w:rsid w:val="002B0531"/>
    <w:rsid w:val="002B05C3"/>
    <w:rsid w:val="002B1638"/>
    <w:rsid w:val="002B3624"/>
    <w:rsid w:val="002B73FE"/>
    <w:rsid w:val="002D09AA"/>
    <w:rsid w:val="002D2928"/>
    <w:rsid w:val="002D2D79"/>
    <w:rsid w:val="002E1BE0"/>
    <w:rsid w:val="002E4C9A"/>
    <w:rsid w:val="002E5046"/>
    <w:rsid w:val="002E5B07"/>
    <w:rsid w:val="002E6674"/>
    <w:rsid w:val="002F11F8"/>
    <w:rsid w:val="002F3917"/>
    <w:rsid w:val="002F3F56"/>
    <w:rsid w:val="002F410C"/>
    <w:rsid w:val="002F44B5"/>
    <w:rsid w:val="002F5772"/>
    <w:rsid w:val="002F65F8"/>
    <w:rsid w:val="00310103"/>
    <w:rsid w:val="00311AC0"/>
    <w:rsid w:val="00321FCB"/>
    <w:rsid w:val="003220BE"/>
    <w:rsid w:val="00322582"/>
    <w:rsid w:val="0032583B"/>
    <w:rsid w:val="00327883"/>
    <w:rsid w:val="00333122"/>
    <w:rsid w:val="00335504"/>
    <w:rsid w:val="00346A31"/>
    <w:rsid w:val="00347824"/>
    <w:rsid w:val="00347FF1"/>
    <w:rsid w:val="0035026D"/>
    <w:rsid w:val="00350567"/>
    <w:rsid w:val="003521E8"/>
    <w:rsid w:val="00355CD3"/>
    <w:rsid w:val="0035730A"/>
    <w:rsid w:val="0035793D"/>
    <w:rsid w:val="00362930"/>
    <w:rsid w:val="00362A67"/>
    <w:rsid w:val="00362B19"/>
    <w:rsid w:val="00364110"/>
    <w:rsid w:val="003677CA"/>
    <w:rsid w:val="003679BE"/>
    <w:rsid w:val="00370FF7"/>
    <w:rsid w:val="0037155F"/>
    <w:rsid w:val="003728F3"/>
    <w:rsid w:val="00372C30"/>
    <w:rsid w:val="00372D17"/>
    <w:rsid w:val="0037496E"/>
    <w:rsid w:val="00380D7B"/>
    <w:rsid w:val="0038382B"/>
    <w:rsid w:val="00385ABD"/>
    <w:rsid w:val="00386150"/>
    <w:rsid w:val="00386328"/>
    <w:rsid w:val="003874CE"/>
    <w:rsid w:val="003906F5"/>
    <w:rsid w:val="00390817"/>
    <w:rsid w:val="00390900"/>
    <w:rsid w:val="003942E2"/>
    <w:rsid w:val="003A22E1"/>
    <w:rsid w:val="003A39D6"/>
    <w:rsid w:val="003A666E"/>
    <w:rsid w:val="003A7F6C"/>
    <w:rsid w:val="003B084A"/>
    <w:rsid w:val="003B4D60"/>
    <w:rsid w:val="003B4E04"/>
    <w:rsid w:val="003B7E39"/>
    <w:rsid w:val="003B7ECF"/>
    <w:rsid w:val="003C189A"/>
    <w:rsid w:val="003C3135"/>
    <w:rsid w:val="003C58DC"/>
    <w:rsid w:val="003C7785"/>
    <w:rsid w:val="003D0F6C"/>
    <w:rsid w:val="003D144F"/>
    <w:rsid w:val="003D18A1"/>
    <w:rsid w:val="003D1E62"/>
    <w:rsid w:val="003D3CF5"/>
    <w:rsid w:val="003D4065"/>
    <w:rsid w:val="003D47C3"/>
    <w:rsid w:val="003D78E0"/>
    <w:rsid w:val="003E1C89"/>
    <w:rsid w:val="003E2486"/>
    <w:rsid w:val="003E3208"/>
    <w:rsid w:val="003E3B53"/>
    <w:rsid w:val="003E443E"/>
    <w:rsid w:val="003E45EA"/>
    <w:rsid w:val="003E4F62"/>
    <w:rsid w:val="003E5E98"/>
    <w:rsid w:val="003F0B04"/>
    <w:rsid w:val="003F160A"/>
    <w:rsid w:val="003F192C"/>
    <w:rsid w:val="003F2C83"/>
    <w:rsid w:val="003F72CB"/>
    <w:rsid w:val="003F77C1"/>
    <w:rsid w:val="0040134E"/>
    <w:rsid w:val="0040313A"/>
    <w:rsid w:val="004100B1"/>
    <w:rsid w:val="0041213F"/>
    <w:rsid w:val="00415450"/>
    <w:rsid w:val="00415F2E"/>
    <w:rsid w:val="0042151C"/>
    <w:rsid w:val="00422EE3"/>
    <w:rsid w:val="00425BE6"/>
    <w:rsid w:val="00426D40"/>
    <w:rsid w:val="00431E88"/>
    <w:rsid w:val="004334C7"/>
    <w:rsid w:val="00434075"/>
    <w:rsid w:val="00434514"/>
    <w:rsid w:val="00440A2D"/>
    <w:rsid w:val="00442D50"/>
    <w:rsid w:val="0044364B"/>
    <w:rsid w:val="00443CF7"/>
    <w:rsid w:val="004445AF"/>
    <w:rsid w:val="00444633"/>
    <w:rsid w:val="00454573"/>
    <w:rsid w:val="004564A7"/>
    <w:rsid w:val="00460321"/>
    <w:rsid w:val="004617BF"/>
    <w:rsid w:val="00461D7E"/>
    <w:rsid w:val="004633A5"/>
    <w:rsid w:val="00463658"/>
    <w:rsid w:val="004722CC"/>
    <w:rsid w:val="00472FC3"/>
    <w:rsid w:val="00482EF8"/>
    <w:rsid w:val="0048789D"/>
    <w:rsid w:val="004904EB"/>
    <w:rsid w:val="004936E4"/>
    <w:rsid w:val="00494E60"/>
    <w:rsid w:val="00495BB7"/>
    <w:rsid w:val="004964E0"/>
    <w:rsid w:val="00497487"/>
    <w:rsid w:val="00497BF1"/>
    <w:rsid w:val="004A30F0"/>
    <w:rsid w:val="004A6D79"/>
    <w:rsid w:val="004B17E4"/>
    <w:rsid w:val="004B34C6"/>
    <w:rsid w:val="004B5B7D"/>
    <w:rsid w:val="004B5BC9"/>
    <w:rsid w:val="004B7B76"/>
    <w:rsid w:val="004C0028"/>
    <w:rsid w:val="004C0710"/>
    <w:rsid w:val="004C239D"/>
    <w:rsid w:val="004C2DCA"/>
    <w:rsid w:val="004C490A"/>
    <w:rsid w:val="004C4E5F"/>
    <w:rsid w:val="004C70B0"/>
    <w:rsid w:val="004D05B3"/>
    <w:rsid w:val="004D192E"/>
    <w:rsid w:val="004D7072"/>
    <w:rsid w:val="004E19A8"/>
    <w:rsid w:val="004E2260"/>
    <w:rsid w:val="004E5658"/>
    <w:rsid w:val="004F0C4A"/>
    <w:rsid w:val="004F0F38"/>
    <w:rsid w:val="004F3A1D"/>
    <w:rsid w:val="004F7C00"/>
    <w:rsid w:val="00500084"/>
    <w:rsid w:val="00501921"/>
    <w:rsid w:val="00504C23"/>
    <w:rsid w:val="00505035"/>
    <w:rsid w:val="00511DBD"/>
    <w:rsid w:val="005130CD"/>
    <w:rsid w:val="00513705"/>
    <w:rsid w:val="00515E81"/>
    <w:rsid w:val="00520C5E"/>
    <w:rsid w:val="00523061"/>
    <w:rsid w:val="00530354"/>
    <w:rsid w:val="005326C8"/>
    <w:rsid w:val="00532B26"/>
    <w:rsid w:val="00535117"/>
    <w:rsid w:val="005354C5"/>
    <w:rsid w:val="00535C31"/>
    <w:rsid w:val="00535C8C"/>
    <w:rsid w:val="0053625B"/>
    <w:rsid w:val="00540832"/>
    <w:rsid w:val="005434C6"/>
    <w:rsid w:val="00543617"/>
    <w:rsid w:val="00543B39"/>
    <w:rsid w:val="00546154"/>
    <w:rsid w:val="005463E8"/>
    <w:rsid w:val="00547553"/>
    <w:rsid w:val="00550096"/>
    <w:rsid w:val="00552818"/>
    <w:rsid w:val="00554CB2"/>
    <w:rsid w:val="00555280"/>
    <w:rsid w:val="00555348"/>
    <w:rsid w:val="00557FF9"/>
    <w:rsid w:val="00561A49"/>
    <w:rsid w:val="00561BB4"/>
    <w:rsid w:val="00563940"/>
    <w:rsid w:val="00567CA7"/>
    <w:rsid w:val="005731DC"/>
    <w:rsid w:val="00574AD1"/>
    <w:rsid w:val="0057632A"/>
    <w:rsid w:val="00576378"/>
    <w:rsid w:val="00577130"/>
    <w:rsid w:val="00577945"/>
    <w:rsid w:val="00577E38"/>
    <w:rsid w:val="00581C3F"/>
    <w:rsid w:val="0058362A"/>
    <w:rsid w:val="00585322"/>
    <w:rsid w:val="005857C6"/>
    <w:rsid w:val="00586533"/>
    <w:rsid w:val="00586DB8"/>
    <w:rsid w:val="005901EB"/>
    <w:rsid w:val="005905D8"/>
    <w:rsid w:val="00592F6E"/>
    <w:rsid w:val="00593AD1"/>
    <w:rsid w:val="00595CCA"/>
    <w:rsid w:val="005A220E"/>
    <w:rsid w:val="005A68B6"/>
    <w:rsid w:val="005A6DA7"/>
    <w:rsid w:val="005B2023"/>
    <w:rsid w:val="005C0984"/>
    <w:rsid w:val="005C148F"/>
    <w:rsid w:val="005C277B"/>
    <w:rsid w:val="005C5570"/>
    <w:rsid w:val="005C681D"/>
    <w:rsid w:val="005C79A4"/>
    <w:rsid w:val="005C7BBF"/>
    <w:rsid w:val="005D0338"/>
    <w:rsid w:val="005D5442"/>
    <w:rsid w:val="005D6C4F"/>
    <w:rsid w:val="005E5CBE"/>
    <w:rsid w:val="005E607F"/>
    <w:rsid w:val="005F39AE"/>
    <w:rsid w:val="005F3B93"/>
    <w:rsid w:val="005F4A60"/>
    <w:rsid w:val="005F4F7E"/>
    <w:rsid w:val="005F75CB"/>
    <w:rsid w:val="006000BF"/>
    <w:rsid w:val="00602AA5"/>
    <w:rsid w:val="00603F32"/>
    <w:rsid w:val="00605113"/>
    <w:rsid w:val="00605AD4"/>
    <w:rsid w:val="00607759"/>
    <w:rsid w:val="00612143"/>
    <w:rsid w:val="00621245"/>
    <w:rsid w:val="00622648"/>
    <w:rsid w:val="00624100"/>
    <w:rsid w:val="00624672"/>
    <w:rsid w:val="00624C71"/>
    <w:rsid w:val="00625A6E"/>
    <w:rsid w:val="006321E0"/>
    <w:rsid w:val="00632398"/>
    <w:rsid w:val="00633668"/>
    <w:rsid w:val="006351E7"/>
    <w:rsid w:val="00637759"/>
    <w:rsid w:val="0064096A"/>
    <w:rsid w:val="00640FC3"/>
    <w:rsid w:val="00642020"/>
    <w:rsid w:val="00643211"/>
    <w:rsid w:val="00646FD9"/>
    <w:rsid w:val="0064798C"/>
    <w:rsid w:val="00647E89"/>
    <w:rsid w:val="00650D90"/>
    <w:rsid w:val="0065147B"/>
    <w:rsid w:val="0065337B"/>
    <w:rsid w:val="0065419D"/>
    <w:rsid w:val="0065562D"/>
    <w:rsid w:val="00656ED1"/>
    <w:rsid w:val="006603B9"/>
    <w:rsid w:val="006604D8"/>
    <w:rsid w:val="006642C6"/>
    <w:rsid w:val="00664A5B"/>
    <w:rsid w:val="006651F1"/>
    <w:rsid w:val="006756F1"/>
    <w:rsid w:val="006763D2"/>
    <w:rsid w:val="00680C08"/>
    <w:rsid w:val="00681099"/>
    <w:rsid w:val="00681553"/>
    <w:rsid w:val="0068194D"/>
    <w:rsid w:val="00683F07"/>
    <w:rsid w:val="00685D38"/>
    <w:rsid w:val="0069004B"/>
    <w:rsid w:val="006905D8"/>
    <w:rsid w:val="006931B1"/>
    <w:rsid w:val="00696A56"/>
    <w:rsid w:val="006A01E7"/>
    <w:rsid w:val="006A15C0"/>
    <w:rsid w:val="006A5F42"/>
    <w:rsid w:val="006A672B"/>
    <w:rsid w:val="006B31E4"/>
    <w:rsid w:val="006B3D0F"/>
    <w:rsid w:val="006B6B24"/>
    <w:rsid w:val="006B7862"/>
    <w:rsid w:val="006B787C"/>
    <w:rsid w:val="006C27A3"/>
    <w:rsid w:val="006C3E2A"/>
    <w:rsid w:val="006C642F"/>
    <w:rsid w:val="006D03E5"/>
    <w:rsid w:val="006D5D3E"/>
    <w:rsid w:val="006D6A1E"/>
    <w:rsid w:val="006E08B3"/>
    <w:rsid w:val="006E238D"/>
    <w:rsid w:val="006E30D4"/>
    <w:rsid w:val="006F17AC"/>
    <w:rsid w:val="006F25B8"/>
    <w:rsid w:val="006F2A62"/>
    <w:rsid w:val="006F4400"/>
    <w:rsid w:val="006F572E"/>
    <w:rsid w:val="006F629E"/>
    <w:rsid w:val="006F64DB"/>
    <w:rsid w:val="006F6685"/>
    <w:rsid w:val="00704133"/>
    <w:rsid w:val="007046D6"/>
    <w:rsid w:val="00705DB0"/>
    <w:rsid w:val="007064FD"/>
    <w:rsid w:val="00706D10"/>
    <w:rsid w:val="00714510"/>
    <w:rsid w:val="00715B0E"/>
    <w:rsid w:val="00715E63"/>
    <w:rsid w:val="00722B57"/>
    <w:rsid w:val="007235F3"/>
    <w:rsid w:val="00724C8A"/>
    <w:rsid w:val="00730DB4"/>
    <w:rsid w:val="00730F8A"/>
    <w:rsid w:val="00732D44"/>
    <w:rsid w:val="00734D78"/>
    <w:rsid w:val="00737A7F"/>
    <w:rsid w:val="00737CFE"/>
    <w:rsid w:val="0074253D"/>
    <w:rsid w:val="0074429B"/>
    <w:rsid w:val="007452B8"/>
    <w:rsid w:val="00751418"/>
    <w:rsid w:val="007517BE"/>
    <w:rsid w:val="00751E35"/>
    <w:rsid w:val="00751F79"/>
    <w:rsid w:val="00752F08"/>
    <w:rsid w:val="00755D71"/>
    <w:rsid w:val="0075646A"/>
    <w:rsid w:val="0075652A"/>
    <w:rsid w:val="00757226"/>
    <w:rsid w:val="007615BC"/>
    <w:rsid w:val="0076178A"/>
    <w:rsid w:val="00762F05"/>
    <w:rsid w:val="00763006"/>
    <w:rsid w:val="00763B0B"/>
    <w:rsid w:val="007652FF"/>
    <w:rsid w:val="007655C3"/>
    <w:rsid w:val="0077007E"/>
    <w:rsid w:val="00770EF1"/>
    <w:rsid w:val="00772952"/>
    <w:rsid w:val="00773EF7"/>
    <w:rsid w:val="00774E1D"/>
    <w:rsid w:val="00775B0D"/>
    <w:rsid w:val="00775B2E"/>
    <w:rsid w:val="0077675A"/>
    <w:rsid w:val="00777275"/>
    <w:rsid w:val="00780355"/>
    <w:rsid w:val="00780B8C"/>
    <w:rsid w:val="007819FD"/>
    <w:rsid w:val="00783764"/>
    <w:rsid w:val="00785721"/>
    <w:rsid w:val="00785906"/>
    <w:rsid w:val="00787ABB"/>
    <w:rsid w:val="007905F1"/>
    <w:rsid w:val="00793A59"/>
    <w:rsid w:val="00793BA5"/>
    <w:rsid w:val="007947CF"/>
    <w:rsid w:val="0079531B"/>
    <w:rsid w:val="007955DF"/>
    <w:rsid w:val="007974BB"/>
    <w:rsid w:val="007A1030"/>
    <w:rsid w:val="007A5026"/>
    <w:rsid w:val="007B2F96"/>
    <w:rsid w:val="007B3004"/>
    <w:rsid w:val="007B6132"/>
    <w:rsid w:val="007B6E9F"/>
    <w:rsid w:val="007C0CA2"/>
    <w:rsid w:val="007C0D6E"/>
    <w:rsid w:val="007C1216"/>
    <w:rsid w:val="007C1AF7"/>
    <w:rsid w:val="007C27DB"/>
    <w:rsid w:val="007C3317"/>
    <w:rsid w:val="007C6319"/>
    <w:rsid w:val="007C67D3"/>
    <w:rsid w:val="007D3192"/>
    <w:rsid w:val="007D5F1C"/>
    <w:rsid w:val="007E36B8"/>
    <w:rsid w:val="007E604B"/>
    <w:rsid w:val="007F0F62"/>
    <w:rsid w:val="007F30AE"/>
    <w:rsid w:val="007F3E41"/>
    <w:rsid w:val="007F5150"/>
    <w:rsid w:val="008048A9"/>
    <w:rsid w:val="00805802"/>
    <w:rsid w:val="00805D27"/>
    <w:rsid w:val="00811C34"/>
    <w:rsid w:val="00814A54"/>
    <w:rsid w:val="008166AE"/>
    <w:rsid w:val="00817421"/>
    <w:rsid w:val="00820D6B"/>
    <w:rsid w:val="00820E38"/>
    <w:rsid w:val="00820FB7"/>
    <w:rsid w:val="00821776"/>
    <w:rsid w:val="00823985"/>
    <w:rsid w:val="00824B7F"/>
    <w:rsid w:val="00831FDF"/>
    <w:rsid w:val="008321F5"/>
    <w:rsid w:val="00832369"/>
    <w:rsid w:val="00834660"/>
    <w:rsid w:val="00836BC2"/>
    <w:rsid w:val="00847311"/>
    <w:rsid w:val="008522B7"/>
    <w:rsid w:val="0085641B"/>
    <w:rsid w:val="00856BA1"/>
    <w:rsid w:val="00857136"/>
    <w:rsid w:val="00857DB2"/>
    <w:rsid w:val="008600A8"/>
    <w:rsid w:val="00862384"/>
    <w:rsid w:val="008646F2"/>
    <w:rsid w:val="00871B4B"/>
    <w:rsid w:val="00874560"/>
    <w:rsid w:val="00875B74"/>
    <w:rsid w:val="00880577"/>
    <w:rsid w:val="00885B11"/>
    <w:rsid w:val="0088611D"/>
    <w:rsid w:val="00886D15"/>
    <w:rsid w:val="00887DD8"/>
    <w:rsid w:val="0089122B"/>
    <w:rsid w:val="00893E5E"/>
    <w:rsid w:val="00896018"/>
    <w:rsid w:val="008960DD"/>
    <w:rsid w:val="0089635C"/>
    <w:rsid w:val="008A1E07"/>
    <w:rsid w:val="008A2B9D"/>
    <w:rsid w:val="008A3D9F"/>
    <w:rsid w:val="008A5E0B"/>
    <w:rsid w:val="008A6D59"/>
    <w:rsid w:val="008B0CC7"/>
    <w:rsid w:val="008B26A4"/>
    <w:rsid w:val="008B36F8"/>
    <w:rsid w:val="008B4130"/>
    <w:rsid w:val="008B4247"/>
    <w:rsid w:val="008B4B03"/>
    <w:rsid w:val="008B596F"/>
    <w:rsid w:val="008B7120"/>
    <w:rsid w:val="008C159F"/>
    <w:rsid w:val="008C1623"/>
    <w:rsid w:val="008C1850"/>
    <w:rsid w:val="008C364B"/>
    <w:rsid w:val="008C51A9"/>
    <w:rsid w:val="008C58A6"/>
    <w:rsid w:val="008D2076"/>
    <w:rsid w:val="008D20C2"/>
    <w:rsid w:val="008D3A79"/>
    <w:rsid w:val="008D69F4"/>
    <w:rsid w:val="008E045C"/>
    <w:rsid w:val="008E1A9E"/>
    <w:rsid w:val="008E2399"/>
    <w:rsid w:val="008E7846"/>
    <w:rsid w:val="008F0030"/>
    <w:rsid w:val="008F1CCC"/>
    <w:rsid w:val="008F2334"/>
    <w:rsid w:val="008F2967"/>
    <w:rsid w:val="008F6943"/>
    <w:rsid w:val="009024C7"/>
    <w:rsid w:val="00902A21"/>
    <w:rsid w:val="00904828"/>
    <w:rsid w:val="0090744F"/>
    <w:rsid w:val="00920330"/>
    <w:rsid w:val="009219D7"/>
    <w:rsid w:val="00922D53"/>
    <w:rsid w:val="00923B70"/>
    <w:rsid w:val="00924482"/>
    <w:rsid w:val="00927004"/>
    <w:rsid w:val="00927AAB"/>
    <w:rsid w:val="00930237"/>
    <w:rsid w:val="0093085A"/>
    <w:rsid w:val="0093472E"/>
    <w:rsid w:val="00934B57"/>
    <w:rsid w:val="009359BF"/>
    <w:rsid w:val="00940A89"/>
    <w:rsid w:val="0094272A"/>
    <w:rsid w:val="00942ED5"/>
    <w:rsid w:val="00943AB1"/>
    <w:rsid w:val="00946EA5"/>
    <w:rsid w:val="009541B7"/>
    <w:rsid w:val="00961743"/>
    <w:rsid w:val="0096355E"/>
    <w:rsid w:val="00963C08"/>
    <w:rsid w:val="009640E5"/>
    <w:rsid w:val="00964C32"/>
    <w:rsid w:val="00964FCB"/>
    <w:rsid w:val="00967456"/>
    <w:rsid w:val="009679DC"/>
    <w:rsid w:val="00967BB6"/>
    <w:rsid w:val="009712D4"/>
    <w:rsid w:val="00977063"/>
    <w:rsid w:val="00977A4D"/>
    <w:rsid w:val="009817D6"/>
    <w:rsid w:val="00984341"/>
    <w:rsid w:val="00984404"/>
    <w:rsid w:val="0098585A"/>
    <w:rsid w:val="00985C6C"/>
    <w:rsid w:val="00991696"/>
    <w:rsid w:val="009A01CE"/>
    <w:rsid w:val="009A1186"/>
    <w:rsid w:val="009A4CED"/>
    <w:rsid w:val="009A690D"/>
    <w:rsid w:val="009A79B8"/>
    <w:rsid w:val="009B1D12"/>
    <w:rsid w:val="009B416B"/>
    <w:rsid w:val="009B70DC"/>
    <w:rsid w:val="009C2D9F"/>
    <w:rsid w:val="009C3297"/>
    <w:rsid w:val="009C35A8"/>
    <w:rsid w:val="009C4BD5"/>
    <w:rsid w:val="009D0981"/>
    <w:rsid w:val="009D4431"/>
    <w:rsid w:val="009D49BB"/>
    <w:rsid w:val="009D7B77"/>
    <w:rsid w:val="009E0449"/>
    <w:rsid w:val="009E0BB0"/>
    <w:rsid w:val="009E298F"/>
    <w:rsid w:val="009E3F7C"/>
    <w:rsid w:val="009E3FBB"/>
    <w:rsid w:val="009F13ED"/>
    <w:rsid w:val="009F31AE"/>
    <w:rsid w:val="009F3402"/>
    <w:rsid w:val="00A00DA5"/>
    <w:rsid w:val="00A041F2"/>
    <w:rsid w:val="00A102E4"/>
    <w:rsid w:val="00A12C42"/>
    <w:rsid w:val="00A14DF7"/>
    <w:rsid w:val="00A206F8"/>
    <w:rsid w:val="00A243D1"/>
    <w:rsid w:val="00A25C54"/>
    <w:rsid w:val="00A27965"/>
    <w:rsid w:val="00A3246D"/>
    <w:rsid w:val="00A32730"/>
    <w:rsid w:val="00A32D08"/>
    <w:rsid w:val="00A36FA7"/>
    <w:rsid w:val="00A41E26"/>
    <w:rsid w:val="00A42657"/>
    <w:rsid w:val="00A42DB6"/>
    <w:rsid w:val="00A44DDB"/>
    <w:rsid w:val="00A475B7"/>
    <w:rsid w:val="00A47AF7"/>
    <w:rsid w:val="00A47C3E"/>
    <w:rsid w:val="00A50226"/>
    <w:rsid w:val="00A50912"/>
    <w:rsid w:val="00A5159E"/>
    <w:rsid w:val="00A53501"/>
    <w:rsid w:val="00A60BAD"/>
    <w:rsid w:val="00A65F95"/>
    <w:rsid w:val="00A700E3"/>
    <w:rsid w:val="00A70FB2"/>
    <w:rsid w:val="00A75A47"/>
    <w:rsid w:val="00A80D4C"/>
    <w:rsid w:val="00A81183"/>
    <w:rsid w:val="00A83B8E"/>
    <w:rsid w:val="00A84E36"/>
    <w:rsid w:val="00A8636F"/>
    <w:rsid w:val="00A86D1F"/>
    <w:rsid w:val="00A875FF"/>
    <w:rsid w:val="00A90243"/>
    <w:rsid w:val="00A93EC5"/>
    <w:rsid w:val="00A961B9"/>
    <w:rsid w:val="00A964D1"/>
    <w:rsid w:val="00A97235"/>
    <w:rsid w:val="00AA0ED0"/>
    <w:rsid w:val="00AA3A13"/>
    <w:rsid w:val="00AA4555"/>
    <w:rsid w:val="00AA6E38"/>
    <w:rsid w:val="00AB2644"/>
    <w:rsid w:val="00AB35D9"/>
    <w:rsid w:val="00AB40C6"/>
    <w:rsid w:val="00AC1356"/>
    <w:rsid w:val="00AC1AB5"/>
    <w:rsid w:val="00AC2B40"/>
    <w:rsid w:val="00AC2BB2"/>
    <w:rsid w:val="00AC2C3C"/>
    <w:rsid w:val="00AC305C"/>
    <w:rsid w:val="00AC512D"/>
    <w:rsid w:val="00AD0083"/>
    <w:rsid w:val="00AD3935"/>
    <w:rsid w:val="00AD3AF3"/>
    <w:rsid w:val="00AD6692"/>
    <w:rsid w:val="00AE39C0"/>
    <w:rsid w:val="00AE65EB"/>
    <w:rsid w:val="00AE67A7"/>
    <w:rsid w:val="00AE770F"/>
    <w:rsid w:val="00AF1D94"/>
    <w:rsid w:val="00AF229B"/>
    <w:rsid w:val="00AF3ECC"/>
    <w:rsid w:val="00AF60C5"/>
    <w:rsid w:val="00AF64FF"/>
    <w:rsid w:val="00B009C6"/>
    <w:rsid w:val="00B00B7C"/>
    <w:rsid w:val="00B01548"/>
    <w:rsid w:val="00B01C51"/>
    <w:rsid w:val="00B03DB3"/>
    <w:rsid w:val="00B1020F"/>
    <w:rsid w:val="00B10D3E"/>
    <w:rsid w:val="00B15387"/>
    <w:rsid w:val="00B21D29"/>
    <w:rsid w:val="00B22D45"/>
    <w:rsid w:val="00B241B6"/>
    <w:rsid w:val="00B24245"/>
    <w:rsid w:val="00B25034"/>
    <w:rsid w:val="00B33588"/>
    <w:rsid w:val="00B33863"/>
    <w:rsid w:val="00B37D17"/>
    <w:rsid w:val="00B4175E"/>
    <w:rsid w:val="00B42333"/>
    <w:rsid w:val="00B452CE"/>
    <w:rsid w:val="00B45C66"/>
    <w:rsid w:val="00B45EF1"/>
    <w:rsid w:val="00B462A6"/>
    <w:rsid w:val="00B46664"/>
    <w:rsid w:val="00B52FCF"/>
    <w:rsid w:val="00B54C25"/>
    <w:rsid w:val="00B72827"/>
    <w:rsid w:val="00B72BA6"/>
    <w:rsid w:val="00B76B91"/>
    <w:rsid w:val="00B76F57"/>
    <w:rsid w:val="00B77EB1"/>
    <w:rsid w:val="00B811C6"/>
    <w:rsid w:val="00B84EF1"/>
    <w:rsid w:val="00B855B0"/>
    <w:rsid w:val="00B90738"/>
    <w:rsid w:val="00B920E4"/>
    <w:rsid w:val="00B92E08"/>
    <w:rsid w:val="00B9792D"/>
    <w:rsid w:val="00BA0910"/>
    <w:rsid w:val="00BA3A30"/>
    <w:rsid w:val="00BA7C0A"/>
    <w:rsid w:val="00BB7918"/>
    <w:rsid w:val="00BC032D"/>
    <w:rsid w:val="00BC08D1"/>
    <w:rsid w:val="00BC1C32"/>
    <w:rsid w:val="00BC2053"/>
    <w:rsid w:val="00BC3C13"/>
    <w:rsid w:val="00BC622A"/>
    <w:rsid w:val="00BC664C"/>
    <w:rsid w:val="00BD18C9"/>
    <w:rsid w:val="00BD2B6C"/>
    <w:rsid w:val="00BD4594"/>
    <w:rsid w:val="00BD5A0D"/>
    <w:rsid w:val="00BD5F52"/>
    <w:rsid w:val="00BE0A78"/>
    <w:rsid w:val="00BE1628"/>
    <w:rsid w:val="00BE31EE"/>
    <w:rsid w:val="00BE43EE"/>
    <w:rsid w:val="00BE79F0"/>
    <w:rsid w:val="00BF046D"/>
    <w:rsid w:val="00BF1190"/>
    <w:rsid w:val="00BF19E5"/>
    <w:rsid w:val="00BF5D04"/>
    <w:rsid w:val="00BF75FB"/>
    <w:rsid w:val="00BF7B1D"/>
    <w:rsid w:val="00BF7EB8"/>
    <w:rsid w:val="00C02430"/>
    <w:rsid w:val="00C1164D"/>
    <w:rsid w:val="00C16861"/>
    <w:rsid w:val="00C21FB2"/>
    <w:rsid w:val="00C23FB0"/>
    <w:rsid w:val="00C25FED"/>
    <w:rsid w:val="00C27D81"/>
    <w:rsid w:val="00C346EF"/>
    <w:rsid w:val="00C361EA"/>
    <w:rsid w:val="00C37A29"/>
    <w:rsid w:val="00C404A6"/>
    <w:rsid w:val="00C40A36"/>
    <w:rsid w:val="00C42148"/>
    <w:rsid w:val="00C44419"/>
    <w:rsid w:val="00C44E4C"/>
    <w:rsid w:val="00C4577F"/>
    <w:rsid w:val="00C45E7B"/>
    <w:rsid w:val="00C471B1"/>
    <w:rsid w:val="00C56A87"/>
    <w:rsid w:val="00C621CE"/>
    <w:rsid w:val="00C6316B"/>
    <w:rsid w:val="00C634A9"/>
    <w:rsid w:val="00C64586"/>
    <w:rsid w:val="00C70D53"/>
    <w:rsid w:val="00C73D0B"/>
    <w:rsid w:val="00C75FA4"/>
    <w:rsid w:val="00C772FF"/>
    <w:rsid w:val="00C779A0"/>
    <w:rsid w:val="00C80137"/>
    <w:rsid w:val="00C801AF"/>
    <w:rsid w:val="00C80256"/>
    <w:rsid w:val="00C839B4"/>
    <w:rsid w:val="00C83C91"/>
    <w:rsid w:val="00C83D1E"/>
    <w:rsid w:val="00C85C44"/>
    <w:rsid w:val="00C85F9A"/>
    <w:rsid w:val="00C86AFC"/>
    <w:rsid w:val="00C95F07"/>
    <w:rsid w:val="00C9747E"/>
    <w:rsid w:val="00CA1105"/>
    <w:rsid w:val="00CA56D1"/>
    <w:rsid w:val="00CA5D44"/>
    <w:rsid w:val="00CA7F9D"/>
    <w:rsid w:val="00CB6680"/>
    <w:rsid w:val="00CB6BC0"/>
    <w:rsid w:val="00CC1515"/>
    <w:rsid w:val="00CC1B7C"/>
    <w:rsid w:val="00CC587E"/>
    <w:rsid w:val="00CC6535"/>
    <w:rsid w:val="00CC69F9"/>
    <w:rsid w:val="00CC727F"/>
    <w:rsid w:val="00CC7905"/>
    <w:rsid w:val="00CD1E86"/>
    <w:rsid w:val="00CD29F5"/>
    <w:rsid w:val="00CD2FB2"/>
    <w:rsid w:val="00CE2630"/>
    <w:rsid w:val="00CE7880"/>
    <w:rsid w:val="00CF15C3"/>
    <w:rsid w:val="00CF2B6F"/>
    <w:rsid w:val="00CF58B6"/>
    <w:rsid w:val="00CF76AE"/>
    <w:rsid w:val="00CF76F8"/>
    <w:rsid w:val="00D017ED"/>
    <w:rsid w:val="00D040D3"/>
    <w:rsid w:val="00D04C65"/>
    <w:rsid w:val="00D04EE6"/>
    <w:rsid w:val="00D06301"/>
    <w:rsid w:val="00D06CDB"/>
    <w:rsid w:val="00D12012"/>
    <w:rsid w:val="00D12A26"/>
    <w:rsid w:val="00D12CD4"/>
    <w:rsid w:val="00D155B1"/>
    <w:rsid w:val="00D15EBF"/>
    <w:rsid w:val="00D16554"/>
    <w:rsid w:val="00D201D2"/>
    <w:rsid w:val="00D210FF"/>
    <w:rsid w:val="00D224FE"/>
    <w:rsid w:val="00D23139"/>
    <w:rsid w:val="00D23EEF"/>
    <w:rsid w:val="00D246B9"/>
    <w:rsid w:val="00D267D9"/>
    <w:rsid w:val="00D302A5"/>
    <w:rsid w:val="00D33E1A"/>
    <w:rsid w:val="00D34ADB"/>
    <w:rsid w:val="00D355C0"/>
    <w:rsid w:val="00D425BB"/>
    <w:rsid w:val="00D5026A"/>
    <w:rsid w:val="00D505E9"/>
    <w:rsid w:val="00D509B4"/>
    <w:rsid w:val="00D50B0C"/>
    <w:rsid w:val="00D51EEE"/>
    <w:rsid w:val="00D5559F"/>
    <w:rsid w:val="00D62F9B"/>
    <w:rsid w:val="00D6493E"/>
    <w:rsid w:val="00D66952"/>
    <w:rsid w:val="00D67F9A"/>
    <w:rsid w:val="00D70133"/>
    <w:rsid w:val="00D7026F"/>
    <w:rsid w:val="00D7195D"/>
    <w:rsid w:val="00D7301E"/>
    <w:rsid w:val="00D7414E"/>
    <w:rsid w:val="00D83AE1"/>
    <w:rsid w:val="00D855D4"/>
    <w:rsid w:val="00D90734"/>
    <w:rsid w:val="00D91D9C"/>
    <w:rsid w:val="00D92291"/>
    <w:rsid w:val="00D93466"/>
    <w:rsid w:val="00DA1124"/>
    <w:rsid w:val="00DA4D89"/>
    <w:rsid w:val="00DA6F2A"/>
    <w:rsid w:val="00DA7291"/>
    <w:rsid w:val="00DB084F"/>
    <w:rsid w:val="00DB118D"/>
    <w:rsid w:val="00DB610B"/>
    <w:rsid w:val="00DB6124"/>
    <w:rsid w:val="00DB750B"/>
    <w:rsid w:val="00DB75B7"/>
    <w:rsid w:val="00DB7EF9"/>
    <w:rsid w:val="00DC0316"/>
    <w:rsid w:val="00DC453D"/>
    <w:rsid w:val="00DC67CC"/>
    <w:rsid w:val="00DC6E02"/>
    <w:rsid w:val="00DD04AF"/>
    <w:rsid w:val="00DD070C"/>
    <w:rsid w:val="00DD167F"/>
    <w:rsid w:val="00DD26CB"/>
    <w:rsid w:val="00DD434A"/>
    <w:rsid w:val="00DD4772"/>
    <w:rsid w:val="00DD53C2"/>
    <w:rsid w:val="00DD68F7"/>
    <w:rsid w:val="00DE02AE"/>
    <w:rsid w:val="00DE12A5"/>
    <w:rsid w:val="00DE187F"/>
    <w:rsid w:val="00DE4054"/>
    <w:rsid w:val="00DE66BC"/>
    <w:rsid w:val="00DE7B78"/>
    <w:rsid w:val="00DF0E7B"/>
    <w:rsid w:val="00DF17B1"/>
    <w:rsid w:val="00DF1D7F"/>
    <w:rsid w:val="00DF48C8"/>
    <w:rsid w:val="00DF4BE4"/>
    <w:rsid w:val="00DF4F9B"/>
    <w:rsid w:val="00DF51A1"/>
    <w:rsid w:val="00DF6F61"/>
    <w:rsid w:val="00E02714"/>
    <w:rsid w:val="00E02FB4"/>
    <w:rsid w:val="00E0542F"/>
    <w:rsid w:val="00E06559"/>
    <w:rsid w:val="00E20571"/>
    <w:rsid w:val="00E235F7"/>
    <w:rsid w:val="00E23659"/>
    <w:rsid w:val="00E239D4"/>
    <w:rsid w:val="00E25646"/>
    <w:rsid w:val="00E25831"/>
    <w:rsid w:val="00E26130"/>
    <w:rsid w:val="00E268ED"/>
    <w:rsid w:val="00E26A9D"/>
    <w:rsid w:val="00E40B22"/>
    <w:rsid w:val="00E432AA"/>
    <w:rsid w:val="00E43CF1"/>
    <w:rsid w:val="00E43F7E"/>
    <w:rsid w:val="00E45619"/>
    <w:rsid w:val="00E4588F"/>
    <w:rsid w:val="00E45F60"/>
    <w:rsid w:val="00E46DA3"/>
    <w:rsid w:val="00E51BB1"/>
    <w:rsid w:val="00E546EA"/>
    <w:rsid w:val="00E5585F"/>
    <w:rsid w:val="00E57E2C"/>
    <w:rsid w:val="00E606DF"/>
    <w:rsid w:val="00E624A5"/>
    <w:rsid w:val="00E63DC5"/>
    <w:rsid w:val="00E6558E"/>
    <w:rsid w:val="00E65EE5"/>
    <w:rsid w:val="00E7344E"/>
    <w:rsid w:val="00E75790"/>
    <w:rsid w:val="00E76F94"/>
    <w:rsid w:val="00E77E94"/>
    <w:rsid w:val="00E8037F"/>
    <w:rsid w:val="00E81BDB"/>
    <w:rsid w:val="00E83DC5"/>
    <w:rsid w:val="00E85738"/>
    <w:rsid w:val="00E867A6"/>
    <w:rsid w:val="00E97E15"/>
    <w:rsid w:val="00EA1763"/>
    <w:rsid w:val="00EA2F1B"/>
    <w:rsid w:val="00EB0798"/>
    <w:rsid w:val="00EB15D9"/>
    <w:rsid w:val="00EB16A7"/>
    <w:rsid w:val="00EB40AD"/>
    <w:rsid w:val="00EB586E"/>
    <w:rsid w:val="00EB5FC8"/>
    <w:rsid w:val="00EB68A6"/>
    <w:rsid w:val="00EC0EE4"/>
    <w:rsid w:val="00EC20AF"/>
    <w:rsid w:val="00EC4209"/>
    <w:rsid w:val="00EC6F44"/>
    <w:rsid w:val="00EC7284"/>
    <w:rsid w:val="00EC7A85"/>
    <w:rsid w:val="00ED1252"/>
    <w:rsid w:val="00ED3CAD"/>
    <w:rsid w:val="00ED5A41"/>
    <w:rsid w:val="00EE1DE8"/>
    <w:rsid w:val="00EE2463"/>
    <w:rsid w:val="00EE2993"/>
    <w:rsid w:val="00EE3189"/>
    <w:rsid w:val="00EE3E07"/>
    <w:rsid w:val="00F033EC"/>
    <w:rsid w:val="00F04F68"/>
    <w:rsid w:val="00F0794A"/>
    <w:rsid w:val="00F11137"/>
    <w:rsid w:val="00F12670"/>
    <w:rsid w:val="00F12BDC"/>
    <w:rsid w:val="00F14B27"/>
    <w:rsid w:val="00F2092A"/>
    <w:rsid w:val="00F241B9"/>
    <w:rsid w:val="00F251BC"/>
    <w:rsid w:val="00F279C7"/>
    <w:rsid w:val="00F3148D"/>
    <w:rsid w:val="00F325C5"/>
    <w:rsid w:val="00F32FE0"/>
    <w:rsid w:val="00F345B1"/>
    <w:rsid w:val="00F35298"/>
    <w:rsid w:val="00F403B9"/>
    <w:rsid w:val="00F41BB3"/>
    <w:rsid w:val="00F44F8C"/>
    <w:rsid w:val="00F4500D"/>
    <w:rsid w:val="00F460E0"/>
    <w:rsid w:val="00F47333"/>
    <w:rsid w:val="00F47E37"/>
    <w:rsid w:val="00F53C07"/>
    <w:rsid w:val="00F53DF3"/>
    <w:rsid w:val="00F54B65"/>
    <w:rsid w:val="00F55B2E"/>
    <w:rsid w:val="00F640B6"/>
    <w:rsid w:val="00F72876"/>
    <w:rsid w:val="00F735C5"/>
    <w:rsid w:val="00F73B21"/>
    <w:rsid w:val="00F75557"/>
    <w:rsid w:val="00F75BF9"/>
    <w:rsid w:val="00F77961"/>
    <w:rsid w:val="00F80E40"/>
    <w:rsid w:val="00F8303F"/>
    <w:rsid w:val="00F848D9"/>
    <w:rsid w:val="00F944E3"/>
    <w:rsid w:val="00F94E56"/>
    <w:rsid w:val="00F963E8"/>
    <w:rsid w:val="00F9662A"/>
    <w:rsid w:val="00FA5B82"/>
    <w:rsid w:val="00FA639E"/>
    <w:rsid w:val="00FA70B1"/>
    <w:rsid w:val="00FB0F05"/>
    <w:rsid w:val="00FB2670"/>
    <w:rsid w:val="00FB422F"/>
    <w:rsid w:val="00FB437C"/>
    <w:rsid w:val="00FB5ECD"/>
    <w:rsid w:val="00FC1FEC"/>
    <w:rsid w:val="00FC25E4"/>
    <w:rsid w:val="00FC4EF7"/>
    <w:rsid w:val="00FC6A03"/>
    <w:rsid w:val="00FD0824"/>
    <w:rsid w:val="00FD119B"/>
    <w:rsid w:val="00FD20CB"/>
    <w:rsid w:val="00FD51A9"/>
    <w:rsid w:val="00FD77B8"/>
    <w:rsid w:val="00FE1DEE"/>
    <w:rsid w:val="00FE2453"/>
    <w:rsid w:val="00FE79D1"/>
    <w:rsid w:val="00FF0F8F"/>
    <w:rsid w:val="00FF2126"/>
    <w:rsid w:val="00FF3F01"/>
    <w:rsid w:val="00FF5755"/>
    <w:rsid w:val="00FF5C01"/>
    <w:rsid w:val="00FF69BE"/>
    <w:rsid w:val="00FF6D7B"/>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A5F42"/>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Default">
    <w:name w:val="Default"/>
    <w:rsid w:val="0065147B"/>
    <w:pPr>
      <w:autoSpaceDE w:val="0"/>
      <w:autoSpaceDN w:val="0"/>
      <w:adjustRightInd w:val="0"/>
    </w:pPr>
    <w:rPr>
      <w:rFonts w:ascii="Times New Roman" w:eastAsia="Times New Roman" w:hAnsi="Times New Roman"/>
      <w:color w:val="000000"/>
      <w:sz w:val="24"/>
      <w:szCs w:val="24"/>
      <w:lang w:eastAsia="zh-TW"/>
    </w:rPr>
  </w:style>
  <w:style w:type="paragraph" w:styleId="ListParagraph">
    <w:name w:val="List Paragraph"/>
    <w:basedOn w:val="Normal"/>
    <w:uiPriority w:val="34"/>
    <w:qFormat/>
    <w:rsid w:val="00DB610B"/>
    <w:pPr>
      <w:spacing w:before="0" w:after="0" w:line="240" w:lineRule="auto"/>
      <w:ind w:left="720"/>
      <w:contextualSpacing/>
    </w:pPr>
    <w:rPr>
      <w:rFonts w:ascii="Times New Roman" w:eastAsia="Times New Roman" w:hAnsi="Times New Roman"/>
      <w:sz w:val="24"/>
      <w:szCs w:val="20"/>
      <w:lang w:eastAsia="en-AU"/>
    </w:rPr>
  </w:style>
  <w:style w:type="paragraph" w:customStyle="1" w:styleId="Bulletpoint">
    <w:name w:val="Bullet point"/>
    <w:basedOn w:val="Normal"/>
    <w:rsid w:val="00824B7F"/>
    <w:pPr>
      <w:numPr>
        <w:numId w:val="5"/>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824B7F"/>
    <w:pPr>
      <w:spacing w:before="0" w:after="220" w:line="252" w:lineRule="auto"/>
    </w:pPr>
    <w:rPr>
      <w:rFonts w:eastAsia="Times New Roman"/>
      <w:snapToGrid w:val="0"/>
      <w:kern w:val="16"/>
      <w:szCs w:val="24"/>
    </w:rPr>
  </w:style>
  <w:style w:type="character" w:customStyle="1" w:styleId="StandardChar">
    <w:name w:val="Standard Char"/>
    <w:link w:val="Standard"/>
    <w:rsid w:val="00824B7F"/>
    <w:rPr>
      <w:rFonts w:eastAsia="Times New Roman"/>
      <w:snapToGrid w:val="0"/>
      <w:kern w:val="16"/>
      <w:sz w:val="22"/>
      <w:szCs w:val="24"/>
      <w:lang w:eastAsia="en-US"/>
    </w:rPr>
  </w:style>
  <w:style w:type="paragraph" w:customStyle="1" w:styleId="WhiteSpace">
    <w:name w:val="White Space"/>
    <w:basedOn w:val="Standard"/>
    <w:link w:val="WhiteSpaceChar"/>
    <w:rsid w:val="00FF0F8F"/>
    <w:pPr>
      <w:spacing w:after="0"/>
    </w:pPr>
    <w:rPr>
      <w:sz w:val="16"/>
      <w:szCs w:val="16"/>
    </w:rPr>
  </w:style>
  <w:style w:type="paragraph" w:customStyle="1" w:styleId="AssessmentSubsection">
    <w:name w:val="Assessment Subsection"/>
    <w:basedOn w:val="Standard"/>
    <w:next w:val="Standard"/>
    <w:rsid w:val="00FF0F8F"/>
    <w:pPr>
      <w:keepNext/>
      <w:spacing w:after="110"/>
      <w:outlineLvl w:val="2"/>
    </w:pPr>
    <w:rPr>
      <w:b/>
      <w:i/>
    </w:rPr>
  </w:style>
  <w:style w:type="character" w:customStyle="1" w:styleId="WhiteSpaceChar">
    <w:name w:val="White Space Char"/>
    <w:link w:val="WhiteSpace"/>
    <w:rsid w:val="00FF0F8F"/>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5F39AE"/>
    <w:pPr>
      <w:outlineLvl w:val="1"/>
    </w:pPr>
    <w:rPr>
      <w:i w:val="0"/>
    </w:rPr>
  </w:style>
  <w:style w:type="paragraph" w:customStyle="1" w:styleId="AssessmentSubsection2">
    <w:name w:val="Assessment Subsection 2"/>
    <w:basedOn w:val="AssessmentSubsection"/>
    <w:next w:val="Standard"/>
    <w:rsid w:val="00775B0D"/>
    <w:pPr>
      <w:outlineLvl w:val="3"/>
    </w:pPr>
    <w:rPr>
      <w:b w:val="0"/>
    </w:rPr>
  </w:style>
  <w:style w:type="paragraph" w:customStyle="1" w:styleId="TableCaption">
    <w:name w:val="Table Caption"/>
    <w:basedOn w:val="Standard"/>
    <w:next w:val="Standard"/>
    <w:link w:val="TableCaptionChar"/>
    <w:rsid w:val="008600A8"/>
    <w:pPr>
      <w:spacing w:before="60" w:after="440" w:line="215" w:lineRule="exact"/>
      <w:ind w:left="170"/>
    </w:pPr>
    <w:rPr>
      <w:sz w:val="18"/>
      <w:szCs w:val="19"/>
    </w:rPr>
  </w:style>
  <w:style w:type="character" w:customStyle="1" w:styleId="TableCaptionChar">
    <w:name w:val="Table Caption Char"/>
    <w:link w:val="TableCaption"/>
    <w:rsid w:val="008600A8"/>
    <w:rPr>
      <w:rFonts w:eastAsia="Times New Roman"/>
      <w:snapToGrid w:val="0"/>
      <w:kern w:val="16"/>
      <w:sz w:val="18"/>
      <w:szCs w:val="19"/>
      <w:lang w:eastAsia="en-US"/>
    </w:rPr>
  </w:style>
  <w:style w:type="numbering" w:styleId="1ai">
    <w:name w:val="Outline List 1"/>
    <w:basedOn w:val="NoList"/>
    <w:semiHidden/>
    <w:rsid w:val="008600A8"/>
    <w:pPr>
      <w:numPr>
        <w:numId w:val="6"/>
      </w:numPr>
    </w:pPr>
  </w:style>
  <w:style w:type="paragraph" w:styleId="NormalWeb">
    <w:name w:val="Normal (Web)"/>
    <w:basedOn w:val="Normal"/>
    <w:uiPriority w:val="99"/>
    <w:semiHidden/>
    <w:rsid w:val="00EC6F44"/>
    <w:pPr>
      <w:spacing w:before="0" w:after="0" w:line="240" w:lineRule="auto"/>
    </w:pPr>
    <w:rPr>
      <w:rFonts w:ascii="Times New Roman" w:eastAsia="Times New Roman" w:hAnsi="Times New Roman"/>
      <w:sz w:val="24"/>
      <w:szCs w:val="24"/>
      <w:lang w:eastAsia="en-AU"/>
    </w:rPr>
  </w:style>
  <w:style w:type="character" w:customStyle="1" w:styleId="apple-converted-space">
    <w:name w:val="apple-converted-space"/>
    <w:rsid w:val="00EC6F44"/>
  </w:style>
  <w:style w:type="paragraph" w:customStyle="1" w:styleId="Bullet1">
    <w:name w:val="Bullet 1"/>
    <w:basedOn w:val="Normal"/>
    <w:rsid w:val="007C0CA2"/>
    <w:pPr>
      <w:numPr>
        <w:numId w:val="7"/>
      </w:numPr>
      <w:spacing w:after="0" w:line="240" w:lineRule="auto"/>
    </w:pPr>
    <w:rPr>
      <w:rFonts w:eastAsia="Times New Roman"/>
      <w:kern w:val="24"/>
      <w:szCs w:val="24"/>
      <w:lang w:eastAsia="en-AU"/>
    </w:rPr>
  </w:style>
  <w:style w:type="paragraph" w:customStyle="1" w:styleId="Bullet2">
    <w:name w:val="Bullet 2"/>
    <w:basedOn w:val="Bullet1"/>
    <w:rsid w:val="007C0CA2"/>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A5F42"/>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Default">
    <w:name w:val="Default"/>
    <w:rsid w:val="0065147B"/>
    <w:pPr>
      <w:autoSpaceDE w:val="0"/>
      <w:autoSpaceDN w:val="0"/>
      <w:adjustRightInd w:val="0"/>
    </w:pPr>
    <w:rPr>
      <w:rFonts w:ascii="Times New Roman" w:eastAsia="Times New Roman" w:hAnsi="Times New Roman"/>
      <w:color w:val="000000"/>
      <w:sz w:val="24"/>
      <w:szCs w:val="24"/>
      <w:lang w:eastAsia="zh-TW"/>
    </w:rPr>
  </w:style>
  <w:style w:type="paragraph" w:styleId="ListParagraph">
    <w:name w:val="List Paragraph"/>
    <w:basedOn w:val="Normal"/>
    <w:uiPriority w:val="34"/>
    <w:qFormat/>
    <w:rsid w:val="00DB610B"/>
    <w:pPr>
      <w:spacing w:before="0" w:after="0" w:line="240" w:lineRule="auto"/>
      <w:ind w:left="720"/>
      <w:contextualSpacing/>
    </w:pPr>
    <w:rPr>
      <w:rFonts w:ascii="Times New Roman" w:eastAsia="Times New Roman" w:hAnsi="Times New Roman"/>
      <w:sz w:val="24"/>
      <w:szCs w:val="20"/>
      <w:lang w:eastAsia="en-AU"/>
    </w:rPr>
  </w:style>
  <w:style w:type="paragraph" w:customStyle="1" w:styleId="Bulletpoint">
    <w:name w:val="Bullet point"/>
    <w:basedOn w:val="Normal"/>
    <w:rsid w:val="00824B7F"/>
    <w:pPr>
      <w:numPr>
        <w:numId w:val="5"/>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824B7F"/>
    <w:pPr>
      <w:spacing w:before="0" w:after="220" w:line="252" w:lineRule="auto"/>
    </w:pPr>
    <w:rPr>
      <w:rFonts w:eastAsia="Times New Roman"/>
      <w:snapToGrid w:val="0"/>
      <w:kern w:val="16"/>
      <w:szCs w:val="24"/>
    </w:rPr>
  </w:style>
  <w:style w:type="character" w:customStyle="1" w:styleId="StandardChar">
    <w:name w:val="Standard Char"/>
    <w:link w:val="Standard"/>
    <w:rsid w:val="00824B7F"/>
    <w:rPr>
      <w:rFonts w:eastAsia="Times New Roman"/>
      <w:snapToGrid w:val="0"/>
      <w:kern w:val="16"/>
      <w:sz w:val="22"/>
      <w:szCs w:val="24"/>
      <w:lang w:eastAsia="en-US"/>
    </w:rPr>
  </w:style>
  <w:style w:type="paragraph" w:customStyle="1" w:styleId="WhiteSpace">
    <w:name w:val="White Space"/>
    <w:basedOn w:val="Standard"/>
    <w:link w:val="WhiteSpaceChar"/>
    <w:rsid w:val="00FF0F8F"/>
    <w:pPr>
      <w:spacing w:after="0"/>
    </w:pPr>
    <w:rPr>
      <w:sz w:val="16"/>
      <w:szCs w:val="16"/>
    </w:rPr>
  </w:style>
  <w:style w:type="paragraph" w:customStyle="1" w:styleId="AssessmentSubsection">
    <w:name w:val="Assessment Subsection"/>
    <w:basedOn w:val="Standard"/>
    <w:next w:val="Standard"/>
    <w:rsid w:val="00FF0F8F"/>
    <w:pPr>
      <w:keepNext/>
      <w:spacing w:after="110"/>
      <w:outlineLvl w:val="2"/>
    </w:pPr>
    <w:rPr>
      <w:b/>
      <w:i/>
    </w:rPr>
  </w:style>
  <w:style w:type="character" w:customStyle="1" w:styleId="WhiteSpaceChar">
    <w:name w:val="White Space Char"/>
    <w:link w:val="WhiteSpace"/>
    <w:rsid w:val="00FF0F8F"/>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5F39AE"/>
    <w:pPr>
      <w:outlineLvl w:val="1"/>
    </w:pPr>
    <w:rPr>
      <w:i w:val="0"/>
    </w:rPr>
  </w:style>
  <w:style w:type="paragraph" w:customStyle="1" w:styleId="AssessmentSubsection2">
    <w:name w:val="Assessment Subsection 2"/>
    <w:basedOn w:val="AssessmentSubsection"/>
    <w:next w:val="Standard"/>
    <w:rsid w:val="00775B0D"/>
    <w:pPr>
      <w:outlineLvl w:val="3"/>
    </w:pPr>
    <w:rPr>
      <w:b w:val="0"/>
    </w:rPr>
  </w:style>
  <w:style w:type="paragraph" w:customStyle="1" w:styleId="TableCaption">
    <w:name w:val="Table Caption"/>
    <w:basedOn w:val="Standard"/>
    <w:next w:val="Standard"/>
    <w:link w:val="TableCaptionChar"/>
    <w:rsid w:val="008600A8"/>
    <w:pPr>
      <w:spacing w:before="60" w:after="440" w:line="215" w:lineRule="exact"/>
      <w:ind w:left="170"/>
    </w:pPr>
    <w:rPr>
      <w:sz w:val="18"/>
      <w:szCs w:val="19"/>
    </w:rPr>
  </w:style>
  <w:style w:type="character" w:customStyle="1" w:styleId="TableCaptionChar">
    <w:name w:val="Table Caption Char"/>
    <w:link w:val="TableCaption"/>
    <w:rsid w:val="008600A8"/>
    <w:rPr>
      <w:rFonts w:eastAsia="Times New Roman"/>
      <w:snapToGrid w:val="0"/>
      <w:kern w:val="16"/>
      <w:sz w:val="18"/>
      <w:szCs w:val="19"/>
      <w:lang w:eastAsia="en-US"/>
    </w:rPr>
  </w:style>
  <w:style w:type="numbering" w:styleId="1ai">
    <w:name w:val="Outline List 1"/>
    <w:basedOn w:val="NoList"/>
    <w:semiHidden/>
    <w:rsid w:val="008600A8"/>
    <w:pPr>
      <w:numPr>
        <w:numId w:val="6"/>
      </w:numPr>
    </w:pPr>
  </w:style>
  <w:style w:type="paragraph" w:styleId="NormalWeb">
    <w:name w:val="Normal (Web)"/>
    <w:basedOn w:val="Normal"/>
    <w:uiPriority w:val="99"/>
    <w:semiHidden/>
    <w:rsid w:val="00EC6F44"/>
    <w:pPr>
      <w:spacing w:before="0" w:after="0" w:line="240" w:lineRule="auto"/>
    </w:pPr>
    <w:rPr>
      <w:rFonts w:ascii="Times New Roman" w:eastAsia="Times New Roman" w:hAnsi="Times New Roman"/>
      <w:sz w:val="24"/>
      <w:szCs w:val="24"/>
      <w:lang w:eastAsia="en-AU"/>
    </w:rPr>
  </w:style>
  <w:style w:type="character" w:customStyle="1" w:styleId="apple-converted-space">
    <w:name w:val="apple-converted-space"/>
    <w:rsid w:val="00EC6F44"/>
  </w:style>
  <w:style w:type="paragraph" w:customStyle="1" w:styleId="Bullet1">
    <w:name w:val="Bullet 1"/>
    <w:basedOn w:val="Normal"/>
    <w:rsid w:val="007C0CA2"/>
    <w:pPr>
      <w:numPr>
        <w:numId w:val="7"/>
      </w:numPr>
      <w:spacing w:after="0" w:line="240" w:lineRule="auto"/>
    </w:pPr>
    <w:rPr>
      <w:rFonts w:eastAsia="Times New Roman"/>
      <w:kern w:val="24"/>
      <w:szCs w:val="24"/>
      <w:lang w:eastAsia="en-AU"/>
    </w:rPr>
  </w:style>
  <w:style w:type="paragraph" w:customStyle="1" w:styleId="Bullet2">
    <w:name w:val="Bullet 2"/>
    <w:basedOn w:val="Bullet1"/>
    <w:rsid w:val="007C0CA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ga.gov.au/hp/information-medicines-pi.htm"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5.xml"/><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5.wmf"/><Relationship Id="rId31" Type="http://schemas.openxmlformats.org/officeDocument/2006/relationships/image" Target="media/image17.jpeg"/><Relationship Id="rId44" Type="http://schemas.openxmlformats.org/officeDocument/2006/relationships/header" Target="header4.xm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tga.gov.au/hp/information-medicines-pi.htm" TargetMode="Externa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59DE3-8F62-437E-B2C3-66FF0052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209</TotalTime>
  <Pages>96</Pages>
  <Words>39303</Words>
  <Characters>224032</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262810</CharactersWithSpaces>
  <SharedDoc>false</SharedDoc>
  <HLinks>
    <vt:vector size="288" baseType="variant">
      <vt:variant>
        <vt:i4>6357037</vt:i4>
      </vt:variant>
      <vt:variant>
        <vt:i4>270</vt:i4>
      </vt:variant>
      <vt:variant>
        <vt:i4>0</vt:i4>
      </vt:variant>
      <vt:variant>
        <vt:i4>5</vt:i4>
      </vt:variant>
      <vt:variant>
        <vt:lpwstr>http://www.tga.gov.au/</vt:lpwstr>
      </vt:variant>
      <vt:variant>
        <vt:lpwstr/>
      </vt:variant>
      <vt:variant>
        <vt:i4>5242926</vt:i4>
      </vt:variant>
      <vt:variant>
        <vt:i4>267</vt:i4>
      </vt:variant>
      <vt:variant>
        <vt:i4>0</vt:i4>
      </vt:variant>
      <vt:variant>
        <vt:i4>5</vt:i4>
      </vt:variant>
      <vt:variant>
        <vt:lpwstr>mailto:info@tga.gov.au</vt:lpwstr>
      </vt:variant>
      <vt:variant>
        <vt:lpwstr/>
      </vt:variant>
      <vt:variant>
        <vt:i4>5701660</vt:i4>
      </vt:variant>
      <vt:variant>
        <vt:i4>264</vt:i4>
      </vt:variant>
      <vt:variant>
        <vt:i4>0</vt:i4>
      </vt:variant>
      <vt:variant>
        <vt:i4>5</vt:i4>
      </vt:variant>
      <vt:variant>
        <vt:lpwstr>http://www.tga.gov.au/hp/information-medicines-pi.htm</vt:lpwstr>
      </vt:variant>
      <vt:variant>
        <vt:lpwstr/>
      </vt:variant>
      <vt:variant>
        <vt:i4>5701660</vt:i4>
      </vt:variant>
      <vt:variant>
        <vt:i4>261</vt:i4>
      </vt:variant>
      <vt:variant>
        <vt:i4>0</vt:i4>
      </vt:variant>
      <vt:variant>
        <vt:i4>5</vt:i4>
      </vt:variant>
      <vt:variant>
        <vt:lpwstr>http://www.tga.gov.au/hp/information-medicines-pi.htm</vt:lpwstr>
      </vt:variant>
      <vt:variant>
        <vt:lpwstr/>
      </vt:variant>
      <vt:variant>
        <vt:i4>1507382</vt:i4>
      </vt:variant>
      <vt:variant>
        <vt:i4>254</vt:i4>
      </vt:variant>
      <vt:variant>
        <vt:i4>0</vt:i4>
      </vt:variant>
      <vt:variant>
        <vt:i4>5</vt:i4>
      </vt:variant>
      <vt:variant>
        <vt:lpwstr/>
      </vt:variant>
      <vt:variant>
        <vt:lpwstr>_Toc391049005</vt:lpwstr>
      </vt:variant>
      <vt:variant>
        <vt:i4>1507382</vt:i4>
      </vt:variant>
      <vt:variant>
        <vt:i4>248</vt:i4>
      </vt:variant>
      <vt:variant>
        <vt:i4>0</vt:i4>
      </vt:variant>
      <vt:variant>
        <vt:i4>5</vt:i4>
      </vt:variant>
      <vt:variant>
        <vt:lpwstr/>
      </vt:variant>
      <vt:variant>
        <vt:lpwstr>_Toc391049004</vt:lpwstr>
      </vt:variant>
      <vt:variant>
        <vt:i4>1507382</vt:i4>
      </vt:variant>
      <vt:variant>
        <vt:i4>242</vt:i4>
      </vt:variant>
      <vt:variant>
        <vt:i4>0</vt:i4>
      </vt:variant>
      <vt:variant>
        <vt:i4>5</vt:i4>
      </vt:variant>
      <vt:variant>
        <vt:lpwstr/>
      </vt:variant>
      <vt:variant>
        <vt:lpwstr>_Toc391049003</vt:lpwstr>
      </vt:variant>
      <vt:variant>
        <vt:i4>1507382</vt:i4>
      </vt:variant>
      <vt:variant>
        <vt:i4>236</vt:i4>
      </vt:variant>
      <vt:variant>
        <vt:i4>0</vt:i4>
      </vt:variant>
      <vt:variant>
        <vt:i4>5</vt:i4>
      </vt:variant>
      <vt:variant>
        <vt:lpwstr/>
      </vt:variant>
      <vt:variant>
        <vt:lpwstr>_Toc391049002</vt:lpwstr>
      </vt:variant>
      <vt:variant>
        <vt:i4>1507382</vt:i4>
      </vt:variant>
      <vt:variant>
        <vt:i4>230</vt:i4>
      </vt:variant>
      <vt:variant>
        <vt:i4>0</vt:i4>
      </vt:variant>
      <vt:variant>
        <vt:i4>5</vt:i4>
      </vt:variant>
      <vt:variant>
        <vt:lpwstr/>
      </vt:variant>
      <vt:variant>
        <vt:lpwstr>_Toc391049001</vt:lpwstr>
      </vt:variant>
      <vt:variant>
        <vt:i4>1507382</vt:i4>
      </vt:variant>
      <vt:variant>
        <vt:i4>224</vt:i4>
      </vt:variant>
      <vt:variant>
        <vt:i4>0</vt:i4>
      </vt:variant>
      <vt:variant>
        <vt:i4>5</vt:i4>
      </vt:variant>
      <vt:variant>
        <vt:lpwstr/>
      </vt:variant>
      <vt:variant>
        <vt:lpwstr>_Toc391049000</vt:lpwstr>
      </vt:variant>
      <vt:variant>
        <vt:i4>2031679</vt:i4>
      </vt:variant>
      <vt:variant>
        <vt:i4>218</vt:i4>
      </vt:variant>
      <vt:variant>
        <vt:i4>0</vt:i4>
      </vt:variant>
      <vt:variant>
        <vt:i4>5</vt:i4>
      </vt:variant>
      <vt:variant>
        <vt:lpwstr/>
      </vt:variant>
      <vt:variant>
        <vt:lpwstr>_Toc391048999</vt:lpwstr>
      </vt:variant>
      <vt:variant>
        <vt:i4>2031679</vt:i4>
      </vt:variant>
      <vt:variant>
        <vt:i4>212</vt:i4>
      </vt:variant>
      <vt:variant>
        <vt:i4>0</vt:i4>
      </vt:variant>
      <vt:variant>
        <vt:i4>5</vt:i4>
      </vt:variant>
      <vt:variant>
        <vt:lpwstr/>
      </vt:variant>
      <vt:variant>
        <vt:lpwstr>_Toc391048998</vt:lpwstr>
      </vt:variant>
      <vt:variant>
        <vt:i4>2031679</vt:i4>
      </vt:variant>
      <vt:variant>
        <vt:i4>206</vt:i4>
      </vt:variant>
      <vt:variant>
        <vt:i4>0</vt:i4>
      </vt:variant>
      <vt:variant>
        <vt:i4>5</vt:i4>
      </vt:variant>
      <vt:variant>
        <vt:lpwstr/>
      </vt:variant>
      <vt:variant>
        <vt:lpwstr>_Toc391048997</vt:lpwstr>
      </vt:variant>
      <vt:variant>
        <vt:i4>2031679</vt:i4>
      </vt:variant>
      <vt:variant>
        <vt:i4>200</vt:i4>
      </vt:variant>
      <vt:variant>
        <vt:i4>0</vt:i4>
      </vt:variant>
      <vt:variant>
        <vt:i4>5</vt:i4>
      </vt:variant>
      <vt:variant>
        <vt:lpwstr/>
      </vt:variant>
      <vt:variant>
        <vt:lpwstr>_Toc391048996</vt:lpwstr>
      </vt:variant>
      <vt:variant>
        <vt:i4>2031679</vt:i4>
      </vt:variant>
      <vt:variant>
        <vt:i4>194</vt:i4>
      </vt:variant>
      <vt:variant>
        <vt:i4>0</vt:i4>
      </vt:variant>
      <vt:variant>
        <vt:i4>5</vt:i4>
      </vt:variant>
      <vt:variant>
        <vt:lpwstr/>
      </vt:variant>
      <vt:variant>
        <vt:lpwstr>_Toc391048995</vt:lpwstr>
      </vt:variant>
      <vt:variant>
        <vt:i4>2031679</vt:i4>
      </vt:variant>
      <vt:variant>
        <vt:i4>188</vt:i4>
      </vt:variant>
      <vt:variant>
        <vt:i4>0</vt:i4>
      </vt:variant>
      <vt:variant>
        <vt:i4>5</vt:i4>
      </vt:variant>
      <vt:variant>
        <vt:lpwstr/>
      </vt:variant>
      <vt:variant>
        <vt:lpwstr>_Toc391048994</vt:lpwstr>
      </vt:variant>
      <vt:variant>
        <vt:i4>2031679</vt:i4>
      </vt:variant>
      <vt:variant>
        <vt:i4>182</vt:i4>
      </vt:variant>
      <vt:variant>
        <vt:i4>0</vt:i4>
      </vt:variant>
      <vt:variant>
        <vt:i4>5</vt:i4>
      </vt:variant>
      <vt:variant>
        <vt:lpwstr/>
      </vt:variant>
      <vt:variant>
        <vt:lpwstr>_Toc391048993</vt:lpwstr>
      </vt:variant>
      <vt:variant>
        <vt:i4>2031679</vt:i4>
      </vt:variant>
      <vt:variant>
        <vt:i4>176</vt:i4>
      </vt:variant>
      <vt:variant>
        <vt:i4>0</vt:i4>
      </vt:variant>
      <vt:variant>
        <vt:i4>5</vt:i4>
      </vt:variant>
      <vt:variant>
        <vt:lpwstr/>
      </vt:variant>
      <vt:variant>
        <vt:lpwstr>_Toc391048992</vt:lpwstr>
      </vt:variant>
      <vt:variant>
        <vt:i4>2031679</vt:i4>
      </vt:variant>
      <vt:variant>
        <vt:i4>170</vt:i4>
      </vt:variant>
      <vt:variant>
        <vt:i4>0</vt:i4>
      </vt:variant>
      <vt:variant>
        <vt:i4>5</vt:i4>
      </vt:variant>
      <vt:variant>
        <vt:lpwstr/>
      </vt:variant>
      <vt:variant>
        <vt:lpwstr>_Toc391048991</vt:lpwstr>
      </vt:variant>
      <vt:variant>
        <vt:i4>2031679</vt:i4>
      </vt:variant>
      <vt:variant>
        <vt:i4>164</vt:i4>
      </vt:variant>
      <vt:variant>
        <vt:i4>0</vt:i4>
      </vt:variant>
      <vt:variant>
        <vt:i4>5</vt:i4>
      </vt:variant>
      <vt:variant>
        <vt:lpwstr/>
      </vt:variant>
      <vt:variant>
        <vt:lpwstr>_Toc391048990</vt:lpwstr>
      </vt:variant>
      <vt:variant>
        <vt:i4>1966143</vt:i4>
      </vt:variant>
      <vt:variant>
        <vt:i4>158</vt:i4>
      </vt:variant>
      <vt:variant>
        <vt:i4>0</vt:i4>
      </vt:variant>
      <vt:variant>
        <vt:i4>5</vt:i4>
      </vt:variant>
      <vt:variant>
        <vt:lpwstr/>
      </vt:variant>
      <vt:variant>
        <vt:lpwstr>_Toc391048989</vt:lpwstr>
      </vt:variant>
      <vt:variant>
        <vt:i4>1966143</vt:i4>
      </vt:variant>
      <vt:variant>
        <vt:i4>152</vt:i4>
      </vt:variant>
      <vt:variant>
        <vt:i4>0</vt:i4>
      </vt:variant>
      <vt:variant>
        <vt:i4>5</vt:i4>
      </vt:variant>
      <vt:variant>
        <vt:lpwstr/>
      </vt:variant>
      <vt:variant>
        <vt:lpwstr>_Toc391048988</vt:lpwstr>
      </vt:variant>
      <vt:variant>
        <vt:i4>1966143</vt:i4>
      </vt:variant>
      <vt:variant>
        <vt:i4>146</vt:i4>
      </vt:variant>
      <vt:variant>
        <vt:i4>0</vt:i4>
      </vt:variant>
      <vt:variant>
        <vt:i4>5</vt:i4>
      </vt:variant>
      <vt:variant>
        <vt:lpwstr/>
      </vt:variant>
      <vt:variant>
        <vt:lpwstr>_Toc391048987</vt:lpwstr>
      </vt:variant>
      <vt:variant>
        <vt:i4>1966143</vt:i4>
      </vt:variant>
      <vt:variant>
        <vt:i4>140</vt:i4>
      </vt:variant>
      <vt:variant>
        <vt:i4>0</vt:i4>
      </vt:variant>
      <vt:variant>
        <vt:i4>5</vt:i4>
      </vt:variant>
      <vt:variant>
        <vt:lpwstr/>
      </vt:variant>
      <vt:variant>
        <vt:lpwstr>_Toc391048986</vt:lpwstr>
      </vt:variant>
      <vt:variant>
        <vt:i4>1966143</vt:i4>
      </vt:variant>
      <vt:variant>
        <vt:i4>134</vt:i4>
      </vt:variant>
      <vt:variant>
        <vt:i4>0</vt:i4>
      </vt:variant>
      <vt:variant>
        <vt:i4>5</vt:i4>
      </vt:variant>
      <vt:variant>
        <vt:lpwstr/>
      </vt:variant>
      <vt:variant>
        <vt:lpwstr>_Toc391048985</vt:lpwstr>
      </vt:variant>
      <vt:variant>
        <vt:i4>1966143</vt:i4>
      </vt:variant>
      <vt:variant>
        <vt:i4>128</vt:i4>
      </vt:variant>
      <vt:variant>
        <vt:i4>0</vt:i4>
      </vt:variant>
      <vt:variant>
        <vt:i4>5</vt:i4>
      </vt:variant>
      <vt:variant>
        <vt:lpwstr/>
      </vt:variant>
      <vt:variant>
        <vt:lpwstr>_Toc391048984</vt:lpwstr>
      </vt:variant>
      <vt:variant>
        <vt:i4>1966143</vt:i4>
      </vt:variant>
      <vt:variant>
        <vt:i4>122</vt:i4>
      </vt:variant>
      <vt:variant>
        <vt:i4>0</vt:i4>
      </vt:variant>
      <vt:variant>
        <vt:i4>5</vt:i4>
      </vt:variant>
      <vt:variant>
        <vt:lpwstr/>
      </vt:variant>
      <vt:variant>
        <vt:lpwstr>_Toc391048983</vt:lpwstr>
      </vt:variant>
      <vt:variant>
        <vt:i4>1966143</vt:i4>
      </vt:variant>
      <vt:variant>
        <vt:i4>116</vt:i4>
      </vt:variant>
      <vt:variant>
        <vt:i4>0</vt:i4>
      </vt:variant>
      <vt:variant>
        <vt:i4>5</vt:i4>
      </vt:variant>
      <vt:variant>
        <vt:lpwstr/>
      </vt:variant>
      <vt:variant>
        <vt:lpwstr>_Toc391048982</vt:lpwstr>
      </vt:variant>
      <vt:variant>
        <vt:i4>1966143</vt:i4>
      </vt:variant>
      <vt:variant>
        <vt:i4>110</vt:i4>
      </vt:variant>
      <vt:variant>
        <vt:i4>0</vt:i4>
      </vt:variant>
      <vt:variant>
        <vt:i4>5</vt:i4>
      </vt:variant>
      <vt:variant>
        <vt:lpwstr/>
      </vt:variant>
      <vt:variant>
        <vt:lpwstr>_Toc391048981</vt:lpwstr>
      </vt:variant>
      <vt:variant>
        <vt:i4>1966143</vt:i4>
      </vt:variant>
      <vt:variant>
        <vt:i4>104</vt:i4>
      </vt:variant>
      <vt:variant>
        <vt:i4>0</vt:i4>
      </vt:variant>
      <vt:variant>
        <vt:i4>5</vt:i4>
      </vt:variant>
      <vt:variant>
        <vt:lpwstr/>
      </vt:variant>
      <vt:variant>
        <vt:lpwstr>_Toc391048980</vt:lpwstr>
      </vt:variant>
      <vt:variant>
        <vt:i4>1114175</vt:i4>
      </vt:variant>
      <vt:variant>
        <vt:i4>98</vt:i4>
      </vt:variant>
      <vt:variant>
        <vt:i4>0</vt:i4>
      </vt:variant>
      <vt:variant>
        <vt:i4>5</vt:i4>
      </vt:variant>
      <vt:variant>
        <vt:lpwstr/>
      </vt:variant>
      <vt:variant>
        <vt:lpwstr>_Toc391048979</vt:lpwstr>
      </vt:variant>
      <vt:variant>
        <vt:i4>1114175</vt:i4>
      </vt:variant>
      <vt:variant>
        <vt:i4>92</vt:i4>
      </vt:variant>
      <vt:variant>
        <vt:i4>0</vt:i4>
      </vt:variant>
      <vt:variant>
        <vt:i4>5</vt:i4>
      </vt:variant>
      <vt:variant>
        <vt:lpwstr/>
      </vt:variant>
      <vt:variant>
        <vt:lpwstr>_Toc391048978</vt:lpwstr>
      </vt:variant>
      <vt:variant>
        <vt:i4>1114175</vt:i4>
      </vt:variant>
      <vt:variant>
        <vt:i4>86</vt:i4>
      </vt:variant>
      <vt:variant>
        <vt:i4>0</vt:i4>
      </vt:variant>
      <vt:variant>
        <vt:i4>5</vt:i4>
      </vt:variant>
      <vt:variant>
        <vt:lpwstr/>
      </vt:variant>
      <vt:variant>
        <vt:lpwstr>_Toc391048977</vt:lpwstr>
      </vt:variant>
      <vt:variant>
        <vt:i4>1114175</vt:i4>
      </vt:variant>
      <vt:variant>
        <vt:i4>80</vt:i4>
      </vt:variant>
      <vt:variant>
        <vt:i4>0</vt:i4>
      </vt:variant>
      <vt:variant>
        <vt:i4>5</vt:i4>
      </vt:variant>
      <vt:variant>
        <vt:lpwstr/>
      </vt:variant>
      <vt:variant>
        <vt:lpwstr>_Toc391048976</vt:lpwstr>
      </vt:variant>
      <vt:variant>
        <vt:i4>1114175</vt:i4>
      </vt:variant>
      <vt:variant>
        <vt:i4>74</vt:i4>
      </vt:variant>
      <vt:variant>
        <vt:i4>0</vt:i4>
      </vt:variant>
      <vt:variant>
        <vt:i4>5</vt:i4>
      </vt:variant>
      <vt:variant>
        <vt:lpwstr/>
      </vt:variant>
      <vt:variant>
        <vt:lpwstr>_Toc391048975</vt:lpwstr>
      </vt:variant>
      <vt:variant>
        <vt:i4>1114175</vt:i4>
      </vt:variant>
      <vt:variant>
        <vt:i4>68</vt:i4>
      </vt:variant>
      <vt:variant>
        <vt:i4>0</vt:i4>
      </vt:variant>
      <vt:variant>
        <vt:i4>5</vt:i4>
      </vt:variant>
      <vt:variant>
        <vt:lpwstr/>
      </vt:variant>
      <vt:variant>
        <vt:lpwstr>_Toc391048974</vt:lpwstr>
      </vt:variant>
      <vt:variant>
        <vt:i4>1114175</vt:i4>
      </vt:variant>
      <vt:variant>
        <vt:i4>62</vt:i4>
      </vt:variant>
      <vt:variant>
        <vt:i4>0</vt:i4>
      </vt:variant>
      <vt:variant>
        <vt:i4>5</vt:i4>
      </vt:variant>
      <vt:variant>
        <vt:lpwstr/>
      </vt:variant>
      <vt:variant>
        <vt:lpwstr>_Toc391048973</vt:lpwstr>
      </vt:variant>
      <vt:variant>
        <vt:i4>1114175</vt:i4>
      </vt:variant>
      <vt:variant>
        <vt:i4>56</vt:i4>
      </vt:variant>
      <vt:variant>
        <vt:i4>0</vt:i4>
      </vt:variant>
      <vt:variant>
        <vt:i4>5</vt:i4>
      </vt:variant>
      <vt:variant>
        <vt:lpwstr/>
      </vt:variant>
      <vt:variant>
        <vt:lpwstr>_Toc391048972</vt:lpwstr>
      </vt:variant>
      <vt:variant>
        <vt:i4>1114175</vt:i4>
      </vt:variant>
      <vt:variant>
        <vt:i4>50</vt:i4>
      </vt:variant>
      <vt:variant>
        <vt:i4>0</vt:i4>
      </vt:variant>
      <vt:variant>
        <vt:i4>5</vt:i4>
      </vt:variant>
      <vt:variant>
        <vt:lpwstr/>
      </vt:variant>
      <vt:variant>
        <vt:lpwstr>_Toc391048971</vt:lpwstr>
      </vt:variant>
      <vt:variant>
        <vt:i4>1114175</vt:i4>
      </vt:variant>
      <vt:variant>
        <vt:i4>44</vt:i4>
      </vt:variant>
      <vt:variant>
        <vt:i4>0</vt:i4>
      </vt:variant>
      <vt:variant>
        <vt:i4>5</vt:i4>
      </vt:variant>
      <vt:variant>
        <vt:lpwstr/>
      </vt:variant>
      <vt:variant>
        <vt:lpwstr>_Toc391048970</vt:lpwstr>
      </vt:variant>
      <vt:variant>
        <vt:i4>1048639</vt:i4>
      </vt:variant>
      <vt:variant>
        <vt:i4>38</vt:i4>
      </vt:variant>
      <vt:variant>
        <vt:i4>0</vt:i4>
      </vt:variant>
      <vt:variant>
        <vt:i4>5</vt:i4>
      </vt:variant>
      <vt:variant>
        <vt:lpwstr/>
      </vt:variant>
      <vt:variant>
        <vt:lpwstr>_Toc391048969</vt:lpwstr>
      </vt:variant>
      <vt:variant>
        <vt:i4>1048639</vt:i4>
      </vt:variant>
      <vt:variant>
        <vt:i4>32</vt:i4>
      </vt:variant>
      <vt:variant>
        <vt:i4>0</vt:i4>
      </vt:variant>
      <vt:variant>
        <vt:i4>5</vt:i4>
      </vt:variant>
      <vt:variant>
        <vt:lpwstr/>
      </vt:variant>
      <vt:variant>
        <vt:lpwstr>_Toc391048968</vt:lpwstr>
      </vt:variant>
      <vt:variant>
        <vt:i4>1048639</vt:i4>
      </vt:variant>
      <vt:variant>
        <vt:i4>26</vt:i4>
      </vt:variant>
      <vt:variant>
        <vt:i4>0</vt:i4>
      </vt:variant>
      <vt:variant>
        <vt:i4>5</vt:i4>
      </vt:variant>
      <vt:variant>
        <vt:lpwstr/>
      </vt:variant>
      <vt:variant>
        <vt:lpwstr>_Toc391048967</vt:lpwstr>
      </vt:variant>
      <vt:variant>
        <vt:i4>1048639</vt:i4>
      </vt:variant>
      <vt:variant>
        <vt:i4>20</vt:i4>
      </vt:variant>
      <vt:variant>
        <vt:i4>0</vt:i4>
      </vt:variant>
      <vt:variant>
        <vt:i4>5</vt:i4>
      </vt:variant>
      <vt:variant>
        <vt:lpwstr/>
      </vt:variant>
      <vt:variant>
        <vt:lpwstr>_Toc391048966</vt:lpwstr>
      </vt:variant>
      <vt:variant>
        <vt:i4>1048639</vt:i4>
      </vt:variant>
      <vt:variant>
        <vt:i4>14</vt:i4>
      </vt:variant>
      <vt:variant>
        <vt:i4>0</vt:i4>
      </vt:variant>
      <vt:variant>
        <vt:i4>5</vt:i4>
      </vt:variant>
      <vt:variant>
        <vt:lpwstr/>
      </vt:variant>
      <vt:variant>
        <vt:lpwstr>_Toc391048965</vt:lpwstr>
      </vt:variant>
      <vt:variant>
        <vt:i4>1048639</vt:i4>
      </vt:variant>
      <vt:variant>
        <vt:i4>8</vt:i4>
      </vt:variant>
      <vt:variant>
        <vt:i4>0</vt:i4>
      </vt:variant>
      <vt:variant>
        <vt:i4>5</vt:i4>
      </vt:variant>
      <vt:variant>
        <vt:lpwstr/>
      </vt:variant>
      <vt:variant>
        <vt:lpwstr>_Toc391048964</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lurasidone hydrochloride</dc:title>
  <dc:subject>prescription medicine regulation</dc:subject>
  <dc:creator>Therapeutic Goods Administration</dc:creator>
  <cp:keywords>auspar, prescription, medicine, assessment, regulation, australia, lurasidone, hydrochloride, latuda, commercial, eyes</cp:keywords>
  <cp:lastModifiedBy>dixonj</cp:lastModifiedBy>
  <cp:revision>36</cp:revision>
  <cp:lastPrinted>2010-12-20T22:59:00Z</cp:lastPrinted>
  <dcterms:created xsi:type="dcterms:W3CDTF">2014-07-09T01:51:00Z</dcterms:created>
  <dcterms:modified xsi:type="dcterms:W3CDTF">2014-07-09T05:19:00Z</dcterms:modified>
</cp:coreProperties>
</file>