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744731D4" w14:textId="77777777" w:rsidTr="00BF1190">
        <w:trPr>
          <w:trHeight w:val="1863"/>
        </w:trPr>
        <w:tc>
          <w:tcPr>
            <w:tcW w:w="3652" w:type="dxa"/>
            <w:tcBorders>
              <w:top w:val="nil"/>
              <w:left w:val="nil"/>
              <w:bottom w:val="nil"/>
              <w:right w:val="nil"/>
            </w:tcBorders>
          </w:tcPr>
          <w:p w14:paraId="394702E7" w14:textId="3E260DC9" w:rsidR="008E7846" w:rsidRPr="00096AA7" w:rsidRDefault="00DC0A89" w:rsidP="00096AA7">
            <w:pPr>
              <w:rPr>
                <w:rFonts w:ascii="Arial" w:hAnsi="Arial" w:cs="Arial"/>
                <w:b/>
                <w:color w:val="002C47"/>
                <w:sz w:val="36"/>
                <w:szCs w:val="36"/>
              </w:rPr>
            </w:pPr>
            <w:r>
              <w:rPr>
                <w:rFonts w:ascii="Arial" w:hAnsi="Arial" w:cs="Arial"/>
                <w:b/>
                <w:color w:val="002C47"/>
                <w:sz w:val="36"/>
                <w:szCs w:val="36"/>
              </w:rPr>
              <w:t xml:space="preserve">March </w:t>
            </w:r>
            <w:r w:rsidR="00FB37A7">
              <w:rPr>
                <w:rFonts w:ascii="Arial" w:hAnsi="Arial" w:cs="Arial"/>
                <w:b/>
                <w:color w:val="002C47"/>
                <w:sz w:val="36"/>
                <w:szCs w:val="36"/>
              </w:rPr>
              <w:t>2022</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097B422A" w14:textId="77777777" w:rsidTr="0032583B">
        <w:trPr>
          <w:trHeight w:val="868"/>
        </w:trPr>
        <w:tc>
          <w:tcPr>
            <w:tcW w:w="9079" w:type="dxa"/>
          </w:tcPr>
          <w:p w14:paraId="6A4F9104" w14:textId="3A1F254A" w:rsidR="0032583B" w:rsidRPr="00A964D1" w:rsidRDefault="0032583B" w:rsidP="00460036">
            <w:pPr>
              <w:pStyle w:val="Title"/>
              <w:rPr>
                <w:color w:val="FFFFFF" w:themeColor="background1"/>
              </w:rPr>
            </w:pPr>
            <w:r w:rsidRPr="00A964D1">
              <w:rPr>
                <w:color w:val="FFFFFF" w:themeColor="background1"/>
              </w:rPr>
              <w:t xml:space="preserve">Australian Public Assessment Report for </w:t>
            </w:r>
            <w:r w:rsidR="000D5729">
              <w:rPr>
                <w:color w:val="FFFFFF" w:themeColor="background1"/>
              </w:rPr>
              <w:t>L</w:t>
            </w:r>
            <w:r w:rsidR="00FB37A7" w:rsidRPr="00FB37A7">
              <w:rPr>
                <w:color w:val="FFFFFF" w:themeColor="background1"/>
              </w:rPr>
              <w:t>urbinectedin</w:t>
            </w:r>
          </w:p>
        </w:tc>
      </w:tr>
      <w:tr w:rsidR="0032583B" w:rsidRPr="00B64760" w14:paraId="71A03D56" w14:textId="77777777" w:rsidTr="0032583B">
        <w:tc>
          <w:tcPr>
            <w:tcW w:w="9079" w:type="dxa"/>
          </w:tcPr>
          <w:p w14:paraId="58A5F476" w14:textId="143544FC" w:rsidR="0032583B" w:rsidRPr="008E7846" w:rsidRDefault="0032583B" w:rsidP="00460036">
            <w:pPr>
              <w:pStyle w:val="Subtitle"/>
              <w:rPr>
                <w:color w:val="FFFFFF" w:themeColor="background1"/>
              </w:rPr>
            </w:pPr>
            <w:r w:rsidRPr="008E7846">
              <w:rPr>
                <w:color w:val="FFFFFF" w:themeColor="background1"/>
              </w:rPr>
              <w:t xml:space="preserve">Proprietary Product Name: </w:t>
            </w:r>
            <w:r w:rsidR="000D0C1D">
              <w:rPr>
                <w:color w:val="FFFFFF" w:themeColor="background1"/>
              </w:rPr>
              <w:t>Z</w:t>
            </w:r>
            <w:r w:rsidR="004F0D48">
              <w:rPr>
                <w:color w:val="FFFFFF" w:themeColor="background1"/>
              </w:rPr>
              <w:t>epzelca</w:t>
            </w:r>
          </w:p>
        </w:tc>
      </w:tr>
      <w:tr w:rsidR="0032583B" w:rsidRPr="00B64760" w14:paraId="52B41BB7" w14:textId="77777777" w:rsidTr="0032583B">
        <w:trPr>
          <w:trHeight w:val="486"/>
        </w:trPr>
        <w:tc>
          <w:tcPr>
            <w:tcW w:w="9079" w:type="dxa"/>
          </w:tcPr>
          <w:p w14:paraId="2B5E10B8" w14:textId="59E47471" w:rsidR="0032583B" w:rsidRPr="008E7846" w:rsidRDefault="00460036" w:rsidP="0032583B">
            <w:pPr>
              <w:pStyle w:val="Subtitle"/>
              <w:rPr>
                <w:color w:val="FFFFFF" w:themeColor="background1"/>
              </w:rPr>
            </w:pPr>
            <w:r>
              <w:rPr>
                <w:color w:val="FFFFFF" w:themeColor="background1"/>
              </w:rPr>
              <w:t xml:space="preserve">Sponsor: </w:t>
            </w:r>
            <w:r w:rsidR="00FB37A7" w:rsidRPr="00FB37A7">
              <w:rPr>
                <w:color w:val="FFFFFF" w:themeColor="background1"/>
              </w:rPr>
              <w:t>Specialised Therapeutics Pharma Pty Ltd</w:t>
            </w:r>
          </w:p>
        </w:tc>
      </w:tr>
    </w:tbl>
    <w:p w14:paraId="62981026" w14:textId="77777777" w:rsidR="008E7846" w:rsidRPr="0085156D" w:rsidRDefault="008E7846" w:rsidP="0085156D">
      <w:r w:rsidRPr="0085156D">
        <w:br w:type="page"/>
      </w:r>
    </w:p>
    <w:p w14:paraId="7EB06562" w14:textId="77777777" w:rsidR="008E7846" w:rsidRPr="001F6CBA" w:rsidRDefault="008E7846" w:rsidP="008E7846">
      <w:pPr>
        <w:pStyle w:val="NonTOCHeading2"/>
      </w:pPr>
      <w:r w:rsidRPr="001F6CBA">
        <w:lastRenderedPageBreak/>
        <w:t>About the Therapeutic Goods Administration (TGA)</w:t>
      </w:r>
    </w:p>
    <w:p w14:paraId="502E49CD" w14:textId="77777777" w:rsidR="008E7846" w:rsidRDefault="008E7846" w:rsidP="00104D57">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1AD21837" w14:textId="77777777" w:rsidR="008E7846" w:rsidRDefault="00C80137" w:rsidP="00104D57">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w:t>
      </w:r>
      <w:proofErr w:type="gramStart"/>
      <w:r w:rsidR="008E7846">
        <w:t>safety</w:t>
      </w:r>
      <w:proofErr w:type="gramEnd"/>
      <w:r w:rsidR="008E7846">
        <w:t xml:space="preserve"> and efficacy (performance) when necessary.</w:t>
      </w:r>
    </w:p>
    <w:p w14:paraId="08F7A830" w14:textId="77777777" w:rsidR="008E7846" w:rsidRDefault="008E7846" w:rsidP="00104D57">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14:paraId="1FFBE160" w14:textId="77777777" w:rsidR="008E7846" w:rsidRDefault="008E7846" w:rsidP="00104D57">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14:paraId="1D01F299" w14:textId="77777777" w:rsidR="00441C3F" w:rsidRDefault="008E7846" w:rsidP="00104D57">
      <w:pPr>
        <w:pStyle w:val="ListBullet"/>
        <w:numPr>
          <w:ilvl w:val="0"/>
          <w:numId w:val="1"/>
        </w:numPr>
        <w:ind w:left="357" w:hanging="357"/>
      </w:pPr>
      <w:r>
        <w:t xml:space="preserve">To report a problem with a medicine or medical device, please see the information on </w:t>
      </w:r>
      <w:r w:rsidR="00441C3F">
        <w:t>the TGA website &lt;</w:t>
      </w:r>
      <w:hyperlink r:id="rId11" w:history="1">
        <w:r w:rsidR="00441C3F">
          <w:rPr>
            <w:rStyle w:val="Hyperlink"/>
          </w:rPr>
          <w:t>https://www.tga.gov.au</w:t>
        </w:r>
      </w:hyperlink>
      <w:r w:rsidR="00441C3F">
        <w:t>&gt;.</w:t>
      </w:r>
    </w:p>
    <w:p w14:paraId="6EC49F70" w14:textId="77777777" w:rsidR="008E7846" w:rsidRDefault="008E7846" w:rsidP="00875A6B">
      <w:pPr>
        <w:pStyle w:val="NonTOCHeading2"/>
      </w:pPr>
      <w:r>
        <w:t>About AusPARs</w:t>
      </w:r>
    </w:p>
    <w:p w14:paraId="08256CF3" w14:textId="77777777" w:rsidR="008E7846" w:rsidRDefault="008E7846" w:rsidP="00104D57">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1ED15110" w14:textId="77777777" w:rsidR="008E7846" w:rsidRDefault="008E7846" w:rsidP="00104D57">
      <w:pPr>
        <w:pStyle w:val="ListBullet"/>
        <w:numPr>
          <w:ilvl w:val="0"/>
          <w:numId w:val="1"/>
        </w:numPr>
        <w:ind w:left="357" w:hanging="357"/>
      </w:pPr>
      <w:r>
        <w:t>AusPARs are prepared and published by the TGA.</w:t>
      </w:r>
    </w:p>
    <w:p w14:paraId="5F1FA1C9" w14:textId="6ED2F9A6" w:rsidR="008E7846" w:rsidRDefault="008E7846" w:rsidP="00104D57">
      <w:pPr>
        <w:pStyle w:val="ListBullet"/>
        <w:numPr>
          <w:ilvl w:val="0"/>
          <w:numId w:val="1"/>
        </w:numPr>
        <w:ind w:left="357" w:hanging="357"/>
      </w:pPr>
      <w:r>
        <w:t xml:space="preserve">An AusPAR is prepared for submissions that relate to new chemical entities, generic medicines, major </w:t>
      </w:r>
      <w:proofErr w:type="gramStart"/>
      <w:r>
        <w:t>variations</w:t>
      </w:r>
      <w:proofErr w:type="gramEnd"/>
      <w:r>
        <w:t xml:space="preserve"> and extensions of indications.</w:t>
      </w:r>
    </w:p>
    <w:p w14:paraId="5B8E8717" w14:textId="77777777" w:rsidR="008E7846" w:rsidRDefault="008E7846" w:rsidP="00104D57">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05E16CDA" w14:textId="77777777" w:rsidR="00B452CE" w:rsidRDefault="008E7846" w:rsidP="00104D57">
      <w:pPr>
        <w:pStyle w:val="ListBullet"/>
        <w:numPr>
          <w:ilvl w:val="0"/>
          <w:numId w:val="1"/>
        </w:numPr>
        <w:ind w:left="357" w:hanging="357"/>
      </w:pPr>
      <w:r>
        <w:t>A new AusPAR will be developed to reflect changes to indications and/or major variations to a prescription medicine subject to evaluation by the TGA.</w:t>
      </w:r>
    </w:p>
    <w:p w14:paraId="3419A576" w14:textId="77777777" w:rsidR="00924482" w:rsidRPr="00DF1D7F" w:rsidRDefault="00924482" w:rsidP="00F54B65">
      <w:pPr>
        <w:pStyle w:val="LegalSubheading"/>
        <w:spacing w:before="3120"/>
      </w:pPr>
      <w:r w:rsidRPr="00DF1D7F">
        <w:t>Copyright</w:t>
      </w:r>
    </w:p>
    <w:p w14:paraId="56ED7788" w14:textId="2F24156E"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FB37A7">
        <w:rPr>
          <w:rFonts w:cs="Arial"/>
          <w:lang w:val="en-GB"/>
        </w:rPr>
        <w:t>2</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w:t>
      </w:r>
      <w:proofErr w:type="gramStart"/>
      <w:r w:rsidRPr="00191B3B">
        <w:rPr>
          <w:rFonts w:cs="Arial"/>
          <w:lang w:val="en-GB"/>
        </w:rPr>
        <w:t>reserved</w:t>
      </w:r>
      <w:proofErr w:type="gramEnd"/>
      <w:r w:rsidRPr="00191B3B">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2" w:history="1">
        <w:r w:rsidRPr="00191B3B">
          <w:rPr>
            <w:rStyle w:val="Hyperlink"/>
            <w:rFonts w:cs="Arial"/>
            <w:lang w:val="en-GB"/>
          </w:rPr>
          <w:t>tga.copyright@tga.gov.au</w:t>
        </w:r>
      </w:hyperlink>
      <w:r w:rsidRPr="00191B3B">
        <w:rPr>
          <w:rFonts w:cs="Arial"/>
        </w:rPr>
        <w:t>&gt;.</w:t>
      </w:r>
    </w:p>
    <w:p w14:paraId="6F0F8A2C" w14:textId="77777777" w:rsidR="00924482" w:rsidRDefault="00924482" w:rsidP="00924482">
      <w:pPr>
        <w:pStyle w:val="LegalCopy"/>
        <w:sectPr w:rsidR="00924482" w:rsidSect="003D1E62">
          <w:headerReference w:type="even" r:id="rId13"/>
          <w:headerReference w:type="default" r:id="rId14"/>
          <w:footerReference w:type="even" r:id="rId15"/>
          <w:footerReference w:type="default" r:id="rId16"/>
          <w:headerReference w:type="first" r:id="rId17"/>
          <w:footerReference w:type="first" r:id="rId18"/>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4234BE28" w14:textId="77777777" w:rsidR="0089635C" w:rsidRPr="0089635C" w:rsidRDefault="0089635C" w:rsidP="0010788A">
          <w:pPr>
            <w:pStyle w:val="Contents"/>
          </w:pPr>
          <w:r w:rsidRPr="0010788A">
            <w:t>Contents</w:t>
          </w:r>
        </w:p>
        <w:p w14:paraId="3F55D367" w14:textId="6DE28E87" w:rsidR="00C667D2"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102558206" w:history="1">
            <w:r w:rsidR="00C667D2" w:rsidRPr="00470B28">
              <w:rPr>
                <w:rStyle w:val="Hyperlink"/>
                <w:noProof/>
              </w:rPr>
              <w:t>List of abbreviations</w:t>
            </w:r>
            <w:r w:rsidR="00C667D2">
              <w:rPr>
                <w:noProof/>
                <w:webHidden/>
              </w:rPr>
              <w:tab/>
            </w:r>
            <w:r w:rsidR="00C667D2">
              <w:rPr>
                <w:noProof/>
                <w:webHidden/>
              </w:rPr>
              <w:fldChar w:fldCharType="begin"/>
            </w:r>
            <w:r w:rsidR="00C667D2">
              <w:rPr>
                <w:noProof/>
                <w:webHidden/>
              </w:rPr>
              <w:instrText xml:space="preserve"> PAGEREF _Toc102558206 \h </w:instrText>
            </w:r>
            <w:r w:rsidR="00C667D2">
              <w:rPr>
                <w:noProof/>
                <w:webHidden/>
              </w:rPr>
            </w:r>
            <w:r w:rsidR="00C667D2">
              <w:rPr>
                <w:noProof/>
                <w:webHidden/>
              </w:rPr>
              <w:fldChar w:fldCharType="separate"/>
            </w:r>
            <w:r w:rsidR="00C667D2">
              <w:rPr>
                <w:noProof/>
                <w:webHidden/>
              </w:rPr>
              <w:t>4</w:t>
            </w:r>
            <w:r w:rsidR="00C667D2">
              <w:rPr>
                <w:noProof/>
                <w:webHidden/>
              </w:rPr>
              <w:fldChar w:fldCharType="end"/>
            </w:r>
          </w:hyperlink>
        </w:p>
        <w:p w14:paraId="5A9BE025" w14:textId="5611FD30" w:rsidR="00C667D2" w:rsidRDefault="000D5729">
          <w:pPr>
            <w:pStyle w:val="TOC1"/>
            <w:rPr>
              <w:rFonts w:asciiTheme="minorHAnsi" w:eastAsiaTheme="minorEastAsia" w:hAnsiTheme="minorHAnsi" w:cstheme="minorBidi"/>
              <w:b w:val="0"/>
              <w:noProof/>
              <w:sz w:val="22"/>
              <w:lang w:eastAsia="en-AU"/>
            </w:rPr>
          </w:pPr>
          <w:hyperlink w:anchor="_Toc102558207" w:history="1">
            <w:r w:rsidR="00C667D2" w:rsidRPr="00470B28">
              <w:rPr>
                <w:rStyle w:val="Hyperlink"/>
                <w:noProof/>
              </w:rPr>
              <w:t>I. Introduction to product submission</w:t>
            </w:r>
            <w:r w:rsidR="00C667D2">
              <w:rPr>
                <w:noProof/>
                <w:webHidden/>
              </w:rPr>
              <w:tab/>
            </w:r>
            <w:r w:rsidR="00C667D2">
              <w:rPr>
                <w:noProof/>
                <w:webHidden/>
              </w:rPr>
              <w:fldChar w:fldCharType="begin"/>
            </w:r>
            <w:r w:rsidR="00C667D2">
              <w:rPr>
                <w:noProof/>
                <w:webHidden/>
              </w:rPr>
              <w:instrText xml:space="preserve"> PAGEREF _Toc102558207 \h </w:instrText>
            </w:r>
            <w:r w:rsidR="00C667D2">
              <w:rPr>
                <w:noProof/>
                <w:webHidden/>
              </w:rPr>
            </w:r>
            <w:r w:rsidR="00C667D2">
              <w:rPr>
                <w:noProof/>
                <w:webHidden/>
              </w:rPr>
              <w:fldChar w:fldCharType="separate"/>
            </w:r>
            <w:r w:rsidR="00C667D2">
              <w:rPr>
                <w:noProof/>
                <w:webHidden/>
              </w:rPr>
              <w:t>6</w:t>
            </w:r>
            <w:r w:rsidR="00C667D2">
              <w:rPr>
                <w:noProof/>
                <w:webHidden/>
              </w:rPr>
              <w:fldChar w:fldCharType="end"/>
            </w:r>
          </w:hyperlink>
        </w:p>
        <w:p w14:paraId="28F2E175" w14:textId="0E28F9A6" w:rsidR="00C667D2" w:rsidRDefault="000D5729">
          <w:pPr>
            <w:pStyle w:val="TOC2"/>
            <w:rPr>
              <w:rFonts w:asciiTheme="minorHAnsi" w:eastAsiaTheme="minorEastAsia" w:hAnsiTheme="minorHAnsi" w:cstheme="minorBidi"/>
              <w:b w:val="0"/>
              <w:noProof/>
              <w:sz w:val="22"/>
              <w:lang w:eastAsia="en-AU"/>
            </w:rPr>
          </w:pPr>
          <w:hyperlink w:anchor="_Toc102558208" w:history="1">
            <w:r w:rsidR="00C667D2" w:rsidRPr="00470B28">
              <w:rPr>
                <w:rStyle w:val="Hyperlink"/>
                <w:noProof/>
                <w:lang w:eastAsia="en-AU"/>
              </w:rPr>
              <w:t>Submission details</w:t>
            </w:r>
            <w:r w:rsidR="00C667D2">
              <w:rPr>
                <w:noProof/>
                <w:webHidden/>
              </w:rPr>
              <w:tab/>
            </w:r>
            <w:r w:rsidR="00C667D2">
              <w:rPr>
                <w:noProof/>
                <w:webHidden/>
              </w:rPr>
              <w:fldChar w:fldCharType="begin"/>
            </w:r>
            <w:r w:rsidR="00C667D2">
              <w:rPr>
                <w:noProof/>
                <w:webHidden/>
              </w:rPr>
              <w:instrText xml:space="preserve"> PAGEREF _Toc102558208 \h </w:instrText>
            </w:r>
            <w:r w:rsidR="00C667D2">
              <w:rPr>
                <w:noProof/>
                <w:webHidden/>
              </w:rPr>
            </w:r>
            <w:r w:rsidR="00C667D2">
              <w:rPr>
                <w:noProof/>
                <w:webHidden/>
              </w:rPr>
              <w:fldChar w:fldCharType="separate"/>
            </w:r>
            <w:r w:rsidR="00C667D2">
              <w:rPr>
                <w:noProof/>
                <w:webHidden/>
              </w:rPr>
              <w:t>6</w:t>
            </w:r>
            <w:r w:rsidR="00C667D2">
              <w:rPr>
                <w:noProof/>
                <w:webHidden/>
              </w:rPr>
              <w:fldChar w:fldCharType="end"/>
            </w:r>
          </w:hyperlink>
        </w:p>
        <w:p w14:paraId="08BFFC35" w14:textId="36EB2315" w:rsidR="00C667D2" w:rsidRDefault="000D5729">
          <w:pPr>
            <w:pStyle w:val="TOC2"/>
            <w:rPr>
              <w:rFonts w:asciiTheme="minorHAnsi" w:eastAsiaTheme="minorEastAsia" w:hAnsiTheme="minorHAnsi" w:cstheme="minorBidi"/>
              <w:b w:val="0"/>
              <w:noProof/>
              <w:sz w:val="22"/>
              <w:lang w:eastAsia="en-AU"/>
            </w:rPr>
          </w:pPr>
          <w:hyperlink w:anchor="_Toc102558209" w:history="1">
            <w:r w:rsidR="00C667D2" w:rsidRPr="00470B28">
              <w:rPr>
                <w:rStyle w:val="Hyperlink"/>
                <w:noProof/>
              </w:rPr>
              <w:t>Product background</w:t>
            </w:r>
            <w:r w:rsidR="00C667D2">
              <w:rPr>
                <w:noProof/>
                <w:webHidden/>
              </w:rPr>
              <w:tab/>
            </w:r>
            <w:r w:rsidR="00C667D2">
              <w:rPr>
                <w:noProof/>
                <w:webHidden/>
              </w:rPr>
              <w:fldChar w:fldCharType="begin"/>
            </w:r>
            <w:r w:rsidR="00C667D2">
              <w:rPr>
                <w:noProof/>
                <w:webHidden/>
              </w:rPr>
              <w:instrText xml:space="preserve"> PAGEREF _Toc102558209 \h </w:instrText>
            </w:r>
            <w:r w:rsidR="00C667D2">
              <w:rPr>
                <w:noProof/>
                <w:webHidden/>
              </w:rPr>
            </w:r>
            <w:r w:rsidR="00C667D2">
              <w:rPr>
                <w:noProof/>
                <w:webHidden/>
              </w:rPr>
              <w:fldChar w:fldCharType="separate"/>
            </w:r>
            <w:r w:rsidR="00C667D2">
              <w:rPr>
                <w:noProof/>
                <w:webHidden/>
              </w:rPr>
              <w:t>7</w:t>
            </w:r>
            <w:r w:rsidR="00C667D2">
              <w:rPr>
                <w:noProof/>
                <w:webHidden/>
              </w:rPr>
              <w:fldChar w:fldCharType="end"/>
            </w:r>
          </w:hyperlink>
        </w:p>
        <w:p w14:paraId="483B214B" w14:textId="31A9DBB2" w:rsidR="00C667D2" w:rsidRDefault="000D5729">
          <w:pPr>
            <w:pStyle w:val="TOC2"/>
            <w:rPr>
              <w:rFonts w:asciiTheme="minorHAnsi" w:eastAsiaTheme="minorEastAsia" w:hAnsiTheme="minorHAnsi" w:cstheme="minorBidi"/>
              <w:b w:val="0"/>
              <w:noProof/>
              <w:sz w:val="22"/>
              <w:lang w:eastAsia="en-AU"/>
            </w:rPr>
          </w:pPr>
          <w:hyperlink w:anchor="_Toc102558210" w:history="1">
            <w:r w:rsidR="00C667D2" w:rsidRPr="00470B28">
              <w:rPr>
                <w:rStyle w:val="Hyperlink"/>
                <w:noProof/>
              </w:rPr>
              <w:t>Regulatory status</w:t>
            </w:r>
            <w:r w:rsidR="00C667D2">
              <w:rPr>
                <w:noProof/>
                <w:webHidden/>
              </w:rPr>
              <w:tab/>
            </w:r>
            <w:r w:rsidR="00C667D2">
              <w:rPr>
                <w:noProof/>
                <w:webHidden/>
              </w:rPr>
              <w:fldChar w:fldCharType="begin"/>
            </w:r>
            <w:r w:rsidR="00C667D2">
              <w:rPr>
                <w:noProof/>
                <w:webHidden/>
              </w:rPr>
              <w:instrText xml:space="preserve"> PAGEREF _Toc102558210 \h </w:instrText>
            </w:r>
            <w:r w:rsidR="00C667D2">
              <w:rPr>
                <w:noProof/>
                <w:webHidden/>
              </w:rPr>
            </w:r>
            <w:r w:rsidR="00C667D2">
              <w:rPr>
                <w:noProof/>
                <w:webHidden/>
              </w:rPr>
              <w:fldChar w:fldCharType="separate"/>
            </w:r>
            <w:r w:rsidR="00C667D2">
              <w:rPr>
                <w:noProof/>
                <w:webHidden/>
              </w:rPr>
              <w:t>10</w:t>
            </w:r>
            <w:r w:rsidR="00C667D2">
              <w:rPr>
                <w:noProof/>
                <w:webHidden/>
              </w:rPr>
              <w:fldChar w:fldCharType="end"/>
            </w:r>
          </w:hyperlink>
        </w:p>
        <w:p w14:paraId="1F792240" w14:textId="3FF0EF67" w:rsidR="00C667D2" w:rsidRDefault="000D5729">
          <w:pPr>
            <w:pStyle w:val="TOC2"/>
            <w:rPr>
              <w:rFonts w:asciiTheme="minorHAnsi" w:eastAsiaTheme="minorEastAsia" w:hAnsiTheme="minorHAnsi" w:cstheme="minorBidi"/>
              <w:b w:val="0"/>
              <w:noProof/>
              <w:sz w:val="22"/>
              <w:lang w:eastAsia="en-AU"/>
            </w:rPr>
          </w:pPr>
          <w:hyperlink w:anchor="_Toc102558211" w:history="1">
            <w:r w:rsidR="00C667D2" w:rsidRPr="00470B28">
              <w:rPr>
                <w:rStyle w:val="Hyperlink"/>
                <w:noProof/>
              </w:rPr>
              <w:t>Product Information</w:t>
            </w:r>
            <w:r w:rsidR="00C667D2">
              <w:rPr>
                <w:noProof/>
                <w:webHidden/>
              </w:rPr>
              <w:tab/>
            </w:r>
            <w:r w:rsidR="00C667D2">
              <w:rPr>
                <w:noProof/>
                <w:webHidden/>
              </w:rPr>
              <w:fldChar w:fldCharType="begin"/>
            </w:r>
            <w:r w:rsidR="00C667D2">
              <w:rPr>
                <w:noProof/>
                <w:webHidden/>
              </w:rPr>
              <w:instrText xml:space="preserve"> PAGEREF _Toc102558211 \h </w:instrText>
            </w:r>
            <w:r w:rsidR="00C667D2">
              <w:rPr>
                <w:noProof/>
                <w:webHidden/>
              </w:rPr>
            </w:r>
            <w:r w:rsidR="00C667D2">
              <w:rPr>
                <w:noProof/>
                <w:webHidden/>
              </w:rPr>
              <w:fldChar w:fldCharType="separate"/>
            </w:r>
            <w:r w:rsidR="00C667D2">
              <w:rPr>
                <w:noProof/>
                <w:webHidden/>
              </w:rPr>
              <w:t>10</w:t>
            </w:r>
            <w:r w:rsidR="00C667D2">
              <w:rPr>
                <w:noProof/>
                <w:webHidden/>
              </w:rPr>
              <w:fldChar w:fldCharType="end"/>
            </w:r>
          </w:hyperlink>
        </w:p>
        <w:p w14:paraId="0523A93A" w14:textId="7E7DD966" w:rsidR="00C667D2" w:rsidRDefault="000D5729">
          <w:pPr>
            <w:pStyle w:val="TOC1"/>
            <w:rPr>
              <w:rFonts w:asciiTheme="minorHAnsi" w:eastAsiaTheme="minorEastAsia" w:hAnsiTheme="minorHAnsi" w:cstheme="minorBidi"/>
              <w:b w:val="0"/>
              <w:noProof/>
              <w:sz w:val="22"/>
              <w:lang w:eastAsia="en-AU"/>
            </w:rPr>
          </w:pPr>
          <w:hyperlink w:anchor="_Toc102558212" w:history="1">
            <w:r w:rsidR="00C667D2" w:rsidRPr="00470B28">
              <w:rPr>
                <w:rStyle w:val="Hyperlink"/>
                <w:noProof/>
              </w:rPr>
              <w:t>II. Registration timeline</w:t>
            </w:r>
            <w:r w:rsidR="00C667D2">
              <w:rPr>
                <w:noProof/>
                <w:webHidden/>
              </w:rPr>
              <w:tab/>
            </w:r>
            <w:r w:rsidR="00C667D2">
              <w:rPr>
                <w:noProof/>
                <w:webHidden/>
              </w:rPr>
              <w:fldChar w:fldCharType="begin"/>
            </w:r>
            <w:r w:rsidR="00C667D2">
              <w:rPr>
                <w:noProof/>
                <w:webHidden/>
              </w:rPr>
              <w:instrText xml:space="preserve"> PAGEREF _Toc102558212 \h </w:instrText>
            </w:r>
            <w:r w:rsidR="00C667D2">
              <w:rPr>
                <w:noProof/>
                <w:webHidden/>
              </w:rPr>
            </w:r>
            <w:r w:rsidR="00C667D2">
              <w:rPr>
                <w:noProof/>
                <w:webHidden/>
              </w:rPr>
              <w:fldChar w:fldCharType="separate"/>
            </w:r>
            <w:r w:rsidR="00C667D2">
              <w:rPr>
                <w:noProof/>
                <w:webHidden/>
              </w:rPr>
              <w:t>11</w:t>
            </w:r>
            <w:r w:rsidR="00C667D2">
              <w:rPr>
                <w:noProof/>
                <w:webHidden/>
              </w:rPr>
              <w:fldChar w:fldCharType="end"/>
            </w:r>
          </w:hyperlink>
        </w:p>
        <w:p w14:paraId="441FBD7C" w14:textId="0A2738B9" w:rsidR="00C667D2" w:rsidRDefault="000D5729">
          <w:pPr>
            <w:pStyle w:val="TOC1"/>
            <w:rPr>
              <w:rFonts w:asciiTheme="minorHAnsi" w:eastAsiaTheme="minorEastAsia" w:hAnsiTheme="minorHAnsi" w:cstheme="minorBidi"/>
              <w:b w:val="0"/>
              <w:noProof/>
              <w:sz w:val="22"/>
              <w:lang w:eastAsia="en-AU"/>
            </w:rPr>
          </w:pPr>
          <w:hyperlink w:anchor="_Toc102558213" w:history="1">
            <w:r w:rsidR="00C667D2" w:rsidRPr="00470B28">
              <w:rPr>
                <w:rStyle w:val="Hyperlink"/>
                <w:noProof/>
              </w:rPr>
              <w:t>III. Submission overview and risk/benefit assessment</w:t>
            </w:r>
            <w:r w:rsidR="00C667D2">
              <w:rPr>
                <w:noProof/>
                <w:webHidden/>
              </w:rPr>
              <w:tab/>
            </w:r>
            <w:r w:rsidR="00C667D2">
              <w:rPr>
                <w:noProof/>
                <w:webHidden/>
              </w:rPr>
              <w:fldChar w:fldCharType="begin"/>
            </w:r>
            <w:r w:rsidR="00C667D2">
              <w:rPr>
                <w:noProof/>
                <w:webHidden/>
              </w:rPr>
              <w:instrText xml:space="preserve"> PAGEREF _Toc102558213 \h </w:instrText>
            </w:r>
            <w:r w:rsidR="00C667D2">
              <w:rPr>
                <w:noProof/>
                <w:webHidden/>
              </w:rPr>
            </w:r>
            <w:r w:rsidR="00C667D2">
              <w:rPr>
                <w:noProof/>
                <w:webHidden/>
              </w:rPr>
              <w:fldChar w:fldCharType="separate"/>
            </w:r>
            <w:r w:rsidR="00C667D2">
              <w:rPr>
                <w:noProof/>
                <w:webHidden/>
              </w:rPr>
              <w:t>12</w:t>
            </w:r>
            <w:r w:rsidR="00C667D2">
              <w:rPr>
                <w:noProof/>
                <w:webHidden/>
              </w:rPr>
              <w:fldChar w:fldCharType="end"/>
            </w:r>
          </w:hyperlink>
        </w:p>
        <w:p w14:paraId="10B5065B" w14:textId="395E6A7B" w:rsidR="00C667D2" w:rsidRDefault="000D5729">
          <w:pPr>
            <w:pStyle w:val="TOC2"/>
            <w:rPr>
              <w:rFonts w:asciiTheme="minorHAnsi" w:eastAsiaTheme="minorEastAsia" w:hAnsiTheme="minorHAnsi" w:cstheme="minorBidi"/>
              <w:b w:val="0"/>
              <w:noProof/>
              <w:sz w:val="22"/>
              <w:lang w:eastAsia="en-AU"/>
            </w:rPr>
          </w:pPr>
          <w:hyperlink w:anchor="_Toc102558214" w:history="1">
            <w:r w:rsidR="00C667D2" w:rsidRPr="00470B28">
              <w:rPr>
                <w:rStyle w:val="Hyperlink"/>
                <w:noProof/>
              </w:rPr>
              <w:t>Quality</w:t>
            </w:r>
            <w:r w:rsidR="00C667D2">
              <w:rPr>
                <w:noProof/>
                <w:webHidden/>
              </w:rPr>
              <w:tab/>
            </w:r>
            <w:r w:rsidR="00C667D2">
              <w:rPr>
                <w:noProof/>
                <w:webHidden/>
              </w:rPr>
              <w:fldChar w:fldCharType="begin"/>
            </w:r>
            <w:r w:rsidR="00C667D2">
              <w:rPr>
                <w:noProof/>
                <w:webHidden/>
              </w:rPr>
              <w:instrText xml:space="preserve"> PAGEREF _Toc102558214 \h </w:instrText>
            </w:r>
            <w:r w:rsidR="00C667D2">
              <w:rPr>
                <w:noProof/>
                <w:webHidden/>
              </w:rPr>
            </w:r>
            <w:r w:rsidR="00C667D2">
              <w:rPr>
                <w:noProof/>
                <w:webHidden/>
              </w:rPr>
              <w:fldChar w:fldCharType="separate"/>
            </w:r>
            <w:r w:rsidR="00C667D2">
              <w:rPr>
                <w:noProof/>
                <w:webHidden/>
              </w:rPr>
              <w:t>12</w:t>
            </w:r>
            <w:r w:rsidR="00C667D2">
              <w:rPr>
                <w:noProof/>
                <w:webHidden/>
              </w:rPr>
              <w:fldChar w:fldCharType="end"/>
            </w:r>
          </w:hyperlink>
        </w:p>
        <w:p w14:paraId="0BC18F67" w14:textId="5F2E279F" w:rsidR="00C667D2" w:rsidRDefault="000D5729">
          <w:pPr>
            <w:pStyle w:val="TOC2"/>
            <w:rPr>
              <w:rFonts w:asciiTheme="minorHAnsi" w:eastAsiaTheme="minorEastAsia" w:hAnsiTheme="minorHAnsi" w:cstheme="minorBidi"/>
              <w:b w:val="0"/>
              <w:noProof/>
              <w:sz w:val="22"/>
              <w:lang w:eastAsia="en-AU"/>
            </w:rPr>
          </w:pPr>
          <w:hyperlink w:anchor="_Toc102558215" w:history="1">
            <w:r w:rsidR="00C667D2" w:rsidRPr="00470B28">
              <w:rPr>
                <w:rStyle w:val="Hyperlink"/>
                <w:noProof/>
              </w:rPr>
              <w:t>Nonclinical</w:t>
            </w:r>
            <w:r w:rsidR="00C667D2">
              <w:rPr>
                <w:noProof/>
                <w:webHidden/>
              </w:rPr>
              <w:tab/>
            </w:r>
            <w:r w:rsidR="00C667D2">
              <w:rPr>
                <w:noProof/>
                <w:webHidden/>
              </w:rPr>
              <w:fldChar w:fldCharType="begin"/>
            </w:r>
            <w:r w:rsidR="00C667D2">
              <w:rPr>
                <w:noProof/>
                <w:webHidden/>
              </w:rPr>
              <w:instrText xml:space="preserve"> PAGEREF _Toc102558215 \h </w:instrText>
            </w:r>
            <w:r w:rsidR="00C667D2">
              <w:rPr>
                <w:noProof/>
                <w:webHidden/>
              </w:rPr>
            </w:r>
            <w:r w:rsidR="00C667D2">
              <w:rPr>
                <w:noProof/>
                <w:webHidden/>
              </w:rPr>
              <w:fldChar w:fldCharType="separate"/>
            </w:r>
            <w:r w:rsidR="00C667D2">
              <w:rPr>
                <w:noProof/>
                <w:webHidden/>
              </w:rPr>
              <w:t>12</w:t>
            </w:r>
            <w:r w:rsidR="00C667D2">
              <w:rPr>
                <w:noProof/>
                <w:webHidden/>
              </w:rPr>
              <w:fldChar w:fldCharType="end"/>
            </w:r>
          </w:hyperlink>
        </w:p>
        <w:p w14:paraId="1BA71AB1" w14:textId="3BF96D2B" w:rsidR="00C667D2" w:rsidRDefault="000D5729">
          <w:pPr>
            <w:pStyle w:val="TOC2"/>
            <w:rPr>
              <w:rFonts w:asciiTheme="minorHAnsi" w:eastAsiaTheme="minorEastAsia" w:hAnsiTheme="minorHAnsi" w:cstheme="minorBidi"/>
              <w:b w:val="0"/>
              <w:noProof/>
              <w:sz w:val="22"/>
              <w:lang w:eastAsia="en-AU"/>
            </w:rPr>
          </w:pPr>
          <w:hyperlink w:anchor="_Toc102558216" w:history="1">
            <w:r w:rsidR="00C667D2" w:rsidRPr="00470B28">
              <w:rPr>
                <w:rStyle w:val="Hyperlink"/>
                <w:noProof/>
              </w:rPr>
              <w:t>Clinical</w:t>
            </w:r>
            <w:r w:rsidR="00C667D2">
              <w:rPr>
                <w:noProof/>
                <w:webHidden/>
              </w:rPr>
              <w:tab/>
            </w:r>
            <w:r w:rsidR="00C667D2">
              <w:rPr>
                <w:noProof/>
                <w:webHidden/>
              </w:rPr>
              <w:fldChar w:fldCharType="begin"/>
            </w:r>
            <w:r w:rsidR="00C667D2">
              <w:rPr>
                <w:noProof/>
                <w:webHidden/>
              </w:rPr>
              <w:instrText xml:space="preserve"> PAGEREF _Toc102558216 \h </w:instrText>
            </w:r>
            <w:r w:rsidR="00C667D2">
              <w:rPr>
                <w:noProof/>
                <w:webHidden/>
              </w:rPr>
            </w:r>
            <w:r w:rsidR="00C667D2">
              <w:rPr>
                <w:noProof/>
                <w:webHidden/>
              </w:rPr>
              <w:fldChar w:fldCharType="separate"/>
            </w:r>
            <w:r w:rsidR="00C667D2">
              <w:rPr>
                <w:noProof/>
                <w:webHidden/>
              </w:rPr>
              <w:t>13</w:t>
            </w:r>
            <w:r w:rsidR="00C667D2">
              <w:rPr>
                <w:noProof/>
                <w:webHidden/>
              </w:rPr>
              <w:fldChar w:fldCharType="end"/>
            </w:r>
          </w:hyperlink>
        </w:p>
        <w:p w14:paraId="74B7BB95" w14:textId="43464484" w:rsidR="00C667D2" w:rsidRDefault="000D5729">
          <w:pPr>
            <w:pStyle w:val="TOC2"/>
            <w:rPr>
              <w:rFonts w:asciiTheme="minorHAnsi" w:eastAsiaTheme="minorEastAsia" w:hAnsiTheme="minorHAnsi" w:cstheme="minorBidi"/>
              <w:b w:val="0"/>
              <w:noProof/>
              <w:sz w:val="22"/>
              <w:lang w:eastAsia="en-AU"/>
            </w:rPr>
          </w:pPr>
          <w:hyperlink w:anchor="_Toc102558217" w:history="1">
            <w:r w:rsidR="00C667D2" w:rsidRPr="00470B28">
              <w:rPr>
                <w:rStyle w:val="Hyperlink"/>
                <w:noProof/>
              </w:rPr>
              <w:t>Confirmatory data plan</w:t>
            </w:r>
            <w:r w:rsidR="00C667D2">
              <w:rPr>
                <w:noProof/>
                <w:webHidden/>
              </w:rPr>
              <w:tab/>
            </w:r>
            <w:r w:rsidR="00C667D2">
              <w:rPr>
                <w:noProof/>
                <w:webHidden/>
              </w:rPr>
              <w:fldChar w:fldCharType="begin"/>
            </w:r>
            <w:r w:rsidR="00C667D2">
              <w:rPr>
                <w:noProof/>
                <w:webHidden/>
              </w:rPr>
              <w:instrText xml:space="preserve"> PAGEREF _Toc102558217 \h </w:instrText>
            </w:r>
            <w:r w:rsidR="00C667D2">
              <w:rPr>
                <w:noProof/>
                <w:webHidden/>
              </w:rPr>
            </w:r>
            <w:r w:rsidR="00C667D2">
              <w:rPr>
                <w:noProof/>
                <w:webHidden/>
              </w:rPr>
              <w:fldChar w:fldCharType="separate"/>
            </w:r>
            <w:r w:rsidR="00C667D2">
              <w:rPr>
                <w:noProof/>
                <w:webHidden/>
              </w:rPr>
              <w:t>23</w:t>
            </w:r>
            <w:r w:rsidR="00C667D2">
              <w:rPr>
                <w:noProof/>
                <w:webHidden/>
              </w:rPr>
              <w:fldChar w:fldCharType="end"/>
            </w:r>
          </w:hyperlink>
        </w:p>
        <w:p w14:paraId="47A447AD" w14:textId="37C97091" w:rsidR="00C667D2" w:rsidRDefault="000D5729">
          <w:pPr>
            <w:pStyle w:val="TOC2"/>
            <w:rPr>
              <w:rFonts w:asciiTheme="minorHAnsi" w:eastAsiaTheme="minorEastAsia" w:hAnsiTheme="minorHAnsi" w:cstheme="minorBidi"/>
              <w:b w:val="0"/>
              <w:noProof/>
              <w:sz w:val="22"/>
              <w:lang w:eastAsia="en-AU"/>
            </w:rPr>
          </w:pPr>
          <w:hyperlink w:anchor="_Toc102558218" w:history="1">
            <w:r w:rsidR="00C667D2" w:rsidRPr="00470B28">
              <w:rPr>
                <w:rStyle w:val="Hyperlink"/>
                <w:noProof/>
                <w:lang w:eastAsia="en-AU"/>
              </w:rPr>
              <w:t>Risk management plan</w:t>
            </w:r>
            <w:r w:rsidR="00C667D2">
              <w:rPr>
                <w:noProof/>
                <w:webHidden/>
              </w:rPr>
              <w:tab/>
            </w:r>
            <w:r w:rsidR="00C667D2">
              <w:rPr>
                <w:noProof/>
                <w:webHidden/>
              </w:rPr>
              <w:fldChar w:fldCharType="begin"/>
            </w:r>
            <w:r w:rsidR="00C667D2">
              <w:rPr>
                <w:noProof/>
                <w:webHidden/>
              </w:rPr>
              <w:instrText xml:space="preserve"> PAGEREF _Toc102558218 \h </w:instrText>
            </w:r>
            <w:r w:rsidR="00C667D2">
              <w:rPr>
                <w:noProof/>
                <w:webHidden/>
              </w:rPr>
            </w:r>
            <w:r w:rsidR="00C667D2">
              <w:rPr>
                <w:noProof/>
                <w:webHidden/>
              </w:rPr>
              <w:fldChar w:fldCharType="separate"/>
            </w:r>
            <w:r w:rsidR="00C667D2">
              <w:rPr>
                <w:noProof/>
                <w:webHidden/>
              </w:rPr>
              <w:t>25</w:t>
            </w:r>
            <w:r w:rsidR="00C667D2">
              <w:rPr>
                <w:noProof/>
                <w:webHidden/>
              </w:rPr>
              <w:fldChar w:fldCharType="end"/>
            </w:r>
          </w:hyperlink>
        </w:p>
        <w:p w14:paraId="045E9E21" w14:textId="149BBFAD" w:rsidR="00C667D2" w:rsidRDefault="000D5729">
          <w:pPr>
            <w:pStyle w:val="TOC2"/>
            <w:rPr>
              <w:rFonts w:asciiTheme="minorHAnsi" w:eastAsiaTheme="minorEastAsia" w:hAnsiTheme="minorHAnsi" w:cstheme="minorBidi"/>
              <w:b w:val="0"/>
              <w:noProof/>
              <w:sz w:val="22"/>
              <w:lang w:eastAsia="en-AU"/>
            </w:rPr>
          </w:pPr>
          <w:hyperlink w:anchor="_Toc102558219" w:history="1">
            <w:r w:rsidR="00C667D2" w:rsidRPr="00470B28">
              <w:rPr>
                <w:rStyle w:val="Hyperlink"/>
                <w:noProof/>
              </w:rPr>
              <w:t>Risk-benefit analysis</w:t>
            </w:r>
            <w:r w:rsidR="00C667D2">
              <w:rPr>
                <w:noProof/>
                <w:webHidden/>
              </w:rPr>
              <w:tab/>
            </w:r>
            <w:r w:rsidR="00C667D2">
              <w:rPr>
                <w:noProof/>
                <w:webHidden/>
              </w:rPr>
              <w:fldChar w:fldCharType="begin"/>
            </w:r>
            <w:r w:rsidR="00C667D2">
              <w:rPr>
                <w:noProof/>
                <w:webHidden/>
              </w:rPr>
              <w:instrText xml:space="preserve"> PAGEREF _Toc102558219 \h </w:instrText>
            </w:r>
            <w:r w:rsidR="00C667D2">
              <w:rPr>
                <w:noProof/>
                <w:webHidden/>
              </w:rPr>
            </w:r>
            <w:r w:rsidR="00C667D2">
              <w:rPr>
                <w:noProof/>
                <w:webHidden/>
              </w:rPr>
              <w:fldChar w:fldCharType="separate"/>
            </w:r>
            <w:r w:rsidR="00C667D2">
              <w:rPr>
                <w:noProof/>
                <w:webHidden/>
              </w:rPr>
              <w:t>27</w:t>
            </w:r>
            <w:r w:rsidR="00C667D2">
              <w:rPr>
                <w:noProof/>
                <w:webHidden/>
              </w:rPr>
              <w:fldChar w:fldCharType="end"/>
            </w:r>
          </w:hyperlink>
        </w:p>
        <w:p w14:paraId="3CE50924" w14:textId="1F81AF04" w:rsidR="00C667D2" w:rsidRDefault="000D5729">
          <w:pPr>
            <w:pStyle w:val="TOC2"/>
            <w:rPr>
              <w:rFonts w:asciiTheme="minorHAnsi" w:eastAsiaTheme="minorEastAsia" w:hAnsiTheme="minorHAnsi" w:cstheme="minorBidi"/>
              <w:b w:val="0"/>
              <w:noProof/>
              <w:sz w:val="22"/>
              <w:lang w:eastAsia="en-AU"/>
            </w:rPr>
          </w:pPr>
          <w:hyperlink w:anchor="_Toc102558220" w:history="1">
            <w:r w:rsidR="00C667D2" w:rsidRPr="00470B28">
              <w:rPr>
                <w:rStyle w:val="Hyperlink"/>
                <w:noProof/>
              </w:rPr>
              <w:t>Proposed action</w:t>
            </w:r>
            <w:r w:rsidR="00C667D2">
              <w:rPr>
                <w:noProof/>
                <w:webHidden/>
              </w:rPr>
              <w:tab/>
            </w:r>
            <w:r w:rsidR="00C667D2">
              <w:rPr>
                <w:noProof/>
                <w:webHidden/>
              </w:rPr>
              <w:fldChar w:fldCharType="begin"/>
            </w:r>
            <w:r w:rsidR="00C667D2">
              <w:rPr>
                <w:noProof/>
                <w:webHidden/>
              </w:rPr>
              <w:instrText xml:space="preserve"> PAGEREF _Toc102558220 \h </w:instrText>
            </w:r>
            <w:r w:rsidR="00C667D2">
              <w:rPr>
                <w:noProof/>
                <w:webHidden/>
              </w:rPr>
            </w:r>
            <w:r w:rsidR="00C667D2">
              <w:rPr>
                <w:noProof/>
                <w:webHidden/>
              </w:rPr>
              <w:fldChar w:fldCharType="separate"/>
            </w:r>
            <w:r w:rsidR="00C667D2">
              <w:rPr>
                <w:noProof/>
                <w:webHidden/>
              </w:rPr>
              <w:t>28</w:t>
            </w:r>
            <w:r w:rsidR="00C667D2">
              <w:rPr>
                <w:noProof/>
                <w:webHidden/>
              </w:rPr>
              <w:fldChar w:fldCharType="end"/>
            </w:r>
          </w:hyperlink>
        </w:p>
        <w:p w14:paraId="399C89EA" w14:textId="6923F450" w:rsidR="00C667D2" w:rsidRDefault="000D5729">
          <w:pPr>
            <w:pStyle w:val="TOC2"/>
            <w:rPr>
              <w:rFonts w:asciiTheme="minorHAnsi" w:eastAsiaTheme="minorEastAsia" w:hAnsiTheme="minorHAnsi" w:cstheme="minorBidi"/>
              <w:b w:val="0"/>
              <w:noProof/>
              <w:sz w:val="22"/>
              <w:lang w:eastAsia="en-AU"/>
            </w:rPr>
          </w:pPr>
          <w:hyperlink w:anchor="_Toc102558221" w:history="1">
            <w:r w:rsidR="00C667D2" w:rsidRPr="00470B28">
              <w:rPr>
                <w:rStyle w:val="Hyperlink"/>
                <w:noProof/>
              </w:rPr>
              <w:t>Outcome</w:t>
            </w:r>
            <w:r w:rsidR="00C667D2">
              <w:rPr>
                <w:noProof/>
                <w:webHidden/>
              </w:rPr>
              <w:tab/>
            </w:r>
            <w:r w:rsidR="00C667D2">
              <w:rPr>
                <w:noProof/>
                <w:webHidden/>
              </w:rPr>
              <w:fldChar w:fldCharType="begin"/>
            </w:r>
            <w:r w:rsidR="00C667D2">
              <w:rPr>
                <w:noProof/>
                <w:webHidden/>
              </w:rPr>
              <w:instrText xml:space="preserve"> PAGEREF _Toc102558221 \h </w:instrText>
            </w:r>
            <w:r w:rsidR="00C667D2">
              <w:rPr>
                <w:noProof/>
                <w:webHidden/>
              </w:rPr>
            </w:r>
            <w:r w:rsidR="00C667D2">
              <w:rPr>
                <w:noProof/>
                <w:webHidden/>
              </w:rPr>
              <w:fldChar w:fldCharType="separate"/>
            </w:r>
            <w:r w:rsidR="00C667D2">
              <w:rPr>
                <w:noProof/>
                <w:webHidden/>
              </w:rPr>
              <w:t>29</w:t>
            </w:r>
            <w:r w:rsidR="00C667D2">
              <w:rPr>
                <w:noProof/>
                <w:webHidden/>
              </w:rPr>
              <w:fldChar w:fldCharType="end"/>
            </w:r>
          </w:hyperlink>
        </w:p>
        <w:p w14:paraId="456395B2" w14:textId="4B9EBFE8" w:rsidR="00C667D2" w:rsidRDefault="000D5729">
          <w:pPr>
            <w:pStyle w:val="TOC1"/>
            <w:rPr>
              <w:rFonts w:asciiTheme="minorHAnsi" w:eastAsiaTheme="minorEastAsia" w:hAnsiTheme="minorHAnsi" w:cstheme="minorBidi"/>
              <w:b w:val="0"/>
              <w:noProof/>
              <w:sz w:val="22"/>
              <w:lang w:eastAsia="en-AU"/>
            </w:rPr>
          </w:pPr>
          <w:hyperlink w:anchor="_Toc102558222" w:history="1">
            <w:r w:rsidR="00C667D2" w:rsidRPr="00470B28">
              <w:rPr>
                <w:rStyle w:val="Hyperlink"/>
                <w:noProof/>
              </w:rPr>
              <w:t>Attachment 1. Product Information</w:t>
            </w:r>
            <w:r w:rsidR="00C667D2">
              <w:rPr>
                <w:noProof/>
                <w:webHidden/>
              </w:rPr>
              <w:tab/>
            </w:r>
            <w:r w:rsidR="00C667D2">
              <w:rPr>
                <w:noProof/>
                <w:webHidden/>
              </w:rPr>
              <w:fldChar w:fldCharType="begin"/>
            </w:r>
            <w:r w:rsidR="00C667D2">
              <w:rPr>
                <w:noProof/>
                <w:webHidden/>
              </w:rPr>
              <w:instrText xml:space="preserve"> PAGEREF _Toc102558222 \h </w:instrText>
            </w:r>
            <w:r w:rsidR="00C667D2">
              <w:rPr>
                <w:noProof/>
                <w:webHidden/>
              </w:rPr>
            </w:r>
            <w:r w:rsidR="00C667D2">
              <w:rPr>
                <w:noProof/>
                <w:webHidden/>
              </w:rPr>
              <w:fldChar w:fldCharType="separate"/>
            </w:r>
            <w:r w:rsidR="00C667D2">
              <w:rPr>
                <w:noProof/>
                <w:webHidden/>
              </w:rPr>
              <w:t>30</w:t>
            </w:r>
            <w:r w:rsidR="00C667D2">
              <w:rPr>
                <w:noProof/>
                <w:webHidden/>
              </w:rPr>
              <w:fldChar w:fldCharType="end"/>
            </w:r>
          </w:hyperlink>
        </w:p>
        <w:p w14:paraId="2494FAE4" w14:textId="1872B6A4" w:rsidR="003A7F6C" w:rsidRPr="00B811C6" w:rsidRDefault="00C525A2" w:rsidP="00B811C6">
          <w:pPr>
            <w:pStyle w:val="TOC2"/>
          </w:pPr>
          <w:r>
            <w:fldChar w:fldCharType="end"/>
          </w:r>
        </w:p>
      </w:sdtContent>
    </w:sdt>
    <w:bookmarkStart w:id="2" w:name="_Toc314842482" w:displacedByCustomXml="prev"/>
    <w:p w14:paraId="0269D3F9" w14:textId="77777777" w:rsidR="00FD119B" w:rsidRDefault="00FD119B">
      <w:pPr>
        <w:spacing w:before="0" w:after="200" w:line="0" w:lineRule="auto"/>
      </w:pPr>
      <w:r>
        <w:br w:type="page"/>
      </w:r>
    </w:p>
    <w:p w14:paraId="30F5B473" w14:textId="6CD39FEA" w:rsidR="00FD119B" w:rsidRDefault="0050674B" w:rsidP="004F0C4A">
      <w:pPr>
        <w:pStyle w:val="Heading2"/>
      </w:pPr>
      <w:bookmarkStart w:id="3" w:name="_Toc351716269"/>
      <w:bookmarkStart w:id="4" w:name="_Toc351718881"/>
      <w:bookmarkStart w:id="5" w:name="_Toc355338616"/>
      <w:bookmarkStart w:id="6" w:name="_Toc356306144"/>
      <w:bookmarkStart w:id="7" w:name="_Toc102558206"/>
      <w:r>
        <w:lastRenderedPageBreak/>
        <w:t>List of</w:t>
      </w:r>
      <w:r w:rsidRPr="00FD119B">
        <w:t xml:space="preserve"> </w:t>
      </w:r>
      <w:r w:rsidR="00FD119B" w:rsidRPr="00FD119B">
        <w:t>abbreviations</w:t>
      </w:r>
      <w:bookmarkEnd w:id="3"/>
      <w:bookmarkEnd w:id="4"/>
      <w:bookmarkEnd w:id="5"/>
      <w:bookmarkEnd w:id="6"/>
      <w:bookmarkEnd w:id="7"/>
    </w:p>
    <w:tbl>
      <w:tblPr>
        <w:tblStyle w:val="TableTGAblue"/>
        <w:tblpPr w:leftFromText="180" w:rightFromText="180" w:vertAnchor="text" w:tblpY="1"/>
        <w:tblW w:w="0" w:type="auto"/>
        <w:tblLook w:val="04A0" w:firstRow="1" w:lastRow="0" w:firstColumn="1" w:lastColumn="0" w:noHBand="0" w:noVBand="1"/>
      </w:tblPr>
      <w:tblGrid>
        <w:gridCol w:w="1890"/>
        <w:gridCol w:w="6594"/>
      </w:tblGrid>
      <w:tr w:rsidR="001A1146" w:rsidRPr="00FD119B" w14:paraId="5DB6297B" w14:textId="77777777" w:rsidTr="0072599B">
        <w:trPr>
          <w:cnfStyle w:val="100000000000" w:firstRow="1" w:lastRow="0" w:firstColumn="0" w:lastColumn="0" w:oddVBand="0" w:evenVBand="0" w:oddHBand="0" w:evenHBand="0" w:firstRowFirstColumn="0" w:firstRowLastColumn="0" w:lastRowFirstColumn="0" w:lastRowLastColumn="0"/>
        </w:trPr>
        <w:tc>
          <w:tcPr>
            <w:tcW w:w="1890" w:type="dxa"/>
          </w:tcPr>
          <w:p w14:paraId="23229BBE" w14:textId="77777777" w:rsidR="001A1146" w:rsidRPr="00A41C10" w:rsidRDefault="001A1146" w:rsidP="0072599B">
            <w:r w:rsidRPr="002225D5">
              <w:t>Abbreviation</w:t>
            </w:r>
          </w:p>
        </w:tc>
        <w:tc>
          <w:tcPr>
            <w:tcW w:w="6594" w:type="dxa"/>
          </w:tcPr>
          <w:p w14:paraId="01BD7ECD" w14:textId="77777777" w:rsidR="001A1146" w:rsidRPr="00A41C10" w:rsidRDefault="001A1146" w:rsidP="00A41C10">
            <w:r w:rsidRPr="002225D5">
              <w:t>Meaning</w:t>
            </w:r>
          </w:p>
        </w:tc>
      </w:tr>
      <w:tr w:rsidR="001A1146" w:rsidRPr="00FD119B" w14:paraId="1FCE1EBC" w14:textId="77777777" w:rsidTr="0072599B">
        <w:tc>
          <w:tcPr>
            <w:tcW w:w="1890" w:type="dxa"/>
          </w:tcPr>
          <w:p w14:paraId="30623791" w14:textId="77777777" w:rsidR="001A1146" w:rsidRPr="00917BE2" w:rsidRDefault="001A1146" w:rsidP="00A41C10">
            <w:r w:rsidRPr="00917BE2">
              <w:t>ACM</w:t>
            </w:r>
          </w:p>
        </w:tc>
        <w:tc>
          <w:tcPr>
            <w:tcW w:w="6594" w:type="dxa"/>
          </w:tcPr>
          <w:p w14:paraId="42FA8506" w14:textId="77777777" w:rsidR="001A1146" w:rsidRPr="002225D5" w:rsidRDefault="001A1146" w:rsidP="00A41C10">
            <w:r w:rsidRPr="002225D5">
              <w:t>Advisory Committee on Medicines</w:t>
            </w:r>
          </w:p>
        </w:tc>
      </w:tr>
      <w:tr w:rsidR="001A1146" w:rsidRPr="00FD119B" w14:paraId="112BCDCF" w14:textId="77777777" w:rsidTr="0072599B">
        <w:tc>
          <w:tcPr>
            <w:tcW w:w="1890" w:type="dxa"/>
          </w:tcPr>
          <w:p w14:paraId="417DC6D2" w14:textId="77777777" w:rsidR="001A1146" w:rsidRPr="00917BE2" w:rsidRDefault="001A1146" w:rsidP="00A41C10">
            <w:r w:rsidRPr="00917BE2">
              <w:t>AE</w:t>
            </w:r>
          </w:p>
        </w:tc>
        <w:tc>
          <w:tcPr>
            <w:tcW w:w="6594" w:type="dxa"/>
          </w:tcPr>
          <w:p w14:paraId="11414CCB" w14:textId="2B827541" w:rsidR="001A1146" w:rsidRPr="002225D5" w:rsidRDefault="001A1146" w:rsidP="00A41C10">
            <w:r w:rsidRPr="002225D5">
              <w:t>Adverse event</w:t>
            </w:r>
          </w:p>
        </w:tc>
      </w:tr>
      <w:tr w:rsidR="001A1146" w:rsidRPr="00FD119B" w14:paraId="4DEDC71E" w14:textId="77777777" w:rsidTr="0072599B">
        <w:tc>
          <w:tcPr>
            <w:tcW w:w="1890" w:type="dxa"/>
          </w:tcPr>
          <w:p w14:paraId="04CCBABF" w14:textId="77777777" w:rsidR="001A1146" w:rsidRPr="00917BE2" w:rsidRDefault="001A1146" w:rsidP="00A41C10">
            <w:r w:rsidRPr="00917BE2">
              <w:t>AESI</w:t>
            </w:r>
          </w:p>
        </w:tc>
        <w:tc>
          <w:tcPr>
            <w:tcW w:w="6594" w:type="dxa"/>
          </w:tcPr>
          <w:p w14:paraId="3D24F592" w14:textId="0D223EA4" w:rsidR="001A1146" w:rsidRPr="002225D5" w:rsidRDefault="001A1146" w:rsidP="00A41C10">
            <w:r w:rsidRPr="002225D5">
              <w:t>Adverse events of special interest</w:t>
            </w:r>
          </w:p>
        </w:tc>
      </w:tr>
      <w:tr w:rsidR="001A1146" w:rsidRPr="00FD119B" w14:paraId="6BC3AD68" w14:textId="77777777" w:rsidTr="0072599B">
        <w:tc>
          <w:tcPr>
            <w:tcW w:w="1890" w:type="dxa"/>
          </w:tcPr>
          <w:p w14:paraId="35FCA503" w14:textId="77777777" w:rsidR="001A1146" w:rsidRPr="00917BE2" w:rsidRDefault="001A1146" w:rsidP="00A41C10">
            <w:r w:rsidRPr="00917BE2">
              <w:t>ARTG</w:t>
            </w:r>
          </w:p>
        </w:tc>
        <w:tc>
          <w:tcPr>
            <w:tcW w:w="6594" w:type="dxa"/>
          </w:tcPr>
          <w:p w14:paraId="38533922" w14:textId="77777777" w:rsidR="001A1146" w:rsidRPr="002225D5" w:rsidRDefault="001A1146" w:rsidP="00A41C10">
            <w:r w:rsidRPr="002225D5">
              <w:t>Australian Register of Therapeutic Goods</w:t>
            </w:r>
          </w:p>
        </w:tc>
      </w:tr>
      <w:tr w:rsidR="001A1146" w:rsidRPr="00FD119B" w14:paraId="0099302B" w14:textId="77777777" w:rsidTr="0072599B">
        <w:tc>
          <w:tcPr>
            <w:tcW w:w="1890" w:type="dxa"/>
          </w:tcPr>
          <w:p w14:paraId="7E60C237" w14:textId="77777777" w:rsidR="001A1146" w:rsidRPr="00917BE2" w:rsidRDefault="001A1146" w:rsidP="00A41C10">
            <w:r w:rsidRPr="00917BE2">
              <w:t>BICR</w:t>
            </w:r>
          </w:p>
        </w:tc>
        <w:tc>
          <w:tcPr>
            <w:tcW w:w="6594" w:type="dxa"/>
          </w:tcPr>
          <w:p w14:paraId="6107BAE1" w14:textId="77777777" w:rsidR="001A1146" w:rsidRPr="002225D5" w:rsidRDefault="001A1146" w:rsidP="00A41C10">
            <w:r w:rsidRPr="002225D5">
              <w:t>Blinded independent central radiology</w:t>
            </w:r>
          </w:p>
        </w:tc>
      </w:tr>
      <w:tr w:rsidR="001A1146" w:rsidRPr="00FD119B" w14:paraId="137562B6" w14:textId="77777777" w:rsidTr="0072599B">
        <w:tc>
          <w:tcPr>
            <w:tcW w:w="1890" w:type="dxa"/>
          </w:tcPr>
          <w:p w14:paraId="327178AB" w14:textId="77777777" w:rsidR="001A1146" w:rsidRPr="00917BE2" w:rsidRDefault="001A1146" w:rsidP="00A41C10">
            <w:r w:rsidRPr="00917BE2">
              <w:t>CAV</w:t>
            </w:r>
          </w:p>
        </w:tc>
        <w:tc>
          <w:tcPr>
            <w:tcW w:w="6594" w:type="dxa"/>
          </w:tcPr>
          <w:p w14:paraId="462EFB8E" w14:textId="502AF209" w:rsidR="001A1146" w:rsidRPr="002225D5" w:rsidRDefault="001A1146" w:rsidP="00A41C10">
            <w:r w:rsidRPr="002225D5">
              <w:t>Cyclophosphamide, doxorubicin, and vincristine</w:t>
            </w:r>
          </w:p>
        </w:tc>
      </w:tr>
      <w:tr w:rsidR="001A1146" w:rsidRPr="00FD119B" w14:paraId="68E06734" w14:textId="77777777" w:rsidTr="0072599B">
        <w:tc>
          <w:tcPr>
            <w:tcW w:w="1890" w:type="dxa"/>
          </w:tcPr>
          <w:p w14:paraId="195897B7" w14:textId="77777777" w:rsidR="001A1146" w:rsidRPr="00917BE2" w:rsidRDefault="001A1146" w:rsidP="00A41C10">
            <w:r w:rsidRPr="00917BE2">
              <w:t>CEV</w:t>
            </w:r>
          </w:p>
        </w:tc>
        <w:tc>
          <w:tcPr>
            <w:tcW w:w="6594" w:type="dxa"/>
          </w:tcPr>
          <w:p w14:paraId="76C118C6" w14:textId="3E86D458" w:rsidR="001A1146" w:rsidRPr="002225D5" w:rsidRDefault="001A1146" w:rsidP="00A41C10">
            <w:r w:rsidRPr="002225D5">
              <w:t>Cyclophosphamide, epirubicin, and vincristine</w:t>
            </w:r>
          </w:p>
        </w:tc>
      </w:tr>
      <w:tr w:rsidR="001A1146" w:rsidRPr="00FD119B" w14:paraId="0F1535E7" w14:textId="77777777" w:rsidTr="0072599B">
        <w:tc>
          <w:tcPr>
            <w:tcW w:w="1890" w:type="dxa"/>
          </w:tcPr>
          <w:p w14:paraId="5CD23A95" w14:textId="77777777" w:rsidR="001A1146" w:rsidRPr="00917BE2" w:rsidRDefault="001A1146" w:rsidP="00A41C10">
            <w:r w:rsidRPr="00917BE2">
              <w:t>CMI</w:t>
            </w:r>
          </w:p>
        </w:tc>
        <w:tc>
          <w:tcPr>
            <w:tcW w:w="6594" w:type="dxa"/>
          </w:tcPr>
          <w:p w14:paraId="081E57A6" w14:textId="68864C71" w:rsidR="001A1146" w:rsidRPr="002225D5" w:rsidRDefault="001A1146" w:rsidP="00A41C10">
            <w:r w:rsidRPr="002225D5">
              <w:t>Consumer Medicine Information</w:t>
            </w:r>
          </w:p>
        </w:tc>
      </w:tr>
      <w:tr w:rsidR="001A1146" w:rsidRPr="00FD119B" w14:paraId="564D28C5" w14:textId="77777777" w:rsidTr="0072599B">
        <w:tc>
          <w:tcPr>
            <w:tcW w:w="1890" w:type="dxa"/>
          </w:tcPr>
          <w:p w14:paraId="3BC1940B" w14:textId="77777777" w:rsidR="001A1146" w:rsidRPr="00917BE2" w:rsidRDefault="001A1146" w:rsidP="00A41C10">
            <w:r w:rsidRPr="00917BE2">
              <w:t>CNS</w:t>
            </w:r>
          </w:p>
        </w:tc>
        <w:tc>
          <w:tcPr>
            <w:tcW w:w="6594" w:type="dxa"/>
          </w:tcPr>
          <w:p w14:paraId="0C593B86" w14:textId="38E4D2E1" w:rsidR="001A1146" w:rsidRPr="002225D5" w:rsidRDefault="001A1146" w:rsidP="00A41C10">
            <w:r w:rsidRPr="002225D5">
              <w:t>Central nervous system</w:t>
            </w:r>
          </w:p>
        </w:tc>
      </w:tr>
      <w:tr w:rsidR="001A1146" w:rsidRPr="00FD119B" w14:paraId="6A70A800" w14:textId="77777777" w:rsidTr="0072599B">
        <w:tc>
          <w:tcPr>
            <w:tcW w:w="1890" w:type="dxa"/>
          </w:tcPr>
          <w:p w14:paraId="72895A73" w14:textId="77777777" w:rsidR="001A1146" w:rsidRPr="00917BE2" w:rsidRDefault="001A1146" w:rsidP="00A41C10">
            <w:r w:rsidRPr="00917BE2">
              <w:t>CTFI</w:t>
            </w:r>
          </w:p>
        </w:tc>
        <w:tc>
          <w:tcPr>
            <w:tcW w:w="6594" w:type="dxa"/>
          </w:tcPr>
          <w:p w14:paraId="1A5FDB66" w14:textId="4952D3A1" w:rsidR="001A1146" w:rsidRPr="002225D5" w:rsidRDefault="001A1146" w:rsidP="00A41C10">
            <w:r w:rsidRPr="002225D5">
              <w:t>Chemotherapy-free interval</w:t>
            </w:r>
          </w:p>
        </w:tc>
      </w:tr>
      <w:tr w:rsidR="001A1146" w:rsidRPr="00FD119B" w14:paraId="04371D51" w14:textId="77777777" w:rsidTr="0072599B">
        <w:tc>
          <w:tcPr>
            <w:tcW w:w="1890" w:type="dxa"/>
          </w:tcPr>
          <w:p w14:paraId="1A1C80E5" w14:textId="77777777" w:rsidR="001A1146" w:rsidRPr="00917BE2" w:rsidRDefault="001A1146" w:rsidP="00A41C10">
            <w:r w:rsidRPr="00917BE2">
              <w:t>CYP3A4</w:t>
            </w:r>
          </w:p>
        </w:tc>
        <w:tc>
          <w:tcPr>
            <w:tcW w:w="6594" w:type="dxa"/>
          </w:tcPr>
          <w:p w14:paraId="52899C1E" w14:textId="558D0E63" w:rsidR="001A1146" w:rsidRPr="002225D5" w:rsidRDefault="001A1146" w:rsidP="00A41C10">
            <w:r w:rsidRPr="002225D5">
              <w:t>Cytochrome P450 3A4</w:t>
            </w:r>
          </w:p>
        </w:tc>
      </w:tr>
      <w:tr w:rsidR="001A1146" w:rsidRPr="00FD119B" w14:paraId="0DD3415E" w14:textId="77777777" w:rsidTr="0072599B">
        <w:tc>
          <w:tcPr>
            <w:tcW w:w="1890" w:type="dxa"/>
          </w:tcPr>
          <w:p w14:paraId="605B2907" w14:textId="77777777" w:rsidR="001A1146" w:rsidRPr="00917BE2" w:rsidRDefault="001A1146" w:rsidP="00A41C10">
            <w:r w:rsidRPr="00917BE2">
              <w:t>DNA</w:t>
            </w:r>
          </w:p>
        </w:tc>
        <w:tc>
          <w:tcPr>
            <w:tcW w:w="6594" w:type="dxa"/>
          </w:tcPr>
          <w:p w14:paraId="2441DD4B" w14:textId="77777777" w:rsidR="001A1146" w:rsidRPr="002225D5" w:rsidRDefault="001A1146" w:rsidP="00A41C10">
            <w:r w:rsidRPr="002225D5">
              <w:t>Deoxyribonucleic acid</w:t>
            </w:r>
          </w:p>
        </w:tc>
      </w:tr>
      <w:tr w:rsidR="001A1146" w:rsidRPr="00FD119B" w14:paraId="3048D8F9" w14:textId="77777777" w:rsidTr="0072599B">
        <w:tc>
          <w:tcPr>
            <w:tcW w:w="1890" w:type="dxa"/>
          </w:tcPr>
          <w:p w14:paraId="7C7F72AF" w14:textId="77777777" w:rsidR="001A1146" w:rsidRPr="00917BE2" w:rsidRDefault="001A1146" w:rsidP="00A41C10">
            <w:r w:rsidRPr="00917BE2">
              <w:t>DOR</w:t>
            </w:r>
          </w:p>
        </w:tc>
        <w:tc>
          <w:tcPr>
            <w:tcW w:w="6594" w:type="dxa"/>
          </w:tcPr>
          <w:p w14:paraId="405FA4FA" w14:textId="77777777" w:rsidR="001A1146" w:rsidRPr="002225D5" w:rsidRDefault="001A1146" w:rsidP="00A41C10">
            <w:r w:rsidRPr="002225D5">
              <w:t>Duration of response</w:t>
            </w:r>
          </w:p>
        </w:tc>
      </w:tr>
      <w:tr w:rsidR="0095118D" w:rsidRPr="00FD119B" w14:paraId="407558E9" w14:textId="77777777" w:rsidTr="0072599B">
        <w:tc>
          <w:tcPr>
            <w:tcW w:w="1890" w:type="dxa"/>
          </w:tcPr>
          <w:p w14:paraId="05BB3AAF" w14:textId="061545C9" w:rsidR="0095118D" w:rsidRPr="00917BE2" w:rsidRDefault="0095118D" w:rsidP="00A41C10">
            <w:r w:rsidRPr="00917BE2">
              <w:t>ECOG</w:t>
            </w:r>
          </w:p>
        </w:tc>
        <w:tc>
          <w:tcPr>
            <w:tcW w:w="6594" w:type="dxa"/>
          </w:tcPr>
          <w:p w14:paraId="7AC70770" w14:textId="4CFF53F8" w:rsidR="0095118D" w:rsidRPr="002225D5" w:rsidRDefault="0095118D" w:rsidP="00A41C10">
            <w:r w:rsidRPr="002225D5">
              <w:t>Eastern Cooperative Oncology Group</w:t>
            </w:r>
          </w:p>
        </w:tc>
      </w:tr>
      <w:tr w:rsidR="001A1146" w:rsidRPr="00FD119B" w14:paraId="172EE4DC" w14:textId="77777777" w:rsidTr="0072599B">
        <w:tc>
          <w:tcPr>
            <w:tcW w:w="1890" w:type="dxa"/>
          </w:tcPr>
          <w:p w14:paraId="17769DFB" w14:textId="77777777" w:rsidR="001A1146" w:rsidRPr="00917BE2" w:rsidRDefault="001A1146" w:rsidP="00A41C10">
            <w:r w:rsidRPr="00917BE2">
              <w:t>ES-SCLC</w:t>
            </w:r>
          </w:p>
        </w:tc>
        <w:tc>
          <w:tcPr>
            <w:tcW w:w="6594" w:type="dxa"/>
          </w:tcPr>
          <w:p w14:paraId="3C9765F3" w14:textId="75396203" w:rsidR="001A1146" w:rsidRPr="002225D5" w:rsidRDefault="001A1146" w:rsidP="00A41C10">
            <w:r w:rsidRPr="002225D5">
              <w:t>Extensive-stage small cell lung cancer</w:t>
            </w:r>
          </w:p>
        </w:tc>
      </w:tr>
      <w:tr w:rsidR="001A1146" w:rsidRPr="00FD119B" w14:paraId="1DA17930" w14:textId="77777777" w:rsidTr="0072599B">
        <w:tc>
          <w:tcPr>
            <w:tcW w:w="1890" w:type="dxa"/>
          </w:tcPr>
          <w:p w14:paraId="7D0E8DA1" w14:textId="77777777" w:rsidR="001A1146" w:rsidRPr="00917BE2" w:rsidRDefault="001A1146" w:rsidP="00A41C10">
            <w:r w:rsidRPr="00917BE2">
              <w:t>FDA</w:t>
            </w:r>
          </w:p>
        </w:tc>
        <w:tc>
          <w:tcPr>
            <w:tcW w:w="6594" w:type="dxa"/>
          </w:tcPr>
          <w:p w14:paraId="325C6528" w14:textId="52B21515" w:rsidR="001A1146" w:rsidRPr="002225D5" w:rsidRDefault="001A1146" w:rsidP="00A41C10">
            <w:r w:rsidRPr="002225D5">
              <w:t>Food and Drug Administration</w:t>
            </w:r>
            <w:r w:rsidR="00560F5E" w:rsidRPr="002225D5">
              <w:t xml:space="preserve"> (United States of America)</w:t>
            </w:r>
          </w:p>
        </w:tc>
      </w:tr>
      <w:tr w:rsidR="001A1146" w:rsidRPr="00FD119B" w14:paraId="090F983E" w14:textId="77777777" w:rsidTr="0072599B">
        <w:tc>
          <w:tcPr>
            <w:tcW w:w="1890" w:type="dxa"/>
          </w:tcPr>
          <w:p w14:paraId="7B24F68D" w14:textId="77777777" w:rsidR="001A1146" w:rsidRPr="00917BE2" w:rsidRDefault="001A1146" w:rsidP="00A41C10">
            <w:r w:rsidRPr="00917BE2">
              <w:t>GI</w:t>
            </w:r>
          </w:p>
        </w:tc>
        <w:tc>
          <w:tcPr>
            <w:tcW w:w="6594" w:type="dxa"/>
          </w:tcPr>
          <w:p w14:paraId="5413722A" w14:textId="5EF962B7" w:rsidR="001A1146" w:rsidRPr="002225D5" w:rsidRDefault="001A1146" w:rsidP="00A41C10">
            <w:r w:rsidRPr="002225D5">
              <w:t>Gastrointestinal</w:t>
            </w:r>
          </w:p>
        </w:tc>
      </w:tr>
      <w:tr w:rsidR="001A1146" w:rsidRPr="00FD119B" w14:paraId="5B3FC7D3" w14:textId="77777777" w:rsidTr="0072599B">
        <w:tc>
          <w:tcPr>
            <w:tcW w:w="1890" w:type="dxa"/>
          </w:tcPr>
          <w:p w14:paraId="365033FA" w14:textId="77777777" w:rsidR="001A1146" w:rsidRPr="00917BE2" w:rsidRDefault="001A1146" w:rsidP="00A41C10">
            <w:r w:rsidRPr="00917BE2">
              <w:t>GMP</w:t>
            </w:r>
          </w:p>
        </w:tc>
        <w:tc>
          <w:tcPr>
            <w:tcW w:w="6594" w:type="dxa"/>
          </w:tcPr>
          <w:p w14:paraId="3DE6D32A" w14:textId="467DD31C" w:rsidR="001A1146" w:rsidRPr="002225D5" w:rsidRDefault="001A1146" w:rsidP="00A41C10">
            <w:r w:rsidRPr="002225D5">
              <w:t>Good Manufacturing Practice</w:t>
            </w:r>
          </w:p>
        </w:tc>
      </w:tr>
      <w:tr w:rsidR="001A1146" w:rsidRPr="00FD119B" w14:paraId="1E7CE488" w14:textId="77777777" w:rsidTr="0072599B">
        <w:tc>
          <w:tcPr>
            <w:tcW w:w="1890" w:type="dxa"/>
          </w:tcPr>
          <w:p w14:paraId="38E1D420" w14:textId="77777777" w:rsidR="001A1146" w:rsidRPr="00917BE2" w:rsidRDefault="001A1146" w:rsidP="00A41C10">
            <w:r w:rsidRPr="00917BE2">
              <w:t>IA</w:t>
            </w:r>
          </w:p>
        </w:tc>
        <w:tc>
          <w:tcPr>
            <w:tcW w:w="6594" w:type="dxa"/>
          </w:tcPr>
          <w:p w14:paraId="4A93ADBC" w14:textId="35F2A44D" w:rsidR="001A1146" w:rsidRPr="002225D5" w:rsidRDefault="001A1146" w:rsidP="00A41C10">
            <w:r w:rsidRPr="002225D5">
              <w:t>Investigator assessment</w:t>
            </w:r>
          </w:p>
        </w:tc>
      </w:tr>
      <w:tr w:rsidR="001A1146" w:rsidRPr="00FD119B" w14:paraId="78407DE1" w14:textId="77777777" w:rsidTr="0072599B">
        <w:tc>
          <w:tcPr>
            <w:tcW w:w="1890" w:type="dxa"/>
          </w:tcPr>
          <w:p w14:paraId="38580A13" w14:textId="77777777" w:rsidR="001A1146" w:rsidRPr="002225D5" w:rsidRDefault="001A1146" w:rsidP="00A41C10">
            <w:r w:rsidRPr="00917BE2">
              <w:t>IC</w:t>
            </w:r>
            <w:r w:rsidRPr="002225D5">
              <w:rPr>
                <w:vertAlign w:val="subscript"/>
              </w:rPr>
              <w:t>50</w:t>
            </w:r>
          </w:p>
        </w:tc>
        <w:tc>
          <w:tcPr>
            <w:tcW w:w="6594" w:type="dxa"/>
          </w:tcPr>
          <w:p w14:paraId="24875E7C" w14:textId="68FDDE83" w:rsidR="001A1146" w:rsidRPr="002225D5" w:rsidRDefault="001A1146" w:rsidP="00A41C10">
            <w:r w:rsidRPr="002225D5">
              <w:t>Half-maximal inhibitory concentration</w:t>
            </w:r>
          </w:p>
        </w:tc>
      </w:tr>
      <w:tr w:rsidR="001A1146" w:rsidRPr="00FD119B" w14:paraId="0A592DA9" w14:textId="77777777" w:rsidTr="0072599B">
        <w:tc>
          <w:tcPr>
            <w:tcW w:w="1890" w:type="dxa"/>
          </w:tcPr>
          <w:p w14:paraId="5D2A21D7" w14:textId="77777777" w:rsidR="001A1146" w:rsidRPr="00917BE2" w:rsidRDefault="001A1146" w:rsidP="00A41C10">
            <w:r w:rsidRPr="00917BE2">
              <w:t>IRC</w:t>
            </w:r>
          </w:p>
        </w:tc>
        <w:tc>
          <w:tcPr>
            <w:tcW w:w="6594" w:type="dxa"/>
          </w:tcPr>
          <w:p w14:paraId="34610DBF" w14:textId="6B51C442" w:rsidR="001A1146" w:rsidRPr="002225D5" w:rsidRDefault="001A1146" w:rsidP="00A41C10">
            <w:r w:rsidRPr="002225D5">
              <w:t>Independent review committee</w:t>
            </w:r>
          </w:p>
        </w:tc>
      </w:tr>
      <w:tr w:rsidR="001A1146" w:rsidRPr="00FD119B" w14:paraId="0DC76A5E" w14:textId="77777777" w:rsidTr="0072599B">
        <w:tc>
          <w:tcPr>
            <w:tcW w:w="1890" w:type="dxa"/>
          </w:tcPr>
          <w:p w14:paraId="1A3954A2" w14:textId="77777777" w:rsidR="001A1146" w:rsidRPr="00917BE2" w:rsidRDefault="001A1146" w:rsidP="00A41C10">
            <w:r w:rsidRPr="00917BE2">
              <w:t>ISS</w:t>
            </w:r>
          </w:p>
        </w:tc>
        <w:tc>
          <w:tcPr>
            <w:tcW w:w="6594" w:type="dxa"/>
          </w:tcPr>
          <w:p w14:paraId="24709316" w14:textId="248DD269" w:rsidR="001A1146" w:rsidRPr="002225D5" w:rsidRDefault="001A1146" w:rsidP="00A41C10">
            <w:r w:rsidRPr="002225D5">
              <w:t>Investigator sponsored study</w:t>
            </w:r>
          </w:p>
        </w:tc>
      </w:tr>
      <w:tr w:rsidR="001A1146" w:rsidRPr="00FD119B" w14:paraId="2388467D" w14:textId="77777777" w:rsidTr="0072599B">
        <w:tc>
          <w:tcPr>
            <w:tcW w:w="1890" w:type="dxa"/>
          </w:tcPr>
          <w:p w14:paraId="3648548B" w14:textId="77777777" w:rsidR="001A1146" w:rsidRPr="00917BE2" w:rsidRDefault="001A1146" w:rsidP="00A41C10">
            <w:r w:rsidRPr="00917BE2">
              <w:t>MDR</w:t>
            </w:r>
          </w:p>
        </w:tc>
        <w:tc>
          <w:tcPr>
            <w:tcW w:w="6594" w:type="dxa"/>
          </w:tcPr>
          <w:p w14:paraId="0FE01B69" w14:textId="48B37C83" w:rsidR="001A1146" w:rsidRPr="00917BE2" w:rsidRDefault="001A1146" w:rsidP="00A41C10">
            <w:r w:rsidRPr="002225D5">
              <w:t>Multi-Discipline Review</w:t>
            </w:r>
            <w:r w:rsidR="002225D5">
              <w:t xml:space="preserve"> (United States Food and Drug Administration)</w:t>
            </w:r>
          </w:p>
        </w:tc>
      </w:tr>
      <w:tr w:rsidR="001A1146" w:rsidRPr="00FD119B" w14:paraId="641C91FF" w14:textId="77777777" w:rsidTr="0072599B">
        <w:tc>
          <w:tcPr>
            <w:tcW w:w="1890" w:type="dxa"/>
          </w:tcPr>
          <w:p w14:paraId="3E04FDDB" w14:textId="77777777" w:rsidR="001A1146" w:rsidRPr="00917BE2" w:rsidRDefault="001A1146" w:rsidP="00A41C10">
            <w:r w:rsidRPr="00917BE2">
              <w:t>NCCN</w:t>
            </w:r>
          </w:p>
        </w:tc>
        <w:tc>
          <w:tcPr>
            <w:tcW w:w="6594" w:type="dxa"/>
          </w:tcPr>
          <w:p w14:paraId="608B893B" w14:textId="34F0C18A" w:rsidR="001A1146" w:rsidRPr="00917BE2" w:rsidRDefault="001A1146" w:rsidP="00A41C10">
            <w:r w:rsidRPr="002225D5">
              <w:t>National Comprehensive Cancer Network</w:t>
            </w:r>
            <w:r w:rsidR="002225D5">
              <w:t xml:space="preserve"> (United States of America)</w:t>
            </w:r>
          </w:p>
        </w:tc>
      </w:tr>
      <w:tr w:rsidR="0072599B" w:rsidRPr="00FD119B" w14:paraId="487997CB" w14:textId="77777777" w:rsidTr="0072599B">
        <w:tc>
          <w:tcPr>
            <w:tcW w:w="1890" w:type="dxa"/>
            <w:shd w:val="clear" w:color="auto" w:fill="006DA7"/>
          </w:tcPr>
          <w:p w14:paraId="7CF25759" w14:textId="200EDF14" w:rsidR="0072599B" w:rsidRPr="0072599B" w:rsidRDefault="0072599B" w:rsidP="0072599B">
            <w:pPr>
              <w:rPr>
                <w:b/>
                <w:bCs/>
                <w:color w:val="FFFFFF" w:themeColor="background1"/>
              </w:rPr>
            </w:pPr>
            <w:r w:rsidRPr="0072599B">
              <w:rPr>
                <w:b/>
                <w:bCs/>
                <w:color w:val="FFFFFF" w:themeColor="background1"/>
              </w:rPr>
              <w:lastRenderedPageBreak/>
              <w:t>Abbreviation</w:t>
            </w:r>
          </w:p>
        </w:tc>
        <w:tc>
          <w:tcPr>
            <w:tcW w:w="6594" w:type="dxa"/>
            <w:shd w:val="clear" w:color="auto" w:fill="006DA7"/>
          </w:tcPr>
          <w:p w14:paraId="780DE791" w14:textId="7590C074" w:rsidR="0072599B" w:rsidRPr="0072599B" w:rsidRDefault="0072599B" w:rsidP="0072599B">
            <w:pPr>
              <w:rPr>
                <w:b/>
                <w:bCs/>
                <w:color w:val="FFFFFF" w:themeColor="background1"/>
              </w:rPr>
            </w:pPr>
            <w:r w:rsidRPr="0072599B">
              <w:rPr>
                <w:b/>
                <w:bCs/>
                <w:color w:val="FFFFFF" w:themeColor="background1"/>
              </w:rPr>
              <w:t>Meaning</w:t>
            </w:r>
          </w:p>
        </w:tc>
      </w:tr>
      <w:tr w:rsidR="001A1146" w:rsidRPr="00FD119B" w14:paraId="0D9C0204" w14:textId="77777777" w:rsidTr="0072599B">
        <w:tc>
          <w:tcPr>
            <w:tcW w:w="1890" w:type="dxa"/>
          </w:tcPr>
          <w:p w14:paraId="5F5E4E86" w14:textId="77777777" w:rsidR="001A1146" w:rsidRPr="00917BE2" w:rsidRDefault="001A1146" w:rsidP="00A41C10">
            <w:r w:rsidRPr="00917BE2">
              <w:t>OATP1B1</w:t>
            </w:r>
          </w:p>
        </w:tc>
        <w:tc>
          <w:tcPr>
            <w:tcW w:w="6594" w:type="dxa"/>
          </w:tcPr>
          <w:p w14:paraId="3FF74EEF" w14:textId="02B775B8" w:rsidR="001A1146" w:rsidRPr="002225D5" w:rsidRDefault="001A1146" w:rsidP="00A41C10">
            <w:r w:rsidRPr="002225D5">
              <w:t>Organic anion transport protein 1B1</w:t>
            </w:r>
          </w:p>
        </w:tc>
      </w:tr>
      <w:tr w:rsidR="001A1146" w:rsidRPr="00FD119B" w14:paraId="3A39B292" w14:textId="77777777" w:rsidTr="0072599B">
        <w:tc>
          <w:tcPr>
            <w:tcW w:w="1890" w:type="dxa"/>
          </w:tcPr>
          <w:p w14:paraId="3506091A" w14:textId="77777777" w:rsidR="001A1146" w:rsidRPr="00917BE2" w:rsidRDefault="001A1146" w:rsidP="00A41C10">
            <w:r w:rsidRPr="00917BE2">
              <w:t>OATP1B3</w:t>
            </w:r>
          </w:p>
        </w:tc>
        <w:tc>
          <w:tcPr>
            <w:tcW w:w="6594" w:type="dxa"/>
          </w:tcPr>
          <w:p w14:paraId="43980662" w14:textId="540B699F" w:rsidR="001A1146" w:rsidRPr="002225D5" w:rsidRDefault="001A1146" w:rsidP="00A41C10">
            <w:r w:rsidRPr="002225D5">
              <w:t>Organic anion transport protein 1B3</w:t>
            </w:r>
          </w:p>
        </w:tc>
      </w:tr>
      <w:tr w:rsidR="001A1146" w:rsidRPr="00FD119B" w14:paraId="3860BBA1" w14:textId="77777777" w:rsidTr="0072599B">
        <w:tc>
          <w:tcPr>
            <w:tcW w:w="1890" w:type="dxa"/>
          </w:tcPr>
          <w:p w14:paraId="52846421" w14:textId="77777777" w:rsidR="001A1146" w:rsidRPr="00917BE2" w:rsidRDefault="001A1146" w:rsidP="00A41C10">
            <w:r w:rsidRPr="00917BE2">
              <w:t>OCT1</w:t>
            </w:r>
          </w:p>
        </w:tc>
        <w:tc>
          <w:tcPr>
            <w:tcW w:w="6594" w:type="dxa"/>
          </w:tcPr>
          <w:p w14:paraId="3C021EB4" w14:textId="2D4285B8" w:rsidR="001A1146" w:rsidRPr="002225D5" w:rsidRDefault="001A1146" w:rsidP="00A41C10">
            <w:r w:rsidRPr="002225D5">
              <w:t>Organic cation transporter 1</w:t>
            </w:r>
          </w:p>
        </w:tc>
      </w:tr>
      <w:tr w:rsidR="001A1146" w:rsidRPr="00FD119B" w14:paraId="59F1F851" w14:textId="77777777" w:rsidTr="0072599B">
        <w:tc>
          <w:tcPr>
            <w:tcW w:w="1890" w:type="dxa"/>
          </w:tcPr>
          <w:p w14:paraId="720AD9F7" w14:textId="77777777" w:rsidR="001A1146" w:rsidRPr="00917BE2" w:rsidRDefault="001A1146" w:rsidP="00A41C10">
            <w:r w:rsidRPr="00917BE2">
              <w:t>ORR</w:t>
            </w:r>
          </w:p>
        </w:tc>
        <w:tc>
          <w:tcPr>
            <w:tcW w:w="6594" w:type="dxa"/>
          </w:tcPr>
          <w:p w14:paraId="2558C7B4" w14:textId="41C50AAE" w:rsidR="001A1146" w:rsidRPr="002225D5" w:rsidRDefault="001A1146" w:rsidP="00A41C10">
            <w:r w:rsidRPr="002225D5">
              <w:t>Objective response rate</w:t>
            </w:r>
          </w:p>
        </w:tc>
      </w:tr>
      <w:tr w:rsidR="001A1146" w:rsidRPr="00FD119B" w14:paraId="69506427" w14:textId="77777777" w:rsidTr="0072599B">
        <w:tc>
          <w:tcPr>
            <w:tcW w:w="1890" w:type="dxa"/>
          </w:tcPr>
          <w:p w14:paraId="32D0108C" w14:textId="77777777" w:rsidR="001A1146" w:rsidRPr="00917BE2" w:rsidRDefault="001A1146" w:rsidP="00A41C10">
            <w:r w:rsidRPr="00917BE2">
              <w:t>OS</w:t>
            </w:r>
          </w:p>
        </w:tc>
        <w:tc>
          <w:tcPr>
            <w:tcW w:w="6594" w:type="dxa"/>
          </w:tcPr>
          <w:p w14:paraId="73178B85" w14:textId="2F53B343" w:rsidR="001A1146" w:rsidRPr="002225D5" w:rsidRDefault="001A1146" w:rsidP="00A41C10">
            <w:r w:rsidRPr="002225D5">
              <w:t>Overall survival</w:t>
            </w:r>
          </w:p>
        </w:tc>
      </w:tr>
      <w:tr w:rsidR="001A1146" w:rsidRPr="00FD119B" w14:paraId="7F48BAC8" w14:textId="77777777" w:rsidTr="0072599B">
        <w:tc>
          <w:tcPr>
            <w:tcW w:w="1890" w:type="dxa"/>
          </w:tcPr>
          <w:p w14:paraId="2E57453D" w14:textId="77777777" w:rsidR="001A1146" w:rsidRPr="00917BE2" w:rsidRDefault="001A1146" w:rsidP="00A41C10">
            <w:r w:rsidRPr="00917BE2">
              <w:t>PFS</w:t>
            </w:r>
          </w:p>
        </w:tc>
        <w:tc>
          <w:tcPr>
            <w:tcW w:w="6594" w:type="dxa"/>
          </w:tcPr>
          <w:p w14:paraId="6508022F" w14:textId="3759044F" w:rsidR="001A1146" w:rsidRPr="002225D5" w:rsidRDefault="001A1146" w:rsidP="00A41C10">
            <w:r w:rsidRPr="002225D5">
              <w:t>Progression-free survival</w:t>
            </w:r>
          </w:p>
        </w:tc>
      </w:tr>
      <w:tr w:rsidR="001A1146" w:rsidRPr="00FD119B" w14:paraId="4C877157" w14:textId="77777777" w:rsidTr="0072599B">
        <w:tc>
          <w:tcPr>
            <w:tcW w:w="1890" w:type="dxa"/>
          </w:tcPr>
          <w:p w14:paraId="24329893" w14:textId="77777777" w:rsidR="001A1146" w:rsidRPr="00917BE2" w:rsidRDefault="001A1146" w:rsidP="00A41C10">
            <w:r w:rsidRPr="00917BE2">
              <w:t>P-</w:t>
            </w:r>
            <w:proofErr w:type="spellStart"/>
            <w:r w:rsidRPr="00917BE2">
              <w:t>gp</w:t>
            </w:r>
            <w:proofErr w:type="spellEnd"/>
          </w:p>
        </w:tc>
        <w:tc>
          <w:tcPr>
            <w:tcW w:w="6594" w:type="dxa"/>
          </w:tcPr>
          <w:p w14:paraId="4413F414" w14:textId="77777777" w:rsidR="001A1146" w:rsidRPr="002225D5" w:rsidRDefault="001A1146" w:rsidP="00A41C10">
            <w:r w:rsidRPr="002225D5">
              <w:t>P-glycoprotein</w:t>
            </w:r>
          </w:p>
        </w:tc>
      </w:tr>
      <w:tr w:rsidR="001A1146" w:rsidRPr="00FD119B" w14:paraId="0A03954D" w14:textId="77777777" w:rsidTr="0072599B">
        <w:tc>
          <w:tcPr>
            <w:tcW w:w="1890" w:type="dxa"/>
          </w:tcPr>
          <w:p w14:paraId="0313FACA" w14:textId="77777777" w:rsidR="001A1146" w:rsidRPr="00917BE2" w:rsidRDefault="001A1146" w:rsidP="00A41C10">
            <w:r w:rsidRPr="00917BE2">
              <w:t>PI</w:t>
            </w:r>
          </w:p>
        </w:tc>
        <w:tc>
          <w:tcPr>
            <w:tcW w:w="6594" w:type="dxa"/>
          </w:tcPr>
          <w:p w14:paraId="3088C53D" w14:textId="77777777" w:rsidR="001A1146" w:rsidRPr="002225D5" w:rsidRDefault="001A1146" w:rsidP="00A41C10">
            <w:r w:rsidRPr="002225D5">
              <w:t>Product Information</w:t>
            </w:r>
          </w:p>
        </w:tc>
      </w:tr>
      <w:tr w:rsidR="001A1146" w:rsidRPr="00FD119B" w14:paraId="00725412" w14:textId="77777777" w:rsidTr="0072599B">
        <w:tc>
          <w:tcPr>
            <w:tcW w:w="1890" w:type="dxa"/>
          </w:tcPr>
          <w:p w14:paraId="468350D0" w14:textId="77777777" w:rsidR="001A1146" w:rsidRPr="00917BE2" w:rsidRDefault="001A1146" w:rsidP="00A41C10">
            <w:r w:rsidRPr="00917BE2">
              <w:t>PK</w:t>
            </w:r>
          </w:p>
        </w:tc>
        <w:tc>
          <w:tcPr>
            <w:tcW w:w="6594" w:type="dxa"/>
          </w:tcPr>
          <w:p w14:paraId="36C00AFD" w14:textId="37D73BB7" w:rsidR="001A1146" w:rsidRPr="002225D5" w:rsidRDefault="001A1146" w:rsidP="00A41C10">
            <w:r w:rsidRPr="002225D5">
              <w:t>Pharmacokinetic</w:t>
            </w:r>
            <w:r w:rsidR="00560F5E" w:rsidRPr="002225D5">
              <w:t>(s)</w:t>
            </w:r>
          </w:p>
        </w:tc>
      </w:tr>
      <w:tr w:rsidR="001A1146" w:rsidRPr="00FD119B" w14:paraId="0ACD53F7" w14:textId="77777777" w:rsidTr="0072599B">
        <w:tc>
          <w:tcPr>
            <w:tcW w:w="1890" w:type="dxa"/>
          </w:tcPr>
          <w:p w14:paraId="3D0FE6F1" w14:textId="77777777" w:rsidR="001A1146" w:rsidRPr="00917BE2" w:rsidRDefault="001A1146" w:rsidP="00A41C10">
            <w:r w:rsidRPr="00917BE2">
              <w:t>PMC</w:t>
            </w:r>
          </w:p>
        </w:tc>
        <w:tc>
          <w:tcPr>
            <w:tcW w:w="6594" w:type="dxa"/>
          </w:tcPr>
          <w:p w14:paraId="261B926E" w14:textId="4FED2615" w:rsidR="001A1146" w:rsidRPr="002225D5" w:rsidRDefault="001A1146" w:rsidP="00A41C10">
            <w:r w:rsidRPr="002225D5">
              <w:t>Post-marketing commitments</w:t>
            </w:r>
          </w:p>
        </w:tc>
      </w:tr>
      <w:tr w:rsidR="001A1146" w:rsidRPr="00FD119B" w14:paraId="07E5C293" w14:textId="77777777" w:rsidTr="0072599B">
        <w:tc>
          <w:tcPr>
            <w:tcW w:w="1890" w:type="dxa"/>
          </w:tcPr>
          <w:p w14:paraId="021AE195" w14:textId="77777777" w:rsidR="001A1146" w:rsidRPr="00917BE2" w:rsidRDefault="001A1146" w:rsidP="00A41C10">
            <w:r w:rsidRPr="00917BE2">
              <w:t>PMR</w:t>
            </w:r>
          </w:p>
        </w:tc>
        <w:tc>
          <w:tcPr>
            <w:tcW w:w="6594" w:type="dxa"/>
          </w:tcPr>
          <w:p w14:paraId="5C4CC31B" w14:textId="7E9F2D8F" w:rsidR="001A1146" w:rsidRPr="002225D5" w:rsidRDefault="001A1146" w:rsidP="00A41C10">
            <w:r w:rsidRPr="002225D5">
              <w:t>Post-marketing requirements</w:t>
            </w:r>
          </w:p>
        </w:tc>
      </w:tr>
      <w:tr w:rsidR="001A1146" w:rsidRPr="00FD119B" w14:paraId="00DB574C" w14:textId="77777777" w:rsidTr="0072599B">
        <w:tc>
          <w:tcPr>
            <w:tcW w:w="1890" w:type="dxa"/>
          </w:tcPr>
          <w:p w14:paraId="14662AC4" w14:textId="77777777" w:rsidR="001A1146" w:rsidRPr="00917BE2" w:rsidRDefault="001A1146" w:rsidP="00A41C10">
            <w:r w:rsidRPr="00917BE2">
              <w:t>PS</w:t>
            </w:r>
          </w:p>
        </w:tc>
        <w:tc>
          <w:tcPr>
            <w:tcW w:w="6594" w:type="dxa"/>
          </w:tcPr>
          <w:p w14:paraId="2E835EDF" w14:textId="16C281FB" w:rsidR="001A1146" w:rsidRPr="002225D5" w:rsidRDefault="001A1146" w:rsidP="00A41C10">
            <w:r w:rsidRPr="002225D5">
              <w:t>Performance status</w:t>
            </w:r>
          </w:p>
        </w:tc>
      </w:tr>
      <w:tr w:rsidR="001A1146" w:rsidRPr="00FD119B" w14:paraId="32D0E87A" w14:textId="77777777" w:rsidTr="0072599B">
        <w:tc>
          <w:tcPr>
            <w:tcW w:w="1890" w:type="dxa"/>
          </w:tcPr>
          <w:p w14:paraId="79B0C09E" w14:textId="77777777" w:rsidR="001A1146" w:rsidRPr="00917BE2" w:rsidRDefault="001A1146" w:rsidP="00A41C10">
            <w:r w:rsidRPr="00917BE2">
              <w:t>PSUR</w:t>
            </w:r>
          </w:p>
        </w:tc>
        <w:tc>
          <w:tcPr>
            <w:tcW w:w="6594" w:type="dxa"/>
          </w:tcPr>
          <w:p w14:paraId="0CDA6E94" w14:textId="77777777" w:rsidR="001A1146" w:rsidRPr="002225D5" w:rsidRDefault="001A1146" w:rsidP="00A41C10">
            <w:r w:rsidRPr="002225D5">
              <w:t>Periodic Safety Update Report</w:t>
            </w:r>
          </w:p>
        </w:tc>
      </w:tr>
      <w:tr w:rsidR="001A1146" w:rsidRPr="00FD119B" w14:paraId="4313EE73" w14:textId="77777777" w:rsidTr="0072599B">
        <w:tc>
          <w:tcPr>
            <w:tcW w:w="1890" w:type="dxa"/>
          </w:tcPr>
          <w:p w14:paraId="13735974" w14:textId="77777777" w:rsidR="001A1146" w:rsidRPr="00917BE2" w:rsidRDefault="001A1146" w:rsidP="00A41C10">
            <w:r w:rsidRPr="00917BE2">
              <w:t>QTc</w:t>
            </w:r>
          </w:p>
        </w:tc>
        <w:tc>
          <w:tcPr>
            <w:tcW w:w="6594" w:type="dxa"/>
          </w:tcPr>
          <w:p w14:paraId="4B3B7568" w14:textId="2E7A78F4" w:rsidR="001A1146" w:rsidRPr="002225D5" w:rsidRDefault="001A1146" w:rsidP="00A41C10">
            <w:r w:rsidRPr="002225D5">
              <w:t>Corrected QT interval</w:t>
            </w:r>
          </w:p>
        </w:tc>
      </w:tr>
      <w:tr w:rsidR="001A1146" w:rsidRPr="00FD119B" w14:paraId="20F510D4" w14:textId="77777777" w:rsidTr="0072599B">
        <w:tc>
          <w:tcPr>
            <w:tcW w:w="1890" w:type="dxa"/>
          </w:tcPr>
          <w:p w14:paraId="6EAF792E" w14:textId="77777777" w:rsidR="001A1146" w:rsidRPr="00917BE2" w:rsidRDefault="001A1146" w:rsidP="00A41C10">
            <w:r w:rsidRPr="00917BE2">
              <w:t>RNA</w:t>
            </w:r>
          </w:p>
        </w:tc>
        <w:tc>
          <w:tcPr>
            <w:tcW w:w="6594" w:type="dxa"/>
          </w:tcPr>
          <w:p w14:paraId="5CC8DDE2" w14:textId="77777777" w:rsidR="001A1146" w:rsidRPr="002225D5" w:rsidRDefault="001A1146" w:rsidP="00A41C10">
            <w:r w:rsidRPr="002225D5">
              <w:t>Ribonucleic acid</w:t>
            </w:r>
          </w:p>
        </w:tc>
      </w:tr>
      <w:tr w:rsidR="001A1146" w:rsidRPr="00FD119B" w14:paraId="3187F35F" w14:textId="77777777" w:rsidTr="0072599B">
        <w:tc>
          <w:tcPr>
            <w:tcW w:w="1890" w:type="dxa"/>
          </w:tcPr>
          <w:p w14:paraId="749353CD" w14:textId="77777777" w:rsidR="001A1146" w:rsidRPr="00917BE2" w:rsidRDefault="001A1146" w:rsidP="00A41C10">
            <w:r w:rsidRPr="00917BE2">
              <w:t>SAE</w:t>
            </w:r>
          </w:p>
        </w:tc>
        <w:tc>
          <w:tcPr>
            <w:tcW w:w="6594" w:type="dxa"/>
          </w:tcPr>
          <w:p w14:paraId="5302E7EB" w14:textId="2B7E589D" w:rsidR="001A1146" w:rsidRPr="002225D5" w:rsidRDefault="001A1146" w:rsidP="00A41C10">
            <w:r w:rsidRPr="002225D5">
              <w:t>Serious adverse event</w:t>
            </w:r>
          </w:p>
        </w:tc>
      </w:tr>
      <w:tr w:rsidR="001A1146" w:rsidRPr="00FD119B" w14:paraId="6E3460BA" w14:textId="77777777" w:rsidTr="0072599B">
        <w:tc>
          <w:tcPr>
            <w:tcW w:w="1890" w:type="dxa"/>
          </w:tcPr>
          <w:p w14:paraId="4790448D" w14:textId="77777777" w:rsidR="001A1146" w:rsidRPr="00917BE2" w:rsidRDefault="001A1146" w:rsidP="00A41C10">
            <w:r w:rsidRPr="00917BE2">
              <w:t>SAP</w:t>
            </w:r>
          </w:p>
        </w:tc>
        <w:tc>
          <w:tcPr>
            <w:tcW w:w="6594" w:type="dxa"/>
          </w:tcPr>
          <w:p w14:paraId="04A2A22E" w14:textId="6E32F033" w:rsidR="001A1146" w:rsidRPr="002225D5" w:rsidRDefault="001A1146" w:rsidP="00A41C10">
            <w:r w:rsidRPr="002225D5">
              <w:t>Statistical analysis plan</w:t>
            </w:r>
          </w:p>
        </w:tc>
      </w:tr>
      <w:tr w:rsidR="001A1146" w:rsidRPr="00FD119B" w14:paraId="5386D72A" w14:textId="77777777" w:rsidTr="0072599B">
        <w:tc>
          <w:tcPr>
            <w:tcW w:w="1890" w:type="dxa"/>
          </w:tcPr>
          <w:p w14:paraId="6A6FAB3D" w14:textId="77777777" w:rsidR="001A1146" w:rsidRPr="00917BE2" w:rsidRDefault="001A1146" w:rsidP="00A41C10">
            <w:r w:rsidRPr="00917BE2">
              <w:t>SCLC</w:t>
            </w:r>
          </w:p>
        </w:tc>
        <w:tc>
          <w:tcPr>
            <w:tcW w:w="6594" w:type="dxa"/>
          </w:tcPr>
          <w:p w14:paraId="5909441C" w14:textId="2E3B34CA" w:rsidR="001A1146" w:rsidRPr="002225D5" w:rsidRDefault="001A1146" w:rsidP="00A41C10">
            <w:r w:rsidRPr="002225D5">
              <w:t>Small cell lung cancer</w:t>
            </w:r>
          </w:p>
        </w:tc>
      </w:tr>
      <w:tr w:rsidR="001A1146" w:rsidRPr="00FD119B" w14:paraId="1F672277" w14:textId="77777777" w:rsidTr="0072599B">
        <w:tc>
          <w:tcPr>
            <w:tcW w:w="1890" w:type="dxa"/>
          </w:tcPr>
          <w:p w14:paraId="76F93CCC" w14:textId="77777777" w:rsidR="001A1146" w:rsidRPr="00917BE2" w:rsidRDefault="001A1146" w:rsidP="00A41C10">
            <w:r w:rsidRPr="00917BE2">
              <w:t>ULN</w:t>
            </w:r>
          </w:p>
        </w:tc>
        <w:tc>
          <w:tcPr>
            <w:tcW w:w="6594" w:type="dxa"/>
          </w:tcPr>
          <w:p w14:paraId="529E5672" w14:textId="2CA4259E" w:rsidR="001A1146" w:rsidRPr="002225D5" w:rsidRDefault="001A1146" w:rsidP="00A41C10">
            <w:r w:rsidRPr="002225D5">
              <w:t>Upper limit of normal</w:t>
            </w:r>
          </w:p>
        </w:tc>
      </w:tr>
      <w:tr w:rsidR="001A1146" w:rsidRPr="00FD119B" w14:paraId="0C31C8AD" w14:textId="77777777" w:rsidTr="0072599B">
        <w:tc>
          <w:tcPr>
            <w:tcW w:w="1890" w:type="dxa"/>
          </w:tcPr>
          <w:p w14:paraId="52A1FAE8" w14:textId="41108EBB" w:rsidR="001A1146" w:rsidRPr="002225D5" w:rsidRDefault="001A1146" w:rsidP="00A41C10">
            <w:r w:rsidRPr="00917BE2">
              <w:t>US</w:t>
            </w:r>
            <w:r w:rsidR="00560F5E" w:rsidRPr="002225D5">
              <w:t>(A)</w:t>
            </w:r>
          </w:p>
        </w:tc>
        <w:tc>
          <w:tcPr>
            <w:tcW w:w="6594" w:type="dxa"/>
          </w:tcPr>
          <w:p w14:paraId="2B2381A8" w14:textId="30303DDB" w:rsidR="001A1146" w:rsidRPr="002225D5" w:rsidRDefault="001A1146" w:rsidP="00A41C10">
            <w:r w:rsidRPr="002225D5">
              <w:t>Unites States</w:t>
            </w:r>
            <w:r w:rsidR="00560F5E" w:rsidRPr="002225D5">
              <w:t xml:space="preserve"> (of America)</w:t>
            </w:r>
          </w:p>
        </w:tc>
      </w:tr>
    </w:tbl>
    <w:p w14:paraId="3A68559E" w14:textId="77777777" w:rsidR="00FD119B" w:rsidRDefault="00FD119B" w:rsidP="00FD119B"/>
    <w:p w14:paraId="4FA97427" w14:textId="77777777" w:rsidR="00FD119B" w:rsidRPr="00FD119B" w:rsidRDefault="00FD119B" w:rsidP="00FD119B">
      <w:pPr>
        <w:spacing w:before="0" w:after="200" w:line="0" w:lineRule="auto"/>
        <w:rPr>
          <w:b/>
          <w:i/>
          <w:sz w:val="24"/>
          <w:szCs w:val="24"/>
        </w:rPr>
      </w:pPr>
      <w:r w:rsidRPr="00FD119B">
        <w:rPr>
          <w:b/>
          <w:i/>
          <w:sz w:val="24"/>
          <w:szCs w:val="24"/>
        </w:rPr>
        <w:br w:type="page"/>
      </w:r>
    </w:p>
    <w:p w14:paraId="680B3262" w14:textId="77777777" w:rsidR="008E7846" w:rsidRDefault="00F53C07" w:rsidP="008E7846">
      <w:pPr>
        <w:pStyle w:val="Heading2"/>
      </w:pPr>
      <w:bookmarkStart w:id="8" w:name="_Toc102558207"/>
      <w:r>
        <w:lastRenderedPageBreak/>
        <w:t>I.</w:t>
      </w:r>
      <w:r w:rsidR="008E7846">
        <w:t xml:space="preserve"> Introduction to product submission</w:t>
      </w:r>
      <w:bookmarkEnd w:id="0"/>
      <w:bookmarkEnd w:id="2"/>
      <w:bookmarkEnd w:id="8"/>
    </w:p>
    <w:p w14:paraId="1098BD09" w14:textId="77777777" w:rsidR="008E7846" w:rsidRDefault="008E7846" w:rsidP="008E7846">
      <w:pPr>
        <w:pStyle w:val="Heading3"/>
        <w:rPr>
          <w:lang w:eastAsia="en-AU"/>
        </w:rPr>
      </w:pPr>
      <w:bookmarkStart w:id="9" w:name="_Toc247691502"/>
      <w:bookmarkStart w:id="10" w:name="_Toc314842483"/>
      <w:bookmarkStart w:id="11" w:name="_Toc102558208"/>
      <w:r>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8E7846" w:rsidRPr="003D1E62" w14:paraId="4DA41EC3" w14:textId="77777777" w:rsidTr="003735BC">
        <w:tc>
          <w:tcPr>
            <w:tcW w:w="2907" w:type="dxa"/>
          </w:tcPr>
          <w:p w14:paraId="4E98B72B"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53B7CF9A" w14:textId="45707840" w:rsidR="008E7846" w:rsidRPr="003D1E62" w:rsidRDefault="00A73FB3" w:rsidP="001B5C90">
            <w:r>
              <w:t>New chemical entity</w:t>
            </w:r>
          </w:p>
        </w:tc>
      </w:tr>
      <w:tr w:rsidR="00460036" w:rsidRPr="003D1E62" w14:paraId="2C9D720E" w14:textId="77777777" w:rsidTr="003735BC">
        <w:tc>
          <w:tcPr>
            <w:tcW w:w="2907" w:type="dxa"/>
          </w:tcPr>
          <w:p w14:paraId="2C3CF42F" w14:textId="21305C96" w:rsidR="00460036" w:rsidRPr="003D1E62" w:rsidRDefault="00460036" w:rsidP="003D1E62">
            <w:pPr>
              <w:rPr>
                <w:i/>
              </w:rPr>
            </w:pPr>
            <w:r w:rsidRPr="00460036">
              <w:rPr>
                <w:i/>
              </w:rPr>
              <w:t>Product name:</w:t>
            </w:r>
          </w:p>
        </w:tc>
        <w:tc>
          <w:tcPr>
            <w:tcW w:w="6307" w:type="dxa"/>
          </w:tcPr>
          <w:p w14:paraId="397084A5" w14:textId="37B8593C" w:rsidR="00460036" w:rsidRPr="003D1E62" w:rsidRDefault="000D0C1D" w:rsidP="001B5C90">
            <w:r>
              <w:t>Zepzelca</w:t>
            </w:r>
          </w:p>
        </w:tc>
      </w:tr>
      <w:tr w:rsidR="00460036" w:rsidRPr="003D1E62" w14:paraId="54BA47B4" w14:textId="77777777" w:rsidTr="003735BC">
        <w:tc>
          <w:tcPr>
            <w:tcW w:w="2907" w:type="dxa"/>
          </w:tcPr>
          <w:p w14:paraId="2F2D3AD5" w14:textId="3A12F4C5" w:rsidR="00460036" w:rsidRPr="003D1E62" w:rsidRDefault="00460036" w:rsidP="003D1E62">
            <w:pPr>
              <w:rPr>
                <w:i/>
              </w:rPr>
            </w:pPr>
            <w:r w:rsidRPr="00460036">
              <w:rPr>
                <w:i/>
              </w:rPr>
              <w:t>Active ingredient:</w:t>
            </w:r>
          </w:p>
        </w:tc>
        <w:tc>
          <w:tcPr>
            <w:tcW w:w="6307" w:type="dxa"/>
          </w:tcPr>
          <w:p w14:paraId="7536DC9C" w14:textId="3E621C03" w:rsidR="00460036" w:rsidRPr="003D1E62" w:rsidRDefault="00A73FB3" w:rsidP="001B5C90">
            <w:r w:rsidRPr="00217C21">
              <w:t>Lurbinectedin</w:t>
            </w:r>
          </w:p>
        </w:tc>
      </w:tr>
      <w:tr w:rsidR="008E7846" w:rsidRPr="003D1E62" w14:paraId="5F7AF1C4" w14:textId="77777777" w:rsidTr="003735BC">
        <w:tc>
          <w:tcPr>
            <w:tcW w:w="2907" w:type="dxa"/>
          </w:tcPr>
          <w:p w14:paraId="095DA820" w14:textId="77777777" w:rsidR="008E7846" w:rsidRPr="003D1E62" w:rsidRDefault="008E7846" w:rsidP="003D1E62">
            <w:r w:rsidRPr="003D1E62">
              <w:rPr>
                <w:i/>
              </w:rPr>
              <w:t>Decision</w:t>
            </w:r>
            <w:r w:rsidRPr="003D1E62">
              <w:t>:</w:t>
            </w:r>
          </w:p>
        </w:tc>
        <w:tc>
          <w:tcPr>
            <w:tcW w:w="6307" w:type="dxa"/>
          </w:tcPr>
          <w:p w14:paraId="69077E08" w14:textId="6D05EAA3" w:rsidR="008E7846" w:rsidRPr="003D1E62" w:rsidRDefault="00A73FB3" w:rsidP="001B5C90">
            <w:r>
              <w:t>Approved for provisional registration</w:t>
            </w:r>
          </w:p>
        </w:tc>
      </w:tr>
      <w:tr w:rsidR="008E7846" w:rsidRPr="003D1E62" w14:paraId="250F4547" w14:textId="77777777" w:rsidTr="003735BC">
        <w:tc>
          <w:tcPr>
            <w:tcW w:w="2907" w:type="dxa"/>
          </w:tcPr>
          <w:p w14:paraId="0A99C585"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483B4693" w14:textId="5B04AC0E" w:rsidR="008E7846" w:rsidRPr="003D1E62" w:rsidRDefault="00A73FB3" w:rsidP="001B5C90">
            <w:r w:rsidRPr="00217C21">
              <w:t>10 September 2021</w:t>
            </w:r>
          </w:p>
        </w:tc>
      </w:tr>
      <w:tr w:rsidR="00ED2922" w:rsidRPr="003D1E62" w14:paraId="06D68CD9" w14:textId="77777777" w:rsidTr="003735BC">
        <w:tc>
          <w:tcPr>
            <w:tcW w:w="2907" w:type="dxa"/>
          </w:tcPr>
          <w:p w14:paraId="55E18065" w14:textId="77777777" w:rsidR="00ED2922" w:rsidRPr="00441C3F" w:rsidRDefault="00ED2922" w:rsidP="001B5C90">
            <w:pPr>
              <w:rPr>
                <w:i/>
              </w:rPr>
            </w:pPr>
            <w:r w:rsidRPr="00441C3F">
              <w:rPr>
                <w:i/>
              </w:rPr>
              <w:t>Date of entry onto ARTG</w:t>
            </w:r>
            <w:r w:rsidR="00500337">
              <w:rPr>
                <w:i/>
              </w:rPr>
              <w:t>:</w:t>
            </w:r>
          </w:p>
        </w:tc>
        <w:tc>
          <w:tcPr>
            <w:tcW w:w="6307" w:type="dxa"/>
          </w:tcPr>
          <w:p w14:paraId="47078718" w14:textId="2B4AD45C" w:rsidR="00ED2922" w:rsidRPr="00441C3F" w:rsidRDefault="00A73FB3" w:rsidP="00D153D8">
            <w:pPr>
              <w:rPr>
                <w:i/>
              </w:rPr>
            </w:pPr>
            <w:r w:rsidRPr="00D328DA">
              <w:t>13 September 2021</w:t>
            </w:r>
          </w:p>
        </w:tc>
      </w:tr>
      <w:tr w:rsidR="00500337" w:rsidRPr="003D1E62" w14:paraId="5C2250D5" w14:textId="77777777" w:rsidTr="003735BC">
        <w:tc>
          <w:tcPr>
            <w:tcW w:w="2907" w:type="dxa"/>
          </w:tcPr>
          <w:p w14:paraId="6FE60E3C" w14:textId="143EE36B" w:rsidR="00500337" w:rsidRPr="00441C3F" w:rsidRDefault="00500337" w:rsidP="001B5C90">
            <w:pPr>
              <w:rPr>
                <w:i/>
              </w:rPr>
            </w:pPr>
            <w:r>
              <w:rPr>
                <w:i/>
              </w:rPr>
              <w:t>ARTG numbe</w:t>
            </w:r>
            <w:r w:rsidR="00A73FB3">
              <w:rPr>
                <w:i/>
              </w:rPr>
              <w:t>r</w:t>
            </w:r>
            <w:r>
              <w:rPr>
                <w:i/>
              </w:rPr>
              <w:t>:</w:t>
            </w:r>
          </w:p>
        </w:tc>
        <w:tc>
          <w:tcPr>
            <w:tcW w:w="6307" w:type="dxa"/>
          </w:tcPr>
          <w:p w14:paraId="67BD16D8" w14:textId="713F01D4" w:rsidR="00500337" w:rsidRPr="00441C3F" w:rsidRDefault="00A73FB3" w:rsidP="00EC463D">
            <w:r w:rsidRPr="00D328DA">
              <w:t>335536</w:t>
            </w:r>
          </w:p>
        </w:tc>
      </w:tr>
      <w:tr w:rsidR="003735BC" w:rsidRPr="003D1E62" w14:paraId="3194106C" w14:textId="77777777" w:rsidTr="003735BC">
        <w:tc>
          <w:tcPr>
            <w:tcW w:w="2907" w:type="dxa"/>
          </w:tcPr>
          <w:p w14:paraId="2B83D897"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r w:rsidR="004C4FBE">
              <w:rPr>
                <w:i/>
              </w:rPr>
              <w:t>:</w:t>
            </w:r>
            <w:r w:rsidR="00460036">
              <w:rPr>
                <w:rStyle w:val="FootnoteReference"/>
                <w:i/>
              </w:rPr>
              <w:footnoteReference w:id="1"/>
            </w:r>
          </w:p>
        </w:tc>
        <w:tc>
          <w:tcPr>
            <w:tcW w:w="6307" w:type="dxa"/>
          </w:tcPr>
          <w:p w14:paraId="5F0A84C3" w14:textId="30BC5D24" w:rsidR="003735BC" w:rsidRPr="00487162" w:rsidRDefault="00A73FB3" w:rsidP="003735BC">
            <w:r>
              <w:t>Yes. As a provisionally registered product, this medicine will remain in the Black Triangle Scheme for the duration of its provisional registration.</w:t>
            </w:r>
          </w:p>
        </w:tc>
      </w:tr>
      <w:tr w:rsidR="008E7846" w:rsidRPr="00487162" w14:paraId="034B22E0" w14:textId="77777777" w:rsidTr="00BF1190">
        <w:tc>
          <w:tcPr>
            <w:tcW w:w="2907" w:type="dxa"/>
          </w:tcPr>
          <w:p w14:paraId="6D900746"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56CFC847" w14:textId="77777777" w:rsidR="008E7846" w:rsidRDefault="00A73FB3" w:rsidP="00E45619">
            <w:r w:rsidRPr="00217C21">
              <w:t>Specialised Therapeutics Pharma Pty Ltd</w:t>
            </w:r>
          </w:p>
          <w:p w14:paraId="7C433D4E" w14:textId="10EE974D" w:rsidR="00A73FB3" w:rsidRDefault="006A3130" w:rsidP="00A73FB3">
            <w:r>
              <w:t xml:space="preserve">Level 2, </w:t>
            </w:r>
            <w:r w:rsidR="00A73FB3" w:rsidRPr="00217C21">
              <w:t>17 Cotham Road</w:t>
            </w:r>
          </w:p>
          <w:p w14:paraId="4974075C" w14:textId="5E56516C" w:rsidR="00A73FB3" w:rsidRPr="00487162" w:rsidRDefault="00A73FB3" w:rsidP="00A73FB3">
            <w:r w:rsidRPr="00217C21">
              <w:t>Kew</w:t>
            </w:r>
            <w:r w:rsidR="004F0D48">
              <w:t>,</w:t>
            </w:r>
            <w:r w:rsidR="00BB4A40">
              <w:t xml:space="preserve"> </w:t>
            </w:r>
            <w:r w:rsidRPr="00217C21">
              <w:t>Victoria 3101</w:t>
            </w:r>
          </w:p>
        </w:tc>
      </w:tr>
      <w:tr w:rsidR="008E7846" w:rsidRPr="00487162" w14:paraId="72B2F317" w14:textId="77777777" w:rsidTr="00BF1190">
        <w:tc>
          <w:tcPr>
            <w:tcW w:w="2907" w:type="dxa"/>
          </w:tcPr>
          <w:p w14:paraId="7485A5AB" w14:textId="19450069" w:rsidR="008E7846" w:rsidRPr="00487162" w:rsidRDefault="001B5C90" w:rsidP="00E45619">
            <w:pPr>
              <w:rPr>
                <w:i/>
              </w:rPr>
            </w:pPr>
            <w:r>
              <w:rPr>
                <w:i/>
              </w:rPr>
              <w:t>Dose for</w:t>
            </w:r>
            <w:r w:rsidR="00A73FB3">
              <w:rPr>
                <w:i/>
              </w:rPr>
              <w:t>m</w:t>
            </w:r>
            <w:r>
              <w:rPr>
                <w:i/>
              </w:rPr>
              <w:t>:</w:t>
            </w:r>
          </w:p>
        </w:tc>
        <w:tc>
          <w:tcPr>
            <w:tcW w:w="6307" w:type="dxa"/>
          </w:tcPr>
          <w:p w14:paraId="4631771A" w14:textId="632089A1" w:rsidR="008E7846" w:rsidRPr="00487162" w:rsidRDefault="00A73FB3" w:rsidP="00E45619">
            <w:r>
              <w:t xml:space="preserve">Powder for </w:t>
            </w:r>
            <w:r w:rsidR="004F0D48">
              <w:t>solution for infusion</w:t>
            </w:r>
          </w:p>
        </w:tc>
      </w:tr>
      <w:tr w:rsidR="008E7846" w:rsidRPr="00487162" w14:paraId="60C7D34D" w14:textId="77777777" w:rsidTr="00BF1190">
        <w:tc>
          <w:tcPr>
            <w:tcW w:w="2907" w:type="dxa"/>
          </w:tcPr>
          <w:p w14:paraId="5624A09B" w14:textId="5B73B6BC" w:rsidR="008E7846" w:rsidRPr="00487162" w:rsidRDefault="008E7846" w:rsidP="00E45619">
            <w:pPr>
              <w:rPr>
                <w:i/>
              </w:rPr>
            </w:pPr>
            <w:r w:rsidRPr="00487162">
              <w:rPr>
                <w:i/>
              </w:rPr>
              <w:t>Strength:</w:t>
            </w:r>
          </w:p>
        </w:tc>
        <w:tc>
          <w:tcPr>
            <w:tcW w:w="6307" w:type="dxa"/>
          </w:tcPr>
          <w:p w14:paraId="56323FD6" w14:textId="5989020E" w:rsidR="008E7846" w:rsidRPr="00487162" w:rsidRDefault="00A73FB3" w:rsidP="00E45619">
            <w:r w:rsidRPr="00B2757F">
              <w:t>4 mg</w:t>
            </w:r>
          </w:p>
        </w:tc>
      </w:tr>
      <w:tr w:rsidR="008E7846" w:rsidRPr="00487162" w14:paraId="640F6948" w14:textId="77777777" w:rsidTr="00BF1190">
        <w:tc>
          <w:tcPr>
            <w:tcW w:w="2907" w:type="dxa"/>
          </w:tcPr>
          <w:p w14:paraId="6D0213A7" w14:textId="1AB20CBB" w:rsidR="008E7846" w:rsidRPr="00487162" w:rsidRDefault="008E7846" w:rsidP="00E45619">
            <w:pPr>
              <w:rPr>
                <w:i/>
              </w:rPr>
            </w:pPr>
            <w:r w:rsidRPr="00487162">
              <w:rPr>
                <w:i/>
              </w:rPr>
              <w:t>Container:</w:t>
            </w:r>
          </w:p>
        </w:tc>
        <w:tc>
          <w:tcPr>
            <w:tcW w:w="6307" w:type="dxa"/>
          </w:tcPr>
          <w:p w14:paraId="03B8CFFA" w14:textId="7198033C" w:rsidR="008E7846" w:rsidRPr="00487162" w:rsidRDefault="00A73FB3" w:rsidP="00E45619">
            <w:r>
              <w:t>Vial</w:t>
            </w:r>
          </w:p>
        </w:tc>
      </w:tr>
      <w:tr w:rsidR="008E7846" w:rsidRPr="00487162" w14:paraId="50B38E87" w14:textId="77777777" w:rsidTr="00BF1190">
        <w:tc>
          <w:tcPr>
            <w:tcW w:w="2907" w:type="dxa"/>
          </w:tcPr>
          <w:p w14:paraId="3E46E997" w14:textId="54E02526" w:rsidR="008E7846" w:rsidRPr="00487162" w:rsidRDefault="008E7846" w:rsidP="00E45619">
            <w:pPr>
              <w:rPr>
                <w:i/>
              </w:rPr>
            </w:pPr>
            <w:r w:rsidRPr="00487162">
              <w:rPr>
                <w:i/>
              </w:rPr>
              <w:t>Pack size:</w:t>
            </w:r>
          </w:p>
        </w:tc>
        <w:tc>
          <w:tcPr>
            <w:tcW w:w="6307" w:type="dxa"/>
          </w:tcPr>
          <w:p w14:paraId="417C180D" w14:textId="7AF68E29" w:rsidR="008E7846" w:rsidRPr="00487162" w:rsidRDefault="00560F5E" w:rsidP="00E45619">
            <w:r>
              <w:t>Pack of one vial</w:t>
            </w:r>
          </w:p>
        </w:tc>
      </w:tr>
      <w:tr w:rsidR="008E7846" w:rsidRPr="00487162" w14:paraId="6294FD61" w14:textId="77777777" w:rsidTr="00BF1190">
        <w:tc>
          <w:tcPr>
            <w:tcW w:w="2907" w:type="dxa"/>
          </w:tcPr>
          <w:p w14:paraId="136FA8C9"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3DAAF565" w14:textId="6DFE9714" w:rsidR="008E7846" w:rsidRPr="00CD7219" w:rsidRDefault="000D0C1D" w:rsidP="00E45619">
            <w:pPr>
              <w:rPr>
                <w:rFonts w:eastAsia="MS Mincho"/>
                <w:i/>
                <w:iCs/>
                <w:lang w:eastAsia="ja-JP"/>
              </w:rPr>
            </w:pPr>
            <w:r w:rsidRPr="00CD7219">
              <w:rPr>
                <w:i/>
                <w:iCs/>
              </w:rPr>
              <w:t>Zepzelca</w:t>
            </w:r>
            <w:r w:rsidR="00A73FB3" w:rsidRPr="00CD7219">
              <w:rPr>
                <w:i/>
                <w:iCs/>
              </w:rPr>
              <w:t xml:space="preserve"> is indicated for the treatment of patients with metastatic small cell lung cancer (SCLC) that has progressed on or after prior platinum-containing therapy. This indication was approved via the provisional approval pathway, based on objective response rate and duration of response in a single arm trial. Continued approval for this indication depends on verification and description of clinical benefit in a confirmatory trial.</w:t>
            </w:r>
          </w:p>
        </w:tc>
      </w:tr>
      <w:tr w:rsidR="008E7846" w:rsidRPr="00487162" w14:paraId="79A7CED9" w14:textId="77777777" w:rsidTr="00BF1190">
        <w:tc>
          <w:tcPr>
            <w:tcW w:w="2907" w:type="dxa"/>
          </w:tcPr>
          <w:p w14:paraId="08C95C57" w14:textId="2AA6FF9F" w:rsidR="008E7846" w:rsidRPr="00487162" w:rsidRDefault="008E7846" w:rsidP="00E45619">
            <w:pPr>
              <w:rPr>
                <w:i/>
              </w:rPr>
            </w:pPr>
            <w:r w:rsidRPr="00487162">
              <w:rPr>
                <w:i/>
              </w:rPr>
              <w:t>Route of administration:</w:t>
            </w:r>
          </w:p>
        </w:tc>
        <w:tc>
          <w:tcPr>
            <w:tcW w:w="6307" w:type="dxa"/>
          </w:tcPr>
          <w:p w14:paraId="2FE830E0" w14:textId="551D7291" w:rsidR="008E7846" w:rsidRPr="00487162" w:rsidRDefault="00A73FB3" w:rsidP="00E45619">
            <w:r w:rsidRPr="00B2757F">
              <w:t>Intravenous infusion</w:t>
            </w:r>
          </w:p>
        </w:tc>
      </w:tr>
      <w:tr w:rsidR="00A73FB3" w:rsidRPr="00487162" w14:paraId="4E8D019B" w14:textId="77777777" w:rsidTr="00BF1190">
        <w:tc>
          <w:tcPr>
            <w:tcW w:w="2907" w:type="dxa"/>
          </w:tcPr>
          <w:p w14:paraId="35B753FE" w14:textId="77777777" w:rsidR="00A73FB3" w:rsidRPr="00487162" w:rsidRDefault="00A73FB3" w:rsidP="00A73FB3">
            <w:pPr>
              <w:rPr>
                <w:i/>
              </w:rPr>
            </w:pPr>
            <w:r w:rsidRPr="00487162">
              <w:rPr>
                <w:i/>
              </w:rPr>
              <w:t>Dosage:</w:t>
            </w:r>
          </w:p>
        </w:tc>
        <w:tc>
          <w:tcPr>
            <w:tcW w:w="6307" w:type="dxa"/>
          </w:tcPr>
          <w:p w14:paraId="3D610CC0" w14:textId="77777777" w:rsidR="00A73FB3" w:rsidRPr="003A37A2" w:rsidRDefault="00A73FB3" w:rsidP="00A73FB3">
            <w:r w:rsidRPr="003A37A2">
              <w:t>The recommended dose is 3.2 mg/m</w:t>
            </w:r>
            <w:r w:rsidRPr="003A37A2">
              <w:rPr>
                <w:vertAlign w:val="superscript"/>
              </w:rPr>
              <w:t>2</w:t>
            </w:r>
            <w:r w:rsidRPr="003A37A2">
              <w:t xml:space="preserve"> by intravenous infusion over 60 minutes, repeated once every 21 days until disease progression or unacceptable toxicity.</w:t>
            </w:r>
          </w:p>
          <w:p w14:paraId="4F32F42C" w14:textId="47BE26A8" w:rsidR="00A73FB3" w:rsidRPr="003A37A2" w:rsidRDefault="00A73FB3" w:rsidP="00A73FB3">
            <w:r w:rsidRPr="003A37A2">
              <w:lastRenderedPageBreak/>
              <w:t xml:space="preserve">Only administer </w:t>
            </w:r>
            <w:r w:rsidR="000D0C1D">
              <w:t>Zepzelca</w:t>
            </w:r>
            <w:r w:rsidRPr="003A37A2">
              <w:t xml:space="preserve"> to patients with an absolute neutrophil count above 1.5 x 10</w:t>
            </w:r>
            <w:r w:rsidRPr="003A37A2">
              <w:rPr>
                <w:vertAlign w:val="superscript"/>
              </w:rPr>
              <w:t>9</w:t>
            </w:r>
            <w:r w:rsidRPr="003A37A2">
              <w:t>/L, and a platelet count above 100 x 10</w:t>
            </w:r>
            <w:r w:rsidRPr="003A37A2">
              <w:rPr>
                <w:vertAlign w:val="superscript"/>
              </w:rPr>
              <w:t>9</w:t>
            </w:r>
            <w:r w:rsidRPr="003A37A2">
              <w:t>/L.</w:t>
            </w:r>
          </w:p>
          <w:p w14:paraId="7BDFAA16" w14:textId="70CE0E54" w:rsidR="00A73FB3" w:rsidRPr="00487162" w:rsidRDefault="00A73FB3" w:rsidP="00A73FB3">
            <w:r w:rsidRPr="007473D5">
              <w:t>For further information refer to the Product Information.</w:t>
            </w:r>
          </w:p>
        </w:tc>
      </w:tr>
      <w:tr w:rsidR="00A73FB3" w:rsidRPr="00487162" w14:paraId="26AF0A95" w14:textId="77777777" w:rsidTr="00BF1190">
        <w:tc>
          <w:tcPr>
            <w:tcW w:w="2907" w:type="dxa"/>
          </w:tcPr>
          <w:p w14:paraId="12837BA4" w14:textId="77777777" w:rsidR="00A73FB3" w:rsidRPr="00487162" w:rsidRDefault="00A73FB3" w:rsidP="00A73FB3">
            <w:pPr>
              <w:rPr>
                <w:i/>
              </w:rPr>
            </w:pPr>
            <w:r w:rsidRPr="00460036">
              <w:rPr>
                <w:i/>
              </w:rPr>
              <w:lastRenderedPageBreak/>
              <w:t>Pregnancy category</w:t>
            </w:r>
            <w:r>
              <w:rPr>
                <w:i/>
              </w:rPr>
              <w:t>:</w:t>
            </w:r>
          </w:p>
        </w:tc>
        <w:tc>
          <w:tcPr>
            <w:tcW w:w="6307" w:type="dxa"/>
          </w:tcPr>
          <w:p w14:paraId="77664925" w14:textId="77777777" w:rsidR="00A73FB3" w:rsidRPr="004A6A06" w:rsidRDefault="00A73FB3" w:rsidP="00A73FB3">
            <w:r w:rsidRPr="004A6A06">
              <w:t>D</w:t>
            </w:r>
          </w:p>
          <w:p w14:paraId="2A10F5AC" w14:textId="77777777" w:rsidR="00A73FB3" w:rsidRPr="004A6A06" w:rsidRDefault="00A73FB3" w:rsidP="00A73FB3">
            <w:r w:rsidRPr="004A6A06">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2DE43416" w14:textId="67AD8A3E" w:rsidR="00A73FB3" w:rsidRPr="00487162" w:rsidRDefault="00A73FB3" w:rsidP="00A73FB3">
            <w:r w:rsidRPr="004A6A06">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2435C0C2" w14:textId="77777777" w:rsidR="008E7846" w:rsidRDefault="008E7846" w:rsidP="008E7846">
      <w:pPr>
        <w:pStyle w:val="Heading3"/>
      </w:pPr>
      <w:bookmarkStart w:id="12" w:name="_Toc247691503"/>
      <w:bookmarkStart w:id="13" w:name="_Toc314842484"/>
      <w:bookmarkStart w:id="14" w:name="_Toc102558209"/>
      <w:r>
        <w:t>Product background</w:t>
      </w:r>
      <w:bookmarkEnd w:id="12"/>
      <w:bookmarkEnd w:id="13"/>
      <w:bookmarkEnd w:id="14"/>
    </w:p>
    <w:p w14:paraId="2D0C738D" w14:textId="05AB0750" w:rsidR="00695AE1" w:rsidRDefault="00250271" w:rsidP="00250271">
      <w:r w:rsidRPr="00250271">
        <w:t xml:space="preserve">This AusPAR describes the application by </w:t>
      </w:r>
      <w:r w:rsidR="00A73FB3" w:rsidRPr="00A73FB3">
        <w:t xml:space="preserve">Specialised Therapeutics Pharma Pty Ltd </w:t>
      </w:r>
      <w:r w:rsidRPr="00250271">
        <w:t xml:space="preserve">(the sponsor) to register </w:t>
      </w:r>
      <w:r w:rsidR="000D0C1D">
        <w:t>Zepzelca</w:t>
      </w:r>
      <w:r w:rsidR="00A73FB3" w:rsidRPr="00250271">
        <w:t xml:space="preserve"> </w:t>
      </w:r>
      <w:r w:rsidRPr="00250271">
        <w:t>(</w:t>
      </w:r>
      <w:r w:rsidR="00A73FB3">
        <w:t>lurbinectedin</w:t>
      </w:r>
      <w:r w:rsidRPr="00250271">
        <w:t xml:space="preserve">) </w:t>
      </w:r>
      <w:r w:rsidR="007315F1">
        <w:t xml:space="preserve">4 mg, powder for </w:t>
      </w:r>
      <w:r w:rsidR="004F0D48">
        <w:t>infusion</w:t>
      </w:r>
      <w:r w:rsidR="004F0D48" w:rsidRPr="00250271">
        <w:t xml:space="preserve"> </w:t>
      </w:r>
      <w:r w:rsidRPr="00250271">
        <w:t>for the following proposed indication</w:t>
      </w:r>
      <w:r w:rsidR="00CF5DAD">
        <w:t>:</w:t>
      </w:r>
    </w:p>
    <w:p w14:paraId="3C45315A" w14:textId="7CFB3E22" w:rsidR="00695AE1" w:rsidRPr="00695AE1" w:rsidRDefault="004C30C9" w:rsidP="00A3438C">
      <w:pPr>
        <w:ind w:left="720"/>
      </w:pPr>
      <w:r>
        <w:rPr>
          <w:i/>
        </w:rPr>
        <w:t>For t</w:t>
      </w:r>
      <w:r w:rsidR="00695AE1" w:rsidRPr="00016123">
        <w:rPr>
          <w:i/>
        </w:rPr>
        <w:t>he treatment of patients with small cell lung cancer</w:t>
      </w:r>
      <w:r w:rsidR="00695AE1">
        <w:rPr>
          <w:i/>
        </w:rPr>
        <w:t xml:space="preserve"> </w:t>
      </w:r>
      <w:r w:rsidR="00695AE1" w:rsidRPr="00016123">
        <w:rPr>
          <w:i/>
        </w:rPr>
        <w:t>(SCLC) who have progressed after prior platinum-containing therapy.</w:t>
      </w:r>
    </w:p>
    <w:p w14:paraId="69708117" w14:textId="5758774F" w:rsidR="005B6B10" w:rsidRDefault="005B6B10" w:rsidP="00261DF9">
      <w:r w:rsidRPr="00350AF3">
        <w:t>Lung cancer is the leading cause of cancer</w:t>
      </w:r>
      <w:r w:rsidR="002935BE">
        <w:t xml:space="preserve"> </w:t>
      </w:r>
      <w:r w:rsidRPr="00350AF3">
        <w:t>related mortality in Australia</w:t>
      </w:r>
      <w:r w:rsidR="00A555CE">
        <w:rPr>
          <w:rStyle w:val="FootnoteReference"/>
        </w:rPr>
        <w:footnoteReference w:id="2"/>
      </w:r>
      <w:r w:rsidRPr="00350AF3">
        <w:t xml:space="preserve"> and worldwide.</w:t>
      </w:r>
      <w:r w:rsidR="00A555CE">
        <w:rPr>
          <w:rStyle w:val="FootnoteReference"/>
        </w:rPr>
        <w:footnoteReference w:id="3"/>
      </w:r>
      <w:r w:rsidRPr="00350AF3">
        <w:t xml:space="preserve"> </w:t>
      </w:r>
      <w:r w:rsidR="00A3438C">
        <w:t>Small cell lung cancer (</w:t>
      </w:r>
      <w:r w:rsidRPr="00350AF3">
        <w:t>SCLC</w:t>
      </w:r>
      <w:r w:rsidR="00A3438C">
        <w:t>)</w:t>
      </w:r>
      <w:r w:rsidRPr="00350AF3">
        <w:t xml:space="preserve"> is an aggressive neuroendocrine tumour </w:t>
      </w:r>
      <w:r>
        <w:t>that</w:t>
      </w:r>
      <w:r w:rsidRPr="00350AF3">
        <w:t xml:space="preserve"> accounts for app</w:t>
      </w:r>
      <w:r>
        <w:t>roximately 15% of lung cancers.</w:t>
      </w:r>
      <w:r w:rsidR="00A555CE">
        <w:rPr>
          <w:rStyle w:val="FootnoteReference"/>
        </w:rPr>
        <w:footnoteReference w:id="4"/>
      </w:r>
    </w:p>
    <w:p w14:paraId="7507DBBE" w14:textId="7A9D56FD" w:rsidR="005B6B10" w:rsidRDefault="005B6B10" w:rsidP="00261DF9">
      <w:r>
        <w:t>Limited</w:t>
      </w:r>
      <w:r w:rsidR="00A00E10">
        <w:t xml:space="preserve"> </w:t>
      </w:r>
      <w:r>
        <w:t>stage SCLC (tumours confined to the hemithorax of origin, the mediastinum, or the supraclavicular lymph nodes) accounts for 30% of newly diagnosed SCLC. T</w:t>
      </w:r>
      <w:r w:rsidRPr="00350AF3">
        <w:t xml:space="preserve">he </w:t>
      </w:r>
      <w:r>
        <w:t>remainder (majority)</w:t>
      </w:r>
      <w:r w:rsidRPr="00350AF3">
        <w:t xml:space="preserve"> of patients with SCLC have</w:t>
      </w:r>
      <w:r>
        <w:t xml:space="preserve"> extensive</w:t>
      </w:r>
      <w:r w:rsidR="00A00E10">
        <w:t xml:space="preserve"> </w:t>
      </w:r>
      <w:r>
        <w:t xml:space="preserve">stage disease (ES-SCLC) at presentation, which includes </w:t>
      </w:r>
      <w:r w:rsidRPr="00350AF3">
        <w:t xml:space="preserve">tumours that have spread beyond the supraclavicular areas, </w:t>
      </w:r>
      <w:r>
        <w:t xml:space="preserve">presence of </w:t>
      </w:r>
      <w:r w:rsidRPr="00350AF3">
        <w:t xml:space="preserve">malignant pleural or pericardial effusion, </w:t>
      </w:r>
      <w:r>
        <w:t>and</w:t>
      </w:r>
      <w:r w:rsidRPr="00350AF3">
        <w:t xml:space="preserve"> metastatic disease</w:t>
      </w:r>
      <w:r>
        <w:t>.</w:t>
      </w:r>
      <w:r w:rsidR="00A555CE">
        <w:rPr>
          <w:rStyle w:val="FootnoteReference"/>
        </w:rPr>
        <w:footnoteReference w:id="5"/>
      </w:r>
      <w:r w:rsidR="00897A67">
        <w:t xml:space="preserve"> </w:t>
      </w:r>
      <w:r>
        <w:t>Standard of care current first</w:t>
      </w:r>
      <w:r w:rsidR="00CD7219">
        <w:t xml:space="preserve"> </w:t>
      </w:r>
      <w:r>
        <w:t>line treatment for ES-SCLC in Australia is chemoimmunotherapy consisting of platinum</w:t>
      </w:r>
      <w:r w:rsidR="002D7FB9">
        <w:t xml:space="preserve"> </w:t>
      </w:r>
      <w:r>
        <w:t xml:space="preserve">based chemotherapy (platinum plus etoposide), plus either atezolizumab (based on </w:t>
      </w:r>
      <w:r w:rsidR="00553F1E">
        <w:t xml:space="preserve">the </w:t>
      </w:r>
      <w:r>
        <w:t>IMpower133</w:t>
      </w:r>
      <w:r w:rsidR="002D7FB9">
        <w:t>;</w:t>
      </w:r>
      <w:r w:rsidR="001A170E">
        <w:rPr>
          <w:rStyle w:val="FootnoteReference"/>
        </w:rPr>
        <w:footnoteReference w:id="6"/>
      </w:r>
      <w:r w:rsidR="002D7FB9">
        <w:t xml:space="preserve"> trial</w:t>
      </w:r>
      <w:r>
        <w:t>) or durvalumab (based on CASPIAN</w:t>
      </w:r>
      <w:r w:rsidR="002D7FB9">
        <w:t>;</w:t>
      </w:r>
      <w:r w:rsidR="001A170E">
        <w:rPr>
          <w:rStyle w:val="FootnoteReference"/>
        </w:rPr>
        <w:footnoteReference w:id="7"/>
      </w:r>
      <w:r w:rsidR="002D7FB9">
        <w:t xml:space="preserve"> trial</w:t>
      </w:r>
      <w:r>
        <w:t xml:space="preserve">), with continuation of the immunotherapy as maintenance. These regimens are associated with a median </w:t>
      </w:r>
      <w:r>
        <w:lastRenderedPageBreak/>
        <w:t>overall survival (OS) of around 12</w:t>
      </w:r>
      <w:r w:rsidR="002D7FB9">
        <w:t xml:space="preserve"> to</w:t>
      </w:r>
      <w:r w:rsidR="00553F1E">
        <w:t xml:space="preserve"> </w:t>
      </w:r>
      <w:r>
        <w:t>13</w:t>
      </w:r>
      <w:r w:rsidR="00553F1E">
        <w:t> </w:t>
      </w:r>
      <w:r>
        <w:t>months.</w:t>
      </w:r>
      <w:r w:rsidR="002337B8">
        <w:rPr>
          <w:rStyle w:val="FootnoteReference"/>
        </w:rPr>
        <w:footnoteReference w:id="8"/>
      </w:r>
      <w:r>
        <w:rPr>
          <w:rStyle w:val="EndnoteReference"/>
        </w:rPr>
        <w:t>,</w:t>
      </w:r>
      <w:r w:rsidR="002337B8">
        <w:rPr>
          <w:rStyle w:val="FootnoteReference"/>
        </w:rPr>
        <w:footnoteReference w:id="9"/>
      </w:r>
      <w:r>
        <w:t xml:space="preserve"> Prior to the recent emergence of data supporting the addition of immunotherapy, the standard of care was platinum plus etoposide, based on at least the same efficacy </w:t>
      </w:r>
      <w:r w:rsidRPr="00640A18">
        <w:t xml:space="preserve">as older regimens </w:t>
      </w:r>
      <w:r>
        <w:t>(</w:t>
      </w:r>
      <w:r w:rsidRPr="00640A18">
        <w:t>such as cyclophosphamide, doxorubicin, and vincristine (CAV) or cyclophosphamide, epirubicin, and vincristine (CEV)</w:t>
      </w:r>
      <w:r>
        <w:t>)</w:t>
      </w:r>
      <w:r w:rsidRPr="00640A18">
        <w:t xml:space="preserve">, </w:t>
      </w:r>
      <w:r>
        <w:t>with</w:t>
      </w:r>
      <w:r w:rsidRPr="00640A18">
        <w:t xml:space="preserve"> less toxicity</w:t>
      </w:r>
      <w:r>
        <w:t>.</w:t>
      </w:r>
      <w:r w:rsidR="002337B8">
        <w:rPr>
          <w:rStyle w:val="FootnoteReference"/>
        </w:rPr>
        <w:footnoteReference w:id="10"/>
      </w:r>
    </w:p>
    <w:p w14:paraId="49860DEC" w14:textId="63792AB3" w:rsidR="005B6B10" w:rsidRDefault="005B6B10" w:rsidP="00A3438C">
      <w:r>
        <w:t>The advent of immunotherapy as an add</w:t>
      </w:r>
      <w:r w:rsidR="002D7FB9">
        <w:t xml:space="preserve"> </w:t>
      </w:r>
      <w:r>
        <w:t xml:space="preserve">on to the first line standard of care has been </w:t>
      </w:r>
      <w:proofErr w:type="gramStart"/>
      <w:r>
        <w:t>fairly recent</w:t>
      </w:r>
      <w:proofErr w:type="gramEnd"/>
      <w:r w:rsidR="00A3438C">
        <w:t>;</w:t>
      </w:r>
      <w:r>
        <w:t xml:space="preserve"> TGA approvals of the atezolizumab</w:t>
      </w:r>
      <w:r w:rsidR="008D248A">
        <w:t>;</w:t>
      </w:r>
      <w:r w:rsidR="00A87E3F">
        <w:rPr>
          <w:rStyle w:val="FootnoteReference"/>
        </w:rPr>
        <w:footnoteReference w:id="11"/>
      </w:r>
      <w:r>
        <w:t xml:space="preserve"> and durvalumab</w:t>
      </w:r>
      <w:r w:rsidR="008D248A">
        <w:t>;</w:t>
      </w:r>
      <w:r w:rsidR="00837EBF">
        <w:rPr>
          <w:rStyle w:val="FootnoteReference"/>
        </w:rPr>
        <w:footnoteReference w:id="12"/>
      </w:r>
      <w:r>
        <w:t xml:space="preserve"> indications occurred in July 2019 and November 2020, respectively. As a result, most data supporting </w:t>
      </w:r>
      <w:r w:rsidR="00A3438C">
        <w:t xml:space="preserve">the </w:t>
      </w:r>
      <w:r>
        <w:t>use of second line therapies comes from patients who received first line chemotherapy without immunotherapy.</w:t>
      </w:r>
    </w:p>
    <w:p w14:paraId="36D0E0FD" w14:textId="67B36875" w:rsidR="005B6B10" w:rsidRDefault="005B6B10" w:rsidP="00A3438C">
      <w:r>
        <w:t>Selection of second</w:t>
      </w:r>
      <w:r w:rsidR="002D7FB9">
        <w:t xml:space="preserve"> </w:t>
      </w:r>
      <w:r>
        <w:t>line treatment options and the prognosis of such treatments are dependent on the timing of disease progression relative to first</w:t>
      </w:r>
      <w:r w:rsidR="002D7FB9">
        <w:t xml:space="preserve"> </w:t>
      </w:r>
      <w:r>
        <w:t xml:space="preserve">line chemotherapy (the </w:t>
      </w:r>
      <w:r w:rsidRPr="002A7B55">
        <w:t>chemotherapy</w:t>
      </w:r>
      <w:r w:rsidR="002D7FB9">
        <w:t xml:space="preserve"> </w:t>
      </w:r>
      <w:r w:rsidRPr="002A7B55">
        <w:t>free</w:t>
      </w:r>
      <w:r>
        <w:t xml:space="preserve"> interval </w:t>
      </w:r>
      <w:r w:rsidR="006B222D">
        <w:t>(</w:t>
      </w:r>
      <w:r w:rsidRPr="002A7B55">
        <w:t>CTFI</w:t>
      </w:r>
      <w:r w:rsidR="006B222D">
        <w:t>)</w:t>
      </w:r>
      <w:r>
        <w:t>).</w:t>
      </w:r>
      <w:r w:rsidRPr="00387DF5">
        <w:t xml:space="preserve"> </w:t>
      </w:r>
      <w:r>
        <w:t>The literature tends to describe three categories of disease based on CTFI:</w:t>
      </w:r>
      <w:r w:rsidR="002337B8">
        <w:rPr>
          <w:rStyle w:val="FootnoteReference"/>
        </w:rPr>
        <w:footnoteReference w:id="13"/>
      </w:r>
    </w:p>
    <w:p w14:paraId="065423FA" w14:textId="700E8451" w:rsidR="005B6B10" w:rsidRPr="00837EBF" w:rsidRDefault="00345FBC" w:rsidP="00837EBF">
      <w:pPr>
        <w:rPr>
          <w:i/>
          <w:iCs/>
        </w:rPr>
      </w:pPr>
      <w:r>
        <w:rPr>
          <w:i/>
          <w:iCs/>
        </w:rPr>
        <w:t>‘</w:t>
      </w:r>
      <w:r w:rsidR="008051D2" w:rsidRPr="00837EBF">
        <w:rPr>
          <w:i/>
          <w:iCs/>
        </w:rPr>
        <w:t>S</w:t>
      </w:r>
      <w:r w:rsidR="005B6B10" w:rsidRPr="00837EBF">
        <w:rPr>
          <w:i/>
          <w:iCs/>
        </w:rPr>
        <w:t xml:space="preserve">ensitive, resistant, and refractory. </w:t>
      </w:r>
      <w:r w:rsidR="002D7FB9" w:rsidRPr="00837EBF">
        <w:rPr>
          <w:i/>
          <w:iCs/>
        </w:rPr>
        <w:t>‘</w:t>
      </w:r>
      <w:r w:rsidR="005B6B10" w:rsidRPr="00837EBF">
        <w:rPr>
          <w:i/>
          <w:iCs/>
        </w:rPr>
        <w:t>Sensitive</w:t>
      </w:r>
      <w:r w:rsidR="002D7FB9" w:rsidRPr="00837EBF">
        <w:rPr>
          <w:i/>
          <w:iCs/>
        </w:rPr>
        <w:t>’</w:t>
      </w:r>
      <w:r w:rsidR="005B6B10" w:rsidRPr="00837EBF">
        <w:rPr>
          <w:i/>
          <w:iCs/>
        </w:rPr>
        <w:t xml:space="preserve"> refers to patients who have had a tumor response lasting 90 days or longer. These patients are thought to have the greatest potential for benefit from second-line chemotherapy. </w:t>
      </w:r>
      <w:r w:rsidR="002D7FB9" w:rsidRPr="00837EBF">
        <w:rPr>
          <w:i/>
          <w:iCs/>
        </w:rPr>
        <w:t>‘</w:t>
      </w:r>
      <w:r w:rsidR="005B6B10" w:rsidRPr="00837EBF">
        <w:rPr>
          <w:i/>
          <w:iCs/>
        </w:rPr>
        <w:t>Resistant</w:t>
      </w:r>
      <w:r w:rsidR="002D7FB9" w:rsidRPr="00837EBF">
        <w:rPr>
          <w:i/>
          <w:iCs/>
        </w:rPr>
        <w:t>’</w:t>
      </w:r>
      <w:r w:rsidR="005B6B10" w:rsidRPr="00837EBF">
        <w:rPr>
          <w:i/>
          <w:iCs/>
        </w:rPr>
        <w:t xml:space="preserve"> refers to patients who have recurred within 90 days of completing primary therapy. </w:t>
      </w:r>
      <w:r w:rsidR="002D7FB9" w:rsidRPr="00837EBF">
        <w:rPr>
          <w:i/>
          <w:iCs/>
        </w:rPr>
        <w:t>‘</w:t>
      </w:r>
      <w:r w:rsidR="005B6B10" w:rsidRPr="00837EBF">
        <w:rPr>
          <w:i/>
          <w:iCs/>
        </w:rPr>
        <w:t>Refractory</w:t>
      </w:r>
      <w:r w:rsidR="002D7FB9" w:rsidRPr="00837EBF">
        <w:rPr>
          <w:i/>
          <w:iCs/>
        </w:rPr>
        <w:t>’</w:t>
      </w:r>
      <w:r w:rsidR="005B6B10" w:rsidRPr="00837EBF">
        <w:rPr>
          <w:i/>
          <w:iCs/>
        </w:rPr>
        <w:t xml:space="preserve"> refers to patients with tumors that never responded to first-line therapy or to those who progressed during first-line therapy.</w:t>
      </w:r>
      <w:r>
        <w:rPr>
          <w:i/>
          <w:iCs/>
        </w:rPr>
        <w:t>’</w:t>
      </w:r>
    </w:p>
    <w:p w14:paraId="64F4EE08" w14:textId="2688F2C2" w:rsidR="005B6B10" w:rsidRDefault="005B6B10" w:rsidP="005B6B10">
      <w:r>
        <w:t>Chemotherapy resistant or refractory patients</w:t>
      </w:r>
      <w:r w:rsidRPr="002A7B55">
        <w:t xml:space="preserve"> </w:t>
      </w:r>
      <w:r>
        <w:t xml:space="preserve">(by the above definition) </w:t>
      </w:r>
      <w:r w:rsidRPr="002A7B55">
        <w:t xml:space="preserve">have a less than 10% chance of response to subsequent treatment, </w:t>
      </w:r>
      <w:r>
        <w:t>whilst sensitive patients are generally thought to have</w:t>
      </w:r>
      <w:r w:rsidRPr="002A7B55">
        <w:t xml:space="preserve"> </w:t>
      </w:r>
      <w:r>
        <w:t>a higher chance of response.</w:t>
      </w:r>
      <w:r w:rsidR="002337B8">
        <w:rPr>
          <w:rStyle w:val="FootnoteReference"/>
        </w:rPr>
        <w:footnoteReference w:id="14"/>
      </w:r>
      <w:r w:rsidRPr="003E0586">
        <w:rPr>
          <w:vertAlign w:val="superscript"/>
        </w:rPr>
        <w:t>,</w:t>
      </w:r>
      <w:r>
        <w:rPr>
          <w:rStyle w:val="EndnoteReference"/>
        </w:rPr>
        <w:t xml:space="preserve"> </w:t>
      </w:r>
      <w:r w:rsidR="002337B8">
        <w:rPr>
          <w:rStyle w:val="FootnoteReference"/>
        </w:rPr>
        <w:footnoteReference w:id="15"/>
      </w:r>
    </w:p>
    <w:p w14:paraId="235C9C4C" w14:textId="15598B71" w:rsidR="005B6B10" w:rsidRPr="00B52D97" w:rsidRDefault="00553F1E" w:rsidP="00A3438C">
      <w:r>
        <w:t xml:space="preserve">The </w:t>
      </w:r>
      <w:r w:rsidR="00511F39" w:rsidRPr="00511F39">
        <w:t xml:space="preserve">National Comprehensive Cancer Network </w:t>
      </w:r>
      <w:r w:rsidR="00511F39">
        <w:t>(</w:t>
      </w:r>
      <w:r w:rsidR="005B6B10" w:rsidRPr="00B52D97">
        <w:t>NCCN</w:t>
      </w:r>
      <w:r w:rsidR="00511F39">
        <w:t>)</w:t>
      </w:r>
      <w:r>
        <w:rPr>
          <w:rStyle w:val="FootnoteReference"/>
        </w:rPr>
        <w:footnoteReference w:id="16"/>
      </w:r>
      <w:r w:rsidR="005B6B10" w:rsidRPr="00B52D97">
        <w:t xml:space="preserve"> guidelines recommend retreatment with the same chemotherapy regimen for patients with a CTFI of 6 months (</w:t>
      </w:r>
      <w:r w:rsidR="002D7FB9">
        <w:t xml:space="preserve">about </w:t>
      </w:r>
      <w:r w:rsidR="005B6B10" w:rsidRPr="00B52D97">
        <w:t>26</w:t>
      </w:r>
      <w:r>
        <w:t> </w:t>
      </w:r>
      <w:r w:rsidR="005B6B10" w:rsidRPr="00B52D97">
        <w:t>weeks)</w:t>
      </w:r>
      <w:r w:rsidR="005B6B10">
        <w:t xml:space="preserve"> or longer</w:t>
      </w:r>
      <w:r w:rsidR="005B6B10" w:rsidRPr="00B52D97">
        <w:t>.</w:t>
      </w:r>
      <w:r w:rsidR="002337B8">
        <w:rPr>
          <w:rStyle w:val="FootnoteReference"/>
        </w:rPr>
        <w:footnoteReference w:id="17"/>
      </w:r>
      <w:r w:rsidR="005B6B10" w:rsidRPr="00B52D97">
        <w:rPr>
          <w:vertAlign w:val="superscript"/>
        </w:rPr>
        <w:t xml:space="preserve"> </w:t>
      </w:r>
      <w:r w:rsidR="005B6B10" w:rsidRPr="00B52D97">
        <w:t>The recommendation is based on two small case series conducted in the late eighties. In the first, re-responses were seen in 62% of 37 patients who were re</w:t>
      </w:r>
      <w:r w:rsidR="002D7FB9">
        <w:noBreakHyphen/>
      </w:r>
      <w:r w:rsidR="005B6B10" w:rsidRPr="00B52D97">
        <w:t>treated with platinum</w:t>
      </w:r>
      <w:r w:rsidR="002D7FB9">
        <w:t xml:space="preserve"> </w:t>
      </w:r>
      <w:r w:rsidR="005B6B10" w:rsidRPr="00B52D97">
        <w:t xml:space="preserve">based chemotherapy after a median CTFI duration of 34 weeks </w:t>
      </w:r>
      <w:r w:rsidR="002D7FB9">
        <w:t>(about</w:t>
      </w:r>
      <w:r w:rsidR="000B1DF1">
        <w:t xml:space="preserve"> </w:t>
      </w:r>
      <w:r w:rsidR="005B6B10" w:rsidRPr="00B52D97">
        <w:t>7.8</w:t>
      </w:r>
      <w:r w:rsidR="008D248A">
        <w:t> </w:t>
      </w:r>
      <w:r w:rsidR="005B6B10" w:rsidRPr="00B52D97">
        <w:t>months</w:t>
      </w:r>
      <w:r w:rsidR="002D7FB9">
        <w:t>)</w:t>
      </w:r>
      <w:r w:rsidR="005B6B10" w:rsidRPr="00B52D97">
        <w:t xml:space="preserve"> following responses to first</w:t>
      </w:r>
      <w:r w:rsidR="002D7FB9">
        <w:t xml:space="preserve"> </w:t>
      </w:r>
      <w:r w:rsidR="005B6B10" w:rsidRPr="00B52D97">
        <w:t>line platinum.</w:t>
      </w:r>
      <w:r w:rsidR="002337B8">
        <w:rPr>
          <w:rStyle w:val="FootnoteReference"/>
        </w:rPr>
        <w:footnoteReference w:id="18"/>
      </w:r>
      <w:r w:rsidR="005B6B10" w:rsidRPr="00B52D97">
        <w:rPr>
          <w:vertAlign w:val="superscript"/>
        </w:rPr>
        <w:t xml:space="preserve"> </w:t>
      </w:r>
      <w:r w:rsidR="005B6B10" w:rsidRPr="00B52D97">
        <w:t>In the second, re</w:t>
      </w:r>
      <w:r>
        <w:noBreakHyphen/>
      </w:r>
      <w:r w:rsidR="005B6B10" w:rsidRPr="00B52D97">
        <w:t xml:space="preserve">responses were seen in 50% of 13 patients who had a median CTFI of 30 weeks </w:t>
      </w:r>
      <w:r w:rsidR="002936FD">
        <w:t xml:space="preserve">about </w:t>
      </w:r>
      <w:r w:rsidR="005B6B10" w:rsidRPr="00B52D97">
        <w:lastRenderedPageBreak/>
        <w:t>6.9</w:t>
      </w:r>
      <w:r w:rsidR="008D248A">
        <w:t> </w:t>
      </w:r>
      <w:r w:rsidR="005B6B10" w:rsidRPr="00B52D97">
        <w:t>months after responding to and completing first</w:t>
      </w:r>
      <w:r w:rsidR="002936FD">
        <w:t xml:space="preserve"> </w:t>
      </w:r>
      <w:r w:rsidR="005B6B10" w:rsidRPr="00B52D97">
        <w:t>line platinum</w:t>
      </w:r>
      <w:r w:rsidR="002936FD">
        <w:t xml:space="preserve"> </w:t>
      </w:r>
      <w:r w:rsidR="005B6B10" w:rsidRPr="00B52D97">
        <w:t>based chemotherapy.</w:t>
      </w:r>
      <w:r w:rsidR="004D17C5">
        <w:rPr>
          <w:rStyle w:val="FootnoteReference"/>
        </w:rPr>
        <w:footnoteReference w:id="19"/>
      </w:r>
      <w:r w:rsidR="005B6B10" w:rsidRPr="00B52D97">
        <w:t xml:space="preserve"> However, </w:t>
      </w:r>
      <w:r>
        <w:t xml:space="preserve">the </w:t>
      </w:r>
      <w:r w:rsidR="005B6B10" w:rsidRPr="00B52D97">
        <w:t>NCCN does not recommend retreatment with the same regimen for patients on maintenance atezolizumab or durvalumab at time of relapse.</w:t>
      </w:r>
      <w:r w:rsidR="002337B8">
        <w:rPr>
          <w:rStyle w:val="FootnoteReference"/>
        </w:rPr>
        <w:t>15</w:t>
      </w:r>
    </w:p>
    <w:p w14:paraId="32E4DEF6" w14:textId="6772EF2D" w:rsidR="005B6B10" w:rsidRDefault="005B6B10" w:rsidP="00A3438C">
      <w:r w:rsidRPr="00B52D97">
        <w:t xml:space="preserve">For patients with disease progression or recurrence </w:t>
      </w:r>
      <w:r w:rsidRPr="000826AA">
        <w:t xml:space="preserve">within </w:t>
      </w:r>
      <w:r w:rsidR="008A3756">
        <w:t>six</w:t>
      </w:r>
      <w:r w:rsidRPr="000826AA">
        <w:t xml:space="preserve"> months</w:t>
      </w:r>
      <w:r w:rsidRPr="00B52D97">
        <w:t xml:space="preserve"> following completion of </w:t>
      </w:r>
      <w:proofErr w:type="gramStart"/>
      <w:r w:rsidRPr="00B52D97">
        <w:t>platinum</w:t>
      </w:r>
      <w:r w:rsidR="008A3756">
        <w:t xml:space="preserve"> </w:t>
      </w:r>
      <w:r w:rsidRPr="00B52D97">
        <w:t>based</w:t>
      </w:r>
      <w:proofErr w:type="gramEnd"/>
      <w:r w:rsidRPr="00B52D97">
        <w:t xml:space="preserve"> chemotherapy, and whose performance status remains </w:t>
      </w:r>
      <w:r w:rsidR="008A3756">
        <w:t>two</w:t>
      </w:r>
      <w:r w:rsidRPr="00B52D97">
        <w:t xml:space="preserve"> or less, treatment options include single</w:t>
      </w:r>
      <w:r w:rsidR="008A3756">
        <w:t xml:space="preserve"> </w:t>
      </w:r>
      <w:r w:rsidRPr="00B52D97">
        <w:t>agent chemotherapy and palliative radiotherapy. Topotecan is the only agent currently approved by the TGA specifically for the treatment of patients with SCLC with disease progression after first</w:t>
      </w:r>
      <w:r w:rsidR="008A3756">
        <w:t xml:space="preserve"> </w:t>
      </w:r>
      <w:r w:rsidRPr="00B52D97">
        <w:t>line chemotherapy.</w:t>
      </w:r>
      <w:r w:rsidR="004D17C5">
        <w:rPr>
          <w:rStyle w:val="FootnoteReference"/>
        </w:rPr>
        <w:footnoteReference w:id="20"/>
      </w:r>
      <w:r w:rsidRPr="00B52D97">
        <w:t xml:space="preserve"> Other </w:t>
      </w:r>
      <w:r>
        <w:t xml:space="preserve">options include the CAV regimen, or </w:t>
      </w:r>
      <w:r w:rsidRPr="00AB5AB7">
        <w:t>single</w:t>
      </w:r>
      <w:r w:rsidR="008A3756">
        <w:t xml:space="preserve"> </w:t>
      </w:r>
      <w:r w:rsidRPr="00AB5AB7">
        <w:t>agent chemotherapy options that have been shown to have anti-tumour activity in relapsed SCLC (including paclitaxel,</w:t>
      </w:r>
      <w:r w:rsidR="004D17C5">
        <w:rPr>
          <w:rStyle w:val="FootnoteReference"/>
        </w:rPr>
        <w:footnoteReference w:id="21"/>
      </w:r>
      <w:r w:rsidRPr="00AB5AB7">
        <w:t xml:space="preserve"> docetaxel,</w:t>
      </w:r>
      <w:r w:rsidR="004D17C5">
        <w:rPr>
          <w:rStyle w:val="FootnoteReference"/>
        </w:rPr>
        <w:footnoteReference w:id="22"/>
      </w:r>
      <w:r w:rsidRPr="00AB5AB7">
        <w:t xml:space="preserve"> vinorelbine,</w:t>
      </w:r>
      <w:r w:rsidR="004D17C5">
        <w:rPr>
          <w:rStyle w:val="FootnoteReference"/>
        </w:rPr>
        <w:footnoteReference w:id="23"/>
      </w:r>
      <w:r w:rsidRPr="00AB5AB7">
        <w:t xml:space="preserve"> temozolomide</w:t>
      </w:r>
      <w:r w:rsidR="004D17C5">
        <w:t>,</w:t>
      </w:r>
      <w:r w:rsidR="004D17C5">
        <w:rPr>
          <w:rStyle w:val="FootnoteReference"/>
        </w:rPr>
        <w:footnoteReference w:id="24"/>
      </w:r>
      <w:r w:rsidRPr="00AB5AB7">
        <w:t xml:space="preserve"> and bendamustine,</w:t>
      </w:r>
      <w:r w:rsidR="004D17C5">
        <w:rPr>
          <w:rStyle w:val="FootnoteReference"/>
        </w:rPr>
        <w:footnoteReference w:id="25"/>
      </w:r>
      <w:r w:rsidRPr="00AB5AB7">
        <w:t xml:space="preserve"> with reported objective response rates (ORR) between 10% and 29%), but these are very rarely used in Australian clinical practice.</w:t>
      </w:r>
    </w:p>
    <w:p w14:paraId="114A448F" w14:textId="26E9BD3C" w:rsidR="005B6B10" w:rsidRDefault="005B6B10" w:rsidP="00A3438C">
      <w:r w:rsidRPr="008A3756">
        <w:t>All of these second line options (retreatment with a first</w:t>
      </w:r>
      <w:r w:rsidR="008A3756" w:rsidRPr="008A3756">
        <w:t xml:space="preserve"> </w:t>
      </w:r>
      <w:r w:rsidRPr="008A3756">
        <w:t xml:space="preserve">line </w:t>
      </w:r>
      <w:proofErr w:type="gramStart"/>
      <w:r w:rsidRPr="008A3756">
        <w:t>platinum</w:t>
      </w:r>
      <w:r w:rsidR="00837EBF">
        <w:t xml:space="preserve"> </w:t>
      </w:r>
      <w:r w:rsidRPr="008A3756">
        <w:t>based</w:t>
      </w:r>
      <w:proofErr w:type="gramEnd"/>
      <w:r w:rsidRPr="008A3756">
        <w:t xml:space="preserve"> regimen, CAV, topotecan, or other single</w:t>
      </w:r>
      <w:r w:rsidR="008A3756">
        <w:t xml:space="preserve"> </w:t>
      </w:r>
      <w:r w:rsidRPr="008A3756">
        <w:t>agent chemotherapy) are associated with inevitable relapse and significant toxicity, and this is an area of significant unmet clinical need</w:t>
      </w:r>
      <w:r>
        <w:t>.</w:t>
      </w:r>
    </w:p>
    <w:p w14:paraId="4B809ED7" w14:textId="77777777" w:rsidR="004C2155" w:rsidRDefault="004C2155" w:rsidP="00837EBF">
      <w:r>
        <w:t>The approved Australian indication for topotecan is:</w:t>
      </w:r>
    </w:p>
    <w:p w14:paraId="205A874F" w14:textId="1EBF002C" w:rsidR="004C2155" w:rsidRPr="00837EBF" w:rsidRDefault="004C30C9" w:rsidP="00837EBF">
      <w:pPr>
        <w:ind w:left="720"/>
        <w:rPr>
          <w:i/>
          <w:iCs/>
        </w:rPr>
      </w:pPr>
      <w:r w:rsidRPr="00837EBF">
        <w:rPr>
          <w:i/>
          <w:iCs/>
        </w:rPr>
        <w:t>For the treatment of s</w:t>
      </w:r>
      <w:r w:rsidR="004C2155" w:rsidRPr="00837EBF">
        <w:rPr>
          <w:i/>
          <w:iCs/>
        </w:rPr>
        <w:t>mall cell lung carcinoma (SCLC) after failure of first line chemotherapy.</w:t>
      </w:r>
    </w:p>
    <w:p w14:paraId="4C059613" w14:textId="377EC6D2" w:rsidR="004C2155" w:rsidRDefault="004C2155" w:rsidP="00A3438C">
      <w:r>
        <w:t>The basis for this approval was one randomised trial</w:t>
      </w:r>
      <w:r w:rsidR="00947DFD">
        <w:t xml:space="preserve">, </w:t>
      </w:r>
      <w:r>
        <w:t>published in 1999</w:t>
      </w:r>
      <w:r w:rsidR="00947DFD">
        <w:t xml:space="preserve">, </w:t>
      </w:r>
      <w:r>
        <w:t xml:space="preserve">conducted in patients </w:t>
      </w:r>
      <w:r w:rsidRPr="00F43412">
        <w:t>who had progressed at least 60 days after initiation of first</w:t>
      </w:r>
      <w:r w:rsidR="00947DFD">
        <w:t xml:space="preserve"> </w:t>
      </w:r>
      <w:r w:rsidRPr="00F43412">
        <w:t>line chemotherapy</w:t>
      </w:r>
      <w:r>
        <w:t>, which showed</w:t>
      </w:r>
      <w:r w:rsidRPr="00951656">
        <w:t xml:space="preserve"> </w:t>
      </w:r>
      <w:r>
        <w:t xml:space="preserve">a response rate of 24% (95% </w:t>
      </w:r>
      <w:r w:rsidR="00947DFD">
        <w:t>confidence interval (</w:t>
      </w:r>
      <w:r>
        <w:t>CI</w:t>
      </w:r>
      <w:r w:rsidR="00947DFD">
        <w:t>)</w:t>
      </w:r>
      <w:r>
        <w:t>: 16, 32) with a median duration of response of 3.3 months.</w:t>
      </w:r>
      <w:r w:rsidR="004D17C5">
        <w:rPr>
          <w:rStyle w:val="FootnoteReference"/>
        </w:rPr>
        <w:footnoteReference w:id="26"/>
      </w:r>
      <w:r>
        <w:t xml:space="preserve"> Supporting data </w:t>
      </w:r>
      <w:r w:rsidRPr="00244D46">
        <w:t>was</w:t>
      </w:r>
      <w:r>
        <w:t xml:space="preserve"> available from three single arm studies, including for patients with resista</w:t>
      </w:r>
      <w:r w:rsidRPr="00244D46">
        <w:t>nt or refractory disease</w:t>
      </w:r>
      <w:r>
        <w:t xml:space="preserve"> who</w:t>
      </w:r>
      <w:r w:rsidRPr="00244D46">
        <w:t xml:space="preserve"> </w:t>
      </w:r>
      <w:r>
        <w:t>showed response rates of 2</w:t>
      </w:r>
      <w:r w:rsidR="00947DFD">
        <w:t xml:space="preserve"> to </w:t>
      </w:r>
      <w:r>
        <w:t>7%:</w:t>
      </w:r>
      <w:r w:rsidR="004D17C5">
        <w:rPr>
          <w:rStyle w:val="FootnoteReference"/>
        </w:rPr>
        <w:footnoteReference w:id="27"/>
      </w:r>
    </w:p>
    <w:p w14:paraId="0D5B2F79" w14:textId="27473203" w:rsidR="004C2155" w:rsidRDefault="00947DFD" w:rsidP="00837EBF">
      <w:pPr>
        <w:rPr>
          <w:i/>
          <w:iCs/>
        </w:rPr>
      </w:pPr>
      <w:r>
        <w:rPr>
          <w:i/>
          <w:iCs/>
        </w:rPr>
        <w:t>‘</w:t>
      </w:r>
      <w:proofErr w:type="spellStart"/>
      <w:r w:rsidR="004C2155" w:rsidRPr="00837EBF">
        <w:rPr>
          <w:i/>
          <w:iCs/>
        </w:rPr>
        <w:t>H</w:t>
      </w:r>
      <w:r>
        <w:rPr>
          <w:i/>
          <w:iCs/>
        </w:rPr>
        <w:t>ycamtin</w:t>
      </w:r>
      <w:proofErr w:type="spellEnd"/>
      <w:r w:rsidR="004C2155" w:rsidRPr="00837EBF">
        <w:rPr>
          <w:i/>
          <w:iCs/>
        </w:rPr>
        <w:t xml:space="preserve"> for injection was also studied in three open-label, non-comparative trials (Studies</w:t>
      </w:r>
      <w:r w:rsidR="00553F1E">
        <w:rPr>
          <w:i/>
          <w:iCs/>
        </w:rPr>
        <w:t> </w:t>
      </w:r>
      <w:r w:rsidR="004C2155" w:rsidRPr="00837EBF">
        <w:rPr>
          <w:i/>
          <w:iCs/>
        </w:rPr>
        <w:t>014, 092 and 053) in a total of 319 patients with recurrent or progressive SCLC after treatment with first-line chemotherapy. In all three trials, patients were stratified as either sensitive (responders who then subsequently progressed greater than or equal to 90 days after completion of first-line therapy) or refractory (no response to first-line chemotherapy or who responded to first-line therapy and then progressed within 90 days of completing first-line therapy). Response rates ranged from 11% to 31% for sensitive patients and 2% to 7% for refractory patients. Median time to progression and median survival were similar in all three trials and the comparative trial.</w:t>
      </w:r>
      <w:r>
        <w:rPr>
          <w:i/>
          <w:iCs/>
        </w:rPr>
        <w:t>’</w:t>
      </w:r>
    </w:p>
    <w:p w14:paraId="7E38DCE4" w14:textId="4E6C683B" w:rsidR="004C2155" w:rsidRDefault="004C2155" w:rsidP="00A3438C">
      <w:r>
        <w:lastRenderedPageBreak/>
        <w:t>A second, later dataset for topotecan is available from a randomised trial published in 201</w:t>
      </w:r>
      <w:r w:rsidRPr="00E27A5A">
        <w:t>4,</w:t>
      </w:r>
      <w:bookmarkStart w:id="15" w:name="_Ref73722566"/>
      <w:r>
        <w:t xml:space="preserve"> which compared topotecan with amrubicin, a </w:t>
      </w:r>
      <w:proofErr w:type="gramStart"/>
      <w:r w:rsidR="00553F1E">
        <w:t xml:space="preserve">third </w:t>
      </w:r>
      <w:r>
        <w:t>generation</w:t>
      </w:r>
      <w:proofErr w:type="gramEnd"/>
      <w:r>
        <w:t xml:space="preserve"> topoisomerase inhibitor, and failed to show superiority of amrubicin</w:t>
      </w:r>
      <w:r w:rsidR="00553F1E">
        <w:t>;</w:t>
      </w:r>
      <w:bookmarkEnd w:id="15"/>
      <w:r w:rsidR="004D17C5">
        <w:rPr>
          <w:rStyle w:val="FootnoteReference"/>
        </w:rPr>
        <w:footnoteReference w:id="28"/>
      </w:r>
      <w:r>
        <w:t xml:space="preserve"> </w:t>
      </w:r>
      <w:r w:rsidR="00553F1E">
        <w:t>(a</w:t>
      </w:r>
      <w:r w:rsidR="00E3456F">
        <w:t xml:space="preserve">lso see </w:t>
      </w:r>
      <w:r w:rsidR="00E3456F">
        <w:fldChar w:fldCharType="begin"/>
      </w:r>
      <w:r w:rsidR="00E3456F">
        <w:instrText xml:space="preserve"> REF _Ref95985766 \h </w:instrText>
      </w:r>
      <w:r w:rsidR="00E3456F">
        <w:fldChar w:fldCharType="separate"/>
      </w:r>
      <w:r w:rsidR="00E3456F">
        <w:t xml:space="preserve">Table </w:t>
      </w:r>
      <w:r w:rsidR="00E3456F">
        <w:rPr>
          <w:noProof/>
        </w:rPr>
        <w:t>7</w:t>
      </w:r>
      <w:r w:rsidR="00E3456F">
        <w:fldChar w:fldCharType="end"/>
      </w:r>
      <w:r w:rsidR="00E3456F">
        <w:t xml:space="preserve"> </w:t>
      </w:r>
      <w:r w:rsidR="00947DFD">
        <w:t>in Safety section</w:t>
      </w:r>
      <w:r w:rsidR="00553F1E">
        <w:t xml:space="preserve"> for further information)</w:t>
      </w:r>
      <w:r w:rsidR="00947DFD">
        <w:t>.</w:t>
      </w:r>
    </w:p>
    <w:p w14:paraId="512EF0F0" w14:textId="77777777" w:rsidR="00A00E10" w:rsidRDefault="004C2155" w:rsidP="00A3438C">
      <w:r>
        <w:t>There are no products registered in Australia, provisionally or otherwise, for treatment of SCLC in the third line or beyond.</w:t>
      </w:r>
    </w:p>
    <w:p w14:paraId="10DE0EAB" w14:textId="58AF5AE2" w:rsidR="00A00E10" w:rsidRDefault="00A00E10" w:rsidP="00A00E10">
      <w:r>
        <w:t>This evaluation was facilitated through Project Orbis,</w:t>
      </w:r>
      <w:r w:rsidR="00851F3F">
        <w:rPr>
          <w:rStyle w:val="FootnoteReference"/>
        </w:rPr>
        <w:footnoteReference w:id="29"/>
      </w:r>
      <w:r>
        <w:t xml:space="preserve"> an initiative of the United States (US) Food and Drug Administration (FDA) Oncology Center of Excellence (OCE). Under this project, the FDA and the TGA collaboratively reviewed the application. This innovative evaluation process provided a framework for process alignment and management of evaluation issues in real-time across jurisdictions.</w:t>
      </w:r>
    </w:p>
    <w:p w14:paraId="667F0FE9" w14:textId="5CE3D59E" w:rsidR="004C2155" w:rsidRDefault="00A00E10" w:rsidP="00A3438C">
      <w:r>
        <w:t>Each regulator agency maintained its regulatory process to make independent decisions about the approval (market authorisation).</w:t>
      </w:r>
    </w:p>
    <w:p w14:paraId="0DA62738" w14:textId="77777777" w:rsidR="008E7846" w:rsidRPr="006D1608" w:rsidRDefault="00386150" w:rsidP="008E7846">
      <w:pPr>
        <w:pStyle w:val="Heading3"/>
      </w:pPr>
      <w:bookmarkStart w:id="16" w:name="_Toc314842485"/>
      <w:bookmarkStart w:id="17" w:name="_Toc247691504"/>
      <w:bookmarkStart w:id="18" w:name="_Toc102558210"/>
      <w:r w:rsidRPr="006D1608">
        <w:t>Regulatory s</w:t>
      </w:r>
      <w:r w:rsidR="008E7846" w:rsidRPr="006D1608">
        <w:t>tatus</w:t>
      </w:r>
      <w:bookmarkEnd w:id="16"/>
      <w:bookmarkEnd w:id="17"/>
      <w:bookmarkEnd w:id="18"/>
    </w:p>
    <w:p w14:paraId="3A3B53F2" w14:textId="5C59AA79" w:rsidR="00940A89" w:rsidRPr="006D1608" w:rsidRDefault="00006FAB" w:rsidP="00940A89">
      <w:bookmarkStart w:id="19" w:name="_Toc247691505"/>
      <w:bookmarkStart w:id="20" w:name="_Toc314842486"/>
      <w:r w:rsidRPr="006D1608">
        <w:t>This product is considered a new chemical entity for Australian regulatory purposes.</w:t>
      </w:r>
    </w:p>
    <w:p w14:paraId="1DC98F44" w14:textId="23BFC4F7" w:rsidR="00006FAB" w:rsidRDefault="00006FAB" w:rsidP="00006FAB">
      <w:r w:rsidRPr="006D1608">
        <w:t xml:space="preserve">At the time the TGA considered this application, a similar application had been approved in </w:t>
      </w:r>
      <w:r w:rsidR="006D1608" w:rsidRPr="006D1608">
        <w:t>the Unites State</w:t>
      </w:r>
      <w:r w:rsidR="000E5103">
        <w:t xml:space="preserve">s </w:t>
      </w:r>
      <w:r w:rsidR="00917BE2">
        <w:t xml:space="preserve">of America </w:t>
      </w:r>
      <w:r w:rsidR="000E5103">
        <w:t>(US</w:t>
      </w:r>
      <w:r w:rsidR="00917BE2">
        <w:t>A</w:t>
      </w:r>
      <w:r w:rsidR="000E5103">
        <w:t xml:space="preserve">). </w:t>
      </w:r>
    </w:p>
    <w:p w14:paraId="0402D2CF" w14:textId="5657667B" w:rsidR="00CA6062" w:rsidRPr="002165CB" w:rsidRDefault="00CA6062" w:rsidP="002165CB">
      <w:pPr>
        <w:pStyle w:val="TableTitle"/>
      </w:pPr>
      <w:r w:rsidRPr="002165CB">
        <w:t xml:space="preserve">Table </w:t>
      </w:r>
      <w:fldSimple w:instr=" SEQ Table \* ARABIC ">
        <w:r w:rsidR="002C225D">
          <w:rPr>
            <w:noProof/>
          </w:rPr>
          <w:t>1</w:t>
        </w:r>
      </w:fldSimple>
      <w:r w:rsidRPr="002165CB">
        <w:t>: International regulatory status</w:t>
      </w:r>
    </w:p>
    <w:tbl>
      <w:tblPr>
        <w:tblStyle w:val="TableTGAblue"/>
        <w:tblW w:w="0" w:type="auto"/>
        <w:tblLook w:val="04A0" w:firstRow="1" w:lastRow="0" w:firstColumn="1" w:lastColumn="0" w:noHBand="0" w:noVBand="1"/>
      </w:tblPr>
      <w:tblGrid>
        <w:gridCol w:w="2093"/>
        <w:gridCol w:w="2121"/>
        <w:gridCol w:w="2130"/>
        <w:gridCol w:w="2150"/>
      </w:tblGrid>
      <w:tr w:rsidR="00167533" w14:paraId="29B169C0" w14:textId="77777777" w:rsidTr="00CD0A44">
        <w:trPr>
          <w:cnfStyle w:val="100000000000" w:firstRow="1" w:lastRow="0" w:firstColumn="0" w:lastColumn="0" w:oddVBand="0" w:evenVBand="0" w:oddHBand="0" w:evenHBand="0" w:firstRowFirstColumn="0" w:firstRowLastColumn="0" w:lastRowFirstColumn="0" w:lastRowLastColumn="0"/>
        </w:trPr>
        <w:tc>
          <w:tcPr>
            <w:tcW w:w="2093" w:type="dxa"/>
            <w:tcBorders>
              <w:top w:val="single" w:sz="4" w:space="0" w:color="auto"/>
              <w:left w:val="single" w:sz="4" w:space="0" w:color="auto"/>
              <w:bottom w:val="single" w:sz="4" w:space="0" w:color="auto"/>
              <w:right w:val="single" w:sz="4" w:space="0" w:color="auto"/>
            </w:tcBorders>
          </w:tcPr>
          <w:p w14:paraId="7D09714C" w14:textId="77777777" w:rsidR="00167533" w:rsidRPr="0093432C" w:rsidRDefault="00167533" w:rsidP="00167533">
            <w:pPr>
              <w:ind w:left="0" w:right="0"/>
              <w:rPr>
                <w:sz w:val="20"/>
                <w:szCs w:val="20"/>
              </w:rPr>
            </w:pPr>
            <w:r w:rsidRPr="0093432C">
              <w:rPr>
                <w:sz w:val="20"/>
                <w:szCs w:val="20"/>
              </w:rPr>
              <w:t>Region</w:t>
            </w:r>
          </w:p>
        </w:tc>
        <w:tc>
          <w:tcPr>
            <w:tcW w:w="2121" w:type="dxa"/>
            <w:tcBorders>
              <w:top w:val="single" w:sz="4" w:space="0" w:color="auto"/>
              <w:left w:val="single" w:sz="4" w:space="0" w:color="auto"/>
              <w:bottom w:val="single" w:sz="4" w:space="0" w:color="auto"/>
              <w:right w:val="single" w:sz="4" w:space="0" w:color="auto"/>
            </w:tcBorders>
          </w:tcPr>
          <w:p w14:paraId="6E4C6173" w14:textId="77777777" w:rsidR="00167533" w:rsidRPr="0093432C" w:rsidRDefault="00167533" w:rsidP="00167533">
            <w:pPr>
              <w:ind w:left="0" w:right="0"/>
              <w:rPr>
                <w:sz w:val="20"/>
                <w:szCs w:val="20"/>
              </w:rPr>
            </w:pPr>
            <w:r w:rsidRPr="0093432C">
              <w:rPr>
                <w:sz w:val="20"/>
                <w:szCs w:val="20"/>
              </w:rPr>
              <w:t>Submission date</w:t>
            </w:r>
          </w:p>
        </w:tc>
        <w:tc>
          <w:tcPr>
            <w:tcW w:w="2130" w:type="dxa"/>
            <w:tcBorders>
              <w:top w:val="single" w:sz="4" w:space="0" w:color="auto"/>
              <w:left w:val="single" w:sz="4" w:space="0" w:color="auto"/>
              <w:bottom w:val="single" w:sz="4" w:space="0" w:color="auto"/>
              <w:right w:val="single" w:sz="4" w:space="0" w:color="auto"/>
            </w:tcBorders>
          </w:tcPr>
          <w:p w14:paraId="034367E6" w14:textId="77777777" w:rsidR="00167533" w:rsidRPr="0093432C" w:rsidRDefault="00167533" w:rsidP="00167533">
            <w:pPr>
              <w:ind w:left="0" w:right="0"/>
              <w:rPr>
                <w:sz w:val="20"/>
                <w:szCs w:val="20"/>
              </w:rPr>
            </w:pPr>
            <w:r w:rsidRPr="0093432C">
              <w:rPr>
                <w:sz w:val="20"/>
                <w:szCs w:val="20"/>
              </w:rPr>
              <w:t>Status</w:t>
            </w:r>
          </w:p>
        </w:tc>
        <w:tc>
          <w:tcPr>
            <w:tcW w:w="2150" w:type="dxa"/>
            <w:tcBorders>
              <w:top w:val="single" w:sz="4" w:space="0" w:color="auto"/>
              <w:left w:val="single" w:sz="4" w:space="0" w:color="auto"/>
              <w:bottom w:val="single" w:sz="4" w:space="0" w:color="auto"/>
              <w:right w:val="single" w:sz="4" w:space="0" w:color="auto"/>
            </w:tcBorders>
          </w:tcPr>
          <w:p w14:paraId="4BF5A46B" w14:textId="77777777" w:rsidR="00167533" w:rsidRPr="0093432C" w:rsidRDefault="00167533" w:rsidP="00167533">
            <w:pPr>
              <w:ind w:left="0" w:right="0"/>
              <w:rPr>
                <w:sz w:val="20"/>
                <w:szCs w:val="20"/>
              </w:rPr>
            </w:pPr>
            <w:r w:rsidRPr="0093432C">
              <w:rPr>
                <w:sz w:val="20"/>
                <w:szCs w:val="20"/>
              </w:rPr>
              <w:t>Approved indications</w:t>
            </w:r>
          </w:p>
        </w:tc>
      </w:tr>
      <w:tr w:rsidR="00167533" w14:paraId="030ECD61" w14:textId="77777777" w:rsidTr="00CD0A44">
        <w:tc>
          <w:tcPr>
            <w:tcW w:w="2093" w:type="dxa"/>
          </w:tcPr>
          <w:p w14:paraId="48C5E193" w14:textId="0412CDE7" w:rsidR="00167533" w:rsidRPr="0093432C" w:rsidRDefault="00CD0A44" w:rsidP="00A17B9B">
            <w:pPr>
              <w:ind w:left="0"/>
              <w:rPr>
                <w:sz w:val="20"/>
                <w:szCs w:val="20"/>
              </w:rPr>
            </w:pPr>
            <w:r w:rsidRPr="0093432C">
              <w:rPr>
                <w:sz w:val="20"/>
                <w:szCs w:val="20"/>
              </w:rPr>
              <w:t>United States of</w:t>
            </w:r>
            <w:r w:rsidR="008C5B99">
              <w:rPr>
                <w:sz w:val="20"/>
                <w:szCs w:val="20"/>
              </w:rPr>
              <w:t xml:space="preserve"> </w:t>
            </w:r>
            <w:r w:rsidRPr="0093432C">
              <w:rPr>
                <w:sz w:val="20"/>
                <w:szCs w:val="20"/>
              </w:rPr>
              <w:t>America</w:t>
            </w:r>
          </w:p>
        </w:tc>
        <w:tc>
          <w:tcPr>
            <w:tcW w:w="2121" w:type="dxa"/>
          </w:tcPr>
          <w:p w14:paraId="6A6BA80E" w14:textId="47DEE700" w:rsidR="00167533" w:rsidRPr="0093432C" w:rsidRDefault="00CD0A44" w:rsidP="00167533">
            <w:pPr>
              <w:ind w:left="0" w:right="0"/>
              <w:rPr>
                <w:sz w:val="20"/>
                <w:szCs w:val="20"/>
              </w:rPr>
            </w:pPr>
            <w:r w:rsidRPr="0093432C">
              <w:rPr>
                <w:sz w:val="20"/>
                <w:szCs w:val="20"/>
              </w:rPr>
              <w:t>December 2019</w:t>
            </w:r>
          </w:p>
        </w:tc>
        <w:tc>
          <w:tcPr>
            <w:tcW w:w="2130" w:type="dxa"/>
          </w:tcPr>
          <w:p w14:paraId="3F1B1141" w14:textId="4037573F" w:rsidR="00167533" w:rsidRPr="0093432C" w:rsidRDefault="00CA6062" w:rsidP="00167533">
            <w:pPr>
              <w:ind w:left="0" w:right="0"/>
              <w:rPr>
                <w:sz w:val="20"/>
                <w:szCs w:val="20"/>
              </w:rPr>
            </w:pPr>
            <w:r w:rsidRPr="0093432C">
              <w:rPr>
                <w:sz w:val="20"/>
                <w:szCs w:val="20"/>
              </w:rPr>
              <w:t xml:space="preserve">Approved on </w:t>
            </w:r>
            <w:r w:rsidR="00CD0A44" w:rsidRPr="0093432C">
              <w:rPr>
                <w:sz w:val="20"/>
                <w:szCs w:val="20"/>
              </w:rPr>
              <w:t>15 June 2020</w:t>
            </w:r>
          </w:p>
        </w:tc>
        <w:tc>
          <w:tcPr>
            <w:tcW w:w="2150" w:type="dxa"/>
          </w:tcPr>
          <w:p w14:paraId="0C71C13C" w14:textId="6071D5C8" w:rsidR="00167533" w:rsidRPr="0093432C" w:rsidRDefault="00CD0A44" w:rsidP="00CD0A44">
            <w:pPr>
              <w:ind w:left="0"/>
              <w:rPr>
                <w:i/>
                <w:iCs/>
                <w:sz w:val="20"/>
                <w:szCs w:val="20"/>
              </w:rPr>
            </w:pPr>
            <w:r w:rsidRPr="0093432C">
              <w:rPr>
                <w:i/>
                <w:iCs/>
                <w:sz w:val="20"/>
                <w:szCs w:val="20"/>
              </w:rPr>
              <w:t>Z</w:t>
            </w:r>
            <w:r w:rsidR="008C5B99">
              <w:rPr>
                <w:i/>
                <w:iCs/>
                <w:sz w:val="20"/>
                <w:szCs w:val="20"/>
              </w:rPr>
              <w:t>epzelca</w:t>
            </w:r>
            <w:r w:rsidRPr="0093432C">
              <w:rPr>
                <w:i/>
                <w:iCs/>
                <w:sz w:val="20"/>
                <w:szCs w:val="20"/>
              </w:rPr>
              <w:t xml:space="preserve"> (lurbinectedin) is indicated for the</w:t>
            </w:r>
            <w:r w:rsidR="00CA6062" w:rsidRPr="0093432C">
              <w:rPr>
                <w:i/>
                <w:iCs/>
                <w:sz w:val="20"/>
                <w:szCs w:val="20"/>
              </w:rPr>
              <w:t xml:space="preserve"> </w:t>
            </w:r>
            <w:r w:rsidRPr="0093432C">
              <w:rPr>
                <w:i/>
                <w:iCs/>
                <w:sz w:val="20"/>
                <w:szCs w:val="20"/>
              </w:rPr>
              <w:t>treatment of patients with SCLC who have progressed after prior platinum containing therapy.</w:t>
            </w:r>
          </w:p>
        </w:tc>
      </w:tr>
    </w:tbl>
    <w:p w14:paraId="6D31FB6D" w14:textId="77777777" w:rsidR="008E7846" w:rsidRDefault="008E7846" w:rsidP="00940A89">
      <w:pPr>
        <w:pStyle w:val="Heading3"/>
      </w:pPr>
      <w:bookmarkStart w:id="21" w:name="_Toc102558211"/>
      <w:r>
        <w:t>Product Information</w:t>
      </w:r>
      <w:bookmarkEnd w:id="19"/>
      <w:bookmarkEnd w:id="20"/>
      <w:bookmarkEnd w:id="21"/>
    </w:p>
    <w:p w14:paraId="31877285" w14:textId="77777777" w:rsidR="00940A89" w:rsidRDefault="006136D7" w:rsidP="00940A89">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9" w:history="1">
        <w:r w:rsidR="00441C3F" w:rsidRPr="00441C3F">
          <w:rPr>
            <w:rStyle w:val="Hyperlink"/>
          </w:rPr>
          <w:t>https://www.tga.gov.au/product-information-pi</w:t>
        </w:r>
      </w:hyperlink>
      <w:r w:rsidR="00441C3F">
        <w:t>&gt;</w:t>
      </w:r>
      <w:r w:rsidR="00940A89" w:rsidRPr="00940A89">
        <w:t>.</w:t>
      </w:r>
    </w:p>
    <w:p w14:paraId="41201D61" w14:textId="77777777" w:rsidR="00500337" w:rsidRDefault="00500337" w:rsidP="00500337">
      <w:pPr>
        <w:pStyle w:val="Heading2"/>
      </w:pPr>
      <w:bookmarkStart w:id="24" w:name="_Toc504480011"/>
      <w:bookmarkStart w:id="25" w:name="_Toc102558212"/>
      <w:r>
        <w:lastRenderedPageBreak/>
        <w:t>II. Registration timeline</w:t>
      </w:r>
      <w:bookmarkEnd w:id="24"/>
      <w:bookmarkEnd w:id="25"/>
    </w:p>
    <w:p w14:paraId="0813F406" w14:textId="77777777" w:rsidR="00500337" w:rsidRDefault="00500337" w:rsidP="00500337">
      <w:r>
        <w:t xml:space="preserve">The following table captures the key steps and dates for this </w:t>
      </w:r>
      <w:proofErr w:type="gramStart"/>
      <w:r>
        <w:t>application</w:t>
      </w:r>
      <w:proofErr w:type="gramEnd"/>
      <w:r>
        <w:t xml:space="preserve"> and which are detailed and discussed in this AusPAR.</w:t>
      </w:r>
    </w:p>
    <w:p w14:paraId="3ED63345" w14:textId="1CBA9987" w:rsidR="002165CB" w:rsidRDefault="002165CB" w:rsidP="002165CB">
      <w:pPr>
        <w:pStyle w:val="TableTitle"/>
      </w:pPr>
      <w:r>
        <w:t xml:space="preserve">Table </w:t>
      </w:r>
      <w:fldSimple w:instr=" SEQ Table \* ARABIC ">
        <w:r w:rsidR="002C225D">
          <w:rPr>
            <w:noProof/>
          </w:rPr>
          <w:t>2</w:t>
        </w:r>
      </w:fldSimple>
      <w:r>
        <w:t>:</w:t>
      </w:r>
      <w:r w:rsidRPr="006A58A8">
        <w:t xml:space="preserve"> Timeline for Submission </w:t>
      </w:r>
      <w:r w:rsidRPr="004A1D8A">
        <w:t>PM-2020-02181-1-4</w:t>
      </w:r>
    </w:p>
    <w:tbl>
      <w:tblPr>
        <w:tblStyle w:val="TableTGAblue"/>
        <w:tblW w:w="0" w:type="auto"/>
        <w:tblLook w:val="04A0" w:firstRow="1" w:lastRow="0" w:firstColumn="1" w:lastColumn="0" w:noHBand="0" w:noVBand="1"/>
      </w:tblPr>
      <w:tblGrid>
        <w:gridCol w:w="6091"/>
        <w:gridCol w:w="2403"/>
      </w:tblGrid>
      <w:tr w:rsidR="00D57DF6" w14:paraId="26EB32F9" w14:textId="77777777" w:rsidTr="00130E1B">
        <w:trPr>
          <w:cnfStyle w:val="100000000000" w:firstRow="1" w:lastRow="0" w:firstColumn="0" w:lastColumn="0" w:oddVBand="0" w:evenVBand="0" w:oddHBand="0" w:evenHBand="0" w:firstRowFirstColumn="0" w:firstRowLastColumn="0" w:lastRowFirstColumn="0" w:lastRowLastColumn="0"/>
          <w:cantSplit/>
        </w:trPr>
        <w:tc>
          <w:tcPr>
            <w:tcW w:w="6091" w:type="dxa"/>
            <w:tcBorders>
              <w:top w:val="single" w:sz="4" w:space="0" w:color="auto"/>
              <w:left w:val="single" w:sz="4" w:space="0" w:color="auto"/>
              <w:bottom w:val="single" w:sz="4" w:space="0" w:color="auto"/>
              <w:right w:val="single" w:sz="4" w:space="0" w:color="auto"/>
            </w:tcBorders>
          </w:tcPr>
          <w:p w14:paraId="6515FE8E" w14:textId="77777777" w:rsidR="00D57DF6" w:rsidRPr="0093432C" w:rsidRDefault="00D57DF6" w:rsidP="00345FBC">
            <w:pPr>
              <w:ind w:left="0" w:right="0"/>
              <w:rPr>
                <w:sz w:val="20"/>
                <w:szCs w:val="20"/>
              </w:rPr>
            </w:pPr>
            <w:r w:rsidRPr="0093432C">
              <w:rPr>
                <w:sz w:val="20"/>
                <w:szCs w:val="20"/>
              </w:rPr>
              <w:t>Description</w:t>
            </w:r>
          </w:p>
        </w:tc>
        <w:tc>
          <w:tcPr>
            <w:tcW w:w="2403" w:type="dxa"/>
            <w:tcBorders>
              <w:top w:val="single" w:sz="4" w:space="0" w:color="auto"/>
              <w:left w:val="single" w:sz="4" w:space="0" w:color="auto"/>
              <w:bottom w:val="single" w:sz="4" w:space="0" w:color="auto"/>
              <w:right w:val="single" w:sz="4" w:space="0" w:color="auto"/>
            </w:tcBorders>
          </w:tcPr>
          <w:p w14:paraId="17D3798F" w14:textId="77777777" w:rsidR="00D57DF6" w:rsidRPr="0093432C" w:rsidRDefault="00D57DF6" w:rsidP="00345FBC">
            <w:pPr>
              <w:ind w:left="0" w:right="0"/>
              <w:rPr>
                <w:sz w:val="20"/>
                <w:szCs w:val="20"/>
              </w:rPr>
            </w:pPr>
            <w:r w:rsidRPr="0093432C">
              <w:rPr>
                <w:sz w:val="20"/>
                <w:szCs w:val="20"/>
              </w:rPr>
              <w:t>Date</w:t>
            </w:r>
          </w:p>
        </w:tc>
      </w:tr>
      <w:tr w:rsidR="00D57DF6" w14:paraId="42B430FC" w14:textId="77777777" w:rsidTr="00130E1B">
        <w:tc>
          <w:tcPr>
            <w:tcW w:w="6091" w:type="dxa"/>
            <w:tcBorders>
              <w:top w:val="single" w:sz="4" w:space="0" w:color="auto"/>
            </w:tcBorders>
          </w:tcPr>
          <w:p w14:paraId="1059BE9C" w14:textId="27A06115" w:rsidR="00D57DF6" w:rsidRPr="0093432C" w:rsidRDefault="00D57DF6" w:rsidP="00345FBC">
            <w:pPr>
              <w:ind w:left="0" w:right="0"/>
              <w:rPr>
                <w:sz w:val="20"/>
                <w:szCs w:val="20"/>
              </w:rPr>
            </w:pPr>
            <w:r w:rsidRPr="0093432C">
              <w:rPr>
                <w:sz w:val="20"/>
                <w:szCs w:val="20"/>
              </w:rPr>
              <w:t>Designation; Orphan</w:t>
            </w:r>
            <w:r w:rsidR="00851F3F" w:rsidRPr="0093432C">
              <w:rPr>
                <w:sz w:val="20"/>
                <w:szCs w:val="20"/>
              </w:rPr>
              <w:t>;</w:t>
            </w:r>
            <w:r w:rsidR="00851F3F" w:rsidRPr="0093432C">
              <w:rPr>
                <w:rStyle w:val="FootnoteReference"/>
                <w:sz w:val="20"/>
                <w:szCs w:val="20"/>
              </w:rPr>
              <w:footnoteReference w:id="30"/>
            </w:r>
          </w:p>
          <w:p w14:paraId="280F5400" w14:textId="2268C494" w:rsidR="00D57DF6" w:rsidRPr="0093432C" w:rsidRDefault="002165CB" w:rsidP="00345FBC">
            <w:pPr>
              <w:ind w:left="0" w:right="0"/>
              <w:rPr>
                <w:sz w:val="20"/>
                <w:szCs w:val="20"/>
              </w:rPr>
            </w:pPr>
            <w:r w:rsidRPr="0093432C">
              <w:rPr>
                <w:sz w:val="20"/>
                <w:szCs w:val="20"/>
              </w:rPr>
              <w:t xml:space="preserve">Determination; </w:t>
            </w:r>
            <w:r w:rsidR="00D57DF6" w:rsidRPr="0093432C">
              <w:rPr>
                <w:sz w:val="20"/>
                <w:szCs w:val="20"/>
              </w:rPr>
              <w:t>Provisional</w:t>
            </w:r>
            <w:r w:rsidR="00851F3F" w:rsidRPr="0093432C">
              <w:rPr>
                <w:sz w:val="20"/>
                <w:szCs w:val="20"/>
              </w:rPr>
              <w:t>;</w:t>
            </w:r>
            <w:r w:rsidR="00851F3F" w:rsidRPr="0093432C">
              <w:rPr>
                <w:rStyle w:val="FootnoteReference"/>
                <w:sz w:val="20"/>
                <w:szCs w:val="20"/>
              </w:rPr>
              <w:footnoteReference w:id="31"/>
            </w:r>
          </w:p>
        </w:tc>
        <w:tc>
          <w:tcPr>
            <w:tcW w:w="2403" w:type="dxa"/>
            <w:tcBorders>
              <w:top w:val="single" w:sz="4" w:space="0" w:color="auto"/>
            </w:tcBorders>
          </w:tcPr>
          <w:p w14:paraId="3C8C900D" w14:textId="77777777" w:rsidR="00D57DF6" w:rsidRPr="0093432C" w:rsidRDefault="00D57DF6" w:rsidP="00345FBC">
            <w:pPr>
              <w:ind w:left="0" w:right="0"/>
              <w:rPr>
                <w:sz w:val="20"/>
                <w:szCs w:val="20"/>
              </w:rPr>
            </w:pPr>
            <w:r w:rsidRPr="0093432C">
              <w:rPr>
                <w:sz w:val="20"/>
                <w:szCs w:val="20"/>
              </w:rPr>
              <w:t>17 February 2020</w:t>
            </w:r>
          </w:p>
          <w:p w14:paraId="6F1639CC" w14:textId="0E29532F" w:rsidR="00D57DF6" w:rsidRPr="0093432C" w:rsidRDefault="00D57DF6" w:rsidP="00345FBC">
            <w:pPr>
              <w:ind w:left="0" w:right="0"/>
              <w:rPr>
                <w:sz w:val="20"/>
                <w:szCs w:val="20"/>
              </w:rPr>
            </w:pPr>
            <w:r w:rsidRPr="0093432C">
              <w:rPr>
                <w:sz w:val="20"/>
                <w:szCs w:val="20"/>
              </w:rPr>
              <w:t>29 April 2020</w:t>
            </w:r>
          </w:p>
        </w:tc>
      </w:tr>
      <w:tr w:rsidR="00D57DF6" w14:paraId="19CA2DA2" w14:textId="77777777" w:rsidTr="00130E1B">
        <w:tc>
          <w:tcPr>
            <w:tcW w:w="6091" w:type="dxa"/>
          </w:tcPr>
          <w:p w14:paraId="15C8005A" w14:textId="77777777" w:rsidR="00D57DF6" w:rsidRPr="0093432C" w:rsidRDefault="00D57DF6" w:rsidP="00345FBC">
            <w:pPr>
              <w:ind w:left="0" w:right="0"/>
              <w:rPr>
                <w:sz w:val="20"/>
                <w:szCs w:val="20"/>
              </w:rPr>
            </w:pPr>
            <w:r w:rsidRPr="0093432C">
              <w:rPr>
                <w:sz w:val="20"/>
                <w:szCs w:val="20"/>
              </w:rPr>
              <w:t>Submission dossier accepted and first round evaluation commenced</w:t>
            </w:r>
          </w:p>
        </w:tc>
        <w:tc>
          <w:tcPr>
            <w:tcW w:w="2403" w:type="dxa"/>
          </w:tcPr>
          <w:p w14:paraId="34C23724" w14:textId="476E88B3" w:rsidR="00D57DF6" w:rsidRPr="0093432C" w:rsidRDefault="00E94B14" w:rsidP="00345FBC">
            <w:pPr>
              <w:ind w:left="0" w:right="0"/>
              <w:rPr>
                <w:sz w:val="20"/>
                <w:szCs w:val="20"/>
              </w:rPr>
            </w:pPr>
            <w:r>
              <w:rPr>
                <w:sz w:val="20"/>
                <w:szCs w:val="20"/>
              </w:rPr>
              <w:t>28 May</w:t>
            </w:r>
            <w:r w:rsidR="00D57DF6" w:rsidRPr="0093432C">
              <w:rPr>
                <w:sz w:val="20"/>
                <w:szCs w:val="20"/>
              </w:rPr>
              <w:t xml:space="preserve"> 2020</w:t>
            </w:r>
          </w:p>
        </w:tc>
      </w:tr>
      <w:tr w:rsidR="00D57DF6" w14:paraId="782D9402" w14:textId="77777777" w:rsidTr="00130E1B">
        <w:tc>
          <w:tcPr>
            <w:tcW w:w="6091" w:type="dxa"/>
          </w:tcPr>
          <w:p w14:paraId="7C455340" w14:textId="77777777" w:rsidR="00D57DF6" w:rsidRPr="0093432C" w:rsidRDefault="00D57DF6" w:rsidP="00345FBC">
            <w:pPr>
              <w:ind w:left="0" w:right="0"/>
              <w:rPr>
                <w:sz w:val="20"/>
                <w:szCs w:val="20"/>
              </w:rPr>
            </w:pPr>
            <w:r w:rsidRPr="0093432C">
              <w:rPr>
                <w:sz w:val="20"/>
                <w:szCs w:val="20"/>
              </w:rPr>
              <w:t>First round evaluation completed</w:t>
            </w:r>
          </w:p>
        </w:tc>
        <w:tc>
          <w:tcPr>
            <w:tcW w:w="2403" w:type="dxa"/>
          </w:tcPr>
          <w:p w14:paraId="0A97AF52" w14:textId="421F0325" w:rsidR="00D57DF6" w:rsidRPr="0093432C" w:rsidRDefault="00D57DF6" w:rsidP="00345FBC">
            <w:pPr>
              <w:ind w:left="0" w:right="0"/>
              <w:rPr>
                <w:sz w:val="20"/>
                <w:szCs w:val="20"/>
              </w:rPr>
            </w:pPr>
            <w:r w:rsidRPr="0093432C">
              <w:rPr>
                <w:sz w:val="20"/>
                <w:szCs w:val="20"/>
              </w:rPr>
              <w:t>2 November 2020</w:t>
            </w:r>
          </w:p>
        </w:tc>
      </w:tr>
      <w:tr w:rsidR="00D57DF6" w14:paraId="04B9D712" w14:textId="77777777" w:rsidTr="00130E1B">
        <w:tc>
          <w:tcPr>
            <w:tcW w:w="6091" w:type="dxa"/>
          </w:tcPr>
          <w:p w14:paraId="07940BEA" w14:textId="77777777" w:rsidR="00D57DF6" w:rsidRPr="0093432C" w:rsidRDefault="00D57DF6" w:rsidP="00345FBC">
            <w:pPr>
              <w:ind w:left="0" w:right="0"/>
              <w:rPr>
                <w:sz w:val="20"/>
                <w:szCs w:val="20"/>
              </w:rPr>
            </w:pPr>
            <w:r w:rsidRPr="0093432C">
              <w:rPr>
                <w:sz w:val="20"/>
                <w:szCs w:val="20"/>
              </w:rPr>
              <w:t>Sponsor provides responses on questions raised in first round evaluation</w:t>
            </w:r>
          </w:p>
        </w:tc>
        <w:tc>
          <w:tcPr>
            <w:tcW w:w="2403" w:type="dxa"/>
          </w:tcPr>
          <w:p w14:paraId="5599B4CC" w14:textId="5CB4B33C" w:rsidR="00D57DF6" w:rsidRPr="0093432C" w:rsidRDefault="00D57DF6" w:rsidP="00345FBC">
            <w:pPr>
              <w:ind w:left="0" w:right="0"/>
              <w:rPr>
                <w:sz w:val="20"/>
                <w:szCs w:val="20"/>
              </w:rPr>
            </w:pPr>
            <w:r w:rsidRPr="0093432C">
              <w:rPr>
                <w:sz w:val="20"/>
                <w:szCs w:val="20"/>
              </w:rPr>
              <w:t>21 December 2020</w:t>
            </w:r>
          </w:p>
        </w:tc>
      </w:tr>
      <w:tr w:rsidR="00D57DF6" w14:paraId="1ADEE69D" w14:textId="77777777" w:rsidTr="00130E1B">
        <w:tc>
          <w:tcPr>
            <w:tcW w:w="6091" w:type="dxa"/>
          </w:tcPr>
          <w:p w14:paraId="687C82A9" w14:textId="77777777" w:rsidR="00D57DF6" w:rsidRPr="0093432C" w:rsidRDefault="00D57DF6" w:rsidP="00345FBC">
            <w:pPr>
              <w:ind w:left="0" w:right="0"/>
              <w:rPr>
                <w:sz w:val="20"/>
                <w:szCs w:val="20"/>
              </w:rPr>
            </w:pPr>
            <w:r w:rsidRPr="0093432C">
              <w:rPr>
                <w:sz w:val="20"/>
                <w:szCs w:val="20"/>
              </w:rPr>
              <w:t>Second round evaluation completed</w:t>
            </w:r>
          </w:p>
        </w:tc>
        <w:tc>
          <w:tcPr>
            <w:tcW w:w="2403" w:type="dxa"/>
          </w:tcPr>
          <w:p w14:paraId="0BAD8549" w14:textId="2E9E12B4" w:rsidR="00D57DF6" w:rsidRPr="0093432C" w:rsidRDefault="00D57DF6" w:rsidP="00345FBC">
            <w:pPr>
              <w:ind w:left="0" w:right="0"/>
              <w:rPr>
                <w:sz w:val="20"/>
                <w:szCs w:val="20"/>
              </w:rPr>
            </w:pPr>
            <w:r w:rsidRPr="0093432C">
              <w:rPr>
                <w:sz w:val="20"/>
                <w:szCs w:val="20"/>
              </w:rPr>
              <w:t>12 February 2021</w:t>
            </w:r>
          </w:p>
        </w:tc>
      </w:tr>
      <w:tr w:rsidR="00D57DF6" w14:paraId="74E015B9" w14:textId="77777777" w:rsidTr="00130E1B">
        <w:tc>
          <w:tcPr>
            <w:tcW w:w="6091" w:type="dxa"/>
          </w:tcPr>
          <w:p w14:paraId="7441C523" w14:textId="6DD3574A" w:rsidR="00D57DF6" w:rsidRPr="0093432C" w:rsidRDefault="00D57DF6" w:rsidP="00345FBC">
            <w:pPr>
              <w:ind w:left="0" w:right="0"/>
              <w:rPr>
                <w:sz w:val="20"/>
                <w:szCs w:val="20"/>
              </w:rPr>
            </w:pPr>
            <w:r w:rsidRPr="0093432C">
              <w:rPr>
                <w:sz w:val="20"/>
                <w:szCs w:val="20"/>
              </w:rPr>
              <w:t>Delegate’s Overall benefit-risk assessment</w:t>
            </w:r>
          </w:p>
        </w:tc>
        <w:tc>
          <w:tcPr>
            <w:tcW w:w="2403" w:type="dxa"/>
          </w:tcPr>
          <w:p w14:paraId="1A34C116" w14:textId="459F05BF" w:rsidR="00D57DF6" w:rsidRPr="0093432C" w:rsidRDefault="00D57DF6" w:rsidP="00345FBC">
            <w:pPr>
              <w:ind w:left="0" w:right="0"/>
              <w:rPr>
                <w:sz w:val="20"/>
                <w:szCs w:val="20"/>
              </w:rPr>
            </w:pPr>
            <w:r w:rsidRPr="0093432C">
              <w:rPr>
                <w:sz w:val="20"/>
                <w:szCs w:val="20"/>
              </w:rPr>
              <w:t>8 September 2021</w:t>
            </w:r>
          </w:p>
        </w:tc>
      </w:tr>
      <w:tr w:rsidR="00D57DF6" w14:paraId="22DF57B2" w14:textId="77777777" w:rsidTr="00130E1B">
        <w:tc>
          <w:tcPr>
            <w:tcW w:w="6091" w:type="dxa"/>
          </w:tcPr>
          <w:p w14:paraId="53AE44E7" w14:textId="77777777" w:rsidR="00D57DF6" w:rsidRPr="0093432C" w:rsidRDefault="00D57DF6" w:rsidP="00345FBC">
            <w:pPr>
              <w:ind w:left="0" w:right="0"/>
              <w:rPr>
                <w:sz w:val="20"/>
                <w:szCs w:val="20"/>
              </w:rPr>
            </w:pPr>
            <w:r w:rsidRPr="0093432C">
              <w:rPr>
                <w:sz w:val="20"/>
                <w:szCs w:val="20"/>
              </w:rPr>
              <w:t>Sponsor’s pre-Advisory Committee response</w:t>
            </w:r>
          </w:p>
        </w:tc>
        <w:tc>
          <w:tcPr>
            <w:tcW w:w="2403" w:type="dxa"/>
          </w:tcPr>
          <w:p w14:paraId="5F9644EE" w14:textId="6818E6B2" w:rsidR="00D57DF6" w:rsidRPr="0093432C" w:rsidRDefault="00D57DF6" w:rsidP="00345FBC">
            <w:pPr>
              <w:ind w:left="0" w:right="0"/>
              <w:rPr>
                <w:sz w:val="20"/>
                <w:szCs w:val="20"/>
              </w:rPr>
            </w:pPr>
            <w:r w:rsidRPr="0093432C">
              <w:rPr>
                <w:sz w:val="20"/>
                <w:szCs w:val="20"/>
              </w:rPr>
              <w:t>Not applicable</w:t>
            </w:r>
          </w:p>
        </w:tc>
      </w:tr>
      <w:tr w:rsidR="00D57DF6" w14:paraId="51E3C210" w14:textId="77777777" w:rsidTr="00130E1B">
        <w:tc>
          <w:tcPr>
            <w:tcW w:w="6091" w:type="dxa"/>
          </w:tcPr>
          <w:p w14:paraId="6D341D74" w14:textId="77777777" w:rsidR="00D57DF6" w:rsidRPr="0093432C" w:rsidRDefault="00D57DF6" w:rsidP="00345FBC">
            <w:pPr>
              <w:ind w:left="0" w:right="0"/>
              <w:rPr>
                <w:sz w:val="20"/>
                <w:szCs w:val="20"/>
              </w:rPr>
            </w:pPr>
            <w:r w:rsidRPr="0093432C">
              <w:rPr>
                <w:sz w:val="20"/>
                <w:szCs w:val="20"/>
              </w:rPr>
              <w:t>Advisory Committee meeting</w:t>
            </w:r>
          </w:p>
        </w:tc>
        <w:tc>
          <w:tcPr>
            <w:tcW w:w="2403" w:type="dxa"/>
          </w:tcPr>
          <w:p w14:paraId="035AEA86" w14:textId="59575A76" w:rsidR="00D57DF6" w:rsidRPr="0093432C" w:rsidRDefault="00D57DF6" w:rsidP="00345FBC">
            <w:pPr>
              <w:ind w:left="0" w:right="0"/>
              <w:rPr>
                <w:sz w:val="20"/>
                <w:szCs w:val="20"/>
              </w:rPr>
            </w:pPr>
            <w:r w:rsidRPr="0093432C">
              <w:rPr>
                <w:sz w:val="20"/>
                <w:szCs w:val="20"/>
              </w:rPr>
              <w:t>Not applicable</w:t>
            </w:r>
          </w:p>
        </w:tc>
      </w:tr>
      <w:tr w:rsidR="00D57DF6" w14:paraId="0055987D" w14:textId="77777777" w:rsidTr="00130E1B">
        <w:tc>
          <w:tcPr>
            <w:tcW w:w="6091" w:type="dxa"/>
          </w:tcPr>
          <w:p w14:paraId="2998C02C" w14:textId="77777777" w:rsidR="00D57DF6" w:rsidRPr="0093432C" w:rsidRDefault="00D57DF6" w:rsidP="00345FBC">
            <w:pPr>
              <w:ind w:left="0" w:right="0"/>
              <w:rPr>
                <w:sz w:val="20"/>
                <w:szCs w:val="20"/>
              </w:rPr>
            </w:pPr>
            <w:r w:rsidRPr="0093432C">
              <w:rPr>
                <w:sz w:val="20"/>
                <w:szCs w:val="20"/>
              </w:rPr>
              <w:t>Registration decision (Outcome)</w:t>
            </w:r>
          </w:p>
        </w:tc>
        <w:tc>
          <w:tcPr>
            <w:tcW w:w="2403" w:type="dxa"/>
          </w:tcPr>
          <w:p w14:paraId="64112216" w14:textId="602F1ACD" w:rsidR="00D57DF6" w:rsidRPr="0093432C" w:rsidRDefault="00D57DF6" w:rsidP="00345FBC">
            <w:pPr>
              <w:ind w:left="0" w:right="0"/>
              <w:rPr>
                <w:sz w:val="20"/>
                <w:szCs w:val="20"/>
              </w:rPr>
            </w:pPr>
            <w:r w:rsidRPr="0093432C">
              <w:rPr>
                <w:sz w:val="20"/>
                <w:szCs w:val="20"/>
              </w:rPr>
              <w:t>10 September 2021</w:t>
            </w:r>
          </w:p>
        </w:tc>
      </w:tr>
      <w:tr w:rsidR="00D57DF6" w14:paraId="395943DB" w14:textId="77777777" w:rsidTr="00130E1B">
        <w:tc>
          <w:tcPr>
            <w:tcW w:w="6091" w:type="dxa"/>
          </w:tcPr>
          <w:p w14:paraId="6EC79580" w14:textId="77777777" w:rsidR="00D57DF6" w:rsidRPr="0093432C" w:rsidRDefault="00D57DF6" w:rsidP="00345FBC">
            <w:pPr>
              <w:ind w:left="0" w:right="0"/>
              <w:rPr>
                <w:sz w:val="20"/>
                <w:szCs w:val="20"/>
              </w:rPr>
            </w:pPr>
            <w:r w:rsidRPr="0093432C">
              <w:rPr>
                <w:sz w:val="20"/>
                <w:szCs w:val="20"/>
              </w:rPr>
              <w:t>Completion of administrative activities and registration on the ARTG</w:t>
            </w:r>
          </w:p>
        </w:tc>
        <w:tc>
          <w:tcPr>
            <w:tcW w:w="2403" w:type="dxa"/>
          </w:tcPr>
          <w:p w14:paraId="79BF4223" w14:textId="72D14FBF" w:rsidR="00D57DF6" w:rsidRPr="0093432C" w:rsidRDefault="00D57DF6" w:rsidP="00345FBC">
            <w:pPr>
              <w:ind w:left="0" w:right="0"/>
              <w:rPr>
                <w:sz w:val="20"/>
                <w:szCs w:val="20"/>
              </w:rPr>
            </w:pPr>
            <w:r w:rsidRPr="0093432C">
              <w:rPr>
                <w:sz w:val="20"/>
                <w:szCs w:val="20"/>
              </w:rPr>
              <w:t>13 September 2021</w:t>
            </w:r>
          </w:p>
        </w:tc>
      </w:tr>
      <w:tr w:rsidR="00D57DF6" w14:paraId="66E017AF" w14:textId="77777777" w:rsidTr="00130E1B">
        <w:tc>
          <w:tcPr>
            <w:tcW w:w="6091" w:type="dxa"/>
          </w:tcPr>
          <w:p w14:paraId="308D0E3D" w14:textId="77777777" w:rsidR="00D57DF6" w:rsidRPr="0093432C" w:rsidRDefault="00D57DF6" w:rsidP="00345FBC">
            <w:pPr>
              <w:ind w:left="0" w:right="0"/>
              <w:rPr>
                <w:sz w:val="20"/>
                <w:szCs w:val="20"/>
              </w:rPr>
            </w:pPr>
            <w:r w:rsidRPr="0093432C">
              <w:rPr>
                <w:sz w:val="20"/>
                <w:szCs w:val="20"/>
              </w:rPr>
              <w:t>Number of working days from submission dossier acceptance to registration decision*</w:t>
            </w:r>
          </w:p>
        </w:tc>
        <w:tc>
          <w:tcPr>
            <w:tcW w:w="2403" w:type="dxa"/>
          </w:tcPr>
          <w:p w14:paraId="2E68004B" w14:textId="64CCB823" w:rsidR="00D57DF6" w:rsidRPr="0093432C" w:rsidRDefault="00D57DF6" w:rsidP="00345FBC">
            <w:pPr>
              <w:ind w:left="0" w:right="0"/>
              <w:rPr>
                <w:sz w:val="20"/>
                <w:szCs w:val="20"/>
              </w:rPr>
            </w:pPr>
            <w:r w:rsidRPr="0093432C">
              <w:rPr>
                <w:sz w:val="20"/>
                <w:szCs w:val="20"/>
              </w:rPr>
              <w:t>153</w:t>
            </w:r>
          </w:p>
        </w:tc>
      </w:tr>
    </w:tbl>
    <w:p w14:paraId="0A287C30" w14:textId="2AC9839A" w:rsidR="00500337" w:rsidRDefault="00500337" w:rsidP="00500337">
      <w:pPr>
        <w:pStyle w:val="TableDescription"/>
      </w:pPr>
      <w:r>
        <w:t>*</w:t>
      </w:r>
      <w:r w:rsidR="006603BC" w:rsidRPr="006603BC">
        <w:t>Statutory timeframe for standard applications is 255 working days</w:t>
      </w:r>
    </w:p>
    <w:p w14:paraId="31A5A048" w14:textId="77777777" w:rsidR="008E7846" w:rsidRPr="00792A32" w:rsidRDefault="00456765" w:rsidP="008E7846">
      <w:pPr>
        <w:pStyle w:val="Heading2"/>
      </w:pPr>
      <w:bookmarkStart w:id="26" w:name="_Toc196046504"/>
      <w:bookmarkStart w:id="27" w:name="_Toc247691527"/>
      <w:bookmarkStart w:id="28" w:name="_Toc314842510"/>
      <w:bookmarkStart w:id="29" w:name="_Toc102558213"/>
      <w:bookmarkStart w:id="30" w:name="_Toc163441390"/>
      <w:bookmarkEnd w:id="1"/>
      <w:bookmarkEnd w:id="22"/>
      <w:bookmarkEnd w:id="23"/>
      <w:r>
        <w:lastRenderedPageBreak/>
        <w:t>I</w:t>
      </w:r>
      <w:r w:rsidR="00DA64CB">
        <w:t>I</w:t>
      </w:r>
      <w:r w:rsidR="008E7846">
        <w:t xml:space="preserve">I. </w:t>
      </w:r>
      <w:r w:rsidR="00006FAB"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26"/>
      <w:bookmarkEnd w:id="27"/>
      <w:bookmarkEnd w:id="28"/>
      <w:bookmarkEnd w:id="29"/>
    </w:p>
    <w:p w14:paraId="3A02C6B2" w14:textId="77777777" w:rsidR="00006FAB" w:rsidRDefault="00006FAB" w:rsidP="00006FAB">
      <w:bookmarkStart w:id="31" w:name="_Toc247691528"/>
      <w:r>
        <w:t>The submission was summarised in the following Delegate’s overview and recommendations.</w:t>
      </w:r>
    </w:p>
    <w:p w14:paraId="24DB9728" w14:textId="77777777" w:rsidR="00006FAB" w:rsidRDefault="00006FAB" w:rsidP="00006FAB">
      <w:r>
        <w:t>This section is a TGA summary of wording used in TGA’s evaluation report, which discussed numerous aspects of overseas evaluation reports and included some information that was commercial-in-confidence.</w:t>
      </w:r>
    </w:p>
    <w:p w14:paraId="5B60034C" w14:textId="77777777" w:rsidR="008E7846" w:rsidRDefault="008E7846" w:rsidP="008E7846">
      <w:pPr>
        <w:pStyle w:val="Heading3"/>
      </w:pPr>
      <w:bookmarkStart w:id="32" w:name="_Toc314842511"/>
      <w:bookmarkStart w:id="33" w:name="_Toc102558214"/>
      <w:r>
        <w:t>Quality</w:t>
      </w:r>
      <w:bookmarkEnd w:id="31"/>
      <w:bookmarkEnd w:id="32"/>
      <w:bookmarkEnd w:id="33"/>
    </w:p>
    <w:p w14:paraId="6BFD2FD8" w14:textId="2F1847D1" w:rsidR="004A1D8A" w:rsidRPr="00D1362B" w:rsidRDefault="008424FD" w:rsidP="008424FD">
      <w:pPr>
        <w:pStyle w:val="ListBullet"/>
        <w:numPr>
          <w:ilvl w:val="0"/>
          <w:numId w:val="0"/>
        </w:numPr>
      </w:pPr>
      <w:bookmarkStart w:id="34" w:name="_Toc314842512"/>
      <w:r>
        <w:t>The quality evaluator</w:t>
      </w:r>
      <w:r w:rsidR="004A1D8A">
        <w:t xml:space="preserve"> concluded that</w:t>
      </w:r>
      <w:r>
        <w:t xml:space="preserve"> t</w:t>
      </w:r>
      <w:r w:rsidR="004A1D8A" w:rsidRPr="00D1362B">
        <w:t>he proposed trade name is acceptable.</w:t>
      </w:r>
      <w:r w:rsidR="00BB4A40">
        <w:t xml:space="preserve"> </w:t>
      </w:r>
      <w:r w:rsidR="004A1D8A" w:rsidRPr="00D1362B">
        <w:t>The proposed drug substance specification imposed by the drug product manufacturer is acceptable.</w:t>
      </w:r>
      <w:r w:rsidR="00BB4A40">
        <w:t xml:space="preserve"> </w:t>
      </w:r>
      <w:r w:rsidR="004A1D8A" w:rsidRPr="00D1362B">
        <w:t>The drug product specifications are acceptable.</w:t>
      </w:r>
    </w:p>
    <w:p w14:paraId="6B2164A2" w14:textId="153C7B98" w:rsidR="004A1D8A" w:rsidRPr="005515A4" w:rsidRDefault="004A1D8A" w:rsidP="002165CB">
      <w:r w:rsidRPr="00D1362B">
        <w:t>A shelf</w:t>
      </w:r>
      <w:r w:rsidR="00134650">
        <w:t xml:space="preserve"> </w:t>
      </w:r>
      <w:r w:rsidRPr="00D1362B">
        <w:t xml:space="preserve">life of 5 years, when stored at 2 </w:t>
      </w:r>
      <w:r w:rsidR="00134650">
        <w:t>to</w:t>
      </w:r>
      <w:r w:rsidRPr="00D1362B">
        <w:t xml:space="preserve"> 8°C with the conditions ‘</w:t>
      </w:r>
      <w:r w:rsidRPr="00E2170C">
        <w:t>Refrigerate. Do not freeze</w:t>
      </w:r>
      <w:r w:rsidRPr="00D1362B">
        <w:t xml:space="preserve">.’ has been assigned. The products are packed in cartons containing </w:t>
      </w:r>
      <w:r w:rsidR="00134650">
        <w:t>one</w:t>
      </w:r>
      <w:r w:rsidRPr="00D1362B">
        <w:t xml:space="preserve"> vial. The container closure system is West Pharma Daikyo </w:t>
      </w:r>
      <w:proofErr w:type="spellStart"/>
      <w:r w:rsidRPr="00D1362B">
        <w:t>Fluorotec</w:t>
      </w:r>
      <w:proofErr w:type="spellEnd"/>
      <w:r w:rsidRPr="00D1362B">
        <w:t xml:space="preserve"> closure (V10-F597W RS</w:t>
      </w:r>
      <w:r w:rsidR="00626822">
        <w:t>V</w:t>
      </w:r>
      <w:r w:rsidRPr="00D1362B">
        <w:t>) 20</w:t>
      </w:r>
      <w:r w:rsidR="00917BE2">
        <w:t> </w:t>
      </w:r>
      <w:r w:rsidRPr="00D1362B">
        <w:t xml:space="preserve">mm </w:t>
      </w:r>
      <w:proofErr w:type="spellStart"/>
      <w:r w:rsidRPr="00D1362B">
        <w:t>l</w:t>
      </w:r>
      <w:r w:rsidRPr="005515A4">
        <w:t>yo</w:t>
      </w:r>
      <w:proofErr w:type="spellEnd"/>
      <w:r w:rsidRPr="005515A4">
        <w:t xml:space="preserve"> stopper D777-1 RB2 coating</w:t>
      </w:r>
      <w:r w:rsidR="00626822">
        <w:t>.</w:t>
      </w:r>
    </w:p>
    <w:p w14:paraId="272187E1" w14:textId="69B43A49" w:rsidR="004A1D8A" w:rsidRPr="005515A4" w:rsidRDefault="004A1D8A" w:rsidP="002165CB">
      <w:r w:rsidRPr="005515A4">
        <w:t>The proposed PI is acceptable.</w:t>
      </w:r>
    </w:p>
    <w:p w14:paraId="4C6698FB" w14:textId="6E9A0B1D" w:rsidR="004A1D8A" w:rsidRDefault="004A1D8A" w:rsidP="002165CB">
      <w:r w:rsidRPr="005515A4">
        <w:t xml:space="preserve">Final </w:t>
      </w:r>
      <w:proofErr w:type="spellStart"/>
      <w:r w:rsidRPr="005515A4">
        <w:t>mockup</w:t>
      </w:r>
      <w:proofErr w:type="spellEnd"/>
      <w:r w:rsidRPr="005515A4">
        <w:t xml:space="preserve"> labels have been provided</w:t>
      </w:r>
      <w:r>
        <w:t>.</w:t>
      </w:r>
      <w:r w:rsidRPr="005515A4">
        <w:t xml:space="preserve"> </w:t>
      </w:r>
      <w:r w:rsidRPr="00513248">
        <w:t>The labels are acceptable.</w:t>
      </w:r>
    </w:p>
    <w:p w14:paraId="5E2EE0C2" w14:textId="4C5E371B" w:rsidR="004A1D8A" w:rsidRPr="00E2170C" w:rsidRDefault="003B1C64" w:rsidP="002165CB">
      <w:r>
        <w:t>Reviews</w:t>
      </w:r>
      <w:r w:rsidR="004A1D8A">
        <w:t xml:space="preserve"> of microbiological/sterility aspects and of bacterial endotoxin testing found these aspects to be acceptable, including that</w:t>
      </w:r>
      <w:r w:rsidR="00BB4A40">
        <w:t xml:space="preserve"> </w:t>
      </w:r>
      <w:r>
        <w:t>s</w:t>
      </w:r>
      <w:r w:rsidR="004A1D8A">
        <w:t>terility testing is adequate, and product information</w:t>
      </w:r>
      <w:r>
        <w:t xml:space="preserve"> (PI)</w:t>
      </w:r>
      <w:r w:rsidR="004A1D8A">
        <w:t xml:space="preserve"> text is acceptable, having been amended to reflect microbiological safety </w:t>
      </w:r>
      <w:proofErr w:type="gramStart"/>
      <w:r w:rsidR="004A1D8A">
        <w:t>with regard to</w:t>
      </w:r>
      <w:proofErr w:type="gramEnd"/>
      <w:r w:rsidR="004A1D8A">
        <w:t xml:space="preserve"> immediacy of usage and storage limitations after preparation. Bacterial endotoxin testing is adequate, with an endotoxin </w:t>
      </w:r>
      <w:r w:rsidR="004A1D8A" w:rsidRPr="006B222D">
        <w:rPr>
          <w:rFonts w:asciiTheme="minorHAnsi" w:hAnsiTheme="minorHAnsi" w:cs="TimesNewRomanPSMT"/>
          <w:lang w:eastAsia="en-AU"/>
        </w:rPr>
        <w:t xml:space="preserve">specification of </w:t>
      </w:r>
      <w:r w:rsidR="006B5064">
        <w:rPr>
          <w:rFonts w:asciiTheme="minorHAnsi" w:hAnsiTheme="minorHAnsi" w:cs="TimesNewRomanPSMT"/>
          <w:lang w:eastAsia="en-AU"/>
        </w:rPr>
        <w:t xml:space="preserve">not more than </w:t>
      </w:r>
      <w:r w:rsidR="004A1D8A" w:rsidRPr="006B222D">
        <w:rPr>
          <w:rFonts w:asciiTheme="minorHAnsi" w:hAnsiTheme="minorHAnsi" w:cs="TimesNewRomanPSMT"/>
          <w:lang w:eastAsia="en-AU"/>
        </w:rPr>
        <w:t>10</w:t>
      </w:r>
      <w:r w:rsidR="00C57546">
        <w:rPr>
          <w:rFonts w:asciiTheme="minorHAnsi" w:hAnsiTheme="minorHAnsi" w:cs="TimesNewRomanPSMT"/>
          <w:lang w:eastAsia="en-AU"/>
        </w:rPr>
        <w:t> </w:t>
      </w:r>
      <w:r w:rsidR="004A1D8A" w:rsidRPr="006B222D">
        <w:rPr>
          <w:rFonts w:asciiTheme="minorHAnsi" w:hAnsiTheme="minorHAnsi"/>
        </w:rPr>
        <w:t>E</w:t>
      </w:r>
      <w:r w:rsidR="00255390">
        <w:rPr>
          <w:rFonts w:asciiTheme="minorHAnsi" w:hAnsiTheme="minorHAnsi"/>
        </w:rPr>
        <w:t>ndotoxin unit</w:t>
      </w:r>
      <w:r w:rsidR="004A1D8A" w:rsidRPr="006B222D">
        <w:rPr>
          <w:rFonts w:asciiTheme="minorHAnsi" w:hAnsiTheme="minorHAnsi"/>
        </w:rPr>
        <w:t>/mg</w:t>
      </w:r>
      <w:r w:rsidR="004A1D8A" w:rsidRPr="006B222D">
        <w:rPr>
          <w:rFonts w:asciiTheme="minorHAnsi" w:hAnsiTheme="minorHAnsi" w:cs="TimesNewRomanPSMT"/>
          <w:lang w:eastAsia="en-AU"/>
        </w:rPr>
        <w:t>.</w:t>
      </w:r>
    </w:p>
    <w:p w14:paraId="47714DD0" w14:textId="73CB0FE0" w:rsidR="004A1D8A" w:rsidRDefault="004A1D8A" w:rsidP="004A1D8A">
      <w:r>
        <w:t>Acceptable manufacturing and quality control ha</w:t>
      </w:r>
      <w:r w:rsidR="00050680">
        <w:t>ve</w:t>
      </w:r>
      <w:r>
        <w:t xml:space="preserve"> been demonstrated for lurbinectedin, and there are no outstanding issues with the chemistry and quality aspects of </w:t>
      </w:r>
      <w:r w:rsidR="000D0C1D">
        <w:t>Zepzelca</w:t>
      </w:r>
      <w:r>
        <w:t>.</w:t>
      </w:r>
    </w:p>
    <w:p w14:paraId="7208B9D8" w14:textId="77777777" w:rsidR="008E7846" w:rsidRDefault="008E7846" w:rsidP="008E7846">
      <w:pPr>
        <w:pStyle w:val="Heading3"/>
      </w:pPr>
      <w:bookmarkStart w:id="35" w:name="_Toc102558215"/>
      <w:r>
        <w:t>Nonclinical</w:t>
      </w:r>
      <w:bookmarkEnd w:id="34"/>
      <w:bookmarkEnd w:id="35"/>
    </w:p>
    <w:p w14:paraId="0541402E" w14:textId="76E3CA34" w:rsidR="004A1D8A" w:rsidRDefault="00ED0848" w:rsidP="002165CB">
      <w:bookmarkStart w:id="36" w:name="_Toc247691530"/>
      <w:bookmarkStart w:id="37" w:name="_Toc314842513"/>
      <w:r>
        <w:t>The nonclinical evaluator noted that l</w:t>
      </w:r>
      <w:r w:rsidR="004A1D8A">
        <w:t xml:space="preserve">urbinectedin is small molecule alkylating drug that binds covalently to </w:t>
      </w:r>
      <w:r w:rsidR="002B6AAA" w:rsidRPr="002B6AAA">
        <w:t>guanine-cytosine</w:t>
      </w:r>
      <w:r w:rsidR="002B6AAA">
        <w:t xml:space="preserve"> (</w:t>
      </w:r>
      <w:r w:rsidR="004A1D8A">
        <w:t>GC</w:t>
      </w:r>
      <w:r w:rsidR="002B6AAA">
        <w:t>)-</w:t>
      </w:r>
      <w:r w:rsidR="004A1D8A">
        <w:t>rich DNA sequences, resulting in adduct formation, DNA b</w:t>
      </w:r>
      <w:r w:rsidR="00626822">
        <w:t>i</w:t>
      </w:r>
      <w:r w:rsidR="004A1D8A">
        <w:t>nding, eventually double strand breaks, and ultimately cell death.</w:t>
      </w:r>
      <w:r w:rsidR="002165CB">
        <w:t xml:space="preserve"> </w:t>
      </w:r>
      <w:r w:rsidR="004A1D8A">
        <w:t xml:space="preserve">Lurbinectedin inhibits transcription through binding to </w:t>
      </w:r>
      <w:r w:rsidR="002B6AAA">
        <w:t>GC-</w:t>
      </w:r>
      <w:r w:rsidR="004A1D8A">
        <w:t>rich sequences of DNA located around promoter regions, the eviction of transcription factors from their binding sites, and stalling the elongating RNA polymerase II on promoters.</w:t>
      </w:r>
      <w:r w:rsidR="00BB4A40">
        <w:t xml:space="preserve"> </w:t>
      </w:r>
      <w:r w:rsidR="004A1D8A">
        <w:t>Consistent with its mechanism of action, lurbinectedin had antiproliferative and cytotoxic activity in multiple tumour cell lines.</w:t>
      </w:r>
      <w:r w:rsidR="00BB4A40">
        <w:t xml:space="preserve"> </w:t>
      </w:r>
      <w:r w:rsidR="009B0253">
        <w:t>C</w:t>
      </w:r>
      <w:r w:rsidR="009B0253" w:rsidRPr="009B0253">
        <w:t>onsistent with</w:t>
      </w:r>
      <w:r w:rsidR="004A1D8A">
        <w:t xml:space="preserve"> its mechanism of action, lurbinectedin is genotoxic.</w:t>
      </w:r>
    </w:p>
    <w:p w14:paraId="63FBB51A" w14:textId="0C1D96C3" w:rsidR="004A1D8A" w:rsidRDefault="004A1D8A" w:rsidP="002165CB">
      <w:r>
        <w:t xml:space="preserve">Administration of lurbinectedin to athymic mice implanted with various human tumour cell lines (including SCLC) inhibited tumour growth. Enhanced anti-tumour activity was seen with doxorubicin in combination with lurbinectedin compared to either drug alone, which led to the design of the </w:t>
      </w:r>
      <w:r w:rsidR="00C7788C">
        <w:t xml:space="preserve">Phase III </w:t>
      </w:r>
      <w:r>
        <w:t>A</w:t>
      </w:r>
      <w:r w:rsidR="009B0253">
        <w:t>TLANTIS</w:t>
      </w:r>
      <w:r>
        <w:t xml:space="preserve"> </w:t>
      </w:r>
      <w:r w:rsidR="00C7788C">
        <w:t>trial</w:t>
      </w:r>
      <w:r>
        <w:t>.</w:t>
      </w:r>
    </w:p>
    <w:p w14:paraId="4A5F968A" w14:textId="77777777" w:rsidR="004A1D8A" w:rsidRDefault="004A1D8A" w:rsidP="002165CB">
      <w:r>
        <w:t xml:space="preserve">Toxicological findings included: </w:t>
      </w:r>
    </w:p>
    <w:p w14:paraId="501EFBC8" w14:textId="77777777" w:rsidR="004A1D8A" w:rsidRDefault="004A1D8A" w:rsidP="002165CB">
      <w:pPr>
        <w:pStyle w:val="ListBullet"/>
      </w:pPr>
      <w:r>
        <w:t>Injection site findings (including haemorrhage, oedema, inflammation, thrombosis, and necrosis)</w:t>
      </w:r>
    </w:p>
    <w:p w14:paraId="4FAE04B7" w14:textId="1BD11139" w:rsidR="004A1D8A" w:rsidRDefault="002B6AAA" w:rsidP="002165CB">
      <w:pPr>
        <w:pStyle w:val="ListBullet"/>
        <w:tabs>
          <w:tab w:val="left" w:pos="1985"/>
        </w:tabs>
      </w:pPr>
      <w:r>
        <w:t xml:space="preserve">Bone </w:t>
      </w:r>
      <w:r w:rsidR="004A1D8A">
        <w:t xml:space="preserve">marrow effects leading to transient leukopenia and mild anaemia with decreased </w:t>
      </w:r>
      <w:r w:rsidR="00C2047D">
        <w:t>bone marrow</w:t>
      </w:r>
      <w:r w:rsidR="004A1D8A">
        <w:t xml:space="preserve"> cellularity</w:t>
      </w:r>
    </w:p>
    <w:p w14:paraId="61F7D13F" w14:textId="77777777" w:rsidR="004A1D8A" w:rsidRDefault="004A1D8A" w:rsidP="002165CB">
      <w:pPr>
        <w:pStyle w:val="ListBullet"/>
      </w:pPr>
      <w:r>
        <w:t>G</w:t>
      </w:r>
      <w:r w:rsidRPr="0095568A">
        <w:t>astrointestinal</w:t>
      </w:r>
      <w:r>
        <w:t xml:space="preserve"> toxicity</w:t>
      </w:r>
    </w:p>
    <w:p w14:paraId="7B2345E2" w14:textId="77777777" w:rsidR="004A1D8A" w:rsidRDefault="004A1D8A" w:rsidP="002165CB">
      <w:pPr>
        <w:pStyle w:val="ListBullet"/>
      </w:pPr>
      <w:r>
        <w:lastRenderedPageBreak/>
        <w:t>Male reproductive toxicity (testicular atrophy and hypospermia)</w:t>
      </w:r>
    </w:p>
    <w:p w14:paraId="133CF3CD" w14:textId="77777777" w:rsidR="004A1D8A" w:rsidRDefault="004A1D8A" w:rsidP="002165CB">
      <w:pPr>
        <w:pStyle w:val="ListBullet"/>
      </w:pPr>
      <w:r>
        <w:t>Hepatic toxicity</w:t>
      </w:r>
    </w:p>
    <w:p w14:paraId="2461CD53" w14:textId="44BEAC6D" w:rsidR="004A1D8A" w:rsidRDefault="004A1D8A" w:rsidP="002165CB">
      <w:r>
        <w:t xml:space="preserve">Based on the </w:t>
      </w:r>
      <w:proofErr w:type="spellStart"/>
      <w:r w:rsidR="00050680">
        <w:t>half</w:t>
      </w:r>
      <w:r w:rsidR="009B0253">
        <w:t xml:space="preserve"> </w:t>
      </w:r>
      <w:r w:rsidR="00050680">
        <w:t>life</w:t>
      </w:r>
      <w:proofErr w:type="spellEnd"/>
      <w:r>
        <w:t xml:space="preserve"> of 51 hours, the nonclinical </w:t>
      </w:r>
      <w:r w:rsidR="009B0253">
        <w:t xml:space="preserve">evaluator </w:t>
      </w:r>
      <w:r>
        <w:t xml:space="preserve">recommended </w:t>
      </w:r>
      <w:r w:rsidR="009B0253">
        <w:t>six</w:t>
      </w:r>
      <w:r>
        <w:t xml:space="preserve"> and </w:t>
      </w:r>
      <w:r w:rsidR="009B0253">
        <w:t>four</w:t>
      </w:r>
      <w:r>
        <w:t xml:space="preserve"> months of effective contraception for females and males, respectively, and not to breastfeed during treatment with lurbinectedin and for </w:t>
      </w:r>
      <w:r w:rsidR="009B0253">
        <w:t>two</w:t>
      </w:r>
      <w:r>
        <w:t xml:space="preserve"> weeks after the final dose.</w:t>
      </w:r>
    </w:p>
    <w:p w14:paraId="570EB86D" w14:textId="7D03DE95" w:rsidR="004A1D8A" w:rsidRDefault="004A1D8A" w:rsidP="002165CB">
      <w:r w:rsidRPr="002165CB">
        <w:rPr>
          <w:i/>
          <w:iCs/>
        </w:rPr>
        <w:t>In vivo</w:t>
      </w:r>
      <w:r>
        <w:t xml:space="preserve"> exposure levels in monkeys appeared to be lower for both major human </w:t>
      </w:r>
      <w:r w:rsidR="002165CB">
        <w:t>m</w:t>
      </w:r>
      <w:r>
        <w:t>etabolites and, as animals tolerated lower lurbinectedin doses than the 3.2 mg/m</w:t>
      </w:r>
      <w:r w:rsidRPr="002165CB">
        <w:rPr>
          <w:vertAlign w:val="superscript"/>
        </w:rPr>
        <w:t>2</w:t>
      </w:r>
      <w:r>
        <w:t xml:space="preserve"> human dose</w:t>
      </w:r>
      <w:r w:rsidR="009B0253">
        <w:t>.</w:t>
      </w:r>
      <w:r w:rsidR="002165CB">
        <w:t xml:space="preserve"> </w:t>
      </w:r>
      <w:r w:rsidR="009B0253" w:rsidRPr="00255390">
        <w:t>T</w:t>
      </w:r>
      <w:r w:rsidRPr="002F4A8D">
        <w:t>here is not full toxicological coverage of these metabolites</w:t>
      </w:r>
      <w:r w:rsidR="009B0253" w:rsidRPr="000C57FE">
        <w:t>.</w:t>
      </w:r>
      <w:r w:rsidR="002165CB">
        <w:t xml:space="preserve"> However,</w:t>
      </w:r>
      <w:r>
        <w:t xml:space="preserve"> given that each of these main metabolites represent less than 15% of the parent compound and toxicity profiles in humans are </w:t>
      </w:r>
      <w:proofErr w:type="gramStart"/>
      <w:r>
        <w:t>similar to</w:t>
      </w:r>
      <w:proofErr w:type="gramEnd"/>
      <w:r>
        <w:t xml:space="preserve"> those in animals, the disparity in metabolite exposure does not represent a significant safety concern for the intended patient population.</w:t>
      </w:r>
    </w:p>
    <w:p w14:paraId="153D9692" w14:textId="26A93FC3" w:rsidR="002165CB" w:rsidRDefault="004A1D8A" w:rsidP="002165CB">
      <w:r>
        <w:t>The nonclinical evaluator concluded</w:t>
      </w:r>
      <w:r w:rsidR="009B0253">
        <w:t xml:space="preserve"> t</w:t>
      </w:r>
      <w:r>
        <w:t>he pharmacology studies support the proposed indication.</w:t>
      </w:r>
      <w:r w:rsidR="002165CB">
        <w:t xml:space="preserve"> </w:t>
      </w:r>
      <w:r>
        <w:t>The safety pharmacology studies raise no obvious concerns notwithstanding the subclinical exposure.</w:t>
      </w:r>
      <w:r w:rsidR="002165CB">
        <w:t xml:space="preserve"> </w:t>
      </w:r>
      <w:r>
        <w:t xml:space="preserve">Toxicity findings in repeat dose studies are typical of cytotoxic drugs. Effects on the </w:t>
      </w:r>
      <w:r w:rsidR="00D11D49" w:rsidRPr="00D11D49">
        <w:t xml:space="preserve">gastrointestinal </w:t>
      </w:r>
      <w:r>
        <w:t>tract, bone marrow, liver bile duct, kidneys, male reproductive organs, injection site were observed in animal species at subclinical exposures.</w:t>
      </w:r>
    </w:p>
    <w:p w14:paraId="2382B92C" w14:textId="77777777" w:rsidR="002165CB" w:rsidRDefault="004A1D8A" w:rsidP="002165CB">
      <w:r>
        <w:t>Lurbinectedin is expected to be genotoxic.</w:t>
      </w:r>
    </w:p>
    <w:p w14:paraId="163A9D46" w14:textId="298D0EEF" w:rsidR="004A1D8A" w:rsidRDefault="004A1D8A" w:rsidP="002165CB">
      <w:r>
        <w:t>Given the nature of lurbinectedin (cytotoxic and mutagenic), it is expected to be teratogenic and should not be used during pregnancy. It caused 100% embryo lethality in rats. Pregnancy category D</w:t>
      </w:r>
      <w:r w:rsidR="009B0253">
        <w:t>;</w:t>
      </w:r>
      <w:r w:rsidR="00E12660">
        <w:rPr>
          <w:rStyle w:val="FootnoteReference"/>
        </w:rPr>
        <w:footnoteReference w:id="32"/>
      </w:r>
      <w:r>
        <w:t xml:space="preserve"> is considered appropriate; this is consistent with the category for other cytotoxic antineoplastic agents.</w:t>
      </w:r>
    </w:p>
    <w:p w14:paraId="61B05015" w14:textId="2AD43049" w:rsidR="004A1D8A" w:rsidRPr="006B5064" w:rsidRDefault="004A1D8A" w:rsidP="002165CB">
      <w:r>
        <w:t xml:space="preserve">Lurbinectedin is highly toxic in all animal species tested in the nonclinical program. Exposures (plasma </w:t>
      </w:r>
      <w:r w:rsidR="00BB6CF0">
        <w:t xml:space="preserve">maximum concentration </w:t>
      </w:r>
      <w:r>
        <w:t xml:space="preserve">and </w:t>
      </w:r>
      <w:r w:rsidR="00BB6CF0">
        <w:t>area under the curve</w:t>
      </w:r>
      <w:r w:rsidR="008D3BC7">
        <w:t xml:space="preserve"> </w:t>
      </w:r>
      <w:r>
        <w:t>achieved in animal safety pharmacology and toxicity studies were significantly below the clinical exposure.</w:t>
      </w:r>
    </w:p>
    <w:p w14:paraId="43FD24AC" w14:textId="294D3B2F" w:rsidR="004A1D8A" w:rsidRPr="006B5064" w:rsidRDefault="004A1D8A" w:rsidP="002165CB">
      <w:r w:rsidRPr="006B5064">
        <w:t>Since the product is for the treatment of advanced cancer, the proposed clinical use may be approved only if adverse effects in patients are manageable and the benefit outweighs the risk based on clinical data.</w:t>
      </w:r>
    </w:p>
    <w:p w14:paraId="259401BB" w14:textId="1ECA386E" w:rsidR="008E7846" w:rsidRDefault="008E7846" w:rsidP="008E7846">
      <w:pPr>
        <w:pStyle w:val="Heading3"/>
      </w:pPr>
      <w:bookmarkStart w:id="38" w:name="_Toc102558216"/>
      <w:r>
        <w:t>Clinical</w:t>
      </w:r>
      <w:bookmarkEnd w:id="36"/>
      <w:bookmarkEnd w:id="37"/>
      <w:bookmarkEnd w:id="38"/>
    </w:p>
    <w:p w14:paraId="4E711C26" w14:textId="776725AE" w:rsidR="00837D4E" w:rsidRPr="002C05F8" w:rsidRDefault="00837D4E" w:rsidP="002C05F8">
      <w:r w:rsidRPr="002C05F8">
        <w:t>The clinical dossier consist</w:t>
      </w:r>
      <w:r w:rsidR="006E5964" w:rsidRPr="002C05F8">
        <w:t>ed of the following studies:</w:t>
      </w:r>
    </w:p>
    <w:p w14:paraId="124A827F" w14:textId="2DB7E8C1" w:rsidR="00837D4E" w:rsidRPr="002C05F8" w:rsidRDefault="00013979" w:rsidP="002C05F8">
      <w:pPr>
        <w:pStyle w:val="ListBullet"/>
      </w:pPr>
      <w:r>
        <w:t>n</w:t>
      </w:r>
      <w:r w:rsidR="002C05F8" w:rsidRPr="002C05F8">
        <w:t xml:space="preserve">ine </w:t>
      </w:r>
      <w:r w:rsidR="00D824F6" w:rsidRPr="002C05F8">
        <w:t>Phase I clinical trials</w:t>
      </w:r>
    </w:p>
    <w:p w14:paraId="2B74EC02" w14:textId="5FEDFBE0" w:rsidR="00837D4E" w:rsidRPr="002C05F8" w:rsidRDefault="00013979" w:rsidP="002C05F8">
      <w:pPr>
        <w:pStyle w:val="ListBullet"/>
      </w:pPr>
      <w:r>
        <w:t>s</w:t>
      </w:r>
      <w:r w:rsidR="002C05F8" w:rsidRPr="002C05F8">
        <w:t>even Ph</w:t>
      </w:r>
      <w:r w:rsidR="00837D4E" w:rsidRPr="002C05F8">
        <w:t xml:space="preserve">ase II </w:t>
      </w:r>
      <w:r w:rsidR="002C05F8" w:rsidRPr="002C05F8">
        <w:t>clinical trials</w:t>
      </w:r>
    </w:p>
    <w:p w14:paraId="4C3786CE" w14:textId="0368F42E" w:rsidR="00837D4E" w:rsidRPr="002C05F8" w:rsidRDefault="00013979" w:rsidP="002C05F8">
      <w:pPr>
        <w:pStyle w:val="ListBullet"/>
      </w:pPr>
      <w:r>
        <w:t>t</w:t>
      </w:r>
      <w:r w:rsidR="002C05F8" w:rsidRPr="002C05F8">
        <w:t>hree</w:t>
      </w:r>
      <w:r w:rsidR="00851F3F" w:rsidRPr="002C05F8">
        <w:t xml:space="preserve"> Phase III </w:t>
      </w:r>
      <w:r w:rsidR="002C05F8" w:rsidRPr="002C05F8">
        <w:t>clinical trials</w:t>
      </w:r>
    </w:p>
    <w:p w14:paraId="074B9B27" w14:textId="660E557C" w:rsidR="004A1D8A" w:rsidRPr="00901283" w:rsidRDefault="00851F3F" w:rsidP="004A1D8A">
      <w:pPr>
        <w:pStyle w:val="Heading4"/>
        <w:rPr>
          <w:rFonts w:eastAsia="Times New Roman"/>
          <w:b w:val="0"/>
          <w:i/>
          <w:color w:val="0070B5" w:themeColor="accent1" w:themeTint="BF"/>
        </w:rPr>
      </w:pPr>
      <w:bookmarkStart w:id="39" w:name="_Toc314842514"/>
      <w:r>
        <w:t>P</w:t>
      </w:r>
      <w:r w:rsidR="004A1D8A" w:rsidRPr="00AA53F4">
        <w:t>harmacology</w:t>
      </w:r>
    </w:p>
    <w:p w14:paraId="7A8BD219" w14:textId="3AA7BB88" w:rsidR="004A1D8A" w:rsidRDefault="004A1D8A" w:rsidP="00617870">
      <w:r>
        <w:t>The pharmacology characteristics of lurbinectedin were studied in a first</w:t>
      </w:r>
      <w:r w:rsidR="00851F3F">
        <w:t xml:space="preserve"> </w:t>
      </w:r>
      <w:r>
        <w:t>in</w:t>
      </w:r>
      <w:r w:rsidR="00851F3F">
        <w:t xml:space="preserve"> </w:t>
      </w:r>
      <w:r>
        <w:t xml:space="preserve">human </w:t>
      </w:r>
      <w:r w:rsidR="00BB6CF0">
        <w:t>s</w:t>
      </w:r>
      <w:r>
        <w:t>tudy (</w:t>
      </w:r>
      <w:r w:rsidR="00BB6CF0">
        <w:t xml:space="preserve">Study </w:t>
      </w:r>
      <w:r>
        <w:t>A-001), mass balance study (</w:t>
      </w:r>
      <w:r w:rsidR="00BB6CF0">
        <w:t xml:space="preserve">Study </w:t>
      </w:r>
      <w:r>
        <w:t>A-005), safety and efficacy study supporting the proposed indication (</w:t>
      </w:r>
      <w:r w:rsidR="00BB6CF0">
        <w:t xml:space="preserve">Study </w:t>
      </w:r>
      <w:r>
        <w:t>B-005), and supportive study in patients with ovarian cancer (</w:t>
      </w:r>
      <w:r w:rsidR="00BB6CF0">
        <w:t xml:space="preserve">Study </w:t>
      </w:r>
      <w:r>
        <w:t>C-004). A population pharmacokinetics (PK) analysis was conducted to identify the effect of intrinsic factors (age, body weight, sex, renal function, and hepatic function) and extrinsic factors (concomitant medications) on the PK of lurbinectedin. Exposure</w:t>
      </w:r>
      <w:r w:rsidR="00851F3F">
        <w:t xml:space="preserve"> </w:t>
      </w:r>
      <w:r>
        <w:t xml:space="preserve">response </w:t>
      </w:r>
      <w:r>
        <w:lastRenderedPageBreak/>
        <w:t xml:space="preserve">analyses for safety and efficacy to support the proposed dosage regimen as well as the potential for lurbinectedin to prolong the </w:t>
      </w:r>
      <w:r w:rsidR="00CB120A">
        <w:t>c</w:t>
      </w:r>
      <w:r w:rsidR="00CB120A" w:rsidRPr="00CB120A">
        <w:t xml:space="preserve">orrected QT </w:t>
      </w:r>
      <w:r w:rsidR="00CB120A">
        <w:t>i</w:t>
      </w:r>
      <w:r w:rsidR="00CB120A" w:rsidRPr="00CB120A">
        <w:t>nterval</w:t>
      </w:r>
      <w:r w:rsidR="002B6AAA">
        <w:t xml:space="preserve"> (QTc)</w:t>
      </w:r>
      <w:r w:rsidR="00851F3F">
        <w:t>;</w:t>
      </w:r>
      <w:r w:rsidR="00CB120A">
        <w:rPr>
          <w:rStyle w:val="FootnoteReference"/>
        </w:rPr>
        <w:footnoteReference w:id="33"/>
      </w:r>
      <w:r>
        <w:t xml:space="preserve"> were also included in the submission.</w:t>
      </w:r>
    </w:p>
    <w:p w14:paraId="0CCEE1E4" w14:textId="4FD2224D" w:rsidR="004A1D8A" w:rsidRDefault="004A1D8A" w:rsidP="00617870">
      <w:r>
        <w:t xml:space="preserve">Lurbinectedin is metabolised by </w:t>
      </w:r>
      <w:r w:rsidR="00CB120A">
        <w:t>c</w:t>
      </w:r>
      <w:r w:rsidR="00CB120A" w:rsidRPr="00CB120A">
        <w:t>ytochrome P450</w:t>
      </w:r>
      <w:r w:rsidR="00E12660">
        <w:t>;</w:t>
      </w:r>
      <w:r w:rsidR="00E12660">
        <w:rPr>
          <w:rStyle w:val="FootnoteReference"/>
        </w:rPr>
        <w:footnoteReference w:id="34"/>
      </w:r>
      <w:r w:rsidR="00CB120A" w:rsidRPr="00CB120A">
        <w:t xml:space="preserve"> 3A4</w:t>
      </w:r>
      <w:r w:rsidR="00CB120A">
        <w:t xml:space="preserve"> (</w:t>
      </w:r>
      <w:r>
        <w:t>CYP3A4</w:t>
      </w:r>
      <w:r w:rsidR="00CB120A">
        <w:t>)</w:t>
      </w:r>
      <w:r>
        <w:t>. No dedicated clinical drug</w:t>
      </w:r>
      <w:r w:rsidR="00851F3F">
        <w:t xml:space="preserve"> </w:t>
      </w:r>
      <w:r>
        <w:t>interaction studies with modulators of CYP3A4 were conducted. The co</w:t>
      </w:r>
      <w:r w:rsidR="002B6AAA">
        <w:noBreakHyphen/>
      </w:r>
      <w:r>
        <w:t>administration of drugs that are known to be strong or moderate CYP3A4 inhibitors and strong or moderate CYP3A4 inducers with lurbinectedin should be avoided. If the co-administration of moderate CYP3A4 inhibitors cannot be avoided, dose reductions should be implemented based on adverse events</w:t>
      </w:r>
      <w:r w:rsidR="00C111AF">
        <w:t xml:space="preserve"> (AE)</w:t>
      </w:r>
      <w:r>
        <w:t xml:space="preserve"> (neutropenia, thrombocytopenia, and hepatotoxicity) as clinically indicated. This recommendation is supported by the safety analysis of 39 patients who received concomitant medications that are known to be moderate CYP3A4 inhibitors which suggested similar frequency and severity of </w:t>
      </w:r>
      <w:r w:rsidR="00C111AF">
        <w:t>AEs</w:t>
      </w:r>
      <w:r>
        <w:t xml:space="preserve"> in comparison to the overall patient population.</w:t>
      </w:r>
    </w:p>
    <w:p w14:paraId="77BCB1B4" w14:textId="6AAEF804" w:rsidR="004A1D8A" w:rsidRDefault="004A1D8A" w:rsidP="004A1D8A">
      <w:r w:rsidRPr="008D3BC7">
        <w:rPr>
          <w:i/>
          <w:iCs/>
        </w:rPr>
        <w:t>In vitro</w:t>
      </w:r>
      <w:r>
        <w:t xml:space="preserve">, lurbinectedin is an inhibitor of </w:t>
      </w:r>
      <w:r w:rsidR="00CB120A" w:rsidRPr="00CB120A">
        <w:t xml:space="preserve">P-glycoprotein </w:t>
      </w:r>
      <w:r w:rsidR="00CB120A">
        <w:t>(</w:t>
      </w:r>
      <w:r>
        <w:t>P-</w:t>
      </w:r>
      <w:proofErr w:type="spellStart"/>
      <w:r>
        <w:t>gp</w:t>
      </w:r>
      <w:proofErr w:type="spellEnd"/>
      <w:r w:rsidR="00CB120A">
        <w:t>)</w:t>
      </w:r>
      <w:r w:rsidR="002B6AAA">
        <w:t xml:space="preserve"> (</w:t>
      </w:r>
      <w:proofErr w:type="spellStart"/>
      <w:r w:rsidR="00E12660" w:rsidRPr="009A0A7A">
        <w:t>alf</w:t>
      </w:r>
      <w:proofErr w:type="spellEnd"/>
      <w:r w:rsidR="00E12660" w:rsidRPr="009A0A7A">
        <w:t>-maximal inhibitory concentration</w:t>
      </w:r>
      <w:r w:rsidR="00E12660">
        <w:t xml:space="preserve"> </w:t>
      </w:r>
      <w:r w:rsidR="002B6AAA">
        <w:t>(</w:t>
      </w:r>
      <w:r>
        <w:t>IC</w:t>
      </w:r>
      <w:r w:rsidRPr="008D3BC7">
        <w:rPr>
          <w:vertAlign w:val="subscript"/>
        </w:rPr>
        <w:t>50</w:t>
      </w:r>
      <w:r w:rsidR="002B6AAA">
        <w:t>);</w:t>
      </w:r>
      <w:r w:rsidR="00CB120A">
        <w:rPr>
          <w:rStyle w:val="FootnoteReference"/>
        </w:rPr>
        <w:footnoteReference w:id="35"/>
      </w:r>
      <w:r>
        <w:t>=</w:t>
      </w:r>
      <w:r w:rsidRPr="00F720D2">
        <w:t xml:space="preserve"> </w:t>
      </w:r>
      <w:r>
        <w:t xml:space="preserve">3.85 </w:t>
      </w:r>
      <w:proofErr w:type="spellStart"/>
      <w:r>
        <w:t>μM</w:t>
      </w:r>
      <w:proofErr w:type="spellEnd"/>
      <w:r>
        <w:t xml:space="preserve"> and </w:t>
      </w:r>
      <w:r w:rsidR="008C5B99">
        <w:t>inhibitory</w:t>
      </w:r>
      <w:r w:rsidR="00FE3660">
        <w:t xml:space="preserve"> concentration </w:t>
      </w:r>
      <w:r>
        <w:t>total/IC</w:t>
      </w:r>
      <w:r w:rsidRPr="008D3BC7">
        <w:rPr>
          <w:vertAlign w:val="subscript"/>
        </w:rPr>
        <w:t>50</w:t>
      </w:r>
      <w:r>
        <w:t xml:space="preserve"> = 0.04 and </w:t>
      </w:r>
      <w:r w:rsidR="00FE3660">
        <w:t>inhibitory concentration</w:t>
      </w:r>
      <w:r w:rsidR="00A17B9B">
        <w:t xml:space="preserve"> </w:t>
      </w:r>
      <w:r>
        <w:t>free/IC</w:t>
      </w:r>
      <w:r w:rsidRPr="008D3BC7">
        <w:rPr>
          <w:vertAlign w:val="subscript"/>
        </w:rPr>
        <w:t>50</w:t>
      </w:r>
      <w:r>
        <w:t xml:space="preserve"> = 0.0004),</w:t>
      </w:r>
      <w:r w:rsidR="00CB120A">
        <w:t xml:space="preserve"> o</w:t>
      </w:r>
      <w:r w:rsidR="00CB120A" w:rsidRPr="00CB120A">
        <w:t xml:space="preserve">rganic </w:t>
      </w:r>
      <w:r w:rsidR="00CB120A">
        <w:t>a</w:t>
      </w:r>
      <w:r w:rsidR="00CB120A" w:rsidRPr="00CB120A">
        <w:t xml:space="preserve">nion </w:t>
      </w:r>
      <w:r w:rsidR="00CB120A">
        <w:t>t</w:t>
      </w:r>
      <w:r w:rsidR="00CB120A" w:rsidRPr="00CB120A">
        <w:t xml:space="preserve">ransport </w:t>
      </w:r>
      <w:r w:rsidR="00CB120A">
        <w:t>p</w:t>
      </w:r>
      <w:r w:rsidR="00CB120A" w:rsidRPr="00CB120A">
        <w:t>rotein 1</w:t>
      </w:r>
      <w:r w:rsidR="00CB120A">
        <w:t>B1</w:t>
      </w:r>
      <w:r>
        <w:t xml:space="preserve">, </w:t>
      </w:r>
      <w:r w:rsidR="00CB120A">
        <w:t>o</w:t>
      </w:r>
      <w:r w:rsidR="00CB120A" w:rsidRPr="00CB120A">
        <w:t xml:space="preserve">rganic </w:t>
      </w:r>
      <w:r w:rsidR="00CB120A">
        <w:t>a</w:t>
      </w:r>
      <w:r w:rsidR="00CB120A" w:rsidRPr="00CB120A">
        <w:t xml:space="preserve">nion </w:t>
      </w:r>
      <w:r w:rsidR="00CB120A">
        <w:t>t</w:t>
      </w:r>
      <w:r w:rsidR="00CB120A" w:rsidRPr="00CB120A">
        <w:t xml:space="preserve">ransport </w:t>
      </w:r>
      <w:r w:rsidR="00CB120A">
        <w:t>p</w:t>
      </w:r>
      <w:r w:rsidR="00CB120A" w:rsidRPr="00CB120A">
        <w:t>rotein 1</w:t>
      </w:r>
      <w:r w:rsidR="00CB120A">
        <w:t>B3</w:t>
      </w:r>
      <w:r>
        <w:t xml:space="preserve">, and </w:t>
      </w:r>
      <w:r w:rsidR="00CB120A" w:rsidRPr="00CB120A">
        <w:t>organic cation transporter</w:t>
      </w:r>
      <w:r w:rsidR="00CB120A">
        <w:t xml:space="preserve"> 1</w:t>
      </w:r>
      <w:r>
        <w:t>. A</w:t>
      </w:r>
      <w:r w:rsidR="00FE4542">
        <w:t xml:space="preserve"> value for the</w:t>
      </w:r>
      <w:r w:rsidR="00BB6CF0">
        <w:t xml:space="preserve"> </w:t>
      </w:r>
      <w:r>
        <w:t>IC</w:t>
      </w:r>
      <w:r w:rsidRPr="008D3BC7">
        <w:rPr>
          <w:vertAlign w:val="subscript"/>
        </w:rPr>
        <w:t>50</w:t>
      </w:r>
      <w:r>
        <w:t xml:space="preserve"> could not be calculated in the case of the latter </w:t>
      </w:r>
      <w:r w:rsidR="009661F0">
        <w:t>three</w:t>
      </w:r>
      <w:r>
        <w:t xml:space="preserve"> transporters with maximum inhibition reaching 37%, 26%, and 20%, respectively. Collectively, the potential for clinical drug interaction is low.</w:t>
      </w:r>
    </w:p>
    <w:p w14:paraId="0E93BC39" w14:textId="69D2A7E5" w:rsidR="009C3EFF" w:rsidRDefault="009C3EFF" w:rsidP="004A1D8A">
      <w:r>
        <w:t>The clinical evaluator noted that there are post marketing requirements and post</w:t>
      </w:r>
      <w:r w:rsidR="00FE4542">
        <w:noBreakHyphen/>
      </w:r>
      <w:r>
        <w:t>marketing commitments relevant to CYP3A4 in</w:t>
      </w:r>
      <w:r w:rsidR="00A01C29">
        <w:t xml:space="preserve"> the</w:t>
      </w:r>
      <w:r>
        <w:t xml:space="preserve"> FDA evaluation of lurbinectedin</w:t>
      </w:r>
      <w:r w:rsidR="00FE4542">
        <w:t>:</w:t>
      </w:r>
      <w:bookmarkStart w:id="40" w:name="_Ref95908675"/>
      <w:r>
        <w:rPr>
          <w:rStyle w:val="FootnoteReference"/>
        </w:rPr>
        <w:footnoteReference w:id="36"/>
      </w:r>
      <w:bookmarkEnd w:id="40"/>
    </w:p>
    <w:p w14:paraId="4902C080" w14:textId="43C76BC7" w:rsidR="004A1D8A" w:rsidRDefault="00F73B73" w:rsidP="00617870">
      <w:pPr>
        <w:pStyle w:val="ListBullet"/>
      </w:pPr>
      <w:r>
        <w:t xml:space="preserve">lurbinectedin </w:t>
      </w:r>
      <w:r w:rsidR="004A1D8A">
        <w:t>requires a clinical study to characterise the effect of itraconazole (a strong CYP3A4 inhibitor, and an inhibitor of P-gp) on lurbinectedin PK.</w:t>
      </w:r>
    </w:p>
    <w:p w14:paraId="099FC0A0" w14:textId="3E462A95" w:rsidR="004A1D8A" w:rsidRDefault="00FE4542" w:rsidP="00617870">
      <w:pPr>
        <w:pStyle w:val="ListBullet"/>
      </w:pPr>
      <w:r>
        <w:t>l</w:t>
      </w:r>
      <w:r w:rsidR="00F73B73">
        <w:t>urbinectedin</w:t>
      </w:r>
      <w:r w:rsidR="008D3BC7">
        <w:t xml:space="preserve"> </w:t>
      </w:r>
      <w:r w:rsidR="004A1D8A">
        <w:t>requires a physiologically</w:t>
      </w:r>
      <w:r w:rsidR="00F73B73">
        <w:t xml:space="preserve"> </w:t>
      </w:r>
      <w:r w:rsidR="004A1D8A">
        <w:t xml:space="preserve">based PK modelling study to characterise the expected effect of co-administration of a moderate CYP3A4 inhibitor on </w:t>
      </w:r>
      <w:r w:rsidR="000E5103">
        <w:t>lurbinectedin</w:t>
      </w:r>
      <w:r w:rsidR="004A1D8A">
        <w:t xml:space="preserve"> exposure.</w:t>
      </w:r>
    </w:p>
    <w:p w14:paraId="50AD7099" w14:textId="73613E4B" w:rsidR="004A1D8A" w:rsidRDefault="004A1D8A" w:rsidP="00617870">
      <w:pPr>
        <w:pStyle w:val="ListBullet"/>
      </w:pPr>
      <w:r>
        <w:t>notes commitment to a clinical study to evaluate the effect of repeat doses of a moderate CYP3A inducer on the single dose PK of lurbinectedin.</w:t>
      </w:r>
    </w:p>
    <w:p w14:paraId="28C57972" w14:textId="77777777" w:rsidR="004A1D8A" w:rsidRDefault="004A1D8A" w:rsidP="004A1D8A">
      <w:r>
        <w:t>A study with a strong inducer of CYP3A4 was not recommended given the likelihood of a substantial reduction in lurbinectedin exposure, and attendant risk of compromised efficacy, whilst dose increase recommendations may not be possible given the narrow safety margin of lurbinectedin.</w:t>
      </w:r>
    </w:p>
    <w:p w14:paraId="3AD0D86A" w14:textId="446D183E" w:rsidR="004A1D8A" w:rsidRDefault="00E011C1" w:rsidP="004A1D8A">
      <w:r>
        <w:t>The m</w:t>
      </w:r>
      <w:r w:rsidR="004A1D8A">
        <w:t>ass balance study with radioactive lurbinectedin demonstrated that lurbinectedin is primarily eliminated in the faeces (89% of radioactivity), mainly as metabolites.</w:t>
      </w:r>
      <w:r w:rsidR="00A17B9B">
        <w:t xml:space="preserve"> </w:t>
      </w:r>
      <w:r w:rsidR="004A1D8A">
        <w:t xml:space="preserve">Population PK analysis did not identify a clinically meaningful change in lurbinectedin exposure in patients with mild hepatic impairment (total bilirubin &gt; 1 x </w:t>
      </w:r>
      <w:r>
        <w:t xml:space="preserve">upper limit of </w:t>
      </w:r>
      <w:r>
        <w:lastRenderedPageBreak/>
        <w:t>normal (U</w:t>
      </w:r>
      <w:r w:rsidR="004A1D8A">
        <w:t>LN</w:t>
      </w:r>
      <w:r>
        <w:t>)</w:t>
      </w:r>
      <w:r w:rsidR="004A1D8A">
        <w:t xml:space="preserve"> to 1.5 x ULN) compared to patients with normal liver function, and no dose adjustment is necessary for this population. The effects of moderate or severe hepatic impairment on lurbinectedin exposure have not been studied and no dosing recommendation can be made. FDA approval</w:t>
      </w:r>
      <w:r w:rsidR="001B1FF8">
        <w:t xml:space="preserve"> </w:t>
      </w:r>
      <w:r w:rsidR="00C111AF">
        <w:t>of lurbinectedin</w:t>
      </w:r>
      <w:r w:rsidR="004A1D8A">
        <w:t xml:space="preserve"> requires a clinical study to characterise the PK of lurbinectedin in patients with varying degrees of hepatic impairment.</w:t>
      </w:r>
      <w:r w:rsidR="00C111AF">
        <w:fldChar w:fldCharType="begin"/>
      </w:r>
      <w:r w:rsidR="00C111AF">
        <w:instrText xml:space="preserve"> NOTEREF _Ref95908675 \f \h </w:instrText>
      </w:r>
      <w:r w:rsidR="00C111AF">
        <w:fldChar w:fldCharType="separate"/>
      </w:r>
      <w:r w:rsidR="00C111AF" w:rsidRPr="001B1FF8">
        <w:rPr>
          <w:rStyle w:val="FootnoteReference"/>
        </w:rPr>
        <w:t>35</w:t>
      </w:r>
      <w:r w:rsidR="00C111AF">
        <w:fldChar w:fldCharType="end"/>
      </w:r>
    </w:p>
    <w:p w14:paraId="790B37B7" w14:textId="486C3357" w:rsidR="004A1D8A" w:rsidRDefault="004A1D8A" w:rsidP="004A1D8A">
      <w:r>
        <w:t>Renal excretion represents 6% of lurbinectedin elimination (1% as unchanged lurbinectedin). Population PK analysis did not identify a clinically meaningful difference in lurbinectedin exposure in patients with mild or moderate renal impairment compared to patients with normal renal function. The effects of severe renal impairment on lurbinectedin exposure have not been studied. No dose adjustment based on renal function is recommended, based on the minimal renal excretion.</w:t>
      </w:r>
    </w:p>
    <w:p w14:paraId="3E65662F" w14:textId="39010130" w:rsidR="004A1D8A" w:rsidRPr="008114A9" w:rsidRDefault="004A1D8A" w:rsidP="004A1D8A">
      <w:r>
        <w:t>Exposure</w:t>
      </w:r>
      <w:r w:rsidR="00C111AF">
        <w:t xml:space="preserve"> </w:t>
      </w:r>
      <w:r>
        <w:t xml:space="preserve">response analyses identified a positive relationship for efficacy with higher probability of </w:t>
      </w:r>
      <w:r w:rsidR="0095118D">
        <w:t>objective response rate (</w:t>
      </w:r>
      <w:r>
        <w:t>ORR</w:t>
      </w:r>
      <w:r w:rsidR="0095118D">
        <w:t>)</w:t>
      </w:r>
      <w:r>
        <w:t xml:space="preserve"> at higher lurbinectedin exposure. Similarly, the higher exposure correlated with higher probability of AEs (Grade 4 neutropenia and Grade 3/4 thrombocytopenia). Clinical utility index, which compared the probability of achieving response relative to the probability of AEs, indicated that the proposed dosing regimen of 3.2 mg/m</w:t>
      </w:r>
      <w:r w:rsidRPr="001B1FF8">
        <w:rPr>
          <w:vertAlign w:val="superscript"/>
        </w:rPr>
        <w:t>2</w:t>
      </w:r>
      <w:r>
        <w:t xml:space="preserve"> </w:t>
      </w:r>
      <w:r w:rsidR="00D11D49">
        <w:t>every three weeks</w:t>
      </w:r>
      <w:r>
        <w:t xml:space="preserve"> achieves an acceptable balance of safety and efficacy.</w:t>
      </w:r>
    </w:p>
    <w:p w14:paraId="530DF8E8" w14:textId="283AECFD" w:rsidR="004A1D8A" w:rsidRDefault="004A1D8A" w:rsidP="004A1D8A">
      <w:pPr>
        <w:pStyle w:val="Heading4"/>
      </w:pPr>
      <w:r>
        <w:t xml:space="preserve">Efficacy </w:t>
      </w:r>
    </w:p>
    <w:p w14:paraId="5A12C255" w14:textId="4EE15A23" w:rsidR="004A1D8A" w:rsidRDefault="00C111AF" w:rsidP="004A1D8A">
      <w:pPr>
        <w:pStyle w:val="Heading5"/>
      </w:pPr>
      <w:r>
        <w:t xml:space="preserve">Study </w:t>
      </w:r>
      <w:r w:rsidRPr="00CC5D65">
        <w:t>B-005</w:t>
      </w:r>
      <w:r w:rsidR="001B1FF8">
        <w:t xml:space="preserve"> </w:t>
      </w:r>
      <w:r w:rsidR="004A1D8A">
        <w:t>design</w:t>
      </w:r>
    </w:p>
    <w:p w14:paraId="1CB61FDB" w14:textId="1A514DE6" w:rsidR="004A1D8A" w:rsidRDefault="004A1D8A" w:rsidP="004A1D8A">
      <w:r>
        <w:t>Study B-005, was an open</w:t>
      </w:r>
      <w:r w:rsidR="00C111AF">
        <w:t xml:space="preserve"> </w:t>
      </w:r>
      <w:r>
        <w:t xml:space="preserve">label, non-randomised, multicentre, exploratory </w:t>
      </w:r>
      <w:r w:rsidR="00C111AF">
        <w:t>P</w:t>
      </w:r>
      <w:r>
        <w:t xml:space="preserve">hase II study of lurbinectedin (also known as </w:t>
      </w:r>
      <w:r w:rsidR="00E011C1">
        <w:t xml:space="preserve">Study </w:t>
      </w:r>
      <w:r>
        <w:t>PM01183) in selected advanced solid tumours.</w:t>
      </w:r>
    </w:p>
    <w:p w14:paraId="11F0DA65" w14:textId="16D2E0BE" w:rsidR="004A1D8A" w:rsidRDefault="004A1D8A" w:rsidP="001B1FF8">
      <w:pPr>
        <w:tabs>
          <w:tab w:val="left" w:pos="426"/>
          <w:tab w:val="left" w:pos="4820"/>
        </w:tabs>
      </w:pPr>
      <w:r>
        <w:t>Patients were enrolled between October 2015 and October 2018, and the submitted clinical study report data with a data cut</w:t>
      </w:r>
      <w:r w:rsidR="001B1FF8">
        <w:t xml:space="preserve"> </w:t>
      </w:r>
      <w:r>
        <w:t>off date of 15 January 2019.</w:t>
      </w:r>
    </w:p>
    <w:p w14:paraId="5FF71341" w14:textId="525227DE" w:rsidR="004A1D8A" w:rsidRPr="009B5E39" w:rsidRDefault="004A1D8A" w:rsidP="004A1D8A">
      <w:r>
        <w:t>Patients were enrolled in nine single</w:t>
      </w:r>
      <w:r w:rsidR="00C111AF">
        <w:t xml:space="preserve"> </w:t>
      </w:r>
      <w:r>
        <w:t>arm cohorts based on tumour type</w:t>
      </w:r>
      <w:r w:rsidR="00E011C1">
        <w:t xml:space="preserve">: </w:t>
      </w:r>
      <w:r>
        <w:t xml:space="preserve">pre-treated advanced SCLC, head and neck carcinoma, neuroendocrine tumours, biliary tract carcinoma, endometrial carcinoma, </w:t>
      </w:r>
      <w:r w:rsidR="000B3DCD">
        <w:t>breast cancer gene</w:t>
      </w:r>
      <w:r w:rsidR="001B1FF8">
        <w:t xml:space="preserve"> </w:t>
      </w:r>
      <w:r>
        <w:t xml:space="preserve">1/2-associated metastatic breast cancer, carcinoma of unknown primary site, germ cell </w:t>
      </w:r>
      <w:r w:rsidR="001B1FF8">
        <w:t>tumours,</w:t>
      </w:r>
      <w:r>
        <w:t xml:space="preserve"> and Ewing’s family of tumours.</w:t>
      </w:r>
    </w:p>
    <w:p w14:paraId="24AA9828" w14:textId="3B58915B" w:rsidR="004A1D8A" w:rsidRDefault="004A1D8A" w:rsidP="004A1D8A">
      <w:r w:rsidRPr="003A533C">
        <w:t xml:space="preserve">To be eligible for inclusion in the SCLC cohort, patients had </w:t>
      </w:r>
      <w:r>
        <w:t>pathologically</w:t>
      </w:r>
      <w:r w:rsidR="000B3DCD">
        <w:t xml:space="preserve"> </w:t>
      </w:r>
      <w:r>
        <w:t>confirmed</w:t>
      </w:r>
      <w:r w:rsidRPr="003A533C">
        <w:t xml:space="preserve"> SCLC, </w:t>
      </w:r>
      <w:r>
        <w:t xml:space="preserve">measurable disease per RECIST </w:t>
      </w:r>
      <w:r w:rsidR="002F4A8D">
        <w:t>v</w:t>
      </w:r>
      <w:r>
        <w:t>1.1</w:t>
      </w:r>
      <w:r w:rsidR="00665FDD">
        <w:t>,</w:t>
      </w:r>
      <w:bookmarkStart w:id="41" w:name="_Ref95913838"/>
      <w:r w:rsidR="00E011C1">
        <w:rPr>
          <w:rStyle w:val="FootnoteReference"/>
        </w:rPr>
        <w:footnoteReference w:id="37"/>
      </w:r>
      <w:bookmarkEnd w:id="41"/>
      <w:r>
        <w:t xml:space="preserve"> </w:t>
      </w:r>
      <w:r w:rsidR="0095118D" w:rsidRPr="0095118D">
        <w:t xml:space="preserve">Eastern Cooperative Oncology Group </w:t>
      </w:r>
      <w:r w:rsidR="0095118D">
        <w:t>(</w:t>
      </w:r>
      <w:r>
        <w:t>ECOG</w:t>
      </w:r>
      <w:r w:rsidR="0095118D">
        <w:t>)</w:t>
      </w:r>
      <w:r w:rsidRPr="003A533C">
        <w:t xml:space="preserve"> performance status</w:t>
      </w:r>
      <w:r w:rsidR="0095118D">
        <w:t xml:space="preserve"> (PS);</w:t>
      </w:r>
      <w:bookmarkStart w:id="42" w:name="_Ref96682884"/>
      <w:r w:rsidR="00E82F88">
        <w:rPr>
          <w:rStyle w:val="FootnoteReference"/>
        </w:rPr>
        <w:footnoteReference w:id="38"/>
      </w:r>
      <w:bookmarkEnd w:id="42"/>
      <w:r w:rsidR="00665FDD">
        <w:t xml:space="preserve"> </w:t>
      </w:r>
      <w:r w:rsidRPr="003A533C">
        <w:t xml:space="preserve"> </w:t>
      </w:r>
      <w:r>
        <w:t>0 or 1</w:t>
      </w:r>
      <w:r w:rsidRPr="003A533C">
        <w:t xml:space="preserve"> and </w:t>
      </w:r>
      <w:r>
        <w:t>had received</w:t>
      </w:r>
      <w:r w:rsidRPr="003A533C">
        <w:t xml:space="preserve"> only one prior chemotherapy-</w:t>
      </w:r>
      <w:r w:rsidRPr="003A533C">
        <w:lastRenderedPageBreak/>
        <w:t>containing line</w:t>
      </w:r>
      <w:r>
        <w:t xml:space="preserve"> of therapy</w:t>
      </w:r>
      <w:r w:rsidRPr="003A533C">
        <w:t xml:space="preserve"> (</w:t>
      </w:r>
      <w:r>
        <w:t xml:space="preserve">not counting </w:t>
      </w:r>
      <w:r w:rsidRPr="003A533C">
        <w:t>other therapies</w:t>
      </w:r>
      <w:r>
        <w:t xml:space="preserve"> </w:t>
      </w:r>
      <w:r w:rsidRPr="003A533C">
        <w:t xml:space="preserve">such as immunotherapy). </w:t>
      </w:r>
      <w:r>
        <w:t xml:space="preserve"> </w:t>
      </w:r>
      <w:r w:rsidRPr="003A533C">
        <w:t>Patients with central nervous system involvement were excluded.</w:t>
      </w:r>
    </w:p>
    <w:p w14:paraId="3F9BED74" w14:textId="394B20B4" w:rsidR="004A1D8A" w:rsidRDefault="004A1D8A" w:rsidP="004A1D8A">
      <w:r>
        <w:t>Patients in the SCLC cohort received lurbinectedin monotherapy at a dose of 3.2 mg/m</w:t>
      </w:r>
      <w:r w:rsidRPr="001B1FF8">
        <w:rPr>
          <w:vertAlign w:val="superscript"/>
        </w:rPr>
        <w:t>2</w:t>
      </w:r>
      <w:r>
        <w:t xml:space="preserve"> (capped at 6.4 mg) as a </w:t>
      </w:r>
      <w:proofErr w:type="gramStart"/>
      <w:r>
        <w:t>60</w:t>
      </w:r>
      <w:r w:rsidR="0095118D">
        <w:t xml:space="preserve"> </w:t>
      </w:r>
      <w:r>
        <w:t>minute</w:t>
      </w:r>
      <w:proofErr w:type="gramEnd"/>
      <w:r>
        <w:t xml:space="preserve"> intravenous infusion every </w:t>
      </w:r>
      <w:r w:rsidR="0095118D">
        <w:t>three</w:t>
      </w:r>
      <w:r>
        <w:t xml:space="preserve"> weeks (on </w:t>
      </w:r>
      <w:r w:rsidR="0095118D">
        <w:t>D</w:t>
      </w:r>
      <w:r>
        <w:t>ay 1 of each 21</w:t>
      </w:r>
      <w:r w:rsidR="0095118D">
        <w:t xml:space="preserve"> </w:t>
      </w:r>
      <w:r>
        <w:t>day treatment cycle), until disease progression or unacceptable toxicity.</w:t>
      </w:r>
    </w:p>
    <w:p w14:paraId="5BF15A73" w14:textId="59C2BDA5" w:rsidR="004A1D8A" w:rsidRDefault="004A1D8A" w:rsidP="004A1D8A">
      <w:r>
        <w:t xml:space="preserve">Dose reduction was permitted for any </w:t>
      </w:r>
      <w:r w:rsidR="0095118D">
        <w:t>G</w:t>
      </w:r>
      <w:r>
        <w:t xml:space="preserve">rade 3 or higher non-haematological toxicity, </w:t>
      </w:r>
      <w:r w:rsidR="0095118D">
        <w:t>G</w:t>
      </w:r>
      <w:r>
        <w:t xml:space="preserve">rade 3 or 4 thrombocytopenia with </w:t>
      </w:r>
      <w:r w:rsidR="0095118D">
        <w:t>G</w:t>
      </w:r>
      <w:r>
        <w:t xml:space="preserve">rade 3 or higher bleeding, </w:t>
      </w:r>
      <w:r w:rsidR="0095118D">
        <w:t>G</w:t>
      </w:r>
      <w:r>
        <w:t>rade 4 neutropenia, any grade febrile neutropenia, or neutropenia associated with infection/sepsis, or frequent or prolonged (&gt;</w:t>
      </w:r>
      <w:r w:rsidR="0095118D">
        <w:t xml:space="preserve"> </w:t>
      </w:r>
      <w:r>
        <w:t>1 week) dose delays due to treatment</w:t>
      </w:r>
      <w:r w:rsidR="0095118D">
        <w:t xml:space="preserve"> </w:t>
      </w:r>
      <w:r>
        <w:t>related adverse events.</w:t>
      </w:r>
    </w:p>
    <w:p w14:paraId="5527C96A" w14:textId="77777777" w:rsidR="004A1D8A" w:rsidRDefault="004A1D8A" w:rsidP="004A1D8A">
      <w:r>
        <w:t>Up to two dose reductions (first reduction: 2.6 mg/m</w:t>
      </w:r>
      <w:r w:rsidRPr="001B1FF8">
        <w:rPr>
          <w:vertAlign w:val="superscript"/>
        </w:rPr>
        <w:t>2</w:t>
      </w:r>
      <w:r>
        <w:t>, second reduction: 2 mg/m</w:t>
      </w:r>
      <w:r w:rsidRPr="001B1FF8">
        <w:rPr>
          <w:vertAlign w:val="superscript"/>
        </w:rPr>
        <w:t>2</w:t>
      </w:r>
      <w:r>
        <w:t>) were allowed per patient, and re-escalation of dose was not permitted.</w:t>
      </w:r>
    </w:p>
    <w:p w14:paraId="7266C6F7" w14:textId="4D10C3BF" w:rsidR="004A1D8A" w:rsidRDefault="004A1D8A" w:rsidP="004A1D8A">
      <w:r>
        <w:t xml:space="preserve">Patients who experienced </w:t>
      </w:r>
      <w:r w:rsidR="0095118D">
        <w:t>G</w:t>
      </w:r>
      <w:r>
        <w:t>rade 3</w:t>
      </w:r>
      <w:r w:rsidR="0095118D">
        <w:t xml:space="preserve"> to</w:t>
      </w:r>
      <w:r w:rsidR="004F1E61">
        <w:t xml:space="preserve"> </w:t>
      </w:r>
      <w:r>
        <w:t>4 hypersensitivity reactions were discontinued from study treatment.</w:t>
      </w:r>
    </w:p>
    <w:p w14:paraId="524916A0" w14:textId="749FBFB3" w:rsidR="004A1D8A" w:rsidRDefault="004A1D8A" w:rsidP="001B1FF8">
      <w:r>
        <w:t xml:space="preserve">The primary endpoint was confirmed </w:t>
      </w:r>
      <w:r w:rsidR="00665FDD">
        <w:t>ORR</w:t>
      </w:r>
      <w:r>
        <w:t xml:space="preserve"> per RECIST v1.1,</w:t>
      </w:r>
      <w:r w:rsidR="0095118D">
        <w:fldChar w:fldCharType="begin"/>
      </w:r>
      <w:r w:rsidR="0095118D">
        <w:instrText xml:space="preserve"> NOTEREF _Ref95913838 \f \h </w:instrText>
      </w:r>
      <w:r w:rsidR="0095118D">
        <w:fldChar w:fldCharType="separate"/>
      </w:r>
      <w:r w:rsidR="0095118D" w:rsidRPr="001B1FF8">
        <w:rPr>
          <w:rStyle w:val="FootnoteReference"/>
        </w:rPr>
        <w:t>36</w:t>
      </w:r>
      <w:r w:rsidR="0095118D">
        <w:fldChar w:fldCharType="end"/>
      </w:r>
      <w:r>
        <w:t xml:space="preserve"> by investigator assessment in </w:t>
      </w:r>
      <w:proofErr w:type="gramStart"/>
      <w:r>
        <w:t xml:space="preserve">the </w:t>
      </w:r>
      <w:r w:rsidR="0095118D">
        <w:t>a</w:t>
      </w:r>
      <w:r>
        <w:t>ll</w:t>
      </w:r>
      <w:proofErr w:type="gramEnd"/>
      <w:r>
        <w:t xml:space="preserve"> </w:t>
      </w:r>
      <w:r w:rsidR="0095118D">
        <w:t>t</w:t>
      </w:r>
      <w:r>
        <w:t xml:space="preserve">reated </w:t>
      </w:r>
      <w:r w:rsidR="0095118D">
        <w:t>p</w:t>
      </w:r>
      <w:r>
        <w:t>atients population set. The ORR was estimated using an exact binomial distribution and its 95% -</w:t>
      </w:r>
      <w:proofErr w:type="gramStart"/>
      <w:r w:rsidR="0095118D">
        <w:t xml:space="preserve">two </w:t>
      </w:r>
      <w:r>
        <w:t>sided</w:t>
      </w:r>
      <w:proofErr w:type="gramEnd"/>
      <w:r>
        <w:t xml:space="preserve"> exact confidence interval using the Clopper-Pearson</w:t>
      </w:r>
      <w:r w:rsidR="00665FDD" w:rsidRPr="00665FDD">
        <w:t xml:space="preserve"> </w:t>
      </w:r>
      <w:r w:rsidR="00665FDD">
        <w:t>method.</w:t>
      </w:r>
      <w:r w:rsidR="00665FDD">
        <w:rPr>
          <w:rStyle w:val="FootnoteReference"/>
        </w:rPr>
        <w:footnoteReference w:id="39"/>
      </w:r>
      <w:r>
        <w:t xml:space="preserve"> The </w:t>
      </w:r>
      <w:r w:rsidR="0095118D">
        <w:t>s</w:t>
      </w:r>
      <w:r>
        <w:t xml:space="preserve">ponsor proposed a hypothesis test of excluding an </w:t>
      </w:r>
      <w:r>
        <w:rPr>
          <w:lang w:eastAsia="zh-TW"/>
        </w:rPr>
        <w:t xml:space="preserve">ORR of 15% </w:t>
      </w:r>
      <w:r>
        <w:t>based</w:t>
      </w:r>
      <w:r w:rsidRPr="00244D46">
        <w:t xml:space="preserve"> on historical data for topotecan and </w:t>
      </w:r>
      <w:r w:rsidR="0095118D" w:rsidRPr="00640A18">
        <w:t xml:space="preserve">cyclophosphamide, doxorubicin, and vincristine </w:t>
      </w:r>
      <w:r w:rsidR="0095118D">
        <w:t>(</w:t>
      </w:r>
      <w:r w:rsidRPr="00244D46">
        <w:t>CAV</w:t>
      </w:r>
      <w:r w:rsidR="0095118D">
        <w:t>) regimen</w:t>
      </w:r>
      <w:r w:rsidRPr="00244D46">
        <w:t xml:space="preserve"> (</w:t>
      </w:r>
      <w:r w:rsidR="0093432C">
        <w:fldChar w:fldCharType="begin"/>
      </w:r>
      <w:r w:rsidR="0093432C">
        <w:instrText xml:space="preserve"> REF _Ref96610260 \h </w:instrText>
      </w:r>
      <w:r w:rsidR="0093432C">
        <w:fldChar w:fldCharType="separate"/>
      </w:r>
      <w:r w:rsidR="0093432C">
        <w:t xml:space="preserve">Table </w:t>
      </w:r>
      <w:r w:rsidR="0093432C">
        <w:rPr>
          <w:noProof/>
        </w:rPr>
        <w:t>5</w:t>
      </w:r>
      <w:r w:rsidR="0093432C">
        <w:fldChar w:fldCharType="end"/>
      </w:r>
      <w:r w:rsidRPr="00244D46">
        <w:t>).</w:t>
      </w:r>
    </w:p>
    <w:p w14:paraId="58F5E97E" w14:textId="77777777" w:rsidR="004A1D8A" w:rsidRDefault="004A1D8A" w:rsidP="004A1D8A">
      <w:r>
        <w:t>Secondary endpoints included:</w:t>
      </w:r>
    </w:p>
    <w:p w14:paraId="6D0B59CB" w14:textId="346ECE3B" w:rsidR="004A1D8A" w:rsidRDefault="004F1E61" w:rsidP="001B1FF8">
      <w:pPr>
        <w:pStyle w:val="ListBullet"/>
      </w:pPr>
      <w:r>
        <w:t xml:space="preserve">Objective response rate </w:t>
      </w:r>
      <w:r w:rsidR="00A41C10">
        <w:t>(</w:t>
      </w:r>
      <w:r w:rsidR="004A1D8A">
        <w:t>ORR</w:t>
      </w:r>
      <w:r w:rsidR="00A41C10">
        <w:t>)</w:t>
      </w:r>
      <w:r w:rsidR="004A1D8A">
        <w:t xml:space="preserve"> by </w:t>
      </w:r>
      <w:r w:rsidR="00D11D49">
        <w:t>an i</w:t>
      </w:r>
      <w:r w:rsidR="004A1D8A">
        <w:t xml:space="preserve">ndependent </w:t>
      </w:r>
      <w:r w:rsidR="00D11D49">
        <w:t>r</w:t>
      </w:r>
      <w:r w:rsidR="004A1D8A">
        <w:t xml:space="preserve">eview </w:t>
      </w:r>
      <w:r w:rsidR="00D11D49">
        <w:t>c</w:t>
      </w:r>
      <w:r w:rsidR="004A1D8A">
        <w:t>ommittee (IRC) per RECIST</w:t>
      </w:r>
      <w:r>
        <w:t> </w:t>
      </w:r>
      <w:r w:rsidR="004A1D8A">
        <w:t>v1.1</w:t>
      </w:r>
      <w:r w:rsidR="002F4A8D">
        <w:t>;</w:t>
      </w:r>
      <w:r w:rsidR="002F4A8D">
        <w:fldChar w:fldCharType="begin"/>
      </w:r>
      <w:r w:rsidR="002F4A8D">
        <w:instrText xml:space="preserve"> NOTEREF _Ref95913838 \f \h </w:instrText>
      </w:r>
      <w:r w:rsidR="002F4A8D">
        <w:fldChar w:fldCharType="separate"/>
      </w:r>
      <w:r w:rsidR="002F4A8D" w:rsidRPr="00A17B9B">
        <w:rPr>
          <w:rStyle w:val="FootnoteReference"/>
        </w:rPr>
        <w:t>36</w:t>
      </w:r>
      <w:r w:rsidR="002F4A8D">
        <w:fldChar w:fldCharType="end"/>
      </w:r>
    </w:p>
    <w:p w14:paraId="6780A479" w14:textId="62A01A94" w:rsidR="004A1D8A" w:rsidRDefault="004A1D8A" w:rsidP="001B1FF8">
      <w:pPr>
        <w:pStyle w:val="ListBullet"/>
      </w:pPr>
      <w:r>
        <w:t xml:space="preserve">Duration of response (DOR) by </w:t>
      </w:r>
      <w:r w:rsidR="004F1E61">
        <w:t xml:space="preserve">investigator assessment </w:t>
      </w:r>
      <w:r>
        <w:t>and IRC</w:t>
      </w:r>
      <w:r w:rsidR="00E82F88">
        <w:t>.</w:t>
      </w:r>
    </w:p>
    <w:p w14:paraId="4D32AD2B" w14:textId="45AB2EAB" w:rsidR="004A1D8A" w:rsidRDefault="004A1D8A" w:rsidP="004A1D8A">
      <w:r>
        <w:t>Time to event endpoints were also reported but can</w:t>
      </w:r>
      <w:r w:rsidR="008121CE">
        <w:t>not</w:t>
      </w:r>
      <w:r>
        <w:t xml:space="preserve"> be reliably interpreted in the absence of an internal comparator (</w:t>
      </w:r>
      <w:r w:rsidR="00504B36">
        <w:t>that is</w:t>
      </w:r>
      <w:r>
        <w:t xml:space="preserve"> in the single arm setting).</w:t>
      </w:r>
      <w:r w:rsidR="00D15DC1">
        <w:rPr>
          <w:rStyle w:val="FootnoteReference"/>
        </w:rPr>
        <w:footnoteReference w:id="40"/>
      </w:r>
      <w:r>
        <w:t xml:space="preserve"> </w:t>
      </w:r>
    </w:p>
    <w:p w14:paraId="67B7352F" w14:textId="77777777" w:rsidR="004A1D8A" w:rsidRDefault="004A1D8A" w:rsidP="004A1D8A">
      <w:pPr>
        <w:pStyle w:val="Heading5"/>
      </w:pPr>
      <w:r>
        <w:t>Protocol changes</w:t>
      </w:r>
    </w:p>
    <w:p w14:paraId="7A803A11" w14:textId="011F34B4" w:rsidR="004A1D8A" w:rsidRDefault="004A1D8A" w:rsidP="004A1D8A">
      <w:r>
        <w:t>The size of the intended SCLC cohort was increased twice: first to 50 patients, based on emerging data from a different trial of lurbinectedin in combination with doxorubicin (</w:t>
      </w:r>
      <w:r w:rsidRPr="001E1934">
        <w:t>response rate: 50%; 95%</w:t>
      </w:r>
      <w:r w:rsidR="004F1E61">
        <w:t xml:space="preserve"> </w:t>
      </w:r>
      <w:r w:rsidRPr="001E1934">
        <w:t>CI</w:t>
      </w:r>
      <w:r w:rsidR="004F1E61">
        <w:t>:</w:t>
      </w:r>
      <w:r w:rsidRPr="001E1934">
        <w:t xml:space="preserve"> 34</w:t>
      </w:r>
      <w:r w:rsidR="002E2F36">
        <w:t xml:space="preserve"> to </w:t>
      </w:r>
      <w:r w:rsidRPr="001E1934">
        <w:t>66%),</w:t>
      </w:r>
      <w:r>
        <w:t xml:space="preserve"> then to 100 patients, based on the preliminary evidence of monotherapy activity that had been seen in </w:t>
      </w:r>
      <w:r w:rsidR="00E82F88">
        <w:t xml:space="preserve">Study </w:t>
      </w:r>
      <w:r>
        <w:t>B-005 at that time.</w:t>
      </w:r>
    </w:p>
    <w:p w14:paraId="5CB99696" w14:textId="77777777" w:rsidR="001B1FF8" w:rsidRDefault="004A1D8A" w:rsidP="004A1D8A">
      <w:r>
        <w:t xml:space="preserve">The </w:t>
      </w:r>
      <w:r w:rsidR="00E82F88">
        <w:t>statistical analysis plan (</w:t>
      </w:r>
      <w:r>
        <w:t>SAP</w:t>
      </w:r>
      <w:r w:rsidR="00E82F88">
        <w:t>)</w:t>
      </w:r>
      <w:r>
        <w:t xml:space="preserve"> was amended (to version 2.0) accordingly</w:t>
      </w:r>
      <w:r w:rsidR="001B1FF8">
        <w:t xml:space="preserve"> ‘t</w:t>
      </w:r>
      <w:r>
        <w:t xml:space="preserve">o update the sequential test methodology and to provide further details on the control of type I and II error probability (alpha and beta), </w:t>
      </w:r>
      <w:proofErr w:type="gramStart"/>
      <w:r>
        <w:t>taking into account</w:t>
      </w:r>
      <w:proofErr w:type="gramEnd"/>
      <w:r>
        <w:t xml:space="preserve"> the two planned interim analysis performed at 15 and 25 patients</w:t>
      </w:r>
      <w:r w:rsidR="001B1FF8">
        <w:t>.’</w:t>
      </w:r>
    </w:p>
    <w:p w14:paraId="39BD20E3" w14:textId="6EAC0DB4" w:rsidR="004A1D8A" w:rsidRPr="00DA343C" w:rsidRDefault="004A1D8A" w:rsidP="004A1D8A">
      <w:pPr>
        <w:rPr>
          <w:lang w:eastAsia="zh-TW"/>
        </w:rPr>
      </w:pPr>
      <w:r>
        <w:rPr>
          <w:lang w:eastAsia="zh-TW"/>
        </w:rPr>
        <w:t xml:space="preserve">Blinded independent central radiology (BICR) review of imaging and CTFI-based subgroup analyses were also added after protocol amendment 5. </w:t>
      </w:r>
      <w:r>
        <w:t>Sensitive disease was defined as a CTFI of ≥</w:t>
      </w:r>
      <w:r w:rsidR="00C2047D">
        <w:t xml:space="preserve"> </w:t>
      </w:r>
      <w:r>
        <w:t>90 days, and resistant disease as CTFI &lt; 90 days.</w:t>
      </w:r>
    </w:p>
    <w:p w14:paraId="27A384AD" w14:textId="77777777" w:rsidR="004A1D8A" w:rsidRDefault="004A1D8A" w:rsidP="004A1D8A">
      <w:pPr>
        <w:pStyle w:val="Heading5"/>
        <w:tabs>
          <w:tab w:val="left" w:pos="2835"/>
        </w:tabs>
      </w:pPr>
      <w:r>
        <w:t>Enrolled population (SCLC cohort)</w:t>
      </w:r>
    </w:p>
    <w:p w14:paraId="5D31983B" w14:textId="45B45CA2" w:rsidR="0007554A" w:rsidRDefault="004A1D8A" w:rsidP="001B1FF8">
      <w:r>
        <w:t xml:space="preserve">The </w:t>
      </w:r>
      <w:proofErr w:type="gramStart"/>
      <w:r w:rsidR="00180973">
        <w:t>a</w:t>
      </w:r>
      <w:r>
        <w:t xml:space="preserve">ll </w:t>
      </w:r>
      <w:r w:rsidR="00180973">
        <w:t>t</w:t>
      </w:r>
      <w:r>
        <w:t>reated</w:t>
      </w:r>
      <w:proofErr w:type="gramEnd"/>
      <w:r>
        <w:t xml:space="preserve"> </w:t>
      </w:r>
      <w:r w:rsidR="00180973">
        <w:t>p</w:t>
      </w:r>
      <w:r>
        <w:t>atients population consisted of 105 patients who received therapy (out of 110 enrolled).</w:t>
      </w:r>
      <w:r w:rsidRPr="004D6D70">
        <w:t xml:space="preserve"> </w:t>
      </w:r>
      <w:r>
        <w:t xml:space="preserve">Selected population demographics and baseline disease characteristics are summarised in </w:t>
      </w:r>
      <w:r w:rsidR="00790CB7">
        <w:fldChar w:fldCharType="begin"/>
      </w:r>
      <w:r w:rsidR="00790CB7">
        <w:instrText xml:space="preserve"> REF _Ref96610188 \h </w:instrText>
      </w:r>
      <w:r w:rsidR="00790CB7">
        <w:fldChar w:fldCharType="separate"/>
      </w:r>
      <w:r w:rsidR="00790CB7">
        <w:t xml:space="preserve">Table </w:t>
      </w:r>
      <w:r w:rsidR="00790CB7">
        <w:rPr>
          <w:noProof/>
        </w:rPr>
        <w:t>3</w:t>
      </w:r>
      <w:r w:rsidR="00790CB7">
        <w:fldChar w:fldCharType="end"/>
      </w:r>
      <w:r w:rsidR="002F4A8D">
        <w:t xml:space="preserve"> </w:t>
      </w:r>
      <w:r w:rsidR="001B1FF8">
        <w:t>w</w:t>
      </w:r>
      <w:r>
        <w:t>ith a median CTFI of 106 days (range: 0</w:t>
      </w:r>
      <w:r w:rsidR="00180973">
        <w:t xml:space="preserve"> to </w:t>
      </w:r>
      <w:r>
        <w:t xml:space="preserve">491) in the population overall, 43% of patients had resistant disease (this included 21 patients with a CTFI less </w:t>
      </w:r>
      <w:r>
        <w:lastRenderedPageBreak/>
        <w:t xml:space="preserve">than 30 days) and 57% had sensitive disease at </w:t>
      </w:r>
      <w:r w:rsidR="00180973">
        <w:t>B</w:t>
      </w:r>
      <w:r>
        <w:t>aseline (this included 20 patients who had a CTFI of longer than 180 days).</w:t>
      </w:r>
      <w:bookmarkStart w:id="43" w:name="_Ref76569177"/>
    </w:p>
    <w:p w14:paraId="697401D7" w14:textId="19EA70B9" w:rsidR="00790CB7" w:rsidRDefault="00790CB7" w:rsidP="00790CB7">
      <w:pPr>
        <w:pStyle w:val="TableTitle"/>
      </w:pPr>
      <w:bookmarkStart w:id="44" w:name="_Ref96610188"/>
      <w:bookmarkStart w:id="45" w:name="_Ref95916233"/>
      <w:r>
        <w:t xml:space="preserve">Table </w:t>
      </w:r>
      <w:fldSimple w:instr=" SEQ Table \* ARABIC ">
        <w:r w:rsidR="002C225D">
          <w:rPr>
            <w:noProof/>
          </w:rPr>
          <w:t>3</w:t>
        </w:r>
      </w:fldSimple>
      <w:bookmarkEnd w:id="44"/>
      <w:r>
        <w:t>: S</w:t>
      </w:r>
      <w:r w:rsidRPr="000A2CCC">
        <w:t xml:space="preserve">tudy B-005 Population characteristics in </w:t>
      </w:r>
      <w:r>
        <w:t>a</w:t>
      </w:r>
      <w:r w:rsidRPr="000A2CCC">
        <w:t xml:space="preserve">ll </w:t>
      </w:r>
      <w:r>
        <w:t>t</w:t>
      </w:r>
      <w:r w:rsidRPr="000A2CCC">
        <w:t xml:space="preserve">reated </w:t>
      </w:r>
      <w:r>
        <w:t>small cell lung cancer</w:t>
      </w:r>
      <w:r w:rsidRPr="000A2CCC">
        <w:t xml:space="preserve"> patients, and in subgroups based on </w:t>
      </w:r>
      <w:r w:rsidRPr="00E402EA">
        <w:t xml:space="preserve">chemotherapy-free interval </w:t>
      </w:r>
      <w:r w:rsidRPr="000A2CCC">
        <w:t>(data cut</w:t>
      </w:r>
      <w:r>
        <w:t xml:space="preserve"> </w:t>
      </w:r>
      <w:r w:rsidRPr="000A2CCC">
        <w:t xml:space="preserve">off </w:t>
      </w:r>
      <w:r>
        <w:t>15</w:t>
      </w:r>
      <w:r w:rsidR="004F1E61">
        <w:t> </w:t>
      </w:r>
      <w:r>
        <w:t>January 2019</w:t>
      </w:r>
      <w:r w:rsidRPr="000A2CCC">
        <w:t>)</w:t>
      </w:r>
    </w:p>
    <w:tbl>
      <w:tblPr>
        <w:tblStyle w:val="TableTGAblue"/>
        <w:tblW w:w="5000" w:type="pct"/>
        <w:tblLook w:val="01E0" w:firstRow="1" w:lastRow="1" w:firstColumn="1" w:lastColumn="1" w:noHBand="0" w:noVBand="0"/>
      </w:tblPr>
      <w:tblGrid>
        <w:gridCol w:w="3031"/>
        <w:gridCol w:w="671"/>
        <w:gridCol w:w="1547"/>
        <w:gridCol w:w="1547"/>
        <w:gridCol w:w="1688"/>
      </w:tblGrid>
      <w:tr w:rsidR="004A1D8A" w:rsidRPr="00F11C3F" w14:paraId="00C21527" w14:textId="77777777" w:rsidTr="00790CB7">
        <w:trPr>
          <w:cnfStyle w:val="100000000000" w:firstRow="1" w:lastRow="0" w:firstColumn="0" w:lastColumn="0" w:oddVBand="0" w:evenVBand="0" w:oddHBand="0" w:evenHBand="0" w:firstRowFirstColumn="0" w:firstRowLastColumn="0" w:lastRowFirstColumn="0" w:lastRowLastColumn="0"/>
          <w:trHeight w:val="20"/>
        </w:trPr>
        <w:tc>
          <w:tcPr>
            <w:tcW w:w="2181" w:type="pct"/>
            <w:gridSpan w:val="2"/>
          </w:tcPr>
          <w:bookmarkEnd w:id="43"/>
          <w:bookmarkEnd w:id="45"/>
          <w:p w14:paraId="31AC445C"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Characteristic</w:t>
            </w:r>
          </w:p>
        </w:tc>
        <w:tc>
          <w:tcPr>
            <w:tcW w:w="912" w:type="pct"/>
          </w:tcPr>
          <w:p w14:paraId="38C750BE" w14:textId="264ED6F7" w:rsidR="004A1D8A" w:rsidRPr="00F11C3F" w:rsidRDefault="004A1D8A" w:rsidP="0093432C">
            <w:pPr>
              <w:pStyle w:val="Tabletext"/>
              <w:rPr>
                <w:rFonts w:asciiTheme="minorHAnsi" w:hAnsiTheme="minorHAnsi"/>
                <w:szCs w:val="19"/>
              </w:rPr>
            </w:pPr>
            <w:r w:rsidRPr="00F11C3F">
              <w:rPr>
                <w:rFonts w:asciiTheme="minorHAnsi" w:hAnsiTheme="minorHAnsi"/>
                <w:szCs w:val="19"/>
              </w:rPr>
              <w:t xml:space="preserve">All </w:t>
            </w:r>
            <w:r w:rsidR="00167533" w:rsidRPr="00F11C3F">
              <w:rPr>
                <w:rFonts w:asciiTheme="minorHAnsi" w:hAnsiTheme="minorHAnsi"/>
                <w:szCs w:val="19"/>
              </w:rPr>
              <w:t>t</w:t>
            </w:r>
            <w:r w:rsidRPr="00F11C3F">
              <w:rPr>
                <w:rFonts w:asciiTheme="minorHAnsi" w:hAnsiTheme="minorHAnsi"/>
                <w:szCs w:val="19"/>
              </w:rPr>
              <w:t xml:space="preserve">reated SCLC </w:t>
            </w:r>
          </w:p>
          <w:p w14:paraId="51716243" w14:textId="39998371" w:rsidR="004A1D8A" w:rsidRPr="00F11C3F" w:rsidRDefault="00167533" w:rsidP="0093432C">
            <w:pPr>
              <w:pStyle w:val="Tabletext"/>
              <w:rPr>
                <w:rFonts w:asciiTheme="minorHAnsi" w:hAnsiTheme="minorHAnsi"/>
                <w:szCs w:val="19"/>
              </w:rPr>
            </w:pPr>
            <w:r w:rsidRPr="00F11C3F">
              <w:rPr>
                <w:rFonts w:asciiTheme="minorHAnsi" w:hAnsiTheme="minorHAnsi"/>
                <w:szCs w:val="19"/>
              </w:rPr>
              <w:t xml:space="preserve">n </w:t>
            </w:r>
            <w:r w:rsidR="004A1D8A" w:rsidRPr="00F11C3F">
              <w:rPr>
                <w:rFonts w:asciiTheme="minorHAnsi" w:hAnsiTheme="minorHAnsi"/>
                <w:szCs w:val="19"/>
              </w:rPr>
              <w:t>=</w:t>
            </w:r>
            <w:r w:rsidRPr="00F11C3F">
              <w:rPr>
                <w:rFonts w:asciiTheme="minorHAnsi" w:hAnsiTheme="minorHAnsi"/>
                <w:szCs w:val="19"/>
              </w:rPr>
              <w:t xml:space="preserve"> </w:t>
            </w:r>
            <w:r w:rsidR="004A1D8A" w:rsidRPr="00F11C3F">
              <w:rPr>
                <w:rFonts w:asciiTheme="minorHAnsi" w:hAnsiTheme="minorHAnsi"/>
                <w:szCs w:val="19"/>
              </w:rPr>
              <w:t>105</w:t>
            </w:r>
          </w:p>
        </w:tc>
        <w:tc>
          <w:tcPr>
            <w:tcW w:w="912" w:type="pct"/>
          </w:tcPr>
          <w:p w14:paraId="05D38AFF"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 xml:space="preserve">Sensitive </w:t>
            </w:r>
          </w:p>
          <w:p w14:paraId="1F880645" w14:textId="5A845B43" w:rsidR="004A1D8A" w:rsidRPr="00F11C3F" w:rsidRDefault="004A1D8A" w:rsidP="0093432C">
            <w:pPr>
              <w:pStyle w:val="Tabletext"/>
              <w:rPr>
                <w:rFonts w:asciiTheme="minorHAnsi" w:hAnsiTheme="minorHAnsi"/>
                <w:szCs w:val="19"/>
              </w:rPr>
            </w:pPr>
            <w:r w:rsidRPr="00F11C3F">
              <w:rPr>
                <w:rFonts w:asciiTheme="minorHAnsi" w:hAnsiTheme="minorHAnsi"/>
                <w:szCs w:val="19"/>
              </w:rPr>
              <w:t>(CTFI</w:t>
            </w:r>
            <w:r w:rsidR="00167533" w:rsidRPr="00F11C3F">
              <w:rPr>
                <w:rFonts w:asciiTheme="minorHAnsi" w:hAnsiTheme="minorHAnsi"/>
                <w:szCs w:val="19"/>
              </w:rPr>
              <w:t xml:space="preserve"> </w:t>
            </w:r>
            <w:r w:rsidRPr="00F11C3F">
              <w:rPr>
                <w:rFonts w:asciiTheme="minorHAnsi" w:hAnsiTheme="minorHAnsi"/>
                <w:szCs w:val="19"/>
              </w:rPr>
              <w:t>≥</w:t>
            </w:r>
            <w:r w:rsidR="00167533" w:rsidRPr="00F11C3F">
              <w:rPr>
                <w:rFonts w:asciiTheme="minorHAnsi" w:hAnsiTheme="minorHAnsi"/>
                <w:szCs w:val="19"/>
              </w:rPr>
              <w:t xml:space="preserve"> </w:t>
            </w:r>
            <w:r w:rsidRPr="00F11C3F">
              <w:rPr>
                <w:rFonts w:asciiTheme="minorHAnsi" w:hAnsiTheme="minorHAnsi"/>
                <w:szCs w:val="19"/>
              </w:rPr>
              <w:t xml:space="preserve">90 days) </w:t>
            </w:r>
          </w:p>
          <w:p w14:paraId="4065504B" w14:textId="54E668C9" w:rsidR="004A1D8A" w:rsidRPr="00F11C3F" w:rsidRDefault="00167533" w:rsidP="0093432C">
            <w:pPr>
              <w:pStyle w:val="Tabletext"/>
              <w:rPr>
                <w:rFonts w:asciiTheme="minorHAnsi" w:hAnsiTheme="minorHAnsi"/>
                <w:szCs w:val="19"/>
              </w:rPr>
            </w:pPr>
            <w:r w:rsidRPr="00F11C3F">
              <w:rPr>
                <w:rFonts w:asciiTheme="minorHAnsi" w:hAnsiTheme="minorHAnsi"/>
                <w:szCs w:val="19"/>
              </w:rPr>
              <w:t xml:space="preserve">n </w:t>
            </w:r>
            <w:r w:rsidR="004A1D8A" w:rsidRPr="00F11C3F">
              <w:rPr>
                <w:rFonts w:asciiTheme="minorHAnsi" w:hAnsiTheme="minorHAnsi"/>
                <w:szCs w:val="19"/>
              </w:rPr>
              <w:t>=</w:t>
            </w:r>
            <w:r w:rsidRPr="00F11C3F">
              <w:rPr>
                <w:rFonts w:asciiTheme="minorHAnsi" w:hAnsiTheme="minorHAnsi"/>
                <w:szCs w:val="19"/>
              </w:rPr>
              <w:t xml:space="preserve"> </w:t>
            </w:r>
            <w:r w:rsidR="004A1D8A" w:rsidRPr="00F11C3F">
              <w:rPr>
                <w:rFonts w:asciiTheme="minorHAnsi" w:hAnsiTheme="minorHAnsi"/>
                <w:szCs w:val="19"/>
              </w:rPr>
              <w:t>60</w:t>
            </w:r>
          </w:p>
        </w:tc>
        <w:tc>
          <w:tcPr>
            <w:tcW w:w="996" w:type="pct"/>
          </w:tcPr>
          <w:p w14:paraId="09C6352D"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Resistant</w:t>
            </w:r>
          </w:p>
          <w:p w14:paraId="13F2B05B" w14:textId="07231434" w:rsidR="004A1D8A" w:rsidRPr="00F11C3F" w:rsidRDefault="004A1D8A" w:rsidP="0093432C">
            <w:pPr>
              <w:pStyle w:val="Tabletext"/>
              <w:rPr>
                <w:rFonts w:asciiTheme="minorHAnsi" w:hAnsiTheme="minorHAnsi"/>
                <w:szCs w:val="19"/>
              </w:rPr>
            </w:pPr>
            <w:r w:rsidRPr="00F11C3F">
              <w:rPr>
                <w:rFonts w:asciiTheme="minorHAnsi" w:hAnsiTheme="minorHAnsi"/>
                <w:szCs w:val="19"/>
              </w:rPr>
              <w:t>(CTFI</w:t>
            </w:r>
            <w:r w:rsidR="00167533" w:rsidRPr="00F11C3F">
              <w:rPr>
                <w:rFonts w:asciiTheme="minorHAnsi" w:hAnsiTheme="minorHAnsi"/>
                <w:szCs w:val="19"/>
              </w:rPr>
              <w:t xml:space="preserve"> </w:t>
            </w:r>
            <w:r w:rsidRPr="00F11C3F">
              <w:rPr>
                <w:rFonts w:asciiTheme="minorHAnsi" w:hAnsiTheme="minorHAnsi"/>
                <w:szCs w:val="19"/>
              </w:rPr>
              <w:t>&lt;</w:t>
            </w:r>
            <w:r w:rsidR="00167533" w:rsidRPr="00F11C3F">
              <w:rPr>
                <w:rFonts w:asciiTheme="minorHAnsi" w:hAnsiTheme="minorHAnsi"/>
                <w:szCs w:val="19"/>
              </w:rPr>
              <w:t xml:space="preserve"> </w:t>
            </w:r>
            <w:r w:rsidRPr="00F11C3F">
              <w:rPr>
                <w:rFonts w:asciiTheme="minorHAnsi" w:hAnsiTheme="minorHAnsi"/>
                <w:szCs w:val="19"/>
              </w:rPr>
              <w:t xml:space="preserve">90 days) </w:t>
            </w:r>
          </w:p>
          <w:p w14:paraId="60643E97" w14:textId="447EF0BD" w:rsidR="004A1D8A" w:rsidRPr="00F11C3F" w:rsidRDefault="00167533" w:rsidP="0093432C">
            <w:pPr>
              <w:pStyle w:val="Tabletext"/>
              <w:rPr>
                <w:rFonts w:asciiTheme="minorHAnsi" w:hAnsiTheme="minorHAnsi"/>
                <w:szCs w:val="19"/>
              </w:rPr>
            </w:pPr>
            <w:r w:rsidRPr="00F11C3F">
              <w:rPr>
                <w:rFonts w:asciiTheme="minorHAnsi" w:hAnsiTheme="minorHAnsi"/>
                <w:szCs w:val="19"/>
              </w:rPr>
              <w:t xml:space="preserve">n </w:t>
            </w:r>
            <w:r w:rsidR="004A1D8A" w:rsidRPr="00F11C3F">
              <w:rPr>
                <w:rFonts w:asciiTheme="minorHAnsi" w:hAnsiTheme="minorHAnsi"/>
                <w:szCs w:val="19"/>
              </w:rPr>
              <w:t>=</w:t>
            </w:r>
            <w:r w:rsidRPr="00F11C3F">
              <w:rPr>
                <w:rFonts w:asciiTheme="minorHAnsi" w:hAnsiTheme="minorHAnsi"/>
                <w:szCs w:val="19"/>
              </w:rPr>
              <w:t xml:space="preserve"> </w:t>
            </w:r>
            <w:r w:rsidR="004A1D8A" w:rsidRPr="00F11C3F">
              <w:rPr>
                <w:rFonts w:asciiTheme="minorHAnsi" w:hAnsiTheme="minorHAnsi"/>
                <w:szCs w:val="19"/>
              </w:rPr>
              <w:t>45</w:t>
            </w:r>
          </w:p>
        </w:tc>
      </w:tr>
      <w:tr w:rsidR="004A1D8A" w:rsidRPr="00F11C3F" w14:paraId="08BC9968" w14:textId="77777777" w:rsidTr="00790CB7">
        <w:trPr>
          <w:trHeight w:val="20"/>
        </w:trPr>
        <w:tc>
          <w:tcPr>
            <w:tcW w:w="2181" w:type="pct"/>
            <w:gridSpan w:val="2"/>
          </w:tcPr>
          <w:p w14:paraId="30B23B08"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Male, n (%)</w:t>
            </w:r>
          </w:p>
        </w:tc>
        <w:tc>
          <w:tcPr>
            <w:tcW w:w="912" w:type="pct"/>
          </w:tcPr>
          <w:p w14:paraId="408F6EC9"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63 (60%)</w:t>
            </w:r>
          </w:p>
        </w:tc>
        <w:tc>
          <w:tcPr>
            <w:tcW w:w="912" w:type="pct"/>
          </w:tcPr>
          <w:p w14:paraId="5999E1EF"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35 (58%)</w:t>
            </w:r>
          </w:p>
        </w:tc>
        <w:tc>
          <w:tcPr>
            <w:tcW w:w="996" w:type="pct"/>
          </w:tcPr>
          <w:p w14:paraId="7F7D65F0"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28 (62%)</w:t>
            </w:r>
          </w:p>
        </w:tc>
      </w:tr>
      <w:tr w:rsidR="004A1D8A" w:rsidRPr="00F11C3F" w14:paraId="4E61DBAA" w14:textId="77777777" w:rsidTr="00790CB7">
        <w:trPr>
          <w:trHeight w:val="20"/>
        </w:trPr>
        <w:tc>
          <w:tcPr>
            <w:tcW w:w="2181" w:type="pct"/>
            <w:gridSpan w:val="2"/>
          </w:tcPr>
          <w:p w14:paraId="4655EFF1"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Median age, years (min, max)</w:t>
            </w:r>
          </w:p>
        </w:tc>
        <w:tc>
          <w:tcPr>
            <w:tcW w:w="912" w:type="pct"/>
          </w:tcPr>
          <w:p w14:paraId="69E2BD20"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 xml:space="preserve">60 (40, 83) </w:t>
            </w:r>
          </w:p>
        </w:tc>
        <w:tc>
          <w:tcPr>
            <w:tcW w:w="912" w:type="pct"/>
          </w:tcPr>
          <w:p w14:paraId="3A7E66E4"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59 (44, 79)</w:t>
            </w:r>
          </w:p>
        </w:tc>
        <w:tc>
          <w:tcPr>
            <w:tcW w:w="996" w:type="pct"/>
          </w:tcPr>
          <w:p w14:paraId="1E3E12BF"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66 (40, 83)</w:t>
            </w:r>
          </w:p>
        </w:tc>
      </w:tr>
      <w:tr w:rsidR="004A1D8A" w:rsidRPr="00F11C3F" w14:paraId="00F98B1A" w14:textId="77777777" w:rsidTr="00790CB7">
        <w:trPr>
          <w:trHeight w:val="20"/>
        </w:trPr>
        <w:tc>
          <w:tcPr>
            <w:tcW w:w="2181" w:type="pct"/>
            <w:gridSpan w:val="2"/>
          </w:tcPr>
          <w:p w14:paraId="1B34DE07" w14:textId="68F20A36"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Age &lt;</w:t>
            </w:r>
            <w:r w:rsidR="00167533" w:rsidRPr="00F11C3F">
              <w:rPr>
                <w:rFonts w:asciiTheme="minorHAnsi" w:hAnsiTheme="minorHAnsi"/>
                <w:szCs w:val="19"/>
              </w:rPr>
              <w:t xml:space="preserve"> </w:t>
            </w:r>
            <w:r w:rsidRPr="00F11C3F">
              <w:rPr>
                <w:rFonts w:asciiTheme="minorHAnsi" w:hAnsiTheme="minorHAnsi"/>
                <w:szCs w:val="19"/>
              </w:rPr>
              <w:t>65 years, n (%)</w:t>
            </w:r>
          </w:p>
        </w:tc>
        <w:tc>
          <w:tcPr>
            <w:tcW w:w="912" w:type="pct"/>
          </w:tcPr>
          <w:p w14:paraId="56368124"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68 (65%)</w:t>
            </w:r>
          </w:p>
        </w:tc>
        <w:tc>
          <w:tcPr>
            <w:tcW w:w="912" w:type="pct"/>
          </w:tcPr>
          <w:p w14:paraId="040530AD"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46 (77%)</w:t>
            </w:r>
          </w:p>
        </w:tc>
        <w:tc>
          <w:tcPr>
            <w:tcW w:w="996" w:type="pct"/>
          </w:tcPr>
          <w:p w14:paraId="56291438"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22 (49%)</w:t>
            </w:r>
          </w:p>
        </w:tc>
      </w:tr>
      <w:tr w:rsidR="004A1D8A" w:rsidRPr="00F11C3F" w14:paraId="2EA3C953" w14:textId="77777777" w:rsidTr="00790CB7">
        <w:trPr>
          <w:trHeight w:val="20"/>
        </w:trPr>
        <w:tc>
          <w:tcPr>
            <w:tcW w:w="2181" w:type="pct"/>
            <w:gridSpan w:val="2"/>
          </w:tcPr>
          <w:p w14:paraId="005A275C"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Region: Europe</w:t>
            </w:r>
          </w:p>
        </w:tc>
        <w:tc>
          <w:tcPr>
            <w:tcW w:w="912" w:type="pct"/>
          </w:tcPr>
          <w:p w14:paraId="1DA4AFC5"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94 (90%)</w:t>
            </w:r>
          </w:p>
        </w:tc>
        <w:tc>
          <w:tcPr>
            <w:tcW w:w="912" w:type="pct"/>
          </w:tcPr>
          <w:p w14:paraId="51F7D225"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 xml:space="preserve">56 (93%) </w:t>
            </w:r>
          </w:p>
        </w:tc>
        <w:tc>
          <w:tcPr>
            <w:tcW w:w="996" w:type="pct"/>
          </w:tcPr>
          <w:p w14:paraId="2B45C503"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38 (84%)</w:t>
            </w:r>
          </w:p>
        </w:tc>
      </w:tr>
      <w:tr w:rsidR="004A1D8A" w:rsidRPr="00F11C3F" w14:paraId="1B80AA04" w14:textId="77777777" w:rsidTr="00790CB7">
        <w:trPr>
          <w:trHeight w:val="20"/>
        </w:trPr>
        <w:tc>
          <w:tcPr>
            <w:tcW w:w="1786" w:type="pct"/>
            <w:vMerge w:val="restart"/>
          </w:tcPr>
          <w:p w14:paraId="5C6F48B2" w14:textId="2E2CCDEB"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ECOG performance status, n</w:t>
            </w:r>
            <w:r w:rsidR="004F1E61">
              <w:rPr>
                <w:rFonts w:asciiTheme="minorHAnsi" w:hAnsiTheme="minorHAnsi"/>
                <w:szCs w:val="19"/>
              </w:rPr>
              <w:t> </w:t>
            </w:r>
            <w:r w:rsidRPr="00F11C3F">
              <w:rPr>
                <w:rFonts w:asciiTheme="minorHAnsi" w:hAnsiTheme="minorHAnsi"/>
                <w:szCs w:val="19"/>
              </w:rPr>
              <w:t>(%)</w:t>
            </w:r>
          </w:p>
        </w:tc>
        <w:tc>
          <w:tcPr>
            <w:tcW w:w="394" w:type="pct"/>
          </w:tcPr>
          <w:p w14:paraId="3444C2CF"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0</w:t>
            </w:r>
          </w:p>
        </w:tc>
        <w:tc>
          <w:tcPr>
            <w:tcW w:w="912" w:type="pct"/>
          </w:tcPr>
          <w:p w14:paraId="4CF2597D"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 xml:space="preserve">38 (36%) </w:t>
            </w:r>
          </w:p>
        </w:tc>
        <w:tc>
          <w:tcPr>
            <w:tcW w:w="912" w:type="pct"/>
          </w:tcPr>
          <w:p w14:paraId="085FE588"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27 (45%)</w:t>
            </w:r>
          </w:p>
        </w:tc>
        <w:tc>
          <w:tcPr>
            <w:tcW w:w="996" w:type="pct"/>
          </w:tcPr>
          <w:p w14:paraId="61F55311"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11 (24%)</w:t>
            </w:r>
          </w:p>
        </w:tc>
      </w:tr>
      <w:tr w:rsidR="004A1D8A" w:rsidRPr="00F11C3F" w14:paraId="51668969" w14:textId="77777777" w:rsidTr="00790CB7">
        <w:trPr>
          <w:trHeight w:val="20"/>
        </w:trPr>
        <w:tc>
          <w:tcPr>
            <w:tcW w:w="1786" w:type="pct"/>
            <w:vMerge/>
          </w:tcPr>
          <w:p w14:paraId="32071214" w14:textId="77777777" w:rsidR="004A1D8A" w:rsidRPr="00F11C3F" w:rsidRDefault="004A1D8A" w:rsidP="00130E1B">
            <w:pPr>
              <w:pStyle w:val="Tabletext"/>
              <w:ind w:left="19"/>
              <w:rPr>
                <w:rFonts w:asciiTheme="minorHAnsi" w:hAnsiTheme="minorHAnsi"/>
                <w:szCs w:val="19"/>
              </w:rPr>
            </w:pPr>
          </w:p>
        </w:tc>
        <w:tc>
          <w:tcPr>
            <w:tcW w:w="394" w:type="pct"/>
          </w:tcPr>
          <w:p w14:paraId="544D4CB3"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1</w:t>
            </w:r>
          </w:p>
        </w:tc>
        <w:tc>
          <w:tcPr>
            <w:tcW w:w="912" w:type="pct"/>
          </w:tcPr>
          <w:p w14:paraId="34845B26"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59 (56%)</w:t>
            </w:r>
          </w:p>
        </w:tc>
        <w:tc>
          <w:tcPr>
            <w:tcW w:w="912" w:type="pct"/>
          </w:tcPr>
          <w:p w14:paraId="54A99EC4"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30 (50%)</w:t>
            </w:r>
          </w:p>
        </w:tc>
        <w:tc>
          <w:tcPr>
            <w:tcW w:w="996" w:type="pct"/>
          </w:tcPr>
          <w:p w14:paraId="0A3C9681"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29 (64%)</w:t>
            </w:r>
          </w:p>
        </w:tc>
      </w:tr>
      <w:tr w:rsidR="004A1D8A" w:rsidRPr="00F11C3F" w14:paraId="41829D14" w14:textId="77777777" w:rsidTr="00790CB7">
        <w:trPr>
          <w:trHeight w:val="20"/>
        </w:trPr>
        <w:tc>
          <w:tcPr>
            <w:tcW w:w="1786" w:type="pct"/>
            <w:vMerge/>
          </w:tcPr>
          <w:p w14:paraId="65B263F9" w14:textId="77777777" w:rsidR="004A1D8A" w:rsidRPr="00F11C3F" w:rsidRDefault="004A1D8A" w:rsidP="00130E1B">
            <w:pPr>
              <w:pStyle w:val="Tabletext"/>
              <w:ind w:left="19"/>
              <w:rPr>
                <w:rFonts w:asciiTheme="minorHAnsi" w:hAnsiTheme="minorHAnsi"/>
                <w:szCs w:val="19"/>
              </w:rPr>
            </w:pPr>
          </w:p>
        </w:tc>
        <w:tc>
          <w:tcPr>
            <w:tcW w:w="394" w:type="pct"/>
          </w:tcPr>
          <w:p w14:paraId="07B237B4"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2</w:t>
            </w:r>
          </w:p>
        </w:tc>
        <w:tc>
          <w:tcPr>
            <w:tcW w:w="912" w:type="pct"/>
          </w:tcPr>
          <w:p w14:paraId="5B0FAB9D"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8 (8%)</w:t>
            </w:r>
          </w:p>
        </w:tc>
        <w:tc>
          <w:tcPr>
            <w:tcW w:w="912" w:type="pct"/>
          </w:tcPr>
          <w:p w14:paraId="03377ADC"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3 (5%)</w:t>
            </w:r>
          </w:p>
        </w:tc>
        <w:tc>
          <w:tcPr>
            <w:tcW w:w="996" w:type="pct"/>
          </w:tcPr>
          <w:p w14:paraId="0270EEB7"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5 (11%)</w:t>
            </w:r>
          </w:p>
        </w:tc>
      </w:tr>
      <w:tr w:rsidR="004A1D8A" w:rsidRPr="00F11C3F" w14:paraId="72B372B7" w14:textId="77777777" w:rsidTr="00790CB7">
        <w:trPr>
          <w:trHeight w:val="20"/>
        </w:trPr>
        <w:tc>
          <w:tcPr>
            <w:tcW w:w="2181" w:type="pct"/>
            <w:gridSpan w:val="2"/>
          </w:tcPr>
          <w:p w14:paraId="4AD0D463"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Current/former smoker, n (%)</w:t>
            </w:r>
          </w:p>
        </w:tc>
        <w:tc>
          <w:tcPr>
            <w:tcW w:w="912" w:type="pct"/>
          </w:tcPr>
          <w:p w14:paraId="4870C124"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 xml:space="preserve">97 (92%) </w:t>
            </w:r>
          </w:p>
        </w:tc>
        <w:tc>
          <w:tcPr>
            <w:tcW w:w="912" w:type="pct"/>
          </w:tcPr>
          <w:p w14:paraId="28AE607D"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54 (90%)</w:t>
            </w:r>
          </w:p>
        </w:tc>
        <w:tc>
          <w:tcPr>
            <w:tcW w:w="996" w:type="pct"/>
          </w:tcPr>
          <w:p w14:paraId="44B87027"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43 (96%)</w:t>
            </w:r>
          </w:p>
        </w:tc>
      </w:tr>
      <w:tr w:rsidR="004A1D8A" w:rsidRPr="00F11C3F" w14:paraId="7D23C144" w14:textId="77777777" w:rsidTr="00790CB7">
        <w:trPr>
          <w:trHeight w:val="20"/>
        </w:trPr>
        <w:tc>
          <w:tcPr>
            <w:tcW w:w="2181" w:type="pct"/>
            <w:gridSpan w:val="2"/>
          </w:tcPr>
          <w:p w14:paraId="6944BB8E" w14:textId="07E4796E"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Extensive stage SCLC at diagnosis, n</w:t>
            </w:r>
            <w:r w:rsidR="004F1E61">
              <w:rPr>
                <w:rFonts w:asciiTheme="minorHAnsi" w:hAnsiTheme="minorHAnsi"/>
                <w:szCs w:val="19"/>
              </w:rPr>
              <w:t> </w:t>
            </w:r>
            <w:r w:rsidRPr="00F11C3F">
              <w:rPr>
                <w:rFonts w:asciiTheme="minorHAnsi" w:hAnsiTheme="minorHAnsi"/>
                <w:szCs w:val="19"/>
              </w:rPr>
              <w:t>(%)</w:t>
            </w:r>
          </w:p>
        </w:tc>
        <w:tc>
          <w:tcPr>
            <w:tcW w:w="912" w:type="pct"/>
          </w:tcPr>
          <w:p w14:paraId="0CDC3824"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 xml:space="preserve">73 (70%) </w:t>
            </w:r>
          </w:p>
        </w:tc>
        <w:tc>
          <w:tcPr>
            <w:tcW w:w="912" w:type="pct"/>
          </w:tcPr>
          <w:p w14:paraId="776272B9"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35 (58%)</w:t>
            </w:r>
          </w:p>
        </w:tc>
        <w:tc>
          <w:tcPr>
            <w:tcW w:w="996" w:type="pct"/>
          </w:tcPr>
          <w:p w14:paraId="16D82583"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38 (84%)</w:t>
            </w:r>
          </w:p>
        </w:tc>
      </w:tr>
      <w:tr w:rsidR="004A1D8A" w:rsidRPr="00F11C3F" w14:paraId="5A84B536" w14:textId="77777777" w:rsidTr="00790CB7">
        <w:trPr>
          <w:trHeight w:val="20"/>
        </w:trPr>
        <w:tc>
          <w:tcPr>
            <w:tcW w:w="2181" w:type="pct"/>
            <w:gridSpan w:val="2"/>
          </w:tcPr>
          <w:p w14:paraId="5FBA541F"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2 prior lines of therapy, n (%)</w:t>
            </w:r>
          </w:p>
        </w:tc>
        <w:tc>
          <w:tcPr>
            <w:tcW w:w="912" w:type="pct"/>
          </w:tcPr>
          <w:p w14:paraId="0A3A245F"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7 (7%)</w:t>
            </w:r>
          </w:p>
        </w:tc>
        <w:tc>
          <w:tcPr>
            <w:tcW w:w="912" w:type="pct"/>
          </w:tcPr>
          <w:p w14:paraId="739214B2"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3 (5%)</w:t>
            </w:r>
          </w:p>
        </w:tc>
        <w:tc>
          <w:tcPr>
            <w:tcW w:w="996" w:type="pct"/>
          </w:tcPr>
          <w:p w14:paraId="4630D5BE"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4 (9%)</w:t>
            </w:r>
          </w:p>
        </w:tc>
      </w:tr>
      <w:tr w:rsidR="004A1D8A" w:rsidRPr="00F11C3F" w14:paraId="12B378EC" w14:textId="77777777" w:rsidTr="00790CB7">
        <w:trPr>
          <w:trHeight w:val="20"/>
        </w:trPr>
        <w:tc>
          <w:tcPr>
            <w:tcW w:w="2181" w:type="pct"/>
            <w:gridSpan w:val="2"/>
          </w:tcPr>
          <w:p w14:paraId="3028B4A1"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Prior radiotherapy, n (%)</w:t>
            </w:r>
          </w:p>
        </w:tc>
        <w:tc>
          <w:tcPr>
            <w:tcW w:w="912" w:type="pct"/>
          </w:tcPr>
          <w:p w14:paraId="24A6606D"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 xml:space="preserve">76 (72%) </w:t>
            </w:r>
          </w:p>
        </w:tc>
        <w:tc>
          <w:tcPr>
            <w:tcW w:w="912" w:type="pct"/>
          </w:tcPr>
          <w:p w14:paraId="1DCE0A92"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57 (95%)</w:t>
            </w:r>
          </w:p>
        </w:tc>
        <w:tc>
          <w:tcPr>
            <w:tcW w:w="996" w:type="pct"/>
          </w:tcPr>
          <w:p w14:paraId="047835C5"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19 (42%)</w:t>
            </w:r>
          </w:p>
        </w:tc>
      </w:tr>
      <w:tr w:rsidR="004A1D8A" w:rsidRPr="00F11C3F" w14:paraId="7BA01997" w14:textId="77777777" w:rsidTr="00790CB7">
        <w:trPr>
          <w:trHeight w:val="20"/>
        </w:trPr>
        <w:tc>
          <w:tcPr>
            <w:tcW w:w="2181" w:type="pct"/>
            <w:gridSpan w:val="2"/>
          </w:tcPr>
          <w:p w14:paraId="0A32AB9D"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Prophylactic cranial irradiation, n (%)</w:t>
            </w:r>
          </w:p>
        </w:tc>
        <w:tc>
          <w:tcPr>
            <w:tcW w:w="912" w:type="pct"/>
          </w:tcPr>
          <w:p w14:paraId="54EE4A26"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61 (58%)</w:t>
            </w:r>
          </w:p>
        </w:tc>
        <w:tc>
          <w:tcPr>
            <w:tcW w:w="912" w:type="pct"/>
          </w:tcPr>
          <w:p w14:paraId="549F82C6"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47 (78%)</w:t>
            </w:r>
          </w:p>
        </w:tc>
        <w:tc>
          <w:tcPr>
            <w:tcW w:w="996" w:type="pct"/>
          </w:tcPr>
          <w:p w14:paraId="0668C026"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14 (31%)</w:t>
            </w:r>
          </w:p>
        </w:tc>
      </w:tr>
      <w:tr w:rsidR="004A1D8A" w:rsidRPr="00F11C3F" w14:paraId="733733BC" w14:textId="77777777" w:rsidTr="00790CB7">
        <w:trPr>
          <w:trHeight w:val="20"/>
        </w:trPr>
        <w:tc>
          <w:tcPr>
            <w:tcW w:w="2181" w:type="pct"/>
            <w:gridSpan w:val="2"/>
          </w:tcPr>
          <w:p w14:paraId="4802A101" w14:textId="77777777" w:rsidR="004A1D8A" w:rsidRPr="00F11C3F" w:rsidRDefault="004A1D8A" w:rsidP="00130E1B">
            <w:pPr>
              <w:pStyle w:val="Tabletext"/>
              <w:ind w:left="19"/>
              <w:rPr>
                <w:rFonts w:asciiTheme="minorHAnsi" w:hAnsiTheme="minorHAnsi"/>
                <w:szCs w:val="19"/>
              </w:rPr>
            </w:pPr>
            <w:r w:rsidRPr="00F11C3F">
              <w:rPr>
                <w:rFonts w:asciiTheme="minorHAnsi" w:hAnsiTheme="minorHAnsi"/>
                <w:szCs w:val="19"/>
              </w:rPr>
              <w:t>Prior immunotherapy, n (%)</w:t>
            </w:r>
          </w:p>
        </w:tc>
        <w:tc>
          <w:tcPr>
            <w:tcW w:w="912" w:type="pct"/>
          </w:tcPr>
          <w:p w14:paraId="27E7739D"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8 (8%)</w:t>
            </w:r>
          </w:p>
        </w:tc>
        <w:tc>
          <w:tcPr>
            <w:tcW w:w="912" w:type="pct"/>
          </w:tcPr>
          <w:p w14:paraId="754B161D"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3 (5%)</w:t>
            </w:r>
          </w:p>
        </w:tc>
        <w:tc>
          <w:tcPr>
            <w:tcW w:w="996" w:type="pct"/>
          </w:tcPr>
          <w:p w14:paraId="5C9C4CB2" w14:textId="77777777" w:rsidR="004A1D8A" w:rsidRPr="00F11C3F" w:rsidRDefault="004A1D8A" w:rsidP="0093432C">
            <w:pPr>
              <w:pStyle w:val="Tabletext"/>
              <w:rPr>
                <w:rFonts w:asciiTheme="minorHAnsi" w:hAnsiTheme="minorHAnsi"/>
                <w:szCs w:val="19"/>
              </w:rPr>
            </w:pPr>
            <w:r w:rsidRPr="00F11C3F">
              <w:rPr>
                <w:rFonts w:asciiTheme="minorHAnsi" w:hAnsiTheme="minorHAnsi"/>
                <w:szCs w:val="19"/>
              </w:rPr>
              <w:t>5 (11%)</w:t>
            </w:r>
          </w:p>
        </w:tc>
      </w:tr>
    </w:tbl>
    <w:p w14:paraId="27C8A2CB" w14:textId="16527844" w:rsidR="004A1D8A" w:rsidRDefault="004A1D8A" w:rsidP="004F1E61">
      <w:pPr>
        <w:pStyle w:val="Heading5"/>
      </w:pPr>
      <w:r>
        <w:t>Disposition</w:t>
      </w:r>
    </w:p>
    <w:p w14:paraId="74DC8BD7" w14:textId="332C2379" w:rsidR="004F1E61" w:rsidRPr="004F1E61" w:rsidRDefault="004F1E61" w:rsidP="00A41C10">
      <w:pPr>
        <w:keepNext/>
      </w:pPr>
      <w:r>
        <w:t>Patient disposition for Study B-005 is given in Table 4, below.</w:t>
      </w:r>
    </w:p>
    <w:p w14:paraId="571A0403" w14:textId="210457F0" w:rsidR="004A1D8A" w:rsidRPr="004D6D70" w:rsidRDefault="00790CB7" w:rsidP="004F1E61">
      <w:pPr>
        <w:pStyle w:val="TableTitle"/>
      </w:pPr>
      <w:bookmarkStart w:id="46" w:name="_Ref96610166"/>
      <w:r>
        <w:t xml:space="preserve">Table </w:t>
      </w:r>
      <w:fldSimple w:instr=" SEQ Table \* ARABIC ">
        <w:r w:rsidR="004F1E61">
          <w:rPr>
            <w:noProof/>
          </w:rPr>
          <w:t>4</w:t>
        </w:r>
      </w:fldSimple>
      <w:bookmarkEnd w:id="46"/>
      <w:r w:rsidR="000A2CCC">
        <w:t xml:space="preserve">: </w:t>
      </w:r>
      <w:r w:rsidR="00167533">
        <w:t>S</w:t>
      </w:r>
      <w:r w:rsidR="00167533" w:rsidRPr="004D6D70">
        <w:t xml:space="preserve">tudy B-005 </w:t>
      </w:r>
      <w:r w:rsidR="004A1D8A" w:rsidRPr="004D6D70">
        <w:t xml:space="preserve">Patient disposition (data cut-off </w:t>
      </w:r>
      <w:r w:rsidR="000A2CCC">
        <w:t>15 January 2019</w:t>
      </w:r>
      <w:r w:rsidR="004A1D8A" w:rsidRPr="004D6D70">
        <w:t xml:space="preserve">) </w:t>
      </w:r>
    </w:p>
    <w:tbl>
      <w:tblPr>
        <w:tblStyle w:val="TableTGAblue"/>
        <w:tblW w:w="5000" w:type="pct"/>
        <w:tblLook w:val="01E0" w:firstRow="1" w:lastRow="1" w:firstColumn="1" w:lastColumn="1" w:noHBand="0" w:noVBand="0"/>
      </w:tblPr>
      <w:tblGrid>
        <w:gridCol w:w="5386"/>
        <w:gridCol w:w="3098"/>
      </w:tblGrid>
      <w:tr w:rsidR="004A1D8A" w:rsidRPr="00F11C3F" w14:paraId="454BBEE9" w14:textId="77777777" w:rsidTr="00F11C3F">
        <w:trPr>
          <w:cnfStyle w:val="100000000000" w:firstRow="1" w:lastRow="0" w:firstColumn="0" w:lastColumn="0" w:oddVBand="0" w:evenVBand="0" w:oddHBand="0" w:evenHBand="0" w:firstRowFirstColumn="0" w:firstRowLastColumn="0" w:lastRowFirstColumn="0" w:lastRowLastColumn="0"/>
          <w:trHeight w:val="20"/>
        </w:trPr>
        <w:tc>
          <w:tcPr>
            <w:tcW w:w="3174" w:type="pct"/>
          </w:tcPr>
          <w:p w14:paraId="1C18BEC2" w14:textId="77777777" w:rsidR="004A1D8A" w:rsidRPr="00F11C3F" w:rsidRDefault="004A1D8A">
            <w:pPr>
              <w:pStyle w:val="Tabletext"/>
              <w:rPr>
                <w:szCs w:val="19"/>
              </w:rPr>
            </w:pPr>
            <w:r w:rsidRPr="00F11C3F">
              <w:rPr>
                <w:szCs w:val="19"/>
              </w:rPr>
              <w:t>Patient disposition, n (%)</w:t>
            </w:r>
          </w:p>
        </w:tc>
        <w:tc>
          <w:tcPr>
            <w:tcW w:w="1826" w:type="pct"/>
          </w:tcPr>
          <w:p w14:paraId="7C5ADFE1" w14:textId="27FB8391" w:rsidR="004A1D8A" w:rsidRPr="00F11C3F" w:rsidRDefault="004A1D8A">
            <w:pPr>
              <w:pStyle w:val="Tabletext"/>
              <w:rPr>
                <w:szCs w:val="19"/>
              </w:rPr>
            </w:pPr>
            <w:r w:rsidRPr="00F11C3F">
              <w:rPr>
                <w:szCs w:val="19"/>
              </w:rPr>
              <w:t xml:space="preserve">All </w:t>
            </w:r>
            <w:r w:rsidR="00167533" w:rsidRPr="00F11C3F">
              <w:rPr>
                <w:szCs w:val="19"/>
              </w:rPr>
              <w:t>t</w:t>
            </w:r>
            <w:r w:rsidRPr="00F11C3F">
              <w:rPr>
                <w:szCs w:val="19"/>
              </w:rPr>
              <w:t>reated SCLC (n</w:t>
            </w:r>
            <w:r w:rsidR="00167533" w:rsidRPr="00F11C3F">
              <w:rPr>
                <w:szCs w:val="19"/>
              </w:rPr>
              <w:t xml:space="preserve"> </w:t>
            </w:r>
            <w:r w:rsidRPr="00F11C3F">
              <w:rPr>
                <w:szCs w:val="19"/>
              </w:rPr>
              <w:t>=</w:t>
            </w:r>
            <w:r w:rsidR="00167533" w:rsidRPr="00F11C3F">
              <w:rPr>
                <w:szCs w:val="19"/>
              </w:rPr>
              <w:t xml:space="preserve"> </w:t>
            </w:r>
            <w:r w:rsidRPr="00F11C3F">
              <w:rPr>
                <w:szCs w:val="19"/>
              </w:rPr>
              <w:t>105)</w:t>
            </w:r>
          </w:p>
        </w:tc>
      </w:tr>
      <w:tr w:rsidR="004A1D8A" w:rsidRPr="00F11C3F" w14:paraId="6A23C50D" w14:textId="77777777" w:rsidTr="00F11C3F">
        <w:trPr>
          <w:trHeight w:val="20"/>
        </w:trPr>
        <w:tc>
          <w:tcPr>
            <w:tcW w:w="3174" w:type="pct"/>
          </w:tcPr>
          <w:p w14:paraId="05E7DA5F" w14:textId="77777777" w:rsidR="004A1D8A" w:rsidRPr="00F11C3F" w:rsidRDefault="004A1D8A" w:rsidP="00A41C10">
            <w:pPr>
              <w:pStyle w:val="Tabletext"/>
              <w:keepNext/>
              <w:rPr>
                <w:szCs w:val="19"/>
              </w:rPr>
            </w:pPr>
            <w:r w:rsidRPr="00F11C3F">
              <w:rPr>
                <w:szCs w:val="19"/>
              </w:rPr>
              <w:t>Discontinued treatment</w:t>
            </w:r>
          </w:p>
        </w:tc>
        <w:tc>
          <w:tcPr>
            <w:tcW w:w="1826" w:type="pct"/>
          </w:tcPr>
          <w:p w14:paraId="2AB12D4E" w14:textId="77777777" w:rsidR="004A1D8A" w:rsidRPr="00F11C3F" w:rsidRDefault="004A1D8A" w:rsidP="00A41C10">
            <w:pPr>
              <w:pStyle w:val="Tabletext"/>
              <w:keepNext/>
              <w:rPr>
                <w:szCs w:val="19"/>
              </w:rPr>
            </w:pPr>
            <w:r w:rsidRPr="00F11C3F">
              <w:rPr>
                <w:szCs w:val="19"/>
              </w:rPr>
              <w:t>94 (90%)</w:t>
            </w:r>
          </w:p>
        </w:tc>
      </w:tr>
      <w:tr w:rsidR="004A1D8A" w:rsidRPr="00F11C3F" w14:paraId="1E9CE20B" w14:textId="77777777" w:rsidTr="00F11C3F">
        <w:trPr>
          <w:trHeight w:val="20"/>
        </w:trPr>
        <w:tc>
          <w:tcPr>
            <w:tcW w:w="3174" w:type="pct"/>
          </w:tcPr>
          <w:p w14:paraId="794B7B01" w14:textId="77777777" w:rsidR="004A1D8A" w:rsidRPr="00F11C3F" w:rsidRDefault="004A1D8A" w:rsidP="00A41C10">
            <w:pPr>
              <w:pStyle w:val="Tabletext"/>
              <w:keepNext/>
              <w:rPr>
                <w:szCs w:val="19"/>
              </w:rPr>
            </w:pPr>
            <w:r w:rsidRPr="00F11C3F">
              <w:rPr>
                <w:szCs w:val="19"/>
              </w:rPr>
              <w:t xml:space="preserve">Progressive Disease </w:t>
            </w:r>
          </w:p>
        </w:tc>
        <w:tc>
          <w:tcPr>
            <w:tcW w:w="1826" w:type="pct"/>
          </w:tcPr>
          <w:p w14:paraId="5FBADC28" w14:textId="77777777" w:rsidR="004A1D8A" w:rsidRPr="00F11C3F" w:rsidRDefault="004A1D8A" w:rsidP="00A41C10">
            <w:pPr>
              <w:pStyle w:val="Tabletext"/>
              <w:keepNext/>
              <w:rPr>
                <w:szCs w:val="19"/>
              </w:rPr>
            </w:pPr>
            <w:r w:rsidRPr="00F11C3F">
              <w:rPr>
                <w:szCs w:val="19"/>
              </w:rPr>
              <w:t>84 (80%)</w:t>
            </w:r>
          </w:p>
        </w:tc>
      </w:tr>
      <w:tr w:rsidR="004A1D8A" w:rsidRPr="00F11C3F" w14:paraId="510059C0" w14:textId="77777777" w:rsidTr="00F11C3F">
        <w:trPr>
          <w:trHeight w:val="20"/>
        </w:trPr>
        <w:tc>
          <w:tcPr>
            <w:tcW w:w="3174" w:type="pct"/>
          </w:tcPr>
          <w:p w14:paraId="03988EF9" w14:textId="77777777" w:rsidR="004A1D8A" w:rsidRPr="00F11C3F" w:rsidRDefault="004A1D8A" w:rsidP="0093432C">
            <w:pPr>
              <w:pStyle w:val="Tabletext"/>
              <w:rPr>
                <w:szCs w:val="19"/>
              </w:rPr>
            </w:pPr>
            <w:r w:rsidRPr="00F11C3F">
              <w:rPr>
                <w:szCs w:val="19"/>
              </w:rPr>
              <w:t xml:space="preserve">Treatment Related Adverse Event </w:t>
            </w:r>
          </w:p>
        </w:tc>
        <w:tc>
          <w:tcPr>
            <w:tcW w:w="1826" w:type="pct"/>
          </w:tcPr>
          <w:p w14:paraId="0EB1AB2B" w14:textId="77777777" w:rsidR="004A1D8A" w:rsidRPr="00F11C3F" w:rsidRDefault="004A1D8A" w:rsidP="0093432C">
            <w:pPr>
              <w:pStyle w:val="Tabletext"/>
              <w:rPr>
                <w:szCs w:val="19"/>
              </w:rPr>
            </w:pPr>
            <w:r w:rsidRPr="00F11C3F">
              <w:rPr>
                <w:szCs w:val="19"/>
              </w:rPr>
              <w:t>2 (2%)</w:t>
            </w:r>
          </w:p>
        </w:tc>
      </w:tr>
      <w:tr w:rsidR="004A1D8A" w:rsidRPr="00F11C3F" w14:paraId="2623A2B1" w14:textId="77777777" w:rsidTr="00F11C3F">
        <w:trPr>
          <w:trHeight w:val="20"/>
        </w:trPr>
        <w:tc>
          <w:tcPr>
            <w:tcW w:w="3174" w:type="pct"/>
          </w:tcPr>
          <w:p w14:paraId="157FFF62" w14:textId="77777777" w:rsidR="004A1D8A" w:rsidRPr="00F11C3F" w:rsidRDefault="004A1D8A" w:rsidP="0093432C">
            <w:pPr>
              <w:pStyle w:val="Tabletext"/>
              <w:rPr>
                <w:szCs w:val="19"/>
              </w:rPr>
            </w:pPr>
            <w:r w:rsidRPr="00F11C3F">
              <w:rPr>
                <w:szCs w:val="19"/>
              </w:rPr>
              <w:t>Death</w:t>
            </w:r>
          </w:p>
        </w:tc>
        <w:tc>
          <w:tcPr>
            <w:tcW w:w="1826" w:type="pct"/>
          </w:tcPr>
          <w:p w14:paraId="6A7503E7" w14:textId="77777777" w:rsidR="004A1D8A" w:rsidRPr="00F11C3F" w:rsidRDefault="004A1D8A" w:rsidP="0093432C">
            <w:pPr>
              <w:pStyle w:val="Tabletext"/>
              <w:rPr>
                <w:szCs w:val="19"/>
              </w:rPr>
            </w:pPr>
            <w:r w:rsidRPr="00F11C3F">
              <w:rPr>
                <w:szCs w:val="19"/>
              </w:rPr>
              <w:t>2 (2%)</w:t>
            </w:r>
          </w:p>
        </w:tc>
      </w:tr>
      <w:tr w:rsidR="004A1D8A" w:rsidRPr="00F11C3F" w14:paraId="0B97EB54" w14:textId="77777777" w:rsidTr="00F11C3F">
        <w:trPr>
          <w:trHeight w:val="20"/>
        </w:trPr>
        <w:tc>
          <w:tcPr>
            <w:tcW w:w="3174" w:type="pct"/>
          </w:tcPr>
          <w:p w14:paraId="402517BF" w14:textId="77777777" w:rsidR="004A1D8A" w:rsidRPr="00F11C3F" w:rsidRDefault="004A1D8A" w:rsidP="0093432C">
            <w:pPr>
              <w:pStyle w:val="Tabletext"/>
              <w:rPr>
                <w:szCs w:val="19"/>
              </w:rPr>
            </w:pPr>
            <w:r w:rsidRPr="00F11C3F">
              <w:rPr>
                <w:szCs w:val="19"/>
              </w:rPr>
              <w:t xml:space="preserve">Investigator’s Decision </w:t>
            </w:r>
          </w:p>
        </w:tc>
        <w:tc>
          <w:tcPr>
            <w:tcW w:w="1826" w:type="pct"/>
          </w:tcPr>
          <w:p w14:paraId="6A0CE41C" w14:textId="77777777" w:rsidR="004A1D8A" w:rsidRPr="00F11C3F" w:rsidRDefault="004A1D8A" w:rsidP="0093432C">
            <w:pPr>
              <w:pStyle w:val="Tabletext"/>
              <w:rPr>
                <w:szCs w:val="19"/>
              </w:rPr>
            </w:pPr>
            <w:r w:rsidRPr="00F11C3F">
              <w:rPr>
                <w:szCs w:val="19"/>
              </w:rPr>
              <w:t>4 (4%)</w:t>
            </w:r>
          </w:p>
        </w:tc>
      </w:tr>
      <w:tr w:rsidR="004A1D8A" w:rsidRPr="00F11C3F" w14:paraId="6FA34246" w14:textId="77777777" w:rsidTr="00F11C3F">
        <w:trPr>
          <w:trHeight w:val="20"/>
        </w:trPr>
        <w:tc>
          <w:tcPr>
            <w:tcW w:w="3174" w:type="pct"/>
          </w:tcPr>
          <w:p w14:paraId="5E2BB13B" w14:textId="77777777" w:rsidR="004A1D8A" w:rsidRPr="00F11C3F" w:rsidRDefault="004A1D8A" w:rsidP="0093432C">
            <w:pPr>
              <w:pStyle w:val="Tabletext"/>
              <w:rPr>
                <w:szCs w:val="19"/>
              </w:rPr>
            </w:pPr>
            <w:r w:rsidRPr="00F11C3F">
              <w:rPr>
                <w:szCs w:val="19"/>
              </w:rPr>
              <w:lastRenderedPageBreak/>
              <w:t>Patient Refusal</w:t>
            </w:r>
          </w:p>
        </w:tc>
        <w:tc>
          <w:tcPr>
            <w:tcW w:w="1826" w:type="pct"/>
          </w:tcPr>
          <w:p w14:paraId="4D3B1BB8" w14:textId="77777777" w:rsidR="004A1D8A" w:rsidRPr="00F11C3F" w:rsidRDefault="004A1D8A" w:rsidP="0093432C">
            <w:pPr>
              <w:pStyle w:val="Tabletext"/>
              <w:rPr>
                <w:szCs w:val="19"/>
              </w:rPr>
            </w:pPr>
            <w:r w:rsidRPr="00F11C3F">
              <w:rPr>
                <w:szCs w:val="19"/>
              </w:rPr>
              <w:t>2 (2%)</w:t>
            </w:r>
          </w:p>
        </w:tc>
      </w:tr>
      <w:tr w:rsidR="004A1D8A" w:rsidRPr="00F11C3F" w14:paraId="127C6F9B" w14:textId="77777777" w:rsidTr="00F11C3F">
        <w:trPr>
          <w:trHeight w:val="20"/>
        </w:trPr>
        <w:tc>
          <w:tcPr>
            <w:tcW w:w="3174" w:type="pct"/>
          </w:tcPr>
          <w:p w14:paraId="65326EDD" w14:textId="77777777" w:rsidR="004A1D8A" w:rsidRPr="00F11C3F" w:rsidRDefault="004A1D8A" w:rsidP="0093432C">
            <w:pPr>
              <w:pStyle w:val="Tabletext"/>
              <w:rPr>
                <w:szCs w:val="19"/>
              </w:rPr>
            </w:pPr>
            <w:r w:rsidRPr="00F11C3F">
              <w:rPr>
                <w:szCs w:val="19"/>
              </w:rPr>
              <w:t>Ongoing at cut-off</w:t>
            </w:r>
          </w:p>
        </w:tc>
        <w:tc>
          <w:tcPr>
            <w:tcW w:w="1826" w:type="pct"/>
          </w:tcPr>
          <w:p w14:paraId="5AD402CE" w14:textId="77777777" w:rsidR="004A1D8A" w:rsidRPr="00F11C3F" w:rsidRDefault="004A1D8A" w:rsidP="0093432C">
            <w:pPr>
              <w:pStyle w:val="Tabletext"/>
              <w:rPr>
                <w:szCs w:val="19"/>
              </w:rPr>
            </w:pPr>
            <w:r w:rsidRPr="00F11C3F">
              <w:rPr>
                <w:szCs w:val="19"/>
              </w:rPr>
              <w:t>11 (10%)</w:t>
            </w:r>
          </w:p>
        </w:tc>
      </w:tr>
    </w:tbl>
    <w:p w14:paraId="01005A31" w14:textId="77777777" w:rsidR="004A1D8A" w:rsidRDefault="004A1D8A" w:rsidP="004F1E61">
      <w:pPr>
        <w:pStyle w:val="Heading5"/>
      </w:pPr>
      <w:r w:rsidRPr="004F1E61">
        <w:t>Efficacy</w:t>
      </w:r>
      <w:r>
        <w:t xml:space="preserve"> results</w:t>
      </w:r>
    </w:p>
    <w:p w14:paraId="0590C8AB" w14:textId="4A459644" w:rsidR="004A1D8A" w:rsidRPr="00857CE0" w:rsidRDefault="004A1D8A" w:rsidP="00665FDD">
      <w:r>
        <w:t>Results for ORR and DOR according to both investigator and BICR assessment are summarised in</w:t>
      </w:r>
      <w:r w:rsidR="000E3A6A">
        <w:t xml:space="preserve"> </w:t>
      </w:r>
      <w:r w:rsidR="000E3A6A">
        <w:fldChar w:fldCharType="begin"/>
      </w:r>
      <w:r w:rsidR="000E3A6A">
        <w:instrText xml:space="preserve"> REF _Ref96610260 \h </w:instrText>
      </w:r>
      <w:r w:rsidR="000E3A6A">
        <w:fldChar w:fldCharType="separate"/>
      </w:r>
      <w:r w:rsidR="000E3A6A">
        <w:t xml:space="preserve">Table </w:t>
      </w:r>
      <w:r w:rsidR="000E3A6A">
        <w:rPr>
          <w:noProof/>
        </w:rPr>
        <w:t>5</w:t>
      </w:r>
      <w:r w:rsidR="000E3A6A">
        <w:fldChar w:fldCharType="end"/>
      </w:r>
      <w:r>
        <w:t>.</w:t>
      </w:r>
    </w:p>
    <w:p w14:paraId="1E6F0AD0" w14:textId="61BE402C" w:rsidR="004A1D8A" w:rsidRPr="00A4473A" w:rsidRDefault="00790CB7" w:rsidP="000E3A6A">
      <w:pPr>
        <w:pStyle w:val="TableTitle"/>
      </w:pPr>
      <w:bookmarkStart w:id="47" w:name="_Ref96610260"/>
      <w:bookmarkStart w:id="48" w:name="_Ref74038544"/>
      <w:r>
        <w:t xml:space="preserve">Table </w:t>
      </w:r>
      <w:fldSimple w:instr=" SEQ Table \* ARABIC ">
        <w:r w:rsidR="002C225D">
          <w:rPr>
            <w:noProof/>
          </w:rPr>
          <w:t>5</w:t>
        </w:r>
      </w:fldSimple>
      <w:bookmarkEnd w:id="47"/>
      <w:r w:rsidR="000A2CCC">
        <w:t>:</w:t>
      </w:r>
      <w:bookmarkEnd w:id="48"/>
      <w:r w:rsidR="000A2CCC">
        <w:t xml:space="preserve"> </w:t>
      </w:r>
      <w:r w:rsidR="00167533">
        <w:t>S</w:t>
      </w:r>
      <w:r w:rsidR="00167533" w:rsidRPr="004D6D70">
        <w:t>tudy B-005</w:t>
      </w:r>
      <w:r w:rsidR="00167533">
        <w:t xml:space="preserve"> </w:t>
      </w:r>
      <w:r w:rsidR="004A1D8A" w:rsidRPr="00A4473A">
        <w:t xml:space="preserve">Results </w:t>
      </w:r>
      <w:r w:rsidR="004A1D8A" w:rsidRPr="004D6D70">
        <w:t xml:space="preserve">in </w:t>
      </w:r>
      <w:r w:rsidR="004A1D8A">
        <w:t xml:space="preserve">the </w:t>
      </w:r>
      <w:proofErr w:type="gramStart"/>
      <w:r w:rsidR="00E402EA">
        <w:t>a</w:t>
      </w:r>
      <w:r w:rsidR="004A1D8A">
        <w:t xml:space="preserve">ll </w:t>
      </w:r>
      <w:r w:rsidR="00E402EA">
        <w:t>t</w:t>
      </w:r>
      <w:r w:rsidR="004A1D8A">
        <w:t>reated</w:t>
      </w:r>
      <w:proofErr w:type="gramEnd"/>
      <w:r w:rsidR="004A1D8A">
        <w:t xml:space="preserve"> </w:t>
      </w:r>
      <w:r w:rsidR="00E402EA">
        <w:t>p</w:t>
      </w:r>
      <w:r w:rsidR="004A1D8A">
        <w:t xml:space="preserve">atients set, and in subgroups based on </w:t>
      </w:r>
      <w:r w:rsidR="00E402EA">
        <w:t>chemotherapy-free interval</w:t>
      </w:r>
      <w:r w:rsidR="000E3A6A">
        <w:t xml:space="preserve"> </w:t>
      </w:r>
      <w:r w:rsidR="004A1D8A" w:rsidRPr="004D6D70">
        <w:t>(data cut</w:t>
      </w:r>
      <w:r w:rsidR="00167533">
        <w:t xml:space="preserve"> </w:t>
      </w:r>
      <w:r w:rsidR="004A1D8A" w:rsidRPr="004D6D70">
        <w:t xml:space="preserve">off </w:t>
      </w:r>
      <w:r w:rsidR="000A2CCC">
        <w:t>15 January 2019</w:t>
      </w:r>
      <w:r w:rsidR="004A1D8A" w:rsidRPr="004D6D70">
        <w:t>)</w:t>
      </w:r>
    </w:p>
    <w:tbl>
      <w:tblPr>
        <w:tblStyle w:val="TableTGAblue"/>
        <w:tblW w:w="5000" w:type="pct"/>
        <w:tblLook w:val="01E0" w:firstRow="1" w:lastRow="1" w:firstColumn="1" w:lastColumn="1" w:noHBand="0" w:noVBand="0"/>
      </w:tblPr>
      <w:tblGrid>
        <w:gridCol w:w="944"/>
        <w:gridCol w:w="2448"/>
        <w:gridCol w:w="1700"/>
        <w:gridCol w:w="1702"/>
        <w:gridCol w:w="1690"/>
      </w:tblGrid>
      <w:tr w:rsidR="004A1D8A" w:rsidRPr="00F11C3F" w14:paraId="17909F07" w14:textId="77777777" w:rsidTr="00F11C3F">
        <w:trPr>
          <w:cnfStyle w:val="100000000000" w:firstRow="1" w:lastRow="0" w:firstColumn="0" w:lastColumn="0" w:oddVBand="0" w:evenVBand="0" w:oddHBand="0" w:evenHBand="0" w:firstRowFirstColumn="0" w:firstRowLastColumn="0" w:lastRowFirstColumn="0" w:lastRowLastColumn="0"/>
          <w:trHeight w:val="219"/>
        </w:trPr>
        <w:tc>
          <w:tcPr>
            <w:tcW w:w="1999" w:type="pct"/>
            <w:gridSpan w:val="2"/>
          </w:tcPr>
          <w:p w14:paraId="24FE7F80" w14:textId="77777777" w:rsidR="004A1D8A" w:rsidRPr="00F11C3F" w:rsidRDefault="004A1D8A" w:rsidP="008F5F29">
            <w:pPr>
              <w:rPr>
                <w:rFonts w:asciiTheme="minorHAnsi" w:hAnsiTheme="minorHAnsi"/>
                <w:sz w:val="19"/>
                <w:szCs w:val="19"/>
              </w:rPr>
            </w:pPr>
          </w:p>
        </w:tc>
        <w:tc>
          <w:tcPr>
            <w:tcW w:w="1002" w:type="pct"/>
          </w:tcPr>
          <w:p w14:paraId="526E12F3"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 xml:space="preserve">All Treated SCLC </w:t>
            </w:r>
          </w:p>
          <w:p w14:paraId="63D9D45F" w14:textId="6AA283E5" w:rsidR="004A1D8A" w:rsidRPr="00F11C3F" w:rsidRDefault="00C653DB" w:rsidP="008F5F29">
            <w:pPr>
              <w:rPr>
                <w:rFonts w:asciiTheme="minorHAnsi" w:hAnsiTheme="minorHAnsi"/>
                <w:sz w:val="19"/>
                <w:szCs w:val="19"/>
              </w:rPr>
            </w:pPr>
            <w:r w:rsidRPr="00F11C3F">
              <w:rPr>
                <w:rFonts w:asciiTheme="minorHAnsi" w:hAnsiTheme="minorHAnsi"/>
                <w:sz w:val="19"/>
                <w:szCs w:val="19"/>
              </w:rPr>
              <w:t xml:space="preserve">n </w:t>
            </w:r>
            <w:r w:rsidR="004A1D8A" w:rsidRPr="00F11C3F">
              <w:rPr>
                <w:rFonts w:asciiTheme="minorHAnsi" w:hAnsiTheme="minorHAnsi"/>
                <w:sz w:val="19"/>
                <w:szCs w:val="19"/>
              </w:rPr>
              <w:t>=</w:t>
            </w:r>
            <w:r w:rsidRPr="00F11C3F">
              <w:rPr>
                <w:rFonts w:asciiTheme="minorHAnsi" w:hAnsiTheme="minorHAnsi"/>
                <w:sz w:val="19"/>
                <w:szCs w:val="19"/>
              </w:rPr>
              <w:t xml:space="preserve"> </w:t>
            </w:r>
            <w:r w:rsidR="004A1D8A" w:rsidRPr="00F11C3F">
              <w:rPr>
                <w:rFonts w:asciiTheme="minorHAnsi" w:hAnsiTheme="minorHAnsi"/>
                <w:sz w:val="19"/>
                <w:szCs w:val="19"/>
              </w:rPr>
              <w:t>105</w:t>
            </w:r>
          </w:p>
        </w:tc>
        <w:tc>
          <w:tcPr>
            <w:tcW w:w="1003" w:type="pct"/>
          </w:tcPr>
          <w:p w14:paraId="36B52BCF"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 xml:space="preserve">Sensitive </w:t>
            </w:r>
          </w:p>
          <w:p w14:paraId="5F5E823C" w14:textId="41640DE3" w:rsidR="004A1D8A" w:rsidRPr="00F11C3F" w:rsidRDefault="004A1D8A" w:rsidP="008F5F29">
            <w:pPr>
              <w:rPr>
                <w:rFonts w:asciiTheme="minorHAnsi" w:hAnsiTheme="minorHAnsi"/>
                <w:sz w:val="19"/>
                <w:szCs w:val="19"/>
              </w:rPr>
            </w:pPr>
            <w:r w:rsidRPr="00F11C3F">
              <w:rPr>
                <w:rFonts w:asciiTheme="minorHAnsi" w:hAnsiTheme="minorHAnsi"/>
                <w:sz w:val="19"/>
                <w:szCs w:val="19"/>
              </w:rPr>
              <w:t>(CTFI</w:t>
            </w:r>
            <w:r w:rsidR="00C653DB" w:rsidRPr="00F11C3F">
              <w:rPr>
                <w:rFonts w:asciiTheme="minorHAnsi" w:hAnsiTheme="minorHAnsi"/>
                <w:sz w:val="19"/>
                <w:szCs w:val="19"/>
              </w:rPr>
              <w:t xml:space="preserve"> </w:t>
            </w:r>
            <w:r w:rsidRPr="00F11C3F">
              <w:rPr>
                <w:rFonts w:asciiTheme="minorHAnsi" w:hAnsiTheme="minorHAnsi"/>
                <w:sz w:val="19"/>
                <w:szCs w:val="19"/>
              </w:rPr>
              <w:t>≥</w:t>
            </w:r>
            <w:r w:rsidR="00C653DB" w:rsidRPr="00F11C3F">
              <w:rPr>
                <w:rFonts w:asciiTheme="minorHAnsi" w:hAnsiTheme="minorHAnsi"/>
                <w:sz w:val="19"/>
                <w:szCs w:val="19"/>
              </w:rPr>
              <w:t xml:space="preserve"> </w:t>
            </w:r>
            <w:r w:rsidRPr="00F11C3F">
              <w:rPr>
                <w:rFonts w:asciiTheme="minorHAnsi" w:hAnsiTheme="minorHAnsi"/>
                <w:sz w:val="19"/>
                <w:szCs w:val="19"/>
              </w:rPr>
              <w:t xml:space="preserve">90 days) </w:t>
            </w:r>
          </w:p>
          <w:p w14:paraId="47B71010" w14:textId="77AAD62F" w:rsidR="004A1D8A" w:rsidRPr="00F11C3F" w:rsidRDefault="00C653DB" w:rsidP="008F5F29">
            <w:pPr>
              <w:rPr>
                <w:rFonts w:asciiTheme="minorHAnsi" w:hAnsiTheme="minorHAnsi"/>
                <w:sz w:val="19"/>
                <w:szCs w:val="19"/>
              </w:rPr>
            </w:pPr>
            <w:r w:rsidRPr="00F11C3F">
              <w:rPr>
                <w:rFonts w:asciiTheme="minorHAnsi" w:hAnsiTheme="minorHAnsi"/>
                <w:sz w:val="19"/>
                <w:szCs w:val="19"/>
              </w:rPr>
              <w:t xml:space="preserve">n </w:t>
            </w:r>
            <w:r w:rsidR="004A1D8A" w:rsidRPr="00F11C3F">
              <w:rPr>
                <w:rFonts w:asciiTheme="minorHAnsi" w:hAnsiTheme="minorHAnsi"/>
                <w:sz w:val="19"/>
                <w:szCs w:val="19"/>
              </w:rPr>
              <w:t>=</w:t>
            </w:r>
            <w:r w:rsidRPr="00F11C3F">
              <w:rPr>
                <w:rFonts w:asciiTheme="minorHAnsi" w:hAnsiTheme="minorHAnsi"/>
                <w:sz w:val="19"/>
                <w:szCs w:val="19"/>
              </w:rPr>
              <w:t xml:space="preserve"> </w:t>
            </w:r>
            <w:r w:rsidR="004A1D8A" w:rsidRPr="00F11C3F">
              <w:rPr>
                <w:rFonts w:asciiTheme="minorHAnsi" w:hAnsiTheme="minorHAnsi"/>
                <w:sz w:val="19"/>
                <w:szCs w:val="19"/>
              </w:rPr>
              <w:t>60</w:t>
            </w:r>
          </w:p>
        </w:tc>
        <w:tc>
          <w:tcPr>
            <w:tcW w:w="996" w:type="pct"/>
          </w:tcPr>
          <w:p w14:paraId="54F00E9A"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Resistant</w:t>
            </w:r>
          </w:p>
          <w:p w14:paraId="186D0D27" w14:textId="73753A13" w:rsidR="004A1D8A" w:rsidRPr="00F11C3F" w:rsidRDefault="004A1D8A" w:rsidP="008F5F29">
            <w:pPr>
              <w:rPr>
                <w:rFonts w:asciiTheme="minorHAnsi" w:hAnsiTheme="minorHAnsi"/>
                <w:sz w:val="19"/>
                <w:szCs w:val="19"/>
              </w:rPr>
            </w:pPr>
            <w:r w:rsidRPr="00F11C3F">
              <w:rPr>
                <w:rFonts w:asciiTheme="minorHAnsi" w:hAnsiTheme="minorHAnsi"/>
                <w:sz w:val="19"/>
                <w:szCs w:val="19"/>
              </w:rPr>
              <w:t>(CTFI</w:t>
            </w:r>
            <w:r w:rsidR="00C653DB" w:rsidRPr="00F11C3F">
              <w:rPr>
                <w:rFonts w:asciiTheme="minorHAnsi" w:hAnsiTheme="minorHAnsi"/>
                <w:sz w:val="19"/>
                <w:szCs w:val="19"/>
              </w:rPr>
              <w:t xml:space="preserve"> </w:t>
            </w:r>
            <w:r w:rsidRPr="00F11C3F">
              <w:rPr>
                <w:rFonts w:asciiTheme="minorHAnsi" w:hAnsiTheme="minorHAnsi"/>
                <w:sz w:val="19"/>
                <w:szCs w:val="19"/>
              </w:rPr>
              <w:t>&lt;</w:t>
            </w:r>
            <w:r w:rsidR="00C653DB" w:rsidRPr="00F11C3F">
              <w:rPr>
                <w:rFonts w:asciiTheme="minorHAnsi" w:hAnsiTheme="minorHAnsi"/>
                <w:sz w:val="19"/>
                <w:szCs w:val="19"/>
              </w:rPr>
              <w:t xml:space="preserve"> </w:t>
            </w:r>
            <w:r w:rsidRPr="00F11C3F">
              <w:rPr>
                <w:rFonts w:asciiTheme="minorHAnsi" w:hAnsiTheme="minorHAnsi"/>
                <w:sz w:val="19"/>
                <w:szCs w:val="19"/>
              </w:rPr>
              <w:t xml:space="preserve">90 days) </w:t>
            </w:r>
          </w:p>
          <w:p w14:paraId="2A9E5787" w14:textId="6FE7BBC9" w:rsidR="004A1D8A" w:rsidRPr="00F11C3F" w:rsidRDefault="00C653DB" w:rsidP="008F5F29">
            <w:pPr>
              <w:rPr>
                <w:rFonts w:asciiTheme="minorHAnsi" w:hAnsiTheme="minorHAnsi"/>
                <w:sz w:val="19"/>
                <w:szCs w:val="19"/>
              </w:rPr>
            </w:pPr>
            <w:r w:rsidRPr="00F11C3F">
              <w:rPr>
                <w:rFonts w:asciiTheme="minorHAnsi" w:hAnsiTheme="minorHAnsi"/>
                <w:sz w:val="19"/>
                <w:szCs w:val="19"/>
              </w:rPr>
              <w:t xml:space="preserve">n </w:t>
            </w:r>
            <w:r w:rsidR="004A1D8A" w:rsidRPr="00F11C3F">
              <w:rPr>
                <w:rFonts w:asciiTheme="minorHAnsi" w:hAnsiTheme="minorHAnsi"/>
                <w:sz w:val="19"/>
                <w:szCs w:val="19"/>
              </w:rPr>
              <w:t>=</w:t>
            </w:r>
            <w:r w:rsidRPr="00F11C3F">
              <w:rPr>
                <w:rFonts w:asciiTheme="minorHAnsi" w:hAnsiTheme="minorHAnsi"/>
                <w:sz w:val="19"/>
                <w:szCs w:val="19"/>
              </w:rPr>
              <w:t xml:space="preserve"> </w:t>
            </w:r>
            <w:r w:rsidR="004A1D8A" w:rsidRPr="00F11C3F">
              <w:rPr>
                <w:rFonts w:asciiTheme="minorHAnsi" w:hAnsiTheme="minorHAnsi"/>
                <w:sz w:val="19"/>
                <w:szCs w:val="19"/>
              </w:rPr>
              <w:t>45</w:t>
            </w:r>
          </w:p>
        </w:tc>
      </w:tr>
      <w:tr w:rsidR="004A1D8A" w:rsidRPr="00F11C3F" w14:paraId="60036DEB" w14:textId="77777777" w:rsidTr="00F11C3F">
        <w:trPr>
          <w:trHeight w:val="219"/>
        </w:trPr>
        <w:tc>
          <w:tcPr>
            <w:tcW w:w="5000" w:type="pct"/>
            <w:gridSpan w:val="5"/>
          </w:tcPr>
          <w:p w14:paraId="22317FE0" w14:textId="77777777" w:rsidR="004A1D8A" w:rsidRPr="00F11C3F" w:rsidRDefault="004A1D8A" w:rsidP="008F5F29">
            <w:pPr>
              <w:rPr>
                <w:rFonts w:asciiTheme="minorHAnsi" w:hAnsiTheme="minorHAnsi"/>
                <w:b/>
                <w:bCs/>
                <w:sz w:val="19"/>
                <w:szCs w:val="19"/>
              </w:rPr>
            </w:pPr>
            <w:r w:rsidRPr="00F11C3F">
              <w:rPr>
                <w:rFonts w:asciiTheme="minorHAnsi" w:hAnsiTheme="minorHAnsi"/>
                <w:b/>
                <w:bCs/>
                <w:sz w:val="19"/>
                <w:szCs w:val="19"/>
              </w:rPr>
              <w:t>Investigator assessment</w:t>
            </w:r>
          </w:p>
        </w:tc>
      </w:tr>
      <w:tr w:rsidR="004A1D8A" w:rsidRPr="00F11C3F" w14:paraId="74F4B973" w14:textId="77777777" w:rsidTr="00F11C3F">
        <w:trPr>
          <w:trHeight w:val="219"/>
        </w:trPr>
        <w:tc>
          <w:tcPr>
            <w:tcW w:w="556" w:type="pct"/>
            <w:vMerge w:val="restart"/>
          </w:tcPr>
          <w:p w14:paraId="7E9CBD63"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ORR</w:t>
            </w:r>
          </w:p>
        </w:tc>
        <w:tc>
          <w:tcPr>
            <w:tcW w:w="1443" w:type="pct"/>
          </w:tcPr>
          <w:p w14:paraId="5E1A8A2E"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ORR, % (95% CI)</w:t>
            </w:r>
          </w:p>
        </w:tc>
        <w:tc>
          <w:tcPr>
            <w:tcW w:w="1002" w:type="pct"/>
          </w:tcPr>
          <w:p w14:paraId="3B33F36F"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35% (26, 45)</w:t>
            </w:r>
          </w:p>
        </w:tc>
        <w:tc>
          <w:tcPr>
            <w:tcW w:w="1003" w:type="pct"/>
          </w:tcPr>
          <w:p w14:paraId="530EB24E"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45% (32, 58)</w:t>
            </w:r>
          </w:p>
        </w:tc>
        <w:tc>
          <w:tcPr>
            <w:tcW w:w="996" w:type="pct"/>
          </w:tcPr>
          <w:p w14:paraId="75DB3106"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22% (11, 37)</w:t>
            </w:r>
          </w:p>
        </w:tc>
      </w:tr>
      <w:tr w:rsidR="004A1D8A" w:rsidRPr="00F11C3F" w14:paraId="1D268ACB" w14:textId="77777777" w:rsidTr="00F11C3F">
        <w:trPr>
          <w:trHeight w:val="219"/>
        </w:trPr>
        <w:tc>
          <w:tcPr>
            <w:tcW w:w="556" w:type="pct"/>
            <w:vMerge/>
          </w:tcPr>
          <w:p w14:paraId="6B7B5DCC" w14:textId="77777777" w:rsidR="004A1D8A" w:rsidRPr="00F11C3F" w:rsidRDefault="004A1D8A" w:rsidP="008F5F29">
            <w:pPr>
              <w:rPr>
                <w:rFonts w:asciiTheme="minorHAnsi" w:hAnsiTheme="minorHAnsi"/>
                <w:sz w:val="19"/>
                <w:szCs w:val="19"/>
              </w:rPr>
            </w:pPr>
          </w:p>
        </w:tc>
        <w:tc>
          <w:tcPr>
            <w:tcW w:w="1443" w:type="pct"/>
          </w:tcPr>
          <w:p w14:paraId="76CA4009"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CR, n</w:t>
            </w:r>
          </w:p>
        </w:tc>
        <w:tc>
          <w:tcPr>
            <w:tcW w:w="1002" w:type="pct"/>
          </w:tcPr>
          <w:p w14:paraId="48078CE2"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0</w:t>
            </w:r>
          </w:p>
        </w:tc>
        <w:tc>
          <w:tcPr>
            <w:tcW w:w="1003" w:type="pct"/>
          </w:tcPr>
          <w:p w14:paraId="64B49E6E"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0</w:t>
            </w:r>
          </w:p>
        </w:tc>
        <w:tc>
          <w:tcPr>
            <w:tcW w:w="996" w:type="pct"/>
          </w:tcPr>
          <w:p w14:paraId="002EC41F"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0</w:t>
            </w:r>
          </w:p>
        </w:tc>
      </w:tr>
      <w:tr w:rsidR="004A1D8A" w:rsidRPr="00F11C3F" w14:paraId="09A7598A" w14:textId="77777777" w:rsidTr="00F11C3F">
        <w:trPr>
          <w:trHeight w:val="220"/>
        </w:trPr>
        <w:tc>
          <w:tcPr>
            <w:tcW w:w="556" w:type="pct"/>
            <w:vMerge/>
          </w:tcPr>
          <w:p w14:paraId="6AA743B2" w14:textId="77777777" w:rsidR="004A1D8A" w:rsidRPr="00F11C3F" w:rsidRDefault="004A1D8A" w:rsidP="008F5F29">
            <w:pPr>
              <w:rPr>
                <w:rFonts w:asciiTheme="minorHAnsi" w:hAnsiTheme="minorHAnsi"/>
                <w:sz w:val="19"/>
                <w:szCs w:val="19"/>
              </w:rPr>
            </w:pPr>
          </w:p>
        </w:tc>
        <w:tc>
          <w:tcPr>
            <w:tcW w:w="1443" w:type="pct"/>
          </w:tcPr>
          <w:p w14:paraId="2DDCE380"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PR, n</w:t>
            </w:r>
          </w:p>
        </w:tc>
        <w:tc>
          <w:tcPr>
            <w:tcW w:w="1002" w:type="pct"/>
          </w:tcPr>
          <w:p w14:paraId="0E106531"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37</w:t>
            </w:r>
          </w:p>
        </w:tc>
        <w:tc>
          <w:tcPr>
            <w:tcW w:w="1003" w:type="pct"/>
          </w:tcPr>
          <w:p w14:paraId="2606CB6A"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27</w:t>
            </w:r>
          </w:p>
        </w:tc>
        <w:tc>
          <w:tcPr>
            <w:tcW w:w="996" w:type="pct"/>
          </w:tcPr>
          <w:p w14:paraId="6DB66757"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10</w:t>
            </w:r>
          </w:p>
        </w:tc>
      </w:tr>
      <w:tr w:rsidR="004A1D8A" w:rsidRPr="00F11C3F" w14:paraId="0B64B572" w14:textId="77777777" w:rsidTr="00F11C3F">
        <w:trPr>
          <w:trHeight w:val="220"/>
        </w:trPr>
        <w:tc>
          <w:tcPr>
            <w:tcW w:w="556" w:type="pct"/>
            <w:vMerge w:val="restart"/>
          </w:tcPr>
          <w:p w14:paraId="7422AA05"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DOR</w:t>
            </w:r>
          </w:p>
        </w:tc>
        <w:tc>
          <w:tcPr>
            <w:tcW w:w="1443" w:type="pct"/>
          </w:tcPr>
          <w:p w14:paraId="70E16611"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Median, months (95% CI)</w:t>
            </w:r>
          </w:p>
        </w:tc>
        <w:tc>
          <w:tcPr>
            <w:tcW w:w="1002" w:type="pct"/>
          </w:tcPr>
          <w:p w14:paraId="12159BE1"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 xml:space="preserve">5.3 (4.1, 6.4) </w:t>
            </w:r>
          </w:p>
        </w:tc>
        <w:tc>
          <w:tcPr>
            <w:tcW w:w="1003" w:type="pct"/>
          </w:tcPr>
          <w:p w14:paraId="6209CA66"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6.2 (3.5, 7.3)</w:t>
            </w:r>
          </w:p>
        </w:tc>
        <w:tc>
          <w:tcPr>
            <w:tcW w:w="996" w:type="pct"/>
          </w:tcPr>
          <w:p w14:paraId="2CA685B8"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4.7 (2.6, 5.6)</w:t>
            </w:r>
          </w:p>
        </w:tc>
      </w:tr>
      <w:tr w:rsidR="004A1D8A" w:rsidRPr="00F11C3F" w14:paraId="3FC82D58" w14:textId="77777777" w:rsidTr="00F11C3F">
        <w:trPr>
          <w:trHeight w:val="220"/>
        </w:trPr>
        <w:tc>
          <w:tcPr>
            <w:tcW w:w="556" w:type="pct"/>
            <w:vMerge/>
          </w:tcPr>
          <w:p w14:paraId="31918279" w14:textId="77777777" w:rsidR="004A1D8A" w:rsidRPr="00F11C3F" w:rsidRDefault="004A1D8A" w:rsidP="008F5F29">
            <w:pPr>
              <w:rPr>
                <w:rFonts w:asciiTheme="minorHAnsi" w:hAnsiTheme="minorHAnsi"/>
                <w:sz w:val="19"/>
                <w:szCs w:val="19"/>
              </w:rPr>
            </w:pPr>
          </w:p>
        </w:tc>
        <w:tc>
          <w:tcPr>
            <w:tcW w:w="1443" w:type="pct"/>
          </w:tcPr>
          <w:p w14:paraId="36472E4E" w14:textId="367586AC" w:rsidR="004A1D8A" w:rsidRPr="00F11C3F" w:rsidRDefault="004A1D8A" w:rsidP="008F5F29">
            <w:pPr>
              <w:rPr>
                <w:rFonts w:asciiTheme="minorHAnsi" w:hAnsiTheme="minorHAnsi"/>
                <w:sz w:val="19"/>
                <w:szCs w:val="19"/>
              </w:rPr>
            </w:pPr>
            <w:r w:rsidRPr="00F11C3F">
              <w:rPr>
                <w:rFonts w:asciiTheme="minorHAnsi" w:hAnsiTheme="minorHAnsi"/>
                <w:sz w:val="19"/>
                <w:szCs w:val="19"/>
              </w:rPr>
              <w:t>% lasting ≥</w:t>
            </w:r>
            <w:r w:rsidR="00C653DB" w:rsidRPr="00F11C3F">
              <w:rPr>
                <w:rFonts w:asciiTheme="minorHAnsi" w:hAnsiTheme="minorHAnsi"/>
                <w:sz w:val="19"/>
                <w:szCs w:val="19"/>
              </w:rPr>
              <w:t xml:space="preserve"> </w:t>
            </w:r>
            <w:r w:rsidRPr="00F11C3F">
              <w:rPr>
                <w:rFonts w:asciiTheme="minorHAnsi" w:hAnsiTheme="minorHAnsi"/>
                <w:sz w:val="19"/>
                <w:szCs w:val="19"/>
              </w:rPr>
              <w:t>6 months</w:t>
            </w:r>
          </w:p>
        </w:tc>
        <w:tc>
          <w:tcPr>
            <w:tcW w:w="1002" w:type="pct"/>
          </w:tcPr>
          <w:p w14:paraId="63C831B6"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35%</w:t>
            </w:r>
          </w:p>
        </w:tc>
        <w:tc>
          <w:tcPr>
            <w:tcW w:w="1003" w:type="pct"/>
          </w:tcPr>
          <w:p w14:paraId="122808FC"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44%</w:t>
            </w:r>
          </w:p>
        </w:tc>
        <w:tc>
          <w:tcPr>
            <w:tcW w:w="996" w:type="pct"/>
          </w:tcPr>
          <w:p w14:paraId="24ED544F"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10%</w:t>
            </w:r>
          </w:p>
        </w:tc>
      </w:tr>
      <w:tr w:rsidR="004A1D8A" w:rsidRPr="00F11C3F" w14:paraId="435DF9B9" w14:textId="77777777" w:rsidTr="00F11C3F">
        <w:trPr>
          <w:trHeight w:val="219"/>
        </w:trPr>
        <w:tc>
          <w:tcPr>
            <w:tcW w:w="5000" w:type="pct"/>
            <w:gridSpan w:val="5"/>
          </w:tcPr>
          <w:p w14:paraId="7D807037" w14:textId="77777777" w:rsidR="004A1D8A" w:rsidRPr="00F11C3F" w:rsidRDefault="004A1D8A" w:rsidP="008F5F29">
            <w:pPr>
              <w:rPr>
                <w:rFonts w:asciiTheme="minorHAnsi" w:hAnsiTheme="minorHAnsi"/>
                <w:b/>
                <w:bCs/>
                <w:sz w:val="19"/>
                <w:szCs w:val="19"/>
              </w:rPr>
            </w:pPr>
            <w:r w:rsidRPr="00F11C3F">
              <w:rPr>
                <w:rFonts w:asciiTheme="minorHAnsi" w:hAnsiTheme="minorHAnsi"/>
                <w:b/>
                <w:bCs/>
                <w:sz w:val="19"/>
                <w:szCs w:val="19"/>
              </w:rPr>
              <w:t>BICR assessment</w:t>
            </w:r>
          </w:p>
        </w:tc>
      </w:tr>
      <w:tr w:rsidR="004A1D8A" w:rsidRPr="00F11C3F" w14:paraId="16D81546" w14:textId="77777777" w:rsidTr="00F11C3F">
        <w:trPr>
          <w:trHeight w:val="219"/>
        </w:trPr>
        <w:tc>
          <w:tcPr>
            <w:tcW w:w="556" w:type="pct"/>
            <w:vMerge w:val="restart"/>
          </w:tcPr>
          <w:p w14:paraId="0741FEE9"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ORR</w:t>
            </w:r>
          </w:p>
        </w:tc>
        <w:tc>
          <w:tcPr>
            <w:tcW w:w="1443" w:type="pct"/>
          </w:tcPr>
          <w:p w14:paraId="09DCD5D0"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ORR, % (95% CI)</w:t>
            </w:r>
          </w:p>
        </w:tc>
        <w:tc>
          <w:tcPr>
            <w:tcW w:w="1002" w:type="pct"/>
          </w:tcPr>
          <w:p w14:paraId="780343A2"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30% (22, 40)</w:t>
            </w:r>
          </w:p>
        </w:tc>
        <w:tc>
          <w:tcPr>
            <w:tcW w:w="1003" w:type="pct"/>
          </w:tcPr>
          <w:p w14:paraId="30468B19"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43% (31, 57)</w:t>
            </w:r>
          </w:p>
        </w:tc>
        <w:tc>
          <w:tcPr>
            <w:tcW w:w="996" w:type="pct"/>
          </w:tcPr>
          <w:p w14:paraId="1D5311A1"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13% (5, 27)</w:t>
            </w:r>
          </w:p>
        </w:tc>
      </w:tr>
      <w:tr w:rsidR="004A1D8A" w:rsidRPr="00F11C3F" w14:paraId="06FE3A4E" w14:textId="77777777" w:rsidTr="00F11C3F">
        <w:trPr>
          <w:trHeight w:val="219"/>
        </w:trPr>
        <w:tc>
          <w:tcPr>
            <w:tcW w:w="556" w:type="pct"/>
            <w:vMerge/>
          </w:tcPr>
          <w:p w14:paraId="7AB4D25A" w14:textId="77777777" w:rsidR="004A1D8A" w:rsidRPr="00F11C3F" w:rsidRDefault="004A1D8A" w:rsidP="008F5F29">
            <w:pPr>
              <w:rPr>
                <w:rFonts w:asciiTheme="minorHAnsi" w:hAnsiTheme="minorHAnsi"/>
                <w:sz w:val="19"/>
                <w:szCs w:val="19"/>
              </w:rPr>
            </w:pPr>
          </w:p>
        </w:tc>
        <w:tc>
          <w:tcPr>
            <w:tcW w:w="1443" w:type="pct"/>
          </w:tcPr>
          <w:p w14:paraId="05F6C22E"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CR, n</w:t>
            </w:r>
          </w:p>
        </w:tc>
        <w:tc>
          <w:tcPr>
            <w:tcW w:w="1002" w:type="pct"/>
          </w:tcPr>
          <w:p w14:paraId="66841F5F"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0</w:t>
            </w:r>
          </w:p>
        </w:tc>
        <w:tc>
          <w:tcPr>
            <w:tcW w:w="1003" w:type="pct"/>
          </w:tcPr>
          <w:p w14:paraId="75B47658"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0</w:t>
            </w:r>
          </w:p>
        </w:tc>
        <w:tc>
          <w:tcPr>
            <w:tcW w:w="996" w:type="pct"/>
          </w:tcPr>
          <w:p w14:paraId="272D1152"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0</w:t>
            </w:r>
          </w:p>
        </w:tc>
      </w:tr>
      <w:tr w:rsidR="004A1D8A" w:rsidRPr="00F11C3F" w14:paraId="65A909F0" w14:textId="77777777" w:rsidTr="00F11C3F">
        <w:trPr>
          <w:trHeight w:val="220"/>
        </w:trPr>
        <w:tc>
          <w:tcPr>
            <w:tcW w:w="556" w:type="pct"/>
            <w:vMerge/>
          </w:tcPr>
          <w:p w14:paraId="620F68B3" w14:textId="77777777" w:rsidR="004A1D8A" w:rsidRPr="00F11C3F" w:rsidRDefault="004A1D8A" w:rsidP="008F5F29">
            <w:pPr>
              <w:rPr>
                <w:rFonts w:asciiTheme="minorHAnsi" w:hAnsiTheme="minorHAnsi"/>
                <w:sz w:val="19"/>
                <w:szCs w:val="19"/>
              </w:rPr>
            </w:pPr>
          </w:p>
        </w:tc>
        <w:tc>
          <w:tcPr>
            <w:tcW w:w="1443" w:type="pct"/>
          </w:tcPr>
          <w:p w14:paraId="043074DF"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PR, n</w:t>
            </w:r>
          </w:p>
        </w:tc>
        <w:tc>
          <w:tcPr>
            <w:tcW w:w="1002" w:type="pct"/>
          </w:tcPr>
          <w:p w14:paraId="52003A52"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32</w:t>
            </w:r>
          </w:p>
        </w:tc>
        <w:tc>
          <w:tcPr>
            <w:tcW w:w="1003" w:type="pct"/>
          </w:tcPr>
          <w:p w14:paraId="6DCA352D"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26</w:t>
            </w:r>
          </w:p>
        </w:tc>
        <w:tc>
          <w:tcPr>
            <w:tcW w:w="996" w:type="pct"/>
          </w:tcPr>
          <w:p w14:paraId="0166F3F1"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6</w:t>
            </w:r>
          </w:p>
        </w:tc>
      </w:tr>
      <w:tr w:rsidR="004A1D8A" w:rsidRPr="00F11C3F" w14:paraId="1F62AB5A" w14:textId="77777777" w:rsidTr="00F11C3F">
        <w:trPr>
          <w:trHeight w:val="219"/>
        </w:trPr>
        <w:tc>
          <w:tcPr>
            <w:tcW w:w="556" w:type="pct"/>
            <w:vMerge w:val="restart"/>
          </w:tcPr>
          <w:p w14:paraId="20EF2E88"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DOR</w:t>
            </w:r>
          </w:p>
        </w:tc>
        <w:tc>
          <w:tcPr>
            <w:tcW w:w="1443" w:type="pct"/>
          </w:tcPr>
          <w:p w14:paraId="12D8DD64"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Median, months (95% CI)</w:t>
            </w:r>
          </w:p>
        </w:tc>
        <w:tc>
          <w:tcPr>
            <w:tcW w:w="1002" w:type="pct"/>
          </w:tcPr>
          <w:p w14:paraId="24B211D5"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 xml:space="preserve">5.1 (4.9, 6.4) </w:t>
            </w:r>
          </w:p>
        </w:tc>
        <w:tc>
          <w:tcPr>
            <w:tcW w:w="1003" w:type="pct"/>
          </w:tcPr>
          <w:p w14:paraId="5E62DD50"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5.3 (4.9, 7.0)</w:t>
            </w:r>
          </w:p>
        </w:tc>
        <w:tc>
          <w:tcPr>
            <w:tcW w:w="996" w:type="pct"/>
          </w:tcPr>
          <w:p w14:paraId="11D1241A"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4.8 (2.4, 5.3)</w:t>
            </w:r>
          </w:p>
        </w:tc>
      </w:tr>
      <w:tr w:rsidR="004A1D8A" w:rsidRPr="00F11C3F" w14:paraId="36DDE80D" w14:textId="77777777" w:rsidTr="00F11C3F">
        <w:trPr>
          <w:trHeight w:val="219"/>
        </w:trPr>
        <w:tc>
          <w:tcPr>
            <w:tcW w:w="556" w:type="pct"/>
            <w:vMerge/>
          </w:tcPr>
          <w:p w14:paraId="27544E20" w14:textId="77777777" w:rsidR="004A1D8A" w:rsidRPr="00F11C3F" w:rsidRDefault="004A1D8A" w:rsidP="008F5F29">
            <w:pPr>
              <w:rPr>
                <w:rFonts w:asciiTheme="minorHAnsi" w:hAnsiTheme="minorHAnsi"/>
                <w:sz w:val="19"/>
                <w:szCs w:val="19"/>
              </w:rPr>
            </w:pPr>
          </w:p>
        </w:tc>
        <w:tc>
          <w:tcPr>
            <w:tcW w:w="1443" w:type="pct"/>
          </w:tcPr>
          <w:p w14:paraId="6845DE77"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 lasting ≥6 months</w:t>
            </w:r>
          </w:p>
        </w:tc>
        <w:tc>
          <w:tcPr>
            <w:tcW w:w="1002" w:type="pct"/>
          </w:tcPr>
          <w:p w14:paraId="5B7467F3"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25%</w:t>
            </w:r>
          </w:p>
        </w:tc>
        <w:tc>
          <w:tcPr>
            <w:tcW w:w="1003" w:type="pct"/>
          </w:tcPr>
          <w:p w14:paraId="1BC4C4A0"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31%</w:t>
            </w:r>
          </w:p>
        </w:tc>
        <w:tc>
          <w:tcPr>
            <w:tcW w:w="996" w:type="pct"/>
          </w:tcPr>
          <w:p w14:paraId="66B7DE74" w14:textId="77777777" w:rsidR="004A1D8A" w:rsidRPr="00F11C3F" w:rsidRDefault="004A1D8A" w:rsidP="008F5F29">
            <w:pPr>
              <w:rPr>
                <w:rFonts w:asciiTheme="minorHAnsi" w:hAnsiTheme="minorHAnsi"/>
                <w:sz w:val="19"/>
                <w:szCs w:val="19"/>
              </w:rPr>
            </w:pPr>
            <w:r w:rsidRPr="00F11C3F">
              <w:rPr>
                <w:rFonts w:asciiTheme="minorHAnsi" w:hAnsiTheme="minorHAnsi"/>
                <w:sz w:val="19"/>
                <w:szCs w:val="19"/>
              </w:rPr>
              <w:t>0</w:t>
            </w:r>
          </w:p>
        </w:tc>
      </w:tr>
    </w:tbl>
    <w:p w14:paraId="7A1C0160" w14:textId="60673122" w:rsidR="004A1D8A" w:rsidRPr="000E3A6A" w:rsidRDefault="002F4A8D" w:rsidP="000E3A6A">
      <w:pPr>
        <w:pStyle w:val="TableDescription"/>
      </w:pPr>
      <w:r>
        <w:t xml:space="preserve">Abbreviation: </w:t>
      </w:r>
      <w:r w:rsidR="004A1D8A" w:rsidRPr="000E3A6A">
        <w:t>BICR = blinded independent central review; chemotherapy-free treatment interval (CTFI); CI = confidence interval; CR = complete response; DOR = duration of response; ORR = objective response rate per RECIST (Response Evaluation Criteria in Solid Tumours) v1.1; PR = partial response.</w:t>
      </w:r>
    </w:p>
    <w:p w14:paraId="52151E13" w14:textId="77777777" w:rsidR="004A1D8A" w:rsidRDefault="004A1D8A" w:rsidP="004A1D8A">
      <w:pPr>
        <w:pStyle w:val="Heading6"/>
      </w:pPr>
      <w:r w:rsidRPr="00A75E82">
        <w:lastRenderedPageBreak/>
        <w:t>Exploratory subgroup analyses</w:t>
      </w:r>
    </w:p>
    <w:p w14:paraId="0F2FAE40" w14:textId="46F125F4" w:rsidR="004A1D8A" w:rsidRDefault="00E402EA" w:rsidP="000E3A6A">
      <w:pPr>
        <w:pStyle w:val="TableTitle"/>
      </w:pPr>
      <w:bookmarkStart w:id="49" w:name="_Ref96681691"/>
      <w:r>
        <w:t xml:space="preserve">Table </w:t>
      </w:r>
      <w:fldSimple w:instr=" SEQ Table \* ARABIC ">
        <w:r w:rsidR="002C225D">
          <w:rPr>
            <w:noProof/>
          </w:rPr>
          <w:t>6</w:t>
        </w:r>
      </w:fldSimple>
      <w:bookmarkEnd w:id="49"/>
      <w:r w:rsidR="000E3A6A">
        <w:rPr>
          <w:noProof/>
        </w:rPr>
        <w:t>:</w:t>
      </w:r>
      <w:r w:rsidR="00B177DA">
        <w:t xml:space="preserve"> </w:t>
      </w:r>
      <w:r w:rsidR="003B6C03">
        <w:t>S</w:t>
      </w:r>
      <w:r w:rsidR="003B6C03" w:rsidRPr="004D6D70">
        <w:t>tudy B-005</w:t>
      </w:r>
      <w:r w:rsidR="003B6C03" w:rsidRPr="00A4473A">
        <w:t xml:space="preserve"> </w:t>
      </w:r>
      <w:r w:rsidRPr="00E402EA">
        <w:t>Objective response rates</w:t>
      </w:r>
      <w:r w:rsidR="004A1D8A" w:rsidRPr="00A4473A">
        <w:t xml:space="preserve"> </w:t>
      </w:r>
      <w:r w:rsidR="004A1D8A" w:rsidRPr="004D6D70">
        <w:t>in</w:t>
      </w:r>
      <w:r w:rsidR="004A1D8A">
        <w:t xml:space="preserve"> subgroups of</w:t>
      </w:r>
      <w:r w:rsidR="004A1D8A" w:rsidRPr="004D6D70">
        <w:t xml:space="preserve"> </w:t>
      </w:r>
      <w:proofErr w:type="gramStart"/>
      <w:r w:rsidR="004A1D8A">
        <w:t xml:space="preserve">the </w:t>
      </w:r>
      <w:r>
        <w:t>a</w:t>
      </w:r>
      <w:r w:rsidR="004A1D8A">
        <w:t>ll</w:t>
      </w:r>
      <w:proofErr w:type="gramEnd"/>
      <w:r w:rsidR="004A1D8A">
        <w:t xml:space="preserve"> </w:t>
      </w:r>
      <w:r>
        <w:t>t</w:t>
      </w:r>
      <w:r w:rsidR="004A1D8A">
        <w:t xml:space="preserve">reated </w:t>
      </w:r>
      <w:r>
        <w:t>p</w:t>
      </w:r>
      <w:r w:rsidR="004A1D8A">
        <w:t>atients</w:t>
      </w:r>
      <w:r w:rsidR="000E3A6A">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222"/>
        <w:gridCol w:w="1211"/>
        <w:gridCol w:w="664"/>
        <w:gridCol w:w="664"/>
        <w:gridCol w:w="770"/>
        <w:gridCol w:w="989"/>
        <w:gridCol w:w="39"/>
        <w:gridCol w:w="625"/>
        <w:gridCol w:w="545"/>
        <w:gridCol w:w="673"/>
        <w:gridCol w:w="1092"/>
      </w:tblGrid>
      <w:tr w:rsidR="00233A35" w:rsidRPr="00F11C3F" w14:paraId="4D12C560" w14:textId="77777777" w:rsidTr="00A41C10">
        <w:trPr>
          <w:trHeight w:val="70"/>
          <w:tblHeader/>
        </w:trPr>
        <w:tc>
          <w:tcPr>
            <w:tcW w:w="1432" w:type="pct"/>
            <w:gridSpan w:val="2"/>
            <w:tcBorders>
              <w:top w:val="single" w:sz="4" w:space="0" w:color="000000"/>
              <w:left w:val="single" w:sz="4" w:space="0" w:color="000000"/>
              <w:bottom w:val="single" w:sz="4" w:space="0" w:color="000000"/>
              <w:right w:val="single" w:sz="4" w:space="0" w:color="auto"/>
            </w:tcBorders>
            <w:shd w:val="clear" w:color="auto" w:fill="006DA7" w:themeFill="accent3"/>
            <w:vAlign w:val="center"/>
          </w:tcPr>
          <w:p w14:paraId="4A435821" w14:textId="77777777" w:rsidR="00233A35" w:rsidRPr="00233A35" w:rsidRDefault="00233A35" w:rsidP="00233A35">
            <w:pPr>
              <w:pStyle w:val="TableParagraph"/>
              <w:rPr>
                <w:rFonts w:asciiTheme="minorHAnsi" w:hAnsiTheme="minorHAnsi"/>
                <w:color w:val="FFFFFF" w:themeColor="background1"/>
                <w:sz w:val="20"/>
                <w:szCs w:val="20"/>
              </w:rPr>
            </w:pPr>
          </w:p>
          <w:p w14:paraId="1498B48B" w14:textId="77777777" w:rsidR="00233A35" w:rsidRPr="00233A35" w:rsidRDefault="00233A35" w:rsidP="00233A35">
            <w:pPr>
              <w:pStyle w:val="TableParagraph"/>
              <w:rPr>
                <w:rFonts w:asciiTheme="minorHAnsi" w:hAnsiTheme="minorHAnsi"/>
                <w:color w:val="FFFFFF" w:themeColor="background1"/>
                <w:sz w:val="20"/>
                <w:szCs w:val="20"/>
              </w:rPr>
            </w:pPr>
          </w:p>
        </w:tc>
        <w:tc>
          <w:tcPr>
            <w:tcW w:w="1840" w:type="pct"/>
            <w:gridSpan w:val="5"/>
            <w:tcBorders>
              <w:top w:val="single" w:sz="4" w:space="0" w:color="000000"/>
              <w:left w:val="single" w:sz="4" w:space="0" w:color="auto"/>
              <w:bottom w:val="single" w:sz="4" w:space="0" w:color="000000"/>
              <w:right w:val="single" w:sz="4" w:space="0" w:color="auto"/>
            </w:tcBorders>
            <w:shd w:val="clear" w:color="auto" w:fill="006DA7" w:themeFill="accent3"/>
            <w:vAlign w:val="center"/>
          </w:tcPr>
          <w:p w14:paraId="41530812" w14:textId="77777777" w:rsidR="00233A35" w:rsidRPr="00233A35" w:rsidRDefault="00233A35" w:rsidP="00233A35">
            <w:pPr>
              <w:pStyle w:val="TableParagraph"/>
              <w:rPr>
                <w:rFonts w:asciiTheme="minorHAnsi" w:hAnsiTheme="minorHAnsi"/>
                <w:b/>
                <w:bCs/>
                <w:i/>
                <w:iCs/>
                <w:color w:val="FFFFFF" w:themeColor="background1"/>
                <w:sz w:val="20"/>
                <w:szCs w:val="20"/>
              </w:rPr>
            </w:pPr>
            <w:r w:rsidRPr="00233A35">
              <w:rPr>
                <w:rFonts w:asciiTheme="minorHAnsi" w:hAnsiTheme="minorHAnsi"/>
                <w:b/>
                <w:bCs/>
                <w:i/>
                <w:iCs/>
                <w:color w:val="FFFFFF" w:themeColor="background1"/>
                <w:sz w:val="20"/>
                <w:szCs w:val="20"/>
              </w:rPr>
              <w:t>BICR-assessed ORR</w:t>
            </w:r>
          </w:p>
        </w:tc>
        <w:tc>
          <w:tcPr>
            <w:tcW w:w="1729" w:type="pct"/>
            <w:gridSpan w:val="4"/>
            <w:tcBorders>
              <w:top w:val="single" w:sz="4" w:space="0" w:color="000000"/>
              <w:left w:val="single" w:sz="4" w:space="0" w:color="auto"/>
              <w:bottom w:val="single" w:sz="4" w:space="0" w:color="000000"/>
              <w:right w:val="single" w:sz="4" w:space="0" w:color="auto"/>
            </w:tcBorders>
            <w:shd w:val="clear" w:color="auto" w:fill="006DA7" w:themeFill="accent3"/>
            <w:vAlign w:val="center"/>
          </w:tcPr>
          <w:p w14:paraId="296970A2" w14:textId="77777777" w:rsidR="00233A35" w:rsidRPr="00233A35" w:rsidRDefault="00233A35" w:rsidP="00233A35">
            <w:pPr>
              <w:pStyle w:val="TableParagraph"/>
              <w:rPr>
                <w:rFonts w:asciiTheme="minorHAnsi" w:hAnsiTheme="minorHAnsi"/>
                <w:b/>
                <w:i/>
                <w:iCs/>
                <w:color w:val="FFFFFF" w:themeColor="background1"/>
                <w:sz w:val="20"/>
                <w:szCs w:val="20"/>
              </w:rPr>
            </w:pPr>
            <w:r w:rsidRPr="00233A35">
              <w:rPr>
                <w:rFonts w:asciiTheme="minorHAnsi" w:hAnsiTheme="minorHAnsi"/>
                <w:b/>
                <w:i/>
                <w:iCs/>
                <w:color w:val="FFFFFF" w:themeColor="background1"/>
                <w:sz w:val="20"/>
                <w:szCs w:val="20"/>
              </w:rPr>
              <w:t>Investigator-assessed ORR</w:t>
            </w:r>
          </w:p>
        </w:tc>
      </w:tr>
      <w:tr w:rsidR="00A41C10" w:rsidRPr="00F11C3F" w14:paraId="36065907" w14:textId="77777777" w:rsidTr="00A41C10">
        <w:trPr>
          <w:trHeight w:val="219"/>
        </w:trPr>
        <w:tc>
          <w:tcPr>
            <w:tcW w:w="719" w:type="pct"/>
            <w:tcBorders>
              <w:right w:val="single" w:sz="4" w:space="0" w:color="auto"/>
            </w:tcBorders>
            <w:shd w:val="clear" w:color="auto" w:fill="006DA7" w:themeFill="accent3"/>
          </w:tcPr>
          <w:p w14:paraId="642ADB80" w14:textId="77777777" w:rsidR="00233A35" w:rsidRPr="00A41C10" w:rsidRDefault="00233A35" w:rsidP="00545B69">
            <w:pPr>
              <w:pStyle w:val="Tabletext"/>
              <w:rPr>
                <w:b/>
                <w:bCs/>
                <w:color w:val="FFFFFF" w:themeColor="background1"/>
              </w:rPr>
            </w:pPr>
            <w:r w:rsidRPr="00A41C10">
              <w:rPr>
                <w:b/>
                <w:bCs/>
                <w:color w:val="FFFFFF" w:themeColor="background1"/>
              </w:rPr>
              <w:t>Category</w:t>
            </w:r>
          </w:p>
        </w:tc>
        <w:tc>
          <w:tcPr>
            <w:tcW w:w="712" w:type="pct"/>
            <w:tcBorders>
              <w:right w:val="single" w:sz="4" w:space="0" w:color="auto"/>
            </w:tcBorders>
            <w:shd w:val="clear" w:color="auto" w:fill="006DA7" w:themeFill="accent3"/>
          </w:tcPr>
          <w:p w14:paraId="5B339F5B" w14:textId="77777777" w:rsidR="00233A35" w:rsidRPr="00A41C10" w:rsidRDefault="00233A35" w:rsidP="00545B69">
            <w:pPr>
              <w:pStyle w:val="Tabletext"/>
              <w:rPr>
                <w:b/>
                <w:bCs/>
                <w:color w:val="FFFFFF" w:themeColor="background1"/>
              </w:rPr>
            </w:pPr>
            <w:r w:rsidRPr="00A41C10">
              <w:rPr>
                <w:b/>
                <w:bCs/>
                <w:color w:val="FFFFFF" w:themeColor="background1"/>
              </w:rPr>
              <w:t>Subgroup</w:t>
            </w:r>
          </w:p>
        </w:tc>
        <w:tc>
          <w:tcPr>
            <w:tcW w:w="391" w:type="pct"/>
            <w:tcBorders>
              <w:left w:val="single" w:sz="4" w:space="0" w:color="auto"/>
              <w:right w:val="single" w:sz="4" w:space="0" w:color="auto"/>
            </w:tcBorders>
            <w:shd w:val="clear" w:color="auto" w:fill="006DA7" w:themeFill="accent3"/>
          </w:tcPr>
          <w:p w14:paraId="66754870" w14:textId="77777777" w:rsidR="00233A35" w:rsidRPr="00A41C10" w:rsidRDefault="00233A35" w:rsidP="00545B69">
            <w:pPr>
              <w:pStyle w:val="Tabletext"/>
              <w:rPr>
                <w:b/>
                <w:bCs/>
                <w:color w:val="FFFFFF" w:themeColor="background1"/>
              </w:rPr>
            </w:pPr>
            <w:r w:rsidRPr="00A41C10">
              <w:rPr>
                <w:b/>
                <w:bCs/>
                <w:color w:val="FFFFFF" w:themeColor="background1"/>
              </w:rPr>
              <w:t>N</w:t>
            </w:r>
          </w:p>
        </w:tc>
        <w:tc>
          <w:tcPr>
            <w:tcW w:w="391" w:type="pct"/>
            <w:tcBorders>
              <w:left w:val="single" w:sz="4" w:space="0" w:color="auto"/>
              <w:right w:val="single" w:sz="4" w:space="0" w:color="auto"/>
            </w:tcBorders>
            <w:shd w:val="clear" w:color="auto" w:fill="006DA7" w:themeFill="accent3"/>
          </w:tcPr>
          <w:p w14:paraId="3C68DD7C" w14:textId="0E0FB064" w:rsidR="00233A35" w:rsidRPr="00A41C10" w:rsidRDefault="004F1E61" w:rsidP="00545B69">
            <w:pPr>
              <w:pStyle w:val="Tabletext"/>
              <w:rPr>
                <w:b/>
                <w:bCs/>
                <w:color w:val="FFFFFF" w:themeColor="background1"/>
              </w:rPr>
            </w:pPr>
            <w:r w:rsidRPr="004F1E61">
              <w:rPr>
                <w:b/>
                <w:bCs/>
                <w:color w:val="FFFFFF" w:themeColor="background1"/>
              </w:rPr>
              <w:t>N</w:t>
            </w:r>
          </w:p>
        </w:tc>
        <w:tc>
          <w:tcPr>
            <w:tcW w:w="453" w:type="pct"/>
            <w:tcBorders>
              <w:left w:val="single" w:sz="4" w:space="0" w:color="auto"/>
              <w:right w:val="single" w:sz="4" w:space="0" w:color="auto"/>
            </w:tcBorders>
            <w:shd w:val="clear" w:color="auto" w:fill="006DA7" w:themeFill="accent3"/>
          </w:tcPr>
          <w:p w14:paraId="1E05ADFF" w14:textId="77777777" w:rsidR="00233A35" w:rsidRPr="00A41C10" w:rsidRDefault="00233A35" w:rsidP="00545B69">
            <w:pPr>
              <w:pStyle w:val="Tabletext"/>
              <w:rPr>
                <w:b/>
                <w:bCs/>
                <w:color w:val="FFFFFF" w:themeColor="background1"/>
              </w:rPr>
            </w:pPr>
            <w:r w:rsidRPr="00A41C10">
              <w:rPr>
                <w:b/>
                <w:bCs/>
                <w:color w:val="FFFFFF" w:themeColor="background1"/>
              </w:rPr>
              <w:t>ORR</w:t>
            </w:r>
          </w:p>
        </w:tc>
        <w:tc>
          <w:tcPr>
            <w:tcW w:w="582" w:type="pct"/>
            <w:tcBorders>
              <w:left w:val="single" w:sz="4" w:space="0" w:color="auto"/>
              <w:right w:val="single" w:sz="4" w:space="0" w:color="auto"/>
            </w:tcBorders>
            <w:shd w:val="clear" w:color="auto" w:fill="006DA7" w:themeFill="accent3"/>
          </w:tcPr>
          <w:p w14:paraId="5AF0E235" w14:textId="77777777" w:rsidR="00233A35" w:rsidRPr="00A41C10" w:rsidRDefault="00233A35" w:rsidP="00545B69">
            <w:pPr>
              <w:pStyle w:val="Tabletext"/>
              <w:rPr>
                <w:b/>
                <w:bCs/>
                <w:color w:val="FFFFFF" w:themeColor="background1"/>
              </w:rPr>
            </w:pPr>
            <w:r w:rsidRPr="00A41C10">
              <w:rPr>
                <w:b/>
                <w:bCs/>
                <w:color w:val="FFFFFF" w:themeColor="background1"/>
              </w:rPr>
              <w:t>95% CI</w:t>
            </w:r>
          </w:p>
        </w:tc>
        <w:tc>
          <w:tcPr>
            <w:tcW w:w="391" w:type="pct"/>
            <w:gridSpan w:val="2"/>
            <w:tcBorders>
              <w:left w:val="single" w:sz="4" w:space="0" w:color="auto"/>
              <w:right w:val="single" w:sz="4" w:space="0" w:color="auto"/>
            </w:tcBorders>
            <w:shd w:val="clear" w:color="auto" w:fill="006DA7" w:themeFill="accent3"/>
          </w:tcPr>
          <w:p w14:paraId="6622EB89" w14:textId="77777777" w:rsidR="00233A35" w:rsidRPr="00A41C10" w:rsidRDefault="00233A35" w:rsidP="00545B69">
            <w:pPr>
              <w:pStyle w:val="Tabletext"/>
              <w:rPr>
                <w:b/>
                <w:bCs/>
                <w:color w:val="FFFFFF" w:themeColor="background1"/>
              </w:rPr>
            </w:pPr>
            <w:r w:rsidRPr="00A41C10">
              <w:rPr>
                <w:b/>
                <w:bCs/>
                <w:color w:val="FFFFFF" w:themeColor="background1"/>
              </w:rPr>
              <w:t>N</w:t>
            </w:r>
          </w:p>
        </w:tc>
        <w:tc>
          <w:tcPr>
            <w:tcW w:w="321" w:type="pct"/>
            <w:tcBorders>
              <w:left w:val="single" w:sz="4" w:space="0" w:color="auto"/>
              <w:right w:val="single" w:sz="4" w:space="0" w:color="auto"/>
            </w:tcBorders>
            <w:shd w:val="clear" w:color="auto" w:fill="006DA7" w:themeFill="accent3"/>
          </w:tcPr>
          <w:p w14:paraId="64B2D044" w14:textId="77777777" w:rsidR="00233A35" w:rsidRPr="00A41C10" w:rsidRDefault="00233A35" w:rsidP="00545B69">
            <w:pPr>
              <w:pStyle w:val="Tabletext"/>
              <w:rPr>
                <w:b/>
                <w:bCs/>
                <w:color w:val="FFFFFF" w:themeColor="background1"/>
              </w:rPr>
            </w:pPr>
            <w:r w:rsidRPr="00A41C10">
              <w:rPr>
                <w:b/>
                <w:bCs/>
                <w:color w:val="FFFFFF" w:themeColor="background1"/>
              </w:rPr>
              <w:t>n</w:t>
            </w:r>
          </w:p>
        </w:tc>
        <w:tc>
          <w:tcPr>
            <w:tcW w:w="396" w:type="pct"/>
            <w:tcBorders>
              <w:left w:val="single" w:sz="4" w:space="0" w:color="auto"/>
              <w:right w:val="single" w:sz="4" w:space="0" w:color="auto"/>
            </w:tcBorders>
            <w:shd w:val="clear" w:color="auto" w:fill="006DA7" w:themeFill="accent3"/>
          </w:tcPr>
          <w:p w14:paraId="3AECB751" w14:textId="77777777" w:rsidR="00233A35" w:rsidRPr="00A41C10" w:rsidRDefault="00233A35" w:rsidP="00545B69">
            <w:pPr>
              <w:pStyle w:val="Tabletext"/>
              <w:rPr>
                <w:b/>
                <w:bCs/>
                <w:color w:val="FFFFFF" w:themeColor="background1"/>
              </w:rPr>
            </w:pPr>
            <w:r w:rsidRPr="00A41C10">
              <w:rPr>
                <w:b/>
                <w:bCs/>
                <w:color w:val="FFFFFF" w:themeColor="background1"/>
              </w:rPr>
              <w:t>ORR</w:t>
            </w:r>
          </w:p>
        </w:tc>
        <w:tc>
          <w:tcPr>
            <w:tcW w:w="642" w:type="pct"/>
            <w:tcBorders>
              <w:left w:val="single" w:sz="4" w:space="0" w:color="auto"/>
              <w:right w:val="single" w:sz="4" w:space="0" w:color="auto"/>
            </w:tcBorders>
            <w:shd w:val="clear" w:color="auto" w:fill="006DA7" w:themeFill="accent3"/>
          </w:tcPr>
          <w:p w14:paraId="26416682" w14:textId="77777777" w:rsidR="00233A35" w:rsidRPr="00A41C10" w:rsidRDefault="00233A35" w:rsidP="00545B69">
            <w:pPr>
              <w:pStyle w:val="Tabletext"/>
              <w:rPr>
                <w:b/>
                <w:bCs/>
                <w:color w:val="FFFFFF" w:themeColor="background1"/>
              </w:rPr>
            </w:pPr>
            <w:r w:rsidRPr="00A41C10">
              <w:rPr>
                <w:b/>
                <w:bCs/>
                <w:color w:val="FFFFFF" w:themeColor="background1"/>
              </w:rPr>
              <w:t>95% CI</w:t>
            </w:r>
          </w:p>
        </w:tc>
      </w:tr>
      <w:tr w:rsidR="00233A35" w:rsidRPr="00F11C3F" w14:paraId="0387A138" w14:textId="77777777" w:rsidTr="00A41C10">
        <w:trPr>
          <w:trHeight w:val="594"/>
        </w:trPr>
        <w:tc>
          <w:tcPr>
            <w:tcW w:w="719" w:type="pct"/>
            <w:vMerge w:val="restart"/>
            <w:tcBorders>
              <w:right w:val="single" w:sz="4" w:space="0" w:color="auto"/>
            </w:tcBorders>
          </w:tcPr>
          <w:p w14:paraId="2C92262E" w14:textId="77777777" w:rsidR="00233A35" w:rsidRPr="00F11C3F" w:rsidRDefault="00233A35" w:rsidP="00545B69">
            <w:pPr>
              <w:pStyle w:val="Tabletext"/>
              <w:rPr>
                <w:szCs w:val="19"/>
              </w:rPr>
            </w:pPr>
            <w:r w:rsidRPr="00F11C3F">
              <w:rPr>
                <w:szCs w:val="19"/>
              </w:rPr>
              <w:t>Sex</w:t>
            </w:r>
          </w:p>
        </w:tc>
        <w:tc>
          <w:tcPr>
            <w:tcW w:w="712" w:type="pct"/>
            <w:tcBorders>
              <w:right w:val="single" w:sz="4" w:space="0" w:color="auto"/>
            </w:tcBorders>
          </w:tcPr>
          <w:p w14:paraId="7DCF74DF" w14:textId="77777777" w:rsidR="00233A35" w:rsidRPr="00F11C3F" w:rsidRDefault="00233A35" w:rsidP="00545B69">
            <w:pPr>
              <w:pStyle w:val="Tabletext"/>
              <w:rPr>
                <w:szCs w:val="19"/>
              </w:rPr>
            </w:pPr>
            <w:r w:rsidRPr="00F11C3F">
              <w:rPr>
                <w:szCs w:val="19"/>
              </w:rPr>
              <w:t>Female</w:t>
            </w:r>
          </w:p>
        </w:tc>
        <w:tc>
          <w:tcPr>
            <w:tcW w:w="391" w:type="pct"/>
            <w:tcBorders>
              <w:left w:val="single" w:sz="4" w:space="0" w:color="auto"/>
              <w:right w:val="single" w:sz="4" w:space="0" w:color="auto"/>
            </w:tcBorders>
          </w:tcPr>
          <w:p w14:paraId="1AC377C4" w14:textId="77777777" w:rsidR="00233A35" w:rsidRPr="00F11C3F" w:rsidRDefault="00233A35" w:rsidP="00545B69">
            <w:pPr>
              <w:pStyle w:val="Tabletext"/>
              <w:rPr>
                <w:szCs w:val="19"/>
              </w:rPr>
            </w:pPr>
            <w:r w:rsidRPr="00F11C3F">
              <w:rPr>
                <w:szCs w:val="19"/>
              </w:rPr>
              <w:t>42</w:t>
            </w:r>
          </w:p>
        </w:tc>
        <w:tc>
          <w:tcPr>
            <w:tcW w:w="391" w:type="pct"/>
            <w:tcBorders>
              <w:left w:val="single" w:sz="4" w:space="0" w:color="auto"/>
              <w:right w:val="single" w:sz="4" w:space="0" w:color="auto"/>
            </w:tcBorders>
          </w:tcPr>
          <w:p w14:paraId="57D64B48" w14:textId="77777777" w:rsidR="00233A35" w:rsidRPr="00F11C3F" w:rsidRDefault="00233A35" w:rsidP="00545B69">
            <w:pPr>
              <w:pStyle w:val="Tabletext"/>
              <w:rPr>
                <w:szCs w:val="19"/>
              </w:rPr>
            </w:pPr>
            <w:r w:rsidRPr="00F11C3F">
              <w:rPr>
                <w:szCs w:val="19"/>
              </w:rPr>
              <w:t>10</w:t>
            </w:r>
          </w:p>
        </w:tc>
        <w:tc>
          <w:tcPr>
            <w:tcW w:w="453" w:type="pct"/>
            <w:tcBorders>
              <w:left w:val="single" w:sz="4" w:space="0" w:color="auto"/>
              <w:right w:val="single" w:sz="4" w:space="0" w:color="auto"/>
            </w:tcBorders>
          </w:tcPr>
          <w:p w14:paraId="5312E205" w14:textId="77777777" w:rsidR="00233A35" w:rsidRPr="00F11C3F" w:rsidRDefault="00233A35" w:rsidP="00545B69">
            <w:pPr>
              <w:pStyle w:val="Tabletext"/>
              <w:rPr>
                <w:szCs w:val="19"/>
              </w:rPr>
            </w:pPr>
            <w:r w:rsidRPr="00F11C3F">
              <w:rPr>
                <w:szCs w:val="19"/>
              </w:rPr>
              <w:t>24%</w:t>
            </w:r>
          </w:p>
        </w:tc>
        <w:tc>
          <w:tcPr>
            <w:tcW w:w="582" w:type="pct"/>
            <w:tcBorders>
              <w:left w:val="single" w:sz="4" w:space="0" w:color="auto"/>
              <w:right w:val="single" w:sz="4" w:space="0" w:color="auto"/>
            </w:tcBorders>
          </w:tcPr>
          <w:p w14:paraId="1675C3FE" w14:textId="77777777" w:rsidR="00233A35" w:rsidRPr="00F11C3F" w:rsidRDefault="00233A35" w:rsidP="00545B69">
            <w:pPr>
              <w:pStyle w:val="Tabletext"/>
              <w:rPr>
                <w:szCs w:val="19"/>
              </w:rPr>
            </w:pPr>
            <w:r w:rsidRPr="00F11C3F">
              <w:rPr>
                <w:szCs w:val="19"/>
              </w:rPr>
              <w:t>(12, 39)</w:t>
            </w:r>
          </w:p>
        </w:tc>
        <w:tc>
          <w:tcPr>
            <w:tcW w:w="391" w:type="pct"/>
            <w:gridSpan w:val="2"/>
            <w:tcBorders>
              <w:left w:val="single" w:sz="4" w:space="0" w:color="auto"/>
              <w:right w:val="single" w:sz="4" w:space="0" w:color="auto"/>
            </w:tcBorders>
          </w:tcPr>
          <w:p w14:paraId="3EECA983" w14:textId="77777777" w:rsidR="00233A35" w:rsidRPr="00F11C3F" w:rsidRDefault="00233A35" w:rsidP="00545B69">
            <w:pPr>
              <w:pStyle w:val="Tabletext"/>
              <w:rPr>
                <w:szCs w:val="19"/>
              </w:rPr>
            </w:pPr>
            <w:r w:rsidRPr="00F11C3F">
              <w:rPr>
                <w:szCs w:val="19"/>
              </w:rPr>
              <w:t>42</w:t>
            </w:r>
          </w:p>
        </w:tc>
        <w:tc>
          <w:tcPr>
            <w:tcW w:w="321" w:type="pct"/>
            <w:tcBorders>
              <w:left w:val="single" w:sz="4" w:space="0" w:color="auto"/>
              <w:right w:val="single" w:sz="4" w:space="0" w:color="auto"/>
            </w:tcBorders>
          </w:tcPr>
          <w:p w14:paraId="182FCFF3" w14:textId="77777777" w:rsidR="00233A35" w:rsidRPr="00F11C3F" w:rsidRDefault="00233A35" w:rsidP="00545B69">
            <w:pPr>
              <w:pStyle w:val="Tabletext"/>
              <w:rPr>
                <w:szCs w:val="19"/>
              </w:rPr>
            </w:pPr>
            <w:r w:rsidRPr="00F11C3F">
              <w:rPr>
                <w:szCs w:val="19"/>
              </w:rPr>
              <w:t>13</w:t>
            </w:r>
          </w:p>
        </w:tc>
        <w:tc>
          <w:tcPr>
            <w:tcW w:w="396" w:type="pct"/>
            <w:tcBorders>
              <w:left w:val="single" w:sz="4" w:space="0" w:color="auto"/>
              <w:right w:val="single" w:sz="4" w:space="0" w:color="auto"/>
            </w:tcBorders>
          </w:tcPr>
          <w:p w14:paraId="7D494A15" w14:textId="77777777" w:rsidR="00233A35" w:rsidRPr="00F11C3F" w:rsidRDefault="00233A35" w:rsidP="00545B69">
            <w:pPr>
              <w:pStyle w:val="Tabletext"/>
              <w:rPr>
                <w:szCs w:val="19"/>
              </w:rPr>
            </w:pPr>
            <w:r w:rsidRPr="00F11C3F">
              <w:rPr>
                <w:szCs w:val="19"/>
              </w:rPr>
              <w:t>31%</w:t>
            </w:r>
          </w:p>
        </w:tc>
        <w:tc>
          <w:tcPr>
            <w:tcW w:w="642" w:type="pct"/>
            <w:tcBorders>
              <w:left w:val="single" w:sz="4" w:space="0" w:color="auto"/>
              <w:right w:val="single" w:sz="4" w:space="0" w:color="auto"/>
            </w:tcBorders>
          </w:tcPr>
          <w:p w14:paraId="7FABF94B" w14:textId="77777777" w:rsidR="00233A35" w:rsidRPr="00F11C3F" w:rsidRDefault="00233A35" w:rsidP="00545B69">
            <w:pPr>
              <w:pStyle w:val="Tabletext"/>
              <w:rPr>
                <w:szCs w:val="19"/>
              </w:rPr>
            </w:pPr>
            <w:r w:rsidRPr="00F11C3F">
              <w:rPr>
                <w:szCs w:val="19"/>
              </w:rPr>
              <w:t>(18, 47)</w:t>
            </w:r>
          </w:p>
        </w:tc>
      </w:tr>
      <w:tr w:rsidR="00233A35" w:rsidRPr="00F11C3F" w14:paraId="7FB3C3BA" w14:textId="77777777" w:rsidTr="00A41C10">
        <w:trPr>
          <w:trHeight w:val="220"/>
        </w:trPr>
        <w:tc>
          <w:tcPr>
            <w:tcW w:w="719" w:type="pct"/>
            <w:vMerge/>
            <w:tcBorders>
              <w:right w:val="single" w:sz="4" w:space="0" w:color="auto"/>
            </w:tcBorders>
          </w:tcPr>
          <w:p w14:paraId="05409546" w14:textId="77777777" w:rsidR="00233A35" w:rsidRPr="00F11C3F" w:rsidRDefault="00233A35" w:rsidP="00545B69">
            <w:pPr>
              <w:pStyle w:val="Tabletext"/>
              <w:rPr>
                <w:szCs w:val="19"/>
              </w:rPr>
            </w:pPr>
          </w:p>
        </w:tc>
        <w:tc>
          <w:tcPr>
            <w:tcW w:w="712" w:type="pct"/>
            <w:tcBorders>
              <w:right w:val="single" w:sz="4" w:space="0" w:color="auto"/>
            </w:tcBorders>
          </w:tcPr>
          <w:p w14:paraId="19AB4D30" w14:textId="77777777" w:rsidR="00233A35" w:rsidRPr="00F11C3F" w:rsidRDefault="00233A35" w:rsidP="00545B69">
            <w:pPr>
              <w:pStyle w:val="Tabletext"/>
              <w:rPr>
                <w:szCs w:val="19"/>
              </w:rPr>
            </w:pPr>
            <w:r w:rsidRPr="00F11C3F">
              <w:rPr>
                <w:szCs w:val="19"/>
              </w:rPr>
              <w:t>Male</w:t>
            </w:r>
          </w:p>
        </w:tc>
        <w:tc>
          <w:tcPr>
            <w:tcW w:w="391" w:type="pct"/>
            <w:tcBorders>
              <w:left w:val="single" w:sz="4" w:space="0" w:color="auto"/>
              <w:right w:val="single" w:sz="4" w:space="0" w:color="auto"/>
            </w:tcBorders>
          </w:tcPr>
          <w:p w14:paraId="5BBCEB19" w14:textId="77777777" w:rsidR="00233A35" w:rsidRPr="00F11C3F" w:rsidRDefault="00233A35" w:rsidP="00545B69">
            <w:pPr>
              <w:pStyle w:val="Tabletext"/>
              <w:rPr>
                <w:szCs w:val="19"/>
              </w:rPr>
            </w:pPr>
            <w:r w:rsidRPr="00F11C3F">
              <w:rPr>
                <w:szCs w:val="19"/>
              </w:rPr>
              <w:t>63</w:t>
            </w:r>
          </w:p>
        </w:tc>
        <w:tc>
          <w:tcPr>
            <w:tcW w:w="391" w:type="pct"/>
            <w:tcBorders>
              <w:left w:val="single" w:sz="4" w:space="0" w:color="auto"/>
              <w:right w:val="single" w:sz="4" w:space="0" w:color="auto"/>
            </w:tcBorders>
          </w:tcPr>
          <w:p w14:paraId="799414EA" w14:textId="77777777" w:rsidR="00233A35" w:rsidRPr="00F11C3F" w:rsidRDefault="00233A35" w:rsidP="00545B69">
            <w:pPr>
              <w:pStyle w:val="Tabletext"/>
              <w:rPr>
                <w:szCs w:val="19"/>
              </w:rPr>
            </w:pPr>
            <w:r w:rsidRPr="00F11C3F">
              <w:rPr>
                <w:szCs w:val="19"/>
              </w:rPr>
              <w:t>22</w:t>
            </w:r>
          </w:p>
        </w:tc>
        <w:tc>
          <w:tcPr>
            <w:tcW w:w="453" w:type="pct"/>
            <w:tcBorders>
              <w:left w:val="single" w:sz="4" w:space="0" w:color="auto"/>
              <w:right w:val="single" w:sz="4" w:space="0" w:color="auto"/>
            </w:tcBorders>
          </w:tcPr>
          <w:p w14:paraId="40F3585B" w14:textId="77777777" w:rsidR="00233A35" w:rsidRPr="00F11C3F" w:rsidRDefault="00233A35" w:rsidP="00545B69">
            <w:pPr>
              <w:pStyle w:val="Tabletext"/>
              <w:rPr>
                <w:szCs w:val="19"/>
              </w:rPr>
            </w:pPr>
            <w:r w:rsidRPr="00F11C3F">
              <w:rPr>
                <w:szCs w:val="19"/>
              </w:rPr>
              <w:t>35%</w:t>
            </w:r>
          </w:p>
        </w:tc>
        <w:tc>
          <w:tcPr>
            <w:tcW w:w="582" w:type="pct"/>
            <w:tcBorders>
              <w:left w:val="single" w:sz="4" w:space="0" w:color="auto"/>
              <w:right w:val="single" w:sz="4" w:space="0" w:color="auto"/>
            </w:tcBorders>
          </w:tcPr>
          <w:p w14:paraId="529184EE" w14:textId="77777777" w:rsidR="00233A35" w:rsidRPr="00F11C3F" w:rsidRDefault="00233A35" w:rsidP="00545B69">
            <w:pPr>
              <w:pStyle w:val="Tabletext"/>
              <w:rPr>
                <w:szCs w:val="19"/>
              </w:rPr>
            </w:pPr>
            <w:r w:rsidRPr="00F11C3F">
              <w:rPr>
                <w:szCs w:val="19"/>
              </w:rPr>
              <w:t>(23, 48)</w:t>
            </w:r>
          </w:p>
        </w:tc>
        <w:tc>
          <w:tcPr>
            <w:tcW w:w="391" w:type="pct"/>
            <w:gridSpan w:val="2"/>
            <w:tcBorders>
              <w:left w:val="single" w:sz="4" w:space="0" w:color="auto"/>
              <w:right w:val="single" w:sz="4" w:space="0" w:color="auto"/>
            </w:tcBorders>
          </w:tcPr>
          <w:p w14:paraId="33A5918D" w14:textId="77777777" w:rsidR="00233A35" w:rsidRPr="00F11C3F" w:rsidRDefault="00233A35" w:rsidP="00545B69">
            <w:pPr>
              <w:pStyle w:val="Tabletext"/>
              <w:rPr>
                <w:szCs w:val="19"/>
              </w:rPr>
            </w:pPr>
            <w:r w:rsidRPr="00F11C3F">
              <w:rPr>
                <w:szCs w:val="19"/>
              </w:rPr>
              <w:t>63</w:t>
            </w:r>
          </w:p>
        </w:tc>
        <w:tc>
          <w:tcPr>
            <w:tcW w:w="321" w:type="pct"/>
            <w:tcBorders>
              <w:left w:val="single" w:sz="4" w:space="0" w:color="auto"/>
              <w:right w:val="single" w:sz="4" w:space="0" w:color="auto"/>
            </w:tcBorders>
          </w:tcPr>
          <w:p w14:paraId="71CDA80F" w14:textId="77777777" w:rsidR="00233A35" w:rsidRPr="00F11C3F" w:rsidRDefault="00233A35" w:rsidP="00545B69">
            <w:pPr>
              <w:pStyle w:val="Tabletext"/>
              <w:rPr>
                <w:szCs w:val="19"/>
              </w:rPr>
            </w:pPr>
            <w:r w:rsidRPr="00F11C3F">
              <w:rPr>
                <w:szCs w:val="19"/>
              </w:rPr>
              <w:t>24</w:t>
            </w:r>
          </w:p>
        </w:tc>
        <w:tc>
          <w:tcPr>
            <w:tcW w:w="396" w:type="pct"/>
            <w:tcBorders>
              <w:left w:val="single" w:sz="4" w:space="0" w:color="auto"/>
              <w:right w:val="single" w:sz="4" w:space="0" w:color="auto"/>
            </w:tcBorders>
          </w:tcPr>
          <w:p w14:paraId="79B53F7B" w14:textId="77777777" w:rsidR="00233A35" w:rsidRPr="00F11C3F" w:rsidRDefault="00233A35" w:rsidP="00545B69">
            <w:pPr>
              <w:pStyle w:val="Tabletext"/>
              <w:rPr>
                <w:szCs w:val="19"/>
              </w:rPr>
            </w:pPr>
            <w:r w:rsidRPr="00F11C3F">
              <w:rPr>
                <w:szCs w:val="19"/>
              </w:rPr>
              <w:t>38%</w:t>
            </w:r>
          </w:p>
        </w:tc>
        <w:tc>
          <w:tcPr>
            <w:tcW w:w="642" w:type="pct"/>
            <w:tcBorders>
              <w:left w:val="single" w:sz="4" w:space="0" w:color="auto"/>
              <w:right w:val="single" w:sz="4" w:space="0" w:color="auto"/>
            </w:tcBorders>
          </w:tcPr>
          <w:p w14:paraId="39515196" w14:textId="77777777" w:rsidR="00233A35" w:rsidRPr="00F11C3F" w:rsidRDefault="00233A35" w:rsidP="00545B69">
            <w:pPr>
              <w:pStyle w:val="Tabletext"/>
              <w:rPr>
                <w:szCs w:val="19"/>
              </w:rPr>
            </w:pPr>
            <w:r w:rsidRPr="00F11C3F">
              <w:rPr>
                <w:szCs w:val="19"/>
              </w:rPr>
              <w:t>(26, 51)</w:t>
            </w:r>
          </w:p>
        </w:tc>
      </w:tr>
      <w:tr w:rsidR="00233A35" w:rsidRPr="00F11C3F" w14:paraId="26FF1CDD" w14:textId="77777777" w:rsidTr="00A41C10">
        <w:trPr>
          <w:trHeight w:val="219"/>
        </w:trPr>
        <w:tc>
          <w:tcPr>
            <w:tcW w:w="719" w:type="pct"/>
            <w:vMerge w:val="restart"/>
            <w:tcBorders>
              <w:right w:val="single" w:sz="4" w:space="0" w:color="auto"/>
            </w:tcBorders>
          </w:tcPr>
          <w:p w14:paraId="2E68A76A" w14:textId="77777777" w:rsidR="00233A35" w:rsidRPr="00F11C3F" w:rsidRDefault="00233A35" w:rsidP="00545B69">
            <w:pPr>
              <w:pStyle w:val="Tabletext"/>
              <w:rPr>
                <w:szCs w:val="19"/>
              </w:rPr>
            </w:pPr>
            <w:r w:rsidRPr="00F11C3F">
              <w:rPr>
                <w:szCs w:val="19"/>
              </w:rPr>
              <w:t>Age group</w:t>
            </w:r>
          </w:p>
        </w:tc>
        <w:tc>
          <w:tcPr>
            <w:tcW w:w="712" w:type="pct"/>
            <w:tcBorders>
              <w:right w:val="single" w:sz="4" w:space="0" w:color="auto"/>
            </w:tcBorders>
          </w:tcPr>
          <w:p w14:paraId="7FEB5642" w14:textId="77777777" w:rsidR="00233A35" w:rsidRPr="00F11C3F" w:rsidRDefault="00233A35" w:rsidP="00545B69">
            <w:pPr>
              <w:pStyle w:val="Tabletext"/>
              <w:rPr>
                <w:szCs w:val="19"/>
              </w:rPr>
            </w:pPr>
            <w:r w:rsidRPr="00F11C3F">
              <w:rPr>
                <w:szCs w:val="19"/>
              </w:rPr>
              <w:t>&lt;65</w:t>
            </w:r>
          </w:p>
        </w:tc>
        <w:tc>
          <w:tcPr>
            <w:tcW w:w="391" w:type="pct"/>
            <w:tcBorders>
              <w:left w:val="single" w:sz="4" w:space="0" w:color="auto"/>
              <w:right w:val="single" w:sz="4" w:space="0" w:color="auto"/>
            </w:tcBorders>
          </w:tcPr>
          <w:p w14:paraId="0259307F" w14:textId="77777777" w:rsidR="00233A35" w:rsidRPr="00F11C3F" w:rsidRDefault="00233A35" w:rsidP="00545B69">
            <w:pPr>
              <w:pStyle w:val="Tabletext"/>
              <w:rPr>
                <w:szCs w:val="19"/>
              </w:rPr>
            </w:pPr>
            <w:r w:rsidRPr="00F11C3F">
              <w:rPr>
                <w:szCs w:val="19"/>
              </w:rPr>
              <w:t>68</w:t>
            </w:r>
          </w:p>
        </w:tc>
        <w:tc>
          <w:tcPr>
            <w:tcW w:w="391" w:type="pct"/>
            <w:tcBorders>
              <w:left w:val="single" w:sz="4" w:space="0" w:color="auto"/>
              <w:right w:val="single" w:sz="4" w:space="0" w:color="auto"/>
            </w:tcBorders>
          </w:tcPr>
          <w:p w14:paraId="32A617D5" w14:textId="77777777" w:rsidR="00233A35" w:rsidRPr="00F11C3F" w:rsidRDefault="00233A35" w:rsidP="00545B69">
            <w:pPr>
              <w:pStyle w:val="Tabletext"/>
              <w:rPr>
                <w:szCs w:val="19"/>
              </w:rPr>
            </w:pPr>
            <w:r w:rsidRPr="00F11C3F">
              <w:rPr>
                <w:szCs w:val="19"/>
              </w:rPr>
              <w:t>22</w:t>
            </w:r>
          </w:p>
        </w:tc>
        <w:tc>
          <w:tcPr>
            <w:tcW w:w="453" w:type="pct"/>
            <w:tcBorders>
              <w:left w:val="single" w:sz="4" w:space="0" w:color="auto"/>
              <w:right w:val="single" w:sz="4" w:space="0" w:color="auto"/>
            </w:tcBorders>
          </w:tcPr>
          <w:p w14:paraId="28ED19DA" w14:textId="77777777" w:rsidR="00233A35" w:rsidRPr="00F11C3F" w:rsidRDefault="00233A35" w:rsidP="00545B69">
            <w:pPr>
              <w:pStyle w:val="Tabletext"/>
              <w:rPr>
                <w:szCs w:val="19"/>
              </w:rPr>
            </w:pPr>
            <w:r w:rsidRPr="00F11C3F">
              <w:rPr>
                <w:szCs w:val="19"/>
              </w:rPr>
              <w:t>32%</w:t>
            </w:r>
          </w:p>
        </w:tc>
        <w:tc>
          <w:tcPr>
            <w:tcW w:w="582" w:type="pct"/>
            <w:tcBorders>
              <w:left w:val="single" w:sz="4" w:space="0" w:color="auto"/>
              <w:right w:val="single" w:sz="4" w:space="0" w:color="auto"/>
            </w:tcBorders>
          </w:tcPr>
          <w:p w14:paraId="2B059803" w14:textId="77777777" w:rsidR="00233A35" w:rsidRPr="00F11C3F" w:rsidRDefault="00233A35" w:rsidP="00545B69">
            <w:pPr>
              <w:pStyle w:val="Tabletext"/>
              <w:rPr>
                <w:szCs w:val="19"/>
              </w:rPr>
            </w:pPr>
            <w:r w:rsidRPr="00F11C3F">
              <w:rPr>
                <w:szCs w:val="19"/>
              </w:rPr>
              <w:t>(22, 45)</w:t>
            </w:r>
          </w:p>
        </w:tc>
        <w:tc>
          <w:tcPr>
            <w:tcW w:w="391" w:type="pct"/>
            <w:gridSpan w:val="2"/>
            <w:tcBorders>
              <w:left w:val="single" w:sz="4" w:space="0" w:color="auto"/>
              <w:right w:val="single" w:sz="4" w:space="0" w:color="auto"/>
            </w:tcBorders>
          </w:tcPr>
          <w:p w14:paraId="10A58070" w14:textId="77777777" w:rsidR="00233A35" w:rsidRPr="00F11C3F" w:rsidRDefault="00233A35" w:rsidP="00545B69">
            <w:pPr>
              <w:pStyle w:val="Tabletext"/>
              <w:rPr>
                <w:szCs w:val="19"/>
              </w:rPr>
            </w:pPr>
            <w:r w:rsidRPr="00F11C3F">
              <w:rPr>
                <w:szCs w:val="19"/>
              </w:rPr>
              <w:t>68</w:t>
            </w:r>
          </w:p>
        </w:tc>
        <w:tc>
          <w:tcPr>
            <w:tcW w:w="321" w:type="pct"/>
            <w:tcBorders>
              <w:left w:val="single" w:sz="4" w:space="0" w:color="auto"/>
              <w:right w:val="single" w:sz="4" w:space="0" w:color="auto"/>
            </w:tcBorders>
          </w:tcPr>
          <w:p w14:paraId="383CF7E5" w14:textId="77777777" w:rsidR="00233A35" w:rsidRPr="00F11C3F" w:rsidRDefault="00233A35" w:rsidP="00545B69">
            <w:pPr>
              <w:pStyle w:val="Tabletext"/>
              <w:rPr>
                <w:szCs w:val="19"/>
              </w:rPr>
            </w:pPr>
            <w:r w:rsidRPr="00F11C3F">
              <w:rPr>
                <w:szCs w:val="19"/>
              </w:rPr>
              <w:t>22</w:t>
            </w:r>
          </w:p>
        </w:tc>
        <w:tc>
          <w:tcPr>
            <w:tcW w:w="396" w:type="pct"/>
            <w:tcBorders>
              <w:left w:val="single" w:sz="4" w:space="0" w:color="auto"/>
              <w:right w:val="single" w:sz="4" w:space="0" w:color="auto"/>
            </w:tcBorders>
          </w:tcPr>
          <w:p w14:paraId="15FED04E" w14:textId="77777777" w:rsidR="00233A35" w:rsidRPr="00F11C3F" w:rsidRDefault="00233A35" w:rsidP="00545B69">
            <w:pPr>
              <w:pStyle w:val="Tabletext"/>
              <w:rPr>
                <w:szCs w:val="19"/>
              </w:rPr>
            </w:pPr>
            <w:r w:rsidRPr="00F11C3F">
              <w:rPr>
                <w:szCs w:val="19"/>
              </w:rPr>
              <w:t>32%</w:t>
            </w:r>
          </w:p>
        </w:tc>
        <w:tc>
          <w:tcPr>
            <w:tcW w:w="642" w:type="pct"/>
            <w:tcBorders>
              <w:left w:val="single" w:sz="4" w:space="0" w:color="auto"/>
              <w:right w:val="single" w:sz="4" w:space="0" w:color="auto"/>
            </w:tcBorders>
          </w:tcPr>
          <w:p w14:paraId="6B89F815" w14:textId="77777777" w:rsidR="00233A35" w:rsidRPr="00F11C3F" w:rsidRDefault="00233A35" w:rsidP="00545B69">
            <w:pPr>
              <w:pStyle w:val="Tabletext"/>
              <w:rPr>
                <w:szCs w:val="19"/>
              </w:rPr>
            </w:pPr>
            <w:r w:rsidRPr="00F11C3F">
              <w:rPr>
                <w:szCs w:val="19"/>
              </w:rPr>
              <w:t>(22, 45)</w:t>
            </w:r>
          </w:p>
        </w:tc>
      </w:tr>
      <w:tr w:rsidR="00233A35" w:rsidRPr="00F11C3F" w14:paraId="09E027C0" w14:textId="77777777" w:rsidTr="00A41C10">
        <w:trPr>
          <w:trHeight w:val="219"/>
        </w:trPr>
        <w:tc>
          <w:tcPr>
            <w:tcW w:w="719" w:type="pct"/>
            <w:vMerge/>
            <w:tcBorders>
              <w:right w:val="single" w:sz="4" w:space="0" w:color="auto"/>
            </w:tcBorders>
          </w:tcPr>
          <w:p w14:paraId="24031F08" w14:textId="77777777" w:rsidR="00233A35" w:rsidRPr="00F11C3F" w:rsidRDefault="00233A35" w:rsidP="00545B69">
            <w:pPr>
              <w:pStyle w:val="Tabletext"/>
              <w:rPr>
                <w:szCs w:val="19"/>
              </w:rPr>
            </w:pPr>
          </w:p>
        </w:tc>
        <w:tc>
          <w:tcPr>
            <w:tcW w:w="712" w:type="pct"/>
            <w:tcBorders>
              <w:right w:val="single" w:sz="4" w:space="0" w:color="auto"/>
            </w:tcBorders>
          </w:tcPr>
          <w:p w14:paraId="26CA3A18" w14:textId="77777777" w:rsidR="00233A35" w:rsidRPr="00F11C3F" w:rsidRDefault="00233A35" w:rsidP="00545B69">
            <w:pPr>
              <w:pStyle w:val="Tabletext"/>
              <w:rPr>
                <w:szCs w:val="19"/>
              </w:rPr>
            </w:pPr>
            <w:r w:rsidRPr="00F11C3F">
              <w:rPr>
                <w:szCs w:val="19"/>
              </w:rPr>
              <w:t>≥65</w:t>
            </w:r>
          </w:p>
        </w:tc>
        <w:tc>
          <w:tcPr>
            <w:tcW w:w="391" w:type="pct"/>
            <w:tcBorders>
              <w:left w:val="single" w:sz="4" w:space="0" w:color="auto"/>
              <w:right w:val="single" w:sz="4" w:space="0" w:color="auto"/>
            </w:tcBorders>
          </w:tcPr>
          <w:p w14:paraId="3723696F" w14:textId="77777777" w:rsidR="00233A35" w:rsidRPr="00F11C3F" w:rsidRDefault="00233A35" w:rsidP="00545B69">
            <w:pPr>
              <w:pStyle w:val="Tabletext"/>
              <w:rPr>
                <w:szCs w:val="19"/>
              </w:rPr>
            </w:pPr>
            <w:r w:rsidRPr="00F11C3F">
              <w:rPr>
                <w:szCs w:val="19"/>
              </w:rPr>
              <w:t>37</w:t>
            </w:r>
          </w:p>
        </w:tc>
        <w:tc>
          <w:tcPr>
            <w:tcW w:w="391" w:type="pct"/>
            <w:tcBorders>
              <w:left w:val="single" w:sz="4" w:space="0" w:color="auto"/>
              <w:right w:val="single" w:sz="4" w:space="0" w:color="auto"/>
            </w:tcBorders>
          </w:tcPr>
          <w:p w14:paraId="6490A26F" w14:textId="77777777" w:rsidR="00233A35" w:rsidRPr="00F11C3F" w:rsidRDefault="00233A35" w:rsidP="00545B69">
            <w:pPr>
              <w:pStyle w:val="Tabletext"/>
              <w:rPr>
                <w:szCs w:val="19"/>
              </w:rPr>
            </w:pPr>
            <w:r w:rsidRPr="00F11C3F">
              <w:rPr>
                <w:szCs w:val="19"/>
              </w:rPr>
              <w:t>10</w:t>
            </w:r>
          </w:p>
        </w:tc>
        <w:tc>
          <w:tcPr>
            <w:tcW w:w="453" w:type="pct"/>
            <w:tcBorders>
              <w:left w:val="single" w:sz="4" w:space="0" w:color="auto"/>
              <w:right w:val="single" w:sz="4" w:space="0" w:color="auto"/>
            </w:tcBorders>
          </w:tcPr>
          <w:p w14:paraId="1BB477BC" w14:textId="77777777" w:rsidR="00233A35" w:rsidRPr="00F11C3F" w:rsidRDefault="00233A35" w:rsidP="00545B69">
            <w:pPr>
              <w:pStyle w:val="Tabletext"/>
              <w:rPr>
                <w:szCs w:val="19"/>
              </w:rPr>
            </w:pPr>
            <w:r w:rsidRPr="00F11C3F">
              <w:rPr>
                <w:szCs w:val="19"/>
              </w:rPr>
              <w:t>27%</w:t>
            </w:r>
          </w:p>
        </w:tc>
        <w:tc>
          <w:tcPr>
            <w:tcW w:w="582" w:type="pct"/>
            <w:tcBorders>
              <w:left w:val="single" w:sz="4" w:space="0" w:color="auto"/>
              <w:right w:val="single" w:sz="4" w:space="0" w:color="auto"/>
            </w:tcBorders>
          </w:tcPr>
          <w:p w14:paraId="756220FD" w14:textId="77777777" w:rsidR="00233A35" w:rsidRPr="00F11C3F" w:rsidRDefault="00233A35" w:rsidP="00545B69">
            <w:pPr>
              <w:pStyle w:val="Tabletext"/>
              <w:rPr>
                <w:szCs w:val="19"/>
              </w:rPr>
            </w:pPr>
            <w:r w:rsidRPr="00F11C3F">
              <w:rPr>
                <w:szCs w:val="19"/>
              </w:rPr>
              <w:t>(14, 44)</w:t>
            </w:r>
          </w:p>
        </w:tc>
        <w:tc>
          <w:tcPr>
            <w:tcW w:w="391" w:type="pct"/>
            <w:gridSpan w:val="2"/>
            <w:tcBorders>
              <w:left w:val="single" w:sz="4" w:space="0" w:color="auto"/>
              <w:right w:val="single" w:sz="4" w:space="0" w:color="auto"/>
            </w:tcBorders>
          </w:tcPr>
          <w:p w14:paraId="509884DE" w14:textId="77777777" w:rsidR="00233A35" w:rsidRPr="00F11C3F" w:rsidRDefault="00233A35" w:rsidP="00545B69">
            <w:pPr>
              <w:pStyle w:val="Tabletext"/>
              <w:rPr>
                <w:szCs w:val="19"/>
              </w:rPr>
            </w:pPr>
            <w:r w:rsidRPr="00F11C3F">
              <w:rPr>
                <w:szCs w:val="19"/>
              </w:rPr>
              <w:t>37</w:t>
            </w:r>
          </w:p>
        </w:tc>
        <w:tc>
          <w:tcPr>
            <w:tcW w:w="321" w:type="pct"/>
            <w:tcBorders>
              <w:left w:val="single" w:sz="4" w:space="0" w:color="auto"/>
              <w:right w:val="single" w:sz="4" w:space="0" w:color="auto"/>
            </w:tcBorders>
          </w:tcPr>
          <w:p w14:paraId="062E1557" w14:textId="77777777" w:rsidR="00233A35" w:rsidRPr="00F11C3F" w:rsidRDefault="00233A35" w:rsidP="00545B69">
            <w:pPr>
              <w:pStyle w:val="Tabletext"/>
              <w:rPr>
                <w:szCs w:val="19"/>
              </w:rPr>
            </w:pPr>
            <w:r w:rsidRPr="00F11C3F">
              <w:rPr>
                <w:szCs w:val="19"/>
              </w:rPr>
              <w:t>10</w:t>
            </w:r>
          </w:p>
        </w:tc>
        <w:tc>
          <w:tcPr>
            <w:tcW w:w="396" w:type="pct"/>
            <w:tcBorders>
              <w:left w:val="single" w:sz="4" w:space="0" w:color="auto"/>
              <w:right w:val="single" w:sz="4" w:space="0" w:color="auto"/>
            </w:tcBorders>
          </w:tcPr>
          <w:p w14:paraId="30F5522B" w14:textId="77777777" w:rsidR="00233A35" w:rsidRPr="00F11C3F" w:rsidRDefault="00233A35" w:rsidP="00545B69">
            <w:pPr>
              <w:pStyle w:val="Tabletext"/>
              <w:rPr>
                <w:szCs w:val="19"/>
              </w:rPr>
            </w:pPr>
            <w:r w:rsidRPr="00F11C3F">
              <w:rPr>
                <w:szCs w:val="19"/>
              </w:rPr>
              <w:t>27%</w:t>
            </w:r>
          </w:p>
        </w:tc>
        <w:tc>
          <w:tcPr>
            <w:tcW w:w="642" w:type="pct"/>
            <w:tcBorders>
              <w:left w:val="single" w:sz="4" w:space="0" w:color="auto"/>
              <w:right w:val="single" w:sz="4" w:space="0" w:color="auto"/>
            </w:tcBorders>
          </w:tcPr>
          <w:p w14:paraId="4E5E11DD" w14:textId="77777777" w:rsidR="00233A35" w:rsidRPr="00F11C3F" w:rsidRDefault="00233A35" w:rsidP="00545B69">
            <w:pPr>
              <w:pStyle w:val="Tabletext"/>
              <w:rPr>
                <w:szCs w:val="19"/>
              </w:rPr>
            </w:pPr>
            <w:r w:rsidRPr="00F11C3F">
              <w:rPr>
                <w:szCs w:val="19"/>
              </w:rPr>
              <w:t>(14, 44)</w:t>
            </w:r>
          </w:p>
        </w:tc>
      </w:tr>
      <w:tr w:rsidR="00233A35" w:rsidRPr="00F11C3F" w14:paraId="2BB6A1D1" w14:textId="77777777" w:rsidTr="00A41C10">
        <w:trPr>
          <w:trHeight w:val="220"/>
        </w:trPr>
        <w:tc>
          <w:tcPr>
            <w:tcW w:w="719" w:type="pct"/>
            <w:vMerge w:val="restart"/>
            <w:tcBorders>
              <w:right w:val="single" w:sz="4" w:space="0" w:color="auto"/>
            </w:tcBorders>
          </w:tcPr>
          <w:p w14:paraId="7761A9C4" w14:textId="77777777" w:rsidR="00233A35" w:rsidRPr="00F11C3F" w:rsidRDefault="00233A35" w:rsidP="00545B69">
            <w:pPr>
              <w:pStyle w:val="Tabletext"/>
              <w:rPr>
                <w:szCs w:val="19"/>
              </w:rPr>
            </w:pPr>
            <w:r w:rsidRPr="00F11C3F">
              <w:rPr>
                <w:szCs w:val="19"/>
              </w:rPr>
              <w:t>CTFI category</w:t>
            </w:r>
          </w:p>
        </w:tc>
        <w:tc>
          <w:tcPr>
            <w:tcW w:w="712" w:type="pct"/>
            <w:tcBorders>
              <w:right w:val="single" w:sz="4" w:space="0" w:color="auto"/>
            </w:tcBorders>
          </w:tcPr>
          <w:p w14:paraId="78BACD2B" w14:textId="77777777" w:rsidR="00233A35" w:rsidRPr="00F11C3F" w:rsidRDefault="00233A35" w:rsidP="00545B69">
            <w:pPr>
              <w:pStyle w:val="Tabletext"/>
              <w:rPr>
                <w:szCs w:val="19"/>
              </w:rPr>
            </w:pPr>
            <w:r w:rsidRPr="00F11C3F">
              <w:rPr>
                <w:szCs w:val="19"/>
              </w:rPr>
              <w:t>Resistant</w:t>
            </w:r>
          </w:p>
        </w:tc>
        <w:tc>
          <w:tcPr>
            <w:tcW w:w="391" w:type="pct"/>
            <w:tcBorders>
              <w:left w:val="single" w:sz="4" w:space="0" w:color="auto"/>
              <w:right w:val="single" w:sz="4" w:space="0" w:color="auto"/>
            </w:tcBorders>
          </w:tcPr>
          <w:p w14:paraId="315DEC53" w14:textId="77777777" w:rsidR="00233A35" w:rsidRPr="00F11C3F" w:rsidRDefault="00233A35" w:rsidP="00545B69">
            <w:pPr>
              <w:pStyle w:val="Tabletext"/>
              <w:rPr>
                <w:szCs w:val="19"/>
              </w:rPr>
            </w:pPr>
            <w:r w:rsidRPr="00F11C3F">
              <w:rPr>
                <w:szCs w:val="19"/>
              </w:rPr>
              <w:t>45</w:t>
            </w:r>
          </w:p>
        </w:tc>
        <w:tc>
          <w:tcPr>
            <w:tcW w:w="391" w:type="pct"/>
            <w:tcBorders>
              <w:left w:val="single" w:sz="4" w:space="0" w:color="auto"/>
              <w:right w:val="single" w:sz="4" w:space="0" w:color="auto"/>
            </w:tcBorders>
          </w:tcPr>
          <w:p w14:paraId="7B3FEFCF" w14:textId="77777777" w:rsidR="00233A35" w:rsidRPr="00F11C3F" w:rsidRDefault="00233A35" w:rsidP="00545B69">
            <w:pPr>
              <w:pStyle w:val="Tabletext"/>
              <w:rPr>
                <w:szCs w:val="19"/>
              </w:rPr>
            </w:pPr>
            <w:r w:rsidRPr="00F11C3F">
              <w:rPr>
                <w:szCs w:val="19"/>
              </w:rPr>
              <w:t>6</w:t>
            </w:r>
          </w:p>
        </w:tc>
        <w:tc>
          <w:tcPr>
            <w:tcW w:w="453" w:type="pct"/>
            <w:tcBorders>
              <w:left w:val="single" w:sz="4" w:space="0" w:color="auto"/>
              <w:right w:val="single" w:sz="4" w:space="0" w:color="auto"/>
            </w:tcBorders>
          </w:tcPr>
          <w:p w14:paraId="5EDFD939" w14:textId="77777777" w:rsidR="00233A35" w:rsidRPr="00F11C3F" w:rsidRDefault="00233A35" w:rsidP="00545B69">
            <w:pPr>
              <w:pStyle w:val="Tabletext"/>
              <w:rPr>
                <w:szCs w:val="19"/>
              </w:rPr>
            </w:pPr>
            <w:r w:rsidRPr="00F11C3F">
              <w:rPr>
                <w:szCs w:val="19"/>
              </w:rPr>
              <w:t>13%</w:t>
            </w:r>
          </w:p>
        </w:tc>
        <w:tc>
          <w:tcPr>
            <w:tcW w:w="582" w:type="pct"/>
            <w:tcBorders>
              <w:left w:val="single" w:sz="4" w:space="0" w:color="auto"/>
              <w:right w:val="single" w:sz="4" w:space="0" w:color="auto"/>
            </w:tcBorders>
          </w:tcPr>
          <w:p w14:paraId="4C9D57D1" w14:textId="77777777" w:rsidR="00233A35" w:rsidRPr="00F11C3F" w:rsidRDefault="00233A35" w:rsidP="00545B69">
            <w:pPr>
              <w:pStyle w:val="Tabletext"/>
              <w:rPr>
                <w:szCs w:val="19"/>
              </w:rPr>
            </w:pPr>
            <w:r w:rsidRPr="00F11C3F">
              <w:rPr>
                <w:szCs w:val="19"/>
              </w:rPr>
              <w:t>(5, 27)</w:t>
            </w:r>
          </w:p>
        </w:tc>
        <w:tc>
          <w:tcPr>
            <w:tcW w:w="391" w:type="pct"/>
            <w:gridSpan w:val="2"/>
            <w:tcBorders>
              <w:left w:val="single" w:sz="4" w:space="0" w:color="auto"/>
              <w:right w:val="single" w:sz="4" w:space="0" w:color="auto"/>
            </w:tcBorders>
          </w:tcPr>
          <w:p w14:paraId="4B3ECD49" w14:textId="77777777" w:rsidR="00233A35" w:rsidRPr="00F11C3F" w:rsidRDefault="00233A35" w:rsidP="00545B69">
            <w:pPr>
              <w:pStyle w:val="Tabletext"/>
              <w:rPr>
                <w:szCs w:val="19"/>
              </w:rPr>
            </w:pPr>
            <w:r w:rsidRPr="00F11C3F">
              <w:rPr>
                <w:szCs w:val="19"/>
              </w:rPr>
              <w:t>45</w:t>
            </w:r>
          </w:p>
        </w:tc>
        <w:tc>
          <w:tcPr>
            <w:tcW w:w="321" w:type="pct"/>
            <w:tcBorders>
              <w:left w:val="single" w:sz="4" w:space="0" w:color="auto"/>
              <w:right w:val="single" w:sz="4" w:space="0" w:color="auto"/>
            </w:tcBorders>
          </w:tcPr>
          <w:p w14:paraId="435633A0" w14:textId="77777777" w:rsidR="00233A35" w:rsidRPr="00F11C3F" w:rsidRDefault="00233A35" w:rsidP="00545B69">
            <w:pPr>
              <w:pStyle w:val="Tabletext"/>
              <w:rPr>
                <w:szCs w:val="19"/>
              </w:rPr>
            </w:pPr>
            <w:r w:rsidRPr="00F11C3F">
              <w:rPr>
                <w:szCs w:val="19"/>
              </w:rPr>
              <w:t>10</w:t>
            </w:r>
          </w:p>
        </w:tc>
        <w:tc>
          <w:tcPr>
            <w:tcW w:w="396" w:type="pct"/>
            <w:tcBorders>
              <w:left w:val="single" w:sz="4" w:space="0" w:color="auto"/>
              <w:right w:val="single" w:sz="4" w:space="0" w:color="auto"/>
            </w:tcBorders>
          </w:tcPr>
          <w:p w14:paraId="5D074D40" w14:textId="77777777" w:rsidR="00233A35" w:rsidRPr="00F11C3F" w:rsidRDefault="00233A35" w:rsidP="00545B69">
            <w:pPr>
              <w:pStyle w:val="Tabletext"/>
              <w:rPr>
                <w:szCs w:val="19"/>
              </w:rPr>
            </w:pPr>
            <w:r w:rsidRPr="00F11C3F">
              <w:rPr>
                <w:szCs w:val="19"/>
              </w:rPr>
              <w:t>22%</w:t>
            </w:r>
          </w:p>
        </w:tc>
        <w:tc>
          <w:tcPr>
            <w:tcW w:w="642" w:type="pct"/>
            <w:tcBorders>
              <w:left w:val="single" w:sz="4" w:space="0" w:color="auto"/>
              <w:right w:val="single" w:sz="4" w:space="0" w:color="auto"/>
            </w:tcBorders>
          </w:tcPr>
          <w:p w14:paraId="7C2B7F11" w14:textId="77777777" w:rsidR="00233A35" w:rsidRPr="00F11C3F" w:rsidRDefault="00233A35" w:rsidP="00545B69">
            <w:pPr>
              <w:pStyle w:val="Tabletext"/>
              <w:rPr>
                <w:szCs w:val="19"/>
              </w:rPr>
            </w:pPr>
            <w:r w:rsidRPr="00F11C3F">
              <w:rPr>
                <w:szCs w:val="19"/>
              </w:rPr>
              <w:t>(11, 37)</w:t>
            </w:r>
          </w:p>
        </w:tc>
      </w:tr>
      <w:tr w:rsidR="00233A35" w:rsidRPr="00F11C3F" w14:paraId="3221431C" w14:textId="77777777" w:rsidTr="00A41C10">
        <w:trPr>
          <w:trHeight w:val="220"/>
        </w:trPr>
        <w:tc>
          <w:tcPr>
            <w:tcW w:w="719" w:type="pct"/>
            <w:vMerge/>
            <w:tcBorders>
              <w:right w:val="single" w:sz="4" w:space="0" w:color="auto"/>
            </w:tcBorders>
          </w:tcPr>
          <w:p w14:paraId="186AA578" w14:textId="77777777" w:rsidR="00233A35" w:rsidRPr="00F11C3F" w:rsidRDefault="00233A35" w:rsidP="00545B69">
            <w:pPr>
              <w:pStyle w:val="Tabletext"/>
              <w:rPr>
                <w:szCs w:val="19"/>
              </w:rPr>
            </w:pPr>
          </w:p>
        </w:tc>
        <w:tc>
          <w:tcPr>
            <w:tcW w:w="712" w:type="pct"/>
            <w:tcBorders>
              <w:right w:val="single" w:sz="4" w:space="0" w:color="auto"/>
            </w:tcBorders>
          </w:tcPr>
          <w:p w14:paraId="4E5ABE91" w14:textId="77777777" w:rsidR="00233A35" w:rsidRPr="00F11C3F" w:rsidRDefault="00233A35" w:rsidP="00545B69">
            <w:pPr>
              <w:pStyle w:val="Tabletext"/>
            </w:pPr>
            <w:r w:rsidRPr="00F11C3F">
              <w:t>Sensitive</w:t>
            </w:r>
          </w:p>
        </w:tc>
        <w:tc>
          <w:tcPr>
            <w:tcW w:w="391" w:type="pct"/>
            <w:tcBorders>
              <w:left w:val="single" w:sz="4" w:space="0" w:color="auto"/>
              <w:right w:val="single" w:sz="4" w:space="0" w:color="auto"/>
            </w:tcBorders>
          </w:tcPr>
          <w:p w14:paraId="0A4D8F94" w14:textId="77777777" w:rsidR="00233A35" w:rsidRPr="00F11C3F" w:rsidRDefault="00233A35" w:rsidP="00545B69">
            <w:pPr>
              <w:pStyle w:val="Tabletext"/>
            </w:pPr>
            <w:r w:rsidRPr="00F11C3F">
              <w:t>60</w:t>
            </w:r>
          </w:p>
        </w:tc>
        <w:tc>
          <w:tcPr>
            <w:tcW w:w="391" w:type="pct"/>
            <w:tcBorders>
              <w:left w:val="single" w:sz="4" w:space="0" w:color="auto"/>
              <w:right w:val="single" w:sz="4" w:space="0" w:color="auto"/>
            </w:tcBorders>
          </w:tcPr>
          <w:p w14:paraId="5C89DE81" w14:textId="77777777" w:rsidR="00233A35" w:rsidRPr="00F11C3F" w:rsidRDefault="00233A35" w:rsidP="00545B69">
            <w:pPr>
              <w:pStyle w:val="Tabletext"/>
            </w:pPr>
            <w:r w:rsidRPr="00F11C3F">
              <w:t>26</w:t>
            </w:r>
          </w:p>
        </w:tc>
        <w:tc>
          <w:tcPr>
            <w:tcW w:w="453" w:type="pct"/>
            <w:tcBorders>
              <w:left w:val="single" w:sz="4" w:space="0" w:color="auto"/>
              <w:right w:val="single" w:sz="4" w:space="0" w:color="auto"/>
            </w:tcBorders>
          </w:tcPr>
          <w:p w14:paraId="3029EE7B" w14:textId="77777777" w:rsidR="00233A35" w:rsidRPr="00F11C3F" w:rsidRDefault="00233A35" w:rsidP="00545B69">
            <w:pPr>
              <w:pStyle w:val="Tabletext"/>
            </w:pPr>
            <w:r w:rsidRPr="00F11C3F">
              <w:t>4</w:t>
            </w:r>
            <w:r>
              <w:t>2</w:t>
            </w:r>
            <w:r w:rsidRPr="00F11C3F">
              <w:t>%</w:t>
            </w:r>
          </w:p>
        </w:tc>
        <w:tc>
          <w:tcPr>
            <w:tcW w:w="582" w:type="pct"/>
            <w:tcBorders>
              <w:left w:val="single" w:sz="4" w:space="0" w:color="auto"/>
              <w:right w:val="single" w:sz="4" w:space="0" w:color="auto"/>
            </w:tcBorders>
          </w:tcPr>
          <w:p w14:paraId="53AEA293" w14:textId="77777777" w:rsidR="00233A35" w:rsidRPr="00F11C3F" w:rsidRDefault="00233A35" w:rsidP="00545B69">
            <w:pPr>
              <w:pStyle w:val="Tabletext"/>
            </w:pPr>
            <w:r w:rsidRPr="00F11C3F">
              <w:t>(</w:t>
            </w:r>
            <w:r>
              <w:t>29</w:t>
            </w:r>
            <w:r w:rsidRPr="00F11C3F">
              <w:t>, 5</w:t>
            </w:r>
            <w:r>
              <w:t>5</w:t>
            </w:r>
            <w:r w:rsidRPr="00F11C3F">
              <w:t>)</w:t>
            </w:r>
          </w:p>
        </w:tc>
        <w:tc>
          <w:tcPr>
            <w:tcW w:w="391" w:type="pct"/>
            <w:gridSpan w:val="2"/>
            <w:tcBorders>
              <w:left w:val="single" w:sz="4" w:space="0" w:color="auto"/>
              <w:right w:val="single" w:sz="4" w:space="0" w:color="auto"/>
            </w:tcBorders>
          </w:tcPr>
          <w:p w14:paraId="6D9FBC96" w14:textId="77777777" w:rsidR="00233A35" w:rsidRPr="00F11C3F" w:rsidRDefault="00233A35" w:rsidP="00545B69">
            <w:pPr>
              <w:pStyle w:val="Tabletext"/>
            </w:pPr>
            <w:r w:rsidRPr="00F11C3F">
              <w:t>60</w:t>
            </w:r>
          </w:p>
        </w:tc>
        <w:tc>
          <w:tcPr>
            <w:tcW w:w="321" w:type="pct"/>
            <w:tcBorders>
              <w:left w:val="single" w:sz="4" w:space="0" w:color="auto"/>
              <w:right w:val="single" w:sz="4" w:space="0" w:color="auto"/>
            </w:tcBorders>
          </w:tcPr>
          <w:p w14:paraId="2412C8DF" w14:textId="77777777" w:rsidR="00233A35" w:rsidRPr="00F11C3F" w:rsidRDefault="00233A35" w:rsidP="00545B69">
            <w:pPr>
              <w:pStyle w:val="Tabletext"/>
            </w:pPr>
            <w:r w:rsidRPr="00F11C3F">
              <w:t>27</w:t>
            </w:r>
          </w:p>
        </w:tc>
        <w:tc>
          <w:tcPr>
            <w:tcW w:w="396" w:type="pct"/>
            <w:tcBorders>
              <w:left w:val="single" w:sz="4" w:space="0" w:color="auto"/>
              <w:right w:val="single" w:sz="4" w:space="0" w:color="auto"/>
            </w:tcBorders>
          </w:tcPr>
          <w:p w14:paraId="7FB0C895" w14:textId="77777777" w:rsidR="00233A35" w:rsidRPr="00F11C3F" w:rsidRDefault="00233A35" w:rsidP="00545B69">
            <w:pPr>
              <w:pStyle w:val="Tabletext"/>
            </w:pPr>
            <w:r w:rsidRPr="00F11C3F">
              <w:t>4</w:t>
            </w:r>
            <w:r>
              <w:t>7</w:t>
            </w:r>
            <w:r w:rsidRPr="00F11C3F">
              <w:t>%</w:t>
            </w:r>
          </w:p>
        </w:tc>
        <w:tc>
          <w:tcPr>
            <w:tcW w:w="642" w:type="pct"/>
            <w:tcBorders>
              <w:left w:val="single" w:sz="4" w:space="0" w:color="auto"/>
              <w:right w:val="single" w:sz="4" w:space="0" w:color="auto"/>
            </w:tcBorders>
          </w:tcPr>
          <w:p w14:paraId="3C0BF776" w14:textId="77777777" w:rsidR="00233A35" w:rsidRPr="00F11C3F" w:rsidRDefault="00233A35" w:rsidP="00545B69">
            <w:pPr>
              <w:pStyle w:val="Tabletext"/>
            </w:pPr>
            <w:r w:rsidRPr="00F11C3F">
              <w:t>(3</w:t>
            </w:r>
            <w:r>
              <w:t>4</w:t>
            </w:r>
            <w:r w:rsidRPr="00F11C3F">
              <w:t xml:space="preserve">, </w:t>
            </w:r>
            <w:r>
              <w:t>60</w:t>
            </w:r>
            <w:r w:rsidRPr="00F11C3F">
              <w:t>)</w:t>
            </w:r>
          </w:p>
        </w:tc>
      </w:tr>
      <w:tr w:rsidR="00233A35" w:rsidRPr="00F11C3F" w14:paraId="6816F120" w14:textId="77777777" w:rsidTr="00A41C10">
        <w:trPr>
          <w:trHeight w:val="220"/>
        </w:trPr>
        <w:tc>
          <w:tcPr>
            <w:tcW w:w="719" w:type="pct"/>
            <w:vMerge w:val="restart"/>
            <w:tcBorders>
              <w:right w:val="single" w:sz="4" w:space="0" w:color="auto"/>
            </w:tcBorders>
          </w:tcPr>
          <w:p w14:paraId="41184976" w14:textId="77777777" w:rsidR="00233A35" w:rsidRPr="00F11C3F" w:rsidRDefault="00233A35" w:rsidP="00545B69">
            <w:pPr>
              <w:pStyle w:val="Tabletext"/>
              <w:rPr>
                <w:szCs w:val="19"/>
              </w:rPr>
            </w:pPr>
            <w:r w:rsidRPr="00F11C3F">
              <w:rPr>
                <w:szCs w:val="19"/>
              </w:rPr>
              <w:t>Stage at diagnosis</w:t>
            </w:r>
          </w:p>
        </w:tc>
        <w:tc>
          <w:tcPr>
            <w:tcW w:w="712" w:type="pct"/>
            <w:tcBorders>
              <w:right w:val="single" w:sz="4" w:space="0" w:color="auto"/>
            </w:tcBorders>
          </w:tcPr>
          <w:p w14:paraId="5BC707DC" w14:textId="77777777" w:rsidR="00233A35" w:rsidRPr="00F11C3F" w:rsidRDefault="00233A35" w:rsidP="00545B69">
            <w:pPr>
              <w:pStyle w:val="Tabletext"/>
              <w:rPr>
                <w:szCs w:val="19"/>
              </w:rPr>
            </w:pPr>
            <w:r w:rsidRPr="00F11C3F">
              <w:rPr>
                <w:szCs w:val="19"/>
              </w:rPr>
              <w:t>ES-SCLC</w:t>
            </w:r>
          </w:p>
        </w:tc>
        <w:tc>
          <w:tcPr>
            <w:tcW w:w="391" w:type="pct"/>
            <w:tcBorders>
              <w:left w:val="single" w:sz="4" w:space="0" w:color="auto"/>
              <w:right w:val="single" w:sz="4" w:space="0" w:color="auto"/>
            </w:tcBorders>
          </w:tcPr>
          <w:p w14:paraId="7D857482" w14:textId="77777777" w:rsidR="00233A35" w:rsidRPr="00F11C3F" w:rsidRDefault="00233A35" w:rsidP="00545B69">
            <w:pPr>
              <w:pStyle w:val="Tabletext"/>
              <w:rPr>
                <w:szCs w:val="19"/>
              </w:rPr>
            </w:pPr>
            <w:r w:rsidRPr="00F11C3F">
              <w:rPr>
                <w:szCs w:val="19"/>
              </w:rPr>
              <w:t>73</w:t>
            </w:r>
          </w:p>
        </w:tc>
        <w:tc>
          <w:tcPr>
            <w:tcW w:w="391" w:type="pct"/>
            <w:tcBorders>
              <w:left w:val="single" w:sz="4" w:space="0" w:color="auto"/>
              <w:right w:val="single" w:sz="4" w:space="0" w:color="auto"/>
            </w:tcBorders>
          </w:tcPr>
          <w:p w14:paraId="03D3AD85" w14:textId="77777777" w:rsidR="00233A35" w:rsidRPr="00F11C3F" w:rsidRDefault="00233A35" w:rsidP="00545B69">
            <w:pPr>
              <w:pStyle w:val="Tabletext"/>
              <w:rPr>
                <w:szCs w:val="19"/>
              </w:rPr>
            </w:pPr>
            <w:r w:rsidRPr="00F11C3F">
              <w:rPr>
                <w:szCs w:val="19"/>
              </w:rPr>
              <w:t>15</w:t>
            </w:r>
          </w:p>
        </w:tc>
        <w:tc>
          <w:tcPr>
            <w:tcW w:w="453" w:type="pct"/>
            <w:tcBorders>
              <w:left w:val="single" w:sz="4" w:space="0" w:color="auto"/>
              <w:right w:val="single" w:sz="4" w:space="0" w:color="auto"/>
            </w:tcBorders>
          </w:tcPr>
          <w:p w14:paraId="6AB47864" w14:textId="77777777" w:rsidR="00233A35" w:rsidRPr="00F11C3F" w:rsidRDefault="00233A35" w:rsidP="00545B69">
            <w:pPr>
              <w:pStyle w:val="Tabletext"/>
              <w:rPr>
                <w:szCs w:val="19"/>
              </w:rPr>
            </w:pPr>
            <w:r w:rsidRPr="00F11C3F">
              <w:rPr>
                <w:szCs w:val="19"/>
              </w:rPr>
              <w:t>21%</w:t>
            </w:r>
          </w:p>
        </w:tc>
        <w:tc>
          <w:tcPr>
            <w:tcW w:w="582" w:type="pct"/>
            <w:tcBorders>
              <w:left w:val="single" w:sz="4" w:space="0" w:color="auto"/>
              <w:right w:val="single" w:sz="4" w:space="0" w:color="auto"/>
            </w:tcBorders>
          </w:tcPr>
          <w:p w14:paraId="287B938F" w14:textId="77777777" w:rsidR="00233A35" w:rsidRPr="00F11C3F" w:rsidRDefault="00233A35" w:rsidP="00545B69">
            <w:pPr>
              <w:pStyle w:val="Tabletext"/>
              <w:rPr>
                <w:szCs w:val="19"/>
              </w:rPr>
            </w:pPr>
            <w:r w:rsidRPr="00F11C3F">
              <w:rPr>
                <w:szCs w:val="19"/>
              </w:rPr>
              <w:t>(12, 32)</w:t>
            </w:r>
          </w:p>
        </w:tc>
        <w:tc>
          <w:tcPr>
            <w:tcW w:w="391" w:type="pct"/>
            <w:gridSpan w:val="2"/>
            <w:tcBorders>
              <w:left w:val="single" w:sz="4" w:space="0" w:color="auto"/>
              <w:right w:val="single" w:sz="4" w:space="0" w:color="auto"/>
            </w:tcBorders>
          </w:tcPr>
          <w:p w14:paraId="27D898C3" w14:textId="77777777" w:rsidR="00233A35" w:rsidRPr="00F11C3F" w:rsidRDefault="00233A35" w:rsidP="00545B69">
            <w:pPr>
              <w:pStyle w:val="Tabletext"/>
              <w:rPr>
                <w:szCs w:val="19"/>
              </w:rPr>
            </w:pPr>
            <w:r w:rsidRPr="00F11C3F">
              <w:rPr>
                <w:szCs w:val="19"/>
              </w:rPr>
              <w:t>73</w:t>
            </w:r>
          </w:p>
        </w:tc>
        <w:tc>
          <w:tcPr>
            <w:tcW w:w="321" w:type="pct"/>
            <w:tcBorders>
              <w:left w:val="single" w:sz="4" w:space="0" w:color="auto"/>
              <w:right w:val="single" w:sz="4" w:space="0" w:color="auto"/>
            </w:tcBorders>
          </w:tcPr>
          <w:p w14:paraId="3B693314" w14:textId="77777777" w:rsidR="00233A35" w:rsidRPr="00F11C3F" w:rsidRDefault="00233A35" w:rsidP="00545B69">
            <w:pPr>
              <w:pStyle w:val="Tabletext"/>
              <w:rPr>
                <w:szCs w:val="19"/>
              </w:rPr>
            </w:pPr>
            <w:r w:rsidRPr="00F11C3F">
              <w:rPr>
                <w:szCs w:val="19"/>
              </w:rPr>
              <w:t>19</w:t>
            </w:r>
          </w:p>
        </w:tc>
        <w:tc>
          <w:tcPr>
            <w:tcW w:w="396" w:type="pct"/>
            <w:tcBorders>
              <w:left w:val="single" w:sz="4" w:space="0" w:color="auto"/>
              <w:right w:val="single" w:sz="4" w:space="0" w:color="auto"/>
            </w:tcBorders>
          </w:tcPr>
          <w:p w14:paraId="4DD94F9F" w14:textId="77777777" w:rsidR="00233A35" w:rsidRPr="00F11C3F" w:rsidRDefault="00233A35" w:rsidP="00545B69">
            <w:pPr>
              <w:pStyle w:val="Tabletext"/>
              <w:rPr>
                <w:szCs w:val="19"/>
              </w:rPr>
            </w:pPr>
            <w:r w:rsidRPr="00F11C3F">
              <w:rPr>
                <w:szCs w:val="19"/>
              </w:rPr>
              <w:t>26%</w:t>
            </w:r>
          </w:p>
        </w:tc>
        <w:tc>
          <w:tcPr>
            <w:tcW w:w="642" w:type="pct"/>
            <w:tcBorders>
              <w:left w:val="single" w:sz="4" w:space="0" w:color="auto"/>
              <w:right w:val="single" w:sz="4" w:space="0" w:color="auto"/>
            </w:tcBorders>
          </w:tcPr>
          <w:p w14:paraId="24D059EF" w14:textId="77777777" w:rsidR="00233A35" w:rsidRPr="00F11C3F" w:rsidRDefault="00233A35" w:rsidP="00545B69">
            <w:pPr>
              <w:pStyle w:val="Tabletext"/>
              <w:rPr>
                <w:szCs w:val="19"/>
              </w:rPr>
            </w:pPr>
            <w:r w:rsidRPr="00F11C3F">
              <w:rPr>
                <w:szCs w:val="19"/>
              </w:rPr>
              <w:t>(16, 38)</w:t>
            </w:r>
          </w:p>
        </w:tc>
      </w:tr>
      <w:tr w:rsidR="00233A35" w:rsidRPr="00F11C3F" w14:paraId="7018A55E" w14:textId="77777777" w:rsidTr="00A41C10">
        <w:trPr>
          <w:trHeight w:val="220"/>
        </w:trPr>
        <w:tc>
          <w:tcPr>
            <w:tcW w:w="719" w:type="pct"/>
            <w:vMerge/>
            <w:tcBorders>
              <w:right w:val="single" w:sz="4" w:space="0" w:color="auto"/>
            </w:tcBorders>
          </w:tcPr>
          <w:p w14:paraId="532D4785" w14:textId="77777777" w:rsidR="00233A35" w:rsidRPr="00F11C3F" w:rsidRDefault="00233A35" w:rsidP="00545B69">
            <w:pPr>
              <w:pStyle w:val="Tabletext"/>
              <w:rPr>
                <w:szCs w:val="19"/>
              </w:rPr>
            </w:pPr>
          </w:p>
        </w:tc>
        <w:tc>
          <w:tcPr>
            <w:tcW w:w="712" w:type="pct"/>
            <w:tcBorders>
              <w:right w:val="single" w:sz="4" w:space="0" w:color="auto"/>
            </w:tcBorders>
          </w:tcPr>
          <w:p w14:paraId="0B1D8C91" w14:textId="77777777" w:rsidR="00233A35" w:rsidRPr="00F11C3F" w:rsidRDefault="00233A35" w:rsidP="00545B69">
            <w:pPr>
              <w:pStyle w:val="Tabletext"/>
              <w:rPr>
                <w:szCs w:val="19"/>
              </w:rPr>
            </w:pPr>
            <w:r w:rsidRPr="00F11C3F">
              <w:rPr>
                <w:szCs w:val="19"/>
              </w:rPr>
              <w:t>LS-SCLC</w:t>
            </w:r>
          </w:p>
        </w:tc>
        <w:tc>
          <w:tcPr>
            <w:tcW w:w="391" w:type="pct"/>
            <w:tcBorders>
              <w:left w:val="single" w:sz="4" w:space="0" w:color="auto"/>
              <w:right w:val="single" w:sz="4" w:space="0" w:color="auto"/>
            </w:tcBorders>
          </w:tcPr>
          <w:p w14:paraId="07A64296" w14:textId="77777777" w:rsidR="00233A35" w:rsidRPr="00F11C3F" w:rsidRDefault="00233A35" w:rsidP="00545B69">
            <w:pPr>
              <w:pStyle w:val="Tabletext"/>
              <w:rPr>
                <w:szCs w:val="19"/>
              </w:rPr>
            </w:pPr>
            <w:r w:rsidRPr="00F11C3F">
              <w:rPr>
                <w:szCs w:val="19"/>
              </w:rPr>
              <w:t>32</w:t>
            </w:r>
          </w:p>
        </w:tc>
        <w:tc>
          <w:tcPr>
            <w:tcW w:w="391" w:type="pct"/>
            <w:tcBorders>
              <w:left w:val="single" w:sz="4" w:space="0" w:color="auto"/>
              <w:right w:val="single" w:sz="4" w:space="0" w:color="auto"/>
            </w:tcBorders>
          </w:tcPr>
          <w:p w14:paraId="105538E8" w14:textId="77777777" w:rsidR="00233A35" w:rsidRPr="00F11C3F" w:rsidRDefault="00233A35" w:rsidP="00545B69">
            <w:pPr>
              <w:pStyle w:val="Tabletext"/>
              <w:rPr>
                <w:szCs w:val="19"/>
              </w:rPr>
            </w:pPr>
            <w:r w:rsidRPr="00F11C3F">
              <w:rPr>
                <w:szCs w:val="19"/>
              </w:rPr>
              <w:t>17</w:t>
            </w:r>
          </w:p>
        </w:tc>
        <w:tc>
          <w:tcPr>
            <w:tcW w:w="453" w:type="pct"/>
            <w:tcBorders>
              <w:left w:val="single" w:sz="4" w:space="0" w:color="auto"/>
              <w:right w:val="single" w:sz="4" w:space="0" w:color="auto"/>
            </w:tcBorders>
          </w:tcPr>
          <w:p w14:paraId="3074C98A" w14:textId="77777777" w:rsidR="00233A35" w:rsidRPr="00F11C3F" w:rsidRDefault="00233A35" w:rsidP="00545B69">
            <w:pPr>
              <w:pStyle w:val="Tabletext"/>
              <w:rPr>
                <w:szCs w:val="19"/>
              </w:rPr>
            </w:pPr>
            <w:r w:rsidRPr="00F11C3F">
              <w:rPr>
                <w:szCs w:val="19"/>
              </w:rPr>
              <w:t>53%</w:t>
            </w:r>
          </w:p>
        </w:tc>
        <w:tc>
          <w:tcPr>
            <w:tcW w:w="582" w:type="pct"/>
            <w:tcBorders>
              <w:left w:val="single" w:sz="4" w:space="0" w:color="auto"/>
              <w:right w:val="single" w:sz="4" w:space="0" w:color="auto"/>
            </w:tcBorders>
          </w:tcPr>
          <w:p w14:paraId="0B6481E3" w14:textId="77777777" w:rsidR="00233A35" w:rsidRPr="00F11C3F" w:rsidRDefault="00233A35" w:rsidP="00545B69">
            <w:pPr>
              <w:pStyle w:val="Tabletext"/>
              <w:rPr>
                <w:szCs w:val="19"/>
              </w:rPr>
            </w:pPr>
            <w:r w:rsidRPr="00F11C3F">
              <w:rPr>
                <w:szCs w:val="19"/>
              </w:rPr>
              <w:t>(35, 71)</w:t>
            </w:r>
          </w:p>
        </w:tc>
        <w:tc>
          <w:tcPr>
            <w:tcW w:w="391" w:type="pct"/>
            <w:gridSpan w:val="2"/>
            <w:tcBorders>
              <w:left w:val="single" w:sz="4" w:space="0" w:color="auto"/>
              <w:right w:val="single" w:sz="4" w:space="0" w:color="auto"/>
            </w:tcBorders>
          </w:tcPr>
          <w:p w14:paraId="29D79145" w14:textId="77777777" w:rsidR="00233A35" w:rsidRPr="00F11C3F" w:rsidRDefault="00233A35" w:rsidP="00545B69">
            <w:pPr>
              <w:pStyle w:val="Tabletext"/>
              <w:rPr>
                <w:szCs w:val="19"/>
              </w:rPr>
            </w:pPr>
            <w:r w:rsidRPr="00F11C3F">
              <w:rPr>
                <w:szCs w:val="19"/>
              </w:rPr>
              <w:t>32</w:t>
            </w:r>
          </w:p>
        </w:tc>
        <w:tc>
          <w:tcPr>
            <w:tcW w:w="321" w:type="pct"/>
            <w:tcBorders>
              <w:left w:val="single" w:sz="4" w:space="0" w:color="auto"/>
              <w:right w:val="single" w:sz="4" w:space="0" w:color="auto"/>
            </w:tcBorders>
          </w:tcPr>
          <w:p w14:paraId="4DECD98F" w14:textId="77777777" w:rsidR="00233A35" w:rsidRPr="00F11C3F" w:rsidRDefault="00233A35" w:rsidP="00545B69">
            <w:pPr>
              <w:pStyle w:val="Tabletext"/>
              <w:rPr>
                <w:szCs w:val="19"/>
              </w:rPr>
            </w:pPr>
            <w:r w:rsidRPr="00F11C3F">
              <w:rPr>
                <w:szCs w:val="19"/>
              </w:rPr>
              <w:t>18</w:t>
            </w:r>
          </w:p>
        </w:tc>
        <w:tc>
          <w:tcPr>
            <w:tcW w:w="396" w:type="pct"/>
            <w:tcBorders>
              <w:left w:val="single" w:sz="4" w:space="0" w:color="auto"/>
              <w:right w:val="single" w:sz="4" w:space="0" w:color="auto"/>
            </w:tcBorders>
          </w:tcPr>
          <w:p w14:paraId="12632675" w14:textId="77777777" w:rsidR="00233A35" w:rsidRPr="00F11C3F" w:rsidRDefault="00233A35" w:rsidP="00545B69">
            <w:pPr>
              <w:pStyle w:val="Tabletext"/>
              <w:rPr>
                <w:szCs w:val="19"/>
              </w:rPr>
            </w:pPr>
            <w:r w:rsidRPr="00F11C3F">
              <w:rPr>
                <w:szCs w:val="19"/>
              </w:rPr>
              <w:t>56%</w:t>
            </w:r>
          </w:p>
        </w:tc>
        <w:tc>
          <w:tcPr>
            <w:tcW w:w="642" w:type="pct"/>
            <w:tcBorders>
              <w:left w:val="single" w:sz="4" w:space="0" w:color="auto"/>
              <w:right w:val="single" w:sz="4" w:space="0" w:color="auto"/>
            </w:tcBorders>
          </w:tcPr>
          <w:p w14:paraId="00C71260" w14:textId="77777777" w:rsidR="00233A35" w:rsidRPr="00F11C3F" w:rsidRDefault="00233A35" w:rsidP="00545B69">
            <w:pPr>
              <w:pStyle w:val="Tabletext"/>
              <w:rPr>
                <w:szCs w:val="19"/>
              </w:rPr>
            </w:pPr>
            <w:r w:rsidRPr="00F11C3F">
              <w:rPr>
                <w:szCs w:val="19"/>
              </w:rPr>
              <w:t>(38, 74)</w:t>
            </w:r>
          </w:p>
        </w:tc>
      </w:tr>
      <w:tr w:rsidR="00233A35" w:rsidRPr="00F11C3F" w14:paraId="102198C0" w14:textId="77777777" w:rsidTr="00A41C10">
        <w:trPr>
          <w:trHeight w:val="220"/>
        </w:trPr>
        <w:tc>
          <w:tcPr>
            <w:tcW w:w="1432" w:type="pct"/>
            <w:gridSpan w:val="2"/>
            <w:tcBorders>
              <w:right w:val="single" w:sz="4" w:space="0" w:color="auto"/>
            </w:tcBorders>
          </w:tcPr>
          <w:p w14:paraId="7C8D05B3" w14:textId="77777777" w:rsidR="00233A35" w:rsidRPr="00F11C3F" w:rsidRDefault="00233A35" w:rsidP="00545B69">
            <w:pPr>
              <w:pStyle w:val="Tabletext"/>
              <w:rPr>
                <w:szCs w:val="19"/>
              </w:rPr>
            </w:pPr>
            <w:r w:rsidRPr="00F11C3F">
              <w:rPr>
                <w:szCs w:val="19"/>
              </w:rPr>
              <w:t>Prior immunotherapy</w:t>
            </w:r>
          </w:p>
        </w:tc>
        <w:tc>
          <w:tcPr>
            <w:tcW w:w="391" w:type="pct"/>
            <w:tcBorders>
              <w:left w:val="single" w:sz="4" w:space="0" w:color="auto"/>
              <w:right w:val="single" w:sz="4" w:space="0" w:color="auto"/>
            </w:tcBorders>
          </w:tcPr>
          <w:p w14:paraId="4920A7D3" w14:textId="77777777" w:rsidR="00233A35" w:rsidRPr="00F11C3F" w:rsidRDefault="00233A35" w:rsidP="00545B69">
            <w:pPr>
              <w:pStyle w:val="Tabletext"/>
              <w:rPr>
                <w:szCs w:val="19"/>
              </w:rPr>
            </w:pPr>
            <w:r w:rsidRPr="00F11C3F">
              <w:rPr>
                <w:szCs w:val="19"/>
              </w:rPr>
              <w:t>8</w:t>
            </w:r>
          </w:p>
        </w:tc>
        <w:tc>
          <w:tcPr>
            <w:tcW w:w="391" w:type="pct"/>
            <w:tcBorders>
              <w:left w:val="single" w:sz="4" w:space="0" w:color="auto"/>
              <w:right w:val="single" w:sz="4" w:space="0" w:color="auto"/>
            </w:tcBorders>
          </w:tcPr>
          <w:p w14:paraId="04D336FA" w14:textId="77777777" w:rsidR="00233A35" w:rsidRPr="00F11C3F" w:rsidRDefault="00233A35" w:rsidP="00545B69">
            <w:pPr>
              <w:pStyle w:val="Tabletext"/>
              <w:rPr>
                <w:szCs w:val="19"/>
              </w:rPr>
            </w:pPr>
            <w:r w:rsidRPr="00F11C3F">
              <w:rPr>
                <w:szCs w:val="19"/>
              </w:rPr>
              <w:t>5</w:t>
            </w:r>
          </w:p>
        </w:tc>
        <w:tc>
          <w:tcPr>
            <w:tcW w:w="453" w:type="pct"/>
            <w:tcBorders>
              <w:left w:val="single" w:sz="4" w:space="0" w:color="auto"/>
              <w:right w:val="single" w:sz="4" w:space="0" w:color="auto"/>
            </w:tcBorders>
          </w:tcPr>
          <w:p w14:paraId="35F0C8D2" w14:textId="77777777" w:rsidR="00233A35" w:rsidRPr="00F11C3F" w:rsidRDefault="00233A35" w:rsidP="00545B69">
            <w:pPr>
              <w:pStyle w:val="Tabletext"/>
              <w:rPr>
                <w:szCs w:val="19"/>
              </w:rPr>
            </w:pPr>
            <w:r w:rsidRPr="00F11C3F">
              <w:rPr>
                <w:szCs w:val="19"/>
              </w:rPr>
              <w:t>63%</w:t>
            </w:r>
          </w:p>
        </w:tc>
        <w:tc>
          <w:tcPr>
            <w:tcW w:w="582" w:type="pct"/>
            <w:tcBorders>
              <w:left w:val="single" w:sz="4" w:space="0" w:color="auto"/>
              <w:right w:val="single" w:sz="4" w:space="0" w:color="auto"/>
            </w:tcBorders>
          </w:tcPr>
          <w:p w14:paraId="7154FC60" w14:textId="77777777" w:rsidR="00233A35" w:rsidRPr="00F11C3F" w:rsidRDefault="00233A35" w:rsidP="00545B69">
            <w:pPr>
              <w:pStyle w:val="Tabletext"/>
              <w:rPr>
                <w:szCs w:val="19"/>
              </w:rPr>
            </w:pPr>
            <w:r w:rsidRPr="00F11C3F">
              <w:rPr>
                <w:szCs w:val="19"/>
              </w:rPr>
              <w:t>(24, 91)</w:t>
            </w:r>
          </w:p>
        </w:tc>
        <w:tc>
          <w:tcPr>
            <w:tcW w:w="391" w:type="pct"/>
            <w:gridSpan w:val="2"/>
            <w:tcBorders>
              <w:left w:val="single" w:sz="4" w:space="0" w:color="auto"/>
              <w:right w:val="single" w:sz="4" w:space="0" w:color="auto"/>
            </w:tcBorders>
          </w:tcPr>
          <w:p w14:paraId="6462D1C7" w14:textId="77777777" w:rsidR="00233A35" w:rsidRPr="00F11C3F" w:rsidRDefault="00233A35" w:rsidP="00545B69">
            <w:pPr>
              <w:pStyle w:val="Tabletext"/>
              <w:rPr>
                <w:szCs w:val="19"/>
              </w:rPr>
            </w:pPr>
            <w:r w:rsidRPr="00F11C3F">
              <w:rPr>
                <w:szCs w:val="19"/>
              </w:rPr>
              <w:t>8</w:t>
            </w:r>
          </w:p>
        </w:tc>
        <w:tc>
          <w:tcPr>
            <w:tcW w:w="321" w:type="pct"/>
            <w:tcBorders>
              <w:left w:val="single" w:sz="4" w:space="0" w:color="auto"/>
              <w:right w:val="single" w:sz="4" w:space="0" w:color="auto"/>
            </w:tcBorders>
          </w:tcPr>
          <w:p w14:paraId="3E16B681" w14:textId="77777777" w:rsidR="00233A35" w:rsidRPr="00F11C3F" w:rsidRDefault="00233A35" w:rsidP="00545B69">
            <w:pPr>
              <w:pStyle w:val="Tabletext"/>
              <w:rPr>
                <w:szCs w:val="19"/>
              </w:rPr>
            </w:pPr>
            <w:r w:rsidRPr="00F11C3F">
              <w:rPr>
                <w:szCs w:val="19"/>
              </w:rPr>
              <w:t>5</w:t>
            </w:r>
          </w:p>
        </w:tc>
        <w:tc>
          <w:tcPr>
            <w:tcW w:w="396" w:type="pct"/>
            <w:tcBorders>
              <w:left w:val="single" w:sz="4" w:space="0" w:color="auto"/>
              <w:right w:val="single" w:sz="4" w:space="0" w:color="auto"/>
            </w:tcBorders>
          </w:tcPr>
          <w:p w14:paraId="08644C55" w14:textId="77777777" w:rsidR="00233A35" w:rsidRPr="00F11C3F" w:rsidRDefault="00233A35" w:rsidP="00545B69">
            <w:pPr>
              <w:pStyle w:val="Tabletext"/>
              <w:rPr>
                <w:szCs w:val="19"/>
              </w:rPr>
            </w:pPr>
            <w:r w:rsidRPr="00F11C3F">
              <w:rPr>
                <w:szCs w:val="19"/>
              </w:rPr>
              <w:t>63%</w:t>
            </w:r>
          </w:p>
        </w:tc>
        <w:tc>
          <w:tcPr>
            <w:tcW w:w="642" w:type="pct"/>
            <w:tcBorders>
              <w:left w:val="single" w:sz="4" w:space="0" w:color="auto"/>
              <w:right w:val="single" w:sz="4" w:space="0" w:color="auto"/>
            </w:tcBorders>
          </w:tcPr>
          <w:p w14:paraId="0AD107B6" w14:textId="77777777" w:rsidR="00233A35" w:rsidRPr="00F11C3F" w:rsidRDefault="00233A35" w:rsidP="00545B69">
            <w:pPr>
              <w:pStyle w:val="Tabletext"/>
              <w:rPr>
                <w:szCs w:val="19"/>
              </w:rPr>
            </w:pPr>
            <w:r w:rsidRPr="00F11C3F">
              <w:rPr>
                <w:szCs w:val="19"/>
              </w:rPr>
              <w:t>(24, 91)</w:t>
            </w:r>
          </w:p>
        </w:tc>
      </w:tr>
    </w:tbl>
    <w:p w14:paraId="3823C13F" w14:textId="33ECFF27" w:rsidR="004A1D8A" w:rsidRDefault="002F4A8D" w:rsidP="000E3A6A">
      <w:pPr>
        <w:pStyle w:val="TableDescription"/>
      </w:pPr>
      <w:r>
        <w:t xml:space="preserve">Abbreviation: </w:t>
      </w:r>
      <w:r w:rsidR="004A1D8A" w:rsidRPr="00857CE0">
        <w:t>BICR = blinded independent central review; chemotherapy</w:t>
      </w:r>
      <w:r w:rsidR="004A1D8A">
        <w:t xml:space="preserve">-free treatment interval (CTFI); CI = confidence interval; ES-SCLC = extended-stage small cell lung cancer; LS-SCLC = limited-stage small cell lung cancer; N = total patients in subgroup; n = number of responders in subgroup; </w:t>
      </w:r>
      <w:r w:rsidR="004A1D8A" w:rsidRPr="006A5A07">
        <w:t>ORR = objective response rate per RECIST (Response Evaluation Criteria in Solid Tumours) v1.1</w:t>
      </w:r>
      <w:r w:rsidR="004A1D8A">
        <w:t>.</w:t>
      </w:r>
    </w:p>
    <w:p w14:paraId="366BE32C" w14:textId="644D7AA0" w:rsidR="004A1D8A" w:rsidRDefault="004A1D8A" w:rsidP="00ED64BB">
      <w:r>
        <w:t xml:space="preserve">Interpretation of these subgroup analyses is limited by their exploratory nature and small group sizes. </w:t>
      </w:r>
      <w:proofErr w:type="gramStart"/>
      <w:r>
        <w:t>In particular, although</w:t>
      </w:r>
      <w:proofErr w:type="gramEnd"/>
      <w:r>
        <w:t xml:space="preserve"> partial responses were seen in 5 of</w:t>
      </w:r>
      <w:r w:rsidR="00C1257D">
        <w:t xml:space="preserve"> out</w:t>
      </w:r>
      <w:r>
        <w:t xml:space="preserve"> 8 patients who</w:t>
      </w:r>
      <w:r w:rsidR="00B177DA">
        <w:t xml:space="preserve"> had </w:t>
      </w:r>
      <w:r>
        <w:t>received add</w:t>
      </w:r>
      <w:r w:rsidR="003B6C03">
        <w:t xml:space="preserve"> </w:t>
      </w:r>
      <w:r>
        <w:t>on immunotherapy with prior platinum regimens, the very small subgroup size renders the efficacy of lurbinectedin in this setting unclear. This is one of the key uncertainties expected to be addressed by confirmatory data.</w:t>
      </w:r>
    </w:p>
    <w:p w14:paraId="63F6CED2" w14:textId="77777777" w:rsidR="004A1D8A" w:rsidRDefault="004A1D8A" w:rsidP="004A1D8A">
      <w:pPr>
        <w:pStyle w:val="Heading4"/>
      </w:pPr>
      <w:r w:rsidRPr="00AA53F4">
        <w:t>Safety</w:t>
      </w:r>
    </w:p>
    <w:p w14:paraId="0E694534" w14:textId="77777777" w:rsidR="004A1D8A" w:rsidRDefault="004A1D8A" w:rsidP="004A1D8A">
      <w:pPr>
        <w:pStyle w:val="Heading5"/>
      </w:pPr>
      <w:r>
        <w:t>Study B-005</w:t>
      </w:r>
    </w:p>
    <w:p w14:paraId="015CE95E" w14:textId="70DF4C7D" w:rsidR="004A1D8A" w:rsidRDefault="004A1D8A" w:rsidP="004A1D8A">
      <w:r>
        <w:t>Amongst the 105 SCLC patients, d</w:t>
      </w:r>
      <w:r w:rsidRPr="00686E45">
        <w:rPr>
          <w:sz w:val="21"/>
          <w:szCs w:val="21"/>
          <w:lang w:eastAsia="en-AU"/>
        </w:rPr>
        <w:t xml:space="preserve">ose </w:t>
      </w:r>
      <w:r>
        <w:t xml:space="preserve">interruptions, </w:t>
      </w:r>
      <w:r w:rsidRPr="00686E45">
        <w:rPr>
          <w:sz w:val="21"/>
          <w:szCs w:val="21"/>
          <w:lang w:eastAsia="en-AU"/>
        </w:rPr>
        <w:t xml:space="preserve">reductions </w:t>
      </w:r>
      <w:r>
        <w:t xml:space="preserve">and discontinuations </w:t>
      </w:r>
      <w:r w:rsidRPr="00686E45">
        <w:rPr>
          <w:sz w:val="21"/>
          <w:szCs w:val="21"/>
          <w:lang w:eastAsia="en-AU"/>
        </w:rPr>
        <w:t>occurred in</w:t>
      </w:r>
      <w:r>
        <w:t xml:space="preserve"> 30%,</w:t>
      </w:r>
      <w:r w:rsidRPr="00686E45">
        <w:rPr>
          <w:sz w:val="21"/>
          <w:szCs w:val="21"/>
          <w:lang w:eastAsia="en-AU"/>
        </w:rPr>
        <w:t xml:space="preserve"> 25%</w:t>
      </w:r>
      <w:r>
        <w:t xml:space="preserve"> and 2%</w:t>
      </w:r>
      <w:r w:rsidRPr="00686E45">
        <w:rPr>
          <w:sz w:val="21"/>
          <w:szCs w:val="21"/>
          <w:lang w:eastAsia="en-AU"/>
        </w:rPr>
        <w:t xml:space="preserve"> of patients </w:t>
      </w:r>
      <w:r>
        <w:t>respectively. N</w:t>
      </w:r>
      <w:r w:rsidRPr="00686E45">
        <w:rPr>
          <w:sz w:val="21"/>
          <w:szCs w:val="21"/>
          <w:lang w:eastAsia="en-AU"/>
        </w:rPr>
        <w:t xml:space="preserve">eutropenia (17%) </w:t>
      </w:r>
      <w:r>
        <w:t>was</w:t>
      </w:r>
      <w:r w:rsidRPr="00686E45">
        <w:rPr>
          <w:sz w:val="21"/>
          <w:szCs w:val="21"/>
          <w:lang w:eastAsia="en-AU"/>
        </w:rPr>
        <w:t xml:space="preserve"> the</w:t>
      </w:r>
      <w:r>
        <w:t xml:space="preserve"> </w:t>
      </w:r>
      <w:r w:rsidRPr="00933B35">
        <w:rPr>
          <w:sz w:val="21"/>
          <w:szCs w:val="21"/>
          <w:lang w:eastAsia="en-AU"/>
        </w:rPr>
        <w:t xml:space="preserve">most common </w:t>
      </w:r>
      <w:r>
        <w:t>event</w:t>
      </w:r>
      <w:r w:rsidRPr="00933B35">
        <w:rPr>
          <w:sz w:val="21"/>
          <w:szCs w:val="21"/>
          <w:lang w:eastAsia="en-AU"/>
        </w:rPr>
        <w:t xml:space="preserve"> resulting </w:t>
      </w:r>
      <w:r>
        <w:t xml:space="preserve">in </w:t>
      </w:r>
      <w:r w:rsidRPr="00933B35">
        <w:rPr>
          <w:sz w:val="21"/>
          <w:szCs w:val="21"/>
          <w:lang w:eastAsia="en-AU"/>
        </w:rPr>
        <w:t>dose reduction</w:t>
      </w:r>
      <w:r>
        <w:t xml:space="preserve">, myelosuppression (18%) was the most common event resulting in dose delay. The </w:t>
      </w:r>
      <w:r w:rsidR="003B6C03">
        <w:t>AEs</w:t>
      </w:r>
      <w:r>
        <w:t xml:space="preserve"> leading to discontinuation were worsened peripheral neuropathy (in a patient who had peripheral neuropathy at </w:t>
      </w:r>
      <w:r w:rsidR="003B6C03">
        <w:t>B</w:t>
      </w:r>
      <w:r>
        <w:t>aseline</w:t>
      </w:r>
      <w:r w:rsidR="00ED64BB">
        <w:t>),</w:t>
      </w:r>
      <w:r>
        <w:t xml:space="preserve"> and myelosuppression in a different patient.</w:t>
      </w:r>
    </w:p>
    <w:p w14:paraId="41864C39" w14:textId="69F5B746" w:rsidR="00D11E8D" w:rsidRDefault="00D11E8D" w:rsidP="004A1D8A">
      <w:r>
        <w:t>The clinical evaluator agreed with the following safety assessment:</w:t>
      </w:r>
    </w:p>
    <w:p w14:paraId="6BBCA3AE" w14:textId="45069665" w:rsidR="004A1D8A" w:rsidRPr="00ED64BB" w:rsidRDefault="00A36602" w:rsidP="00ED64BB">
      <w:pPr>
        <w:rPr>
          <w:i/>
          <w:iCs/>
        </w:rPr>
      </w:pPr>
      <w:r>
        <w:rPr>
          <w:i/>
          <w:iCs/>
        </w:rPr>
        <w:t>‘</w:t>
      </w:r>
      <w:r w:rsidR="004A1D8A" w:rsidRPr="00ED64BB">
        <w:rPr>
          <w:i/>
          <w:iCs/>
        </w:rPr>
        <w:t xml:space="preserve">The safety profile of lurbinectedin is most notable for myelosuppression, fatigue, musculoskeletal pain, gastrointestinal AEs (nausea, vomiting, diarrhea) and respiratory AEs (dyspnea, cough). Significant and serious adverse reactions such as myelosuppression and aminotransferase laboratory elevation are addressed in the Warnings and Precautions section of the label with recommendations to withhold, dose reduce or permanently discontinue as necessary depending on the severity of toxicity. Additionally, G-CSF prophylaxis is recommended for severe neutropenia. </w:t>
      </w:r>
    </w:p>
    <w:p w14:paraId="3EE0349C" w14:textId="77777777" w:rsidR="004A1D8A" w:rsidRPr="00ED64BB" w:rsidRDefault="004A1D8A" w:rsidP="00ED64BB">
      <w:pPr>
        <w:rPr>
          <w:i/>
          <w:iCs/>
        </w:rPr>
      </w:pPr>
      <w:r w:rsidRPr="00ED64BB">
        <w:rPr>
          <w:i/>
          <w:iCs/>
        </w:rPr>
        <w:lastRenderedPageBreak/>
        <w:t xml:space="preserve">In Study B-005, the following findings were specific to the SCLC cohort: </w:t>
      </w:r>
    </w:p>
    <w:p w14:paraId="3A4F1BD0" w14:textId="019FE715" w:rsidR="004A1D8A" w:rsidRPr="00ED64BB" w:rsidRDefault="004A1D8A" w:rsidP="00ED64BB">
      <w:pPr>
        <w:pStyle w:val="ListBullet"/>
        <w:rPr>
          <w:i/>
          <w:iCs/>
        </w:rPr>
      </w:pPr>
      <w:r w:rsidRPr="00ED64BB">
        <w:rPr>
          <w:i/>
          <w:iCs/>
        </w:rPr>
        <w:t>There were no deaths on or within 30 days of study drug discontinuation that were attributable to lurbinectedin</w:t>
      </w:r>
      <w:r w:rsidR="002C05F8">
        <w:rPr>
          <w:i/>
          <w:iCs/>
        </w:rPr>
        <w:t>.</w:t>
      </w:r>
    </w:p>
    <w:p w14:paraId="07EADDEC" w14:textId="17A8F8F8" w:rsidR="004A1D8A" w:rsidRPr="00ED64BB" w:rsidRDefault="004A1D8A" w:rsidP="00ED64BB">
      <w:pPr>
        <w:pStyle w:val="ListBullet"/>
        <w:rPr>
          <w:i/>
          <w:iCs/>
        </w:rPr>
      </w:pPr>
      <w:r w:rsidRPr="00ED64BB">
        <w:rPr>
          <w:i/>
          <w:iCs/>
        </w:rPr>
        <w:t xml:space="preserve">Treatment-emergent SAEs were reported in 34% of patient. Pneumonia, dyspnea, upper respiratory tract infections, febrile neutropenia and myelosuppression were identified as the </w:t>
      </w:r>
      <w:proofErr w:type="gramStart"/>
      <w:r w:rsidRPr="00ED64BB">
        <w:rPr>
          <w:i/>
          <w:iCs/>
        </w:rPr>
        <w:t>most commonly observed</w:t>
      </w:r>
      <w:proofErr w:type="gramEnd"/>
      <w:r w:rsidRPr="00ED64BB">
        <w:rPr>
          <w:i/>
          <w:iCs/>
        </w:rPr>
        <w:t xml:space="preserve"> </w:t>
      </w:r>
      <w:r w:rsidR="00B177DA" w:rsidRPr="00ED64BB">
        <w:rPr>
          <w:i/>
          <w:iCs/>
        </w:rPr>
        <w:t>serious adverse events (</w:t>
      </w:r>
      <w:r w:rsidRPr="00ED64BB">
        <w:rPr>
          <w:i/>
          <w:iCs/>
        </w:rPr>
        <w:t>SAEs</w:t>
      </w:r>
      <w:r w:rsidR="00B177DA" w:rsidRPr="00ED64BB">
        <w:rPr>
          <w:i/>
          <w:iCs/>
        </w:rPr>
        <w:t>)</w:t>
      </w:r>
      <w:r w:rsidR="002C05F8">
        <w:rPr>
          <w:i/>
          <w:iCs/>
        </w:rPr>
        <w:t>.</w:t>
      </w:r>
    </w:p>
    <w:p w14:paraId="585054AA" w14:textId="3B1054F6" w:rsidR="004A1D8A" w:rsidRPr="00ED64BB" w:rsidRDefault="004A1D8A" w:rsidP="00ED64BB">
      <w:pPr>
        <w:pStyle w:val="ListBullet"/>
        <w:rPr>
          <w:i/>
          <w:iCs/>
        </w:rPr>
      </w:pPr>
      <w:r w:rsidRPr="00ED64BB">
        <w:rPr>
          <w:i/>
          <w:iCs/>
        </w:rPr>
        <w:t>Dose reductions occurred in 25% of patients with neutropenia (17%) representing the most common AE resulting dose reduction</w:t>
      </w:r>
      <w:r w:rsidR="002C05F8">
        <w:rPr>
          <w:i/>
          <w:iCs/>
        </w:rPr>
        <w:t>.</w:t>
      </w:r>
    </w:p>
    <w:p w14:paraId="1CCCE4DD" w14:textId="3D44D5B1" w:rsidR="004A1D8A" w:rsidRPr="00ED64BB" w:rsidRDefault="004A1D8A" w:rsidP="00ED64BB">
      <w:pPr>
        <w:pStyle w:val="ListBullet"/>
        <w:rPr>
          <w:i/>
          <w:iCs/>
        </w:rPr>
      </w:pPr>
      <w:r w:rsidRPr="00ED64BB">
        <w:rPr>
          <w:i/>
          <w:iCs/>
        </w:rPr>
        <w:t>Dose delays occurred in 31% of patients, most frequently due to myelosuppression</w:t>
      </w:r>
      <w:r w:rsidR="002C05F8">
        <w:rPr>
          <w:i/>
          <w:iCs/>
        </w:rPr>
        <w:t>.</w:t>
      </w:r>
    </w:p>
    <w:p w14:paraId="7B74A35C" w14:textId="77777777" w:rsidR="004A1D8A" w:rsidRPr="00ED64BB" w:rsidRDefault="004A1D8A" w:rsidP="00ED64BB">
      <w:pPr>
        <w:pStyle w:val="ListBullet"/>
        <w:rPr>
          <w:i/>
          <w:iCs/>
        </w:rPr>
      </w:pPr>
      <w:r w:rsidRPr="00ED64BB">
        <w:rPr>
          <w:i/>
          <w:iCs/>
        </w:rPr>
        <w:t xml:space="preserve">Drug discontinuation was infrequent (n=2). </w:t>
      </w:r>
    </w:p>
    <w:p w14:paraId="44ABFFA6" w14:textId="21A57553" w:rsidR="004A1D8A" w:rsidRPr="00ED64BB" w:rsidRDefault="004A1D8A" w:rsidP="00ED64BB">
      <w:pPr>
        <w:rPr>
          <w:i/>
          <w:iCs/>
        </w:rPr>
      </w:pPr>
      <w:r w:rsidRPr="00ED64BB">
        <w:rPr>
          <w:i/>
          <w:iCs/>
        </w:rPr>
        <w:t>The overall the safety profile of lurbinectedin is acceptable when assessed in the context of the treatment of a life-threatening disease, and in the context of current available therapies.</w:t>
      </w:r>
      <w:r w:rsidR="00A36602">
        <w:rPr>
          <w:i/>
          <w:iCs/>
        </w:rPr>
        <w:t>’</w:t>
      </w:r>
    </w:p>
    <w:p w14:paraId="3B2989AA" w14:textId="2C9A8E73" w:rsidR="004A1D8A" w:rsidRPr="0020331C" w:rsidRDefault="00C84345" w:rsidP="00A41C10">
      <w:pPr>
        <w:pStyle w:val="Heading6"/>
      </w:pPr>
      <w:r w:rsidRPr="00D11E8D">
        <w:rPr>
          <w:rFonts w:eastAsiaTheme="minorHAnsi"/>
        </w:rPr>
        <w:t>Small cell lung cancer</w:t>
      </w:r>
      <w:r w:rsidRPr="00D11E8D" w:rsidDel="00C84345">
        <w:rPr>
          <w:rFonts w:eastAsiaTheme="minorHAnsi"/>
        </w:rPr>
        <w:t xml:space="preserve"> </w:t>
      </w:r>
      <w:r w:rsidR="004A1D8A" w:rsidRPr="00D11E8D">
        <w:rPr>
          <w:rFonts w:eastAsiaTheme="minorHAnsi"/>
        </w:rPr>
        <w:t>cohort</w:t>
      </w:r>
    </w:p>
    <w:p w14:paraId="4392FFDF" w14:textId="743925D1" w:rsidR="004A1D8A" w:rsidRPr="000D0C1D" w:rsidRDefault="00D11E8D" w:rsidP="004A1D8A">
      <w:r>
        <w:t xml:space="preserve">The Delegate agreed with the FDA label containing the </w:t>
      </w:r>
      <w:r w:rsidR="004A1D8A" w:rsidRPr="00883C4C">
        <w:t xml:space="preserve">following additional detail on safety information from the SCLC cohort of </w:t>
      </w:r>
      <w:r w:rsidR="004F1E61">
        <w:t xml:space="preserve">Study </w:t>
      </w:r>
      <w:r w:rsidR="004A1D8A" w:rsidRPr="00883C4C">
        <w:t>B-005</w:t>
      </w:r>
      <w:r w:rsidR="004A1D8A" w:rsidRPr="000D0C1D">
        <w:t>:</w:t>
      </w:r>
      <w:r w:rsidR="00D15DC1">
        <w:rPr>
          <w:rStyle w:val="FootnoteReference"/>
        </w:rPr>
        <w:footnoteReference w:id="41"/>
      </w:r>
    </w:p>
    <w:p w14:paraId="796EE1EE" w14:textId="59B2266F" w:rsidR="004A1D8A" w:rsidRPr="00D11E8D" w:rsidRDefault="008D248A" w:rsidP="00D11E8D">
      <w:pPr>
        <w:pStyle w:val="Quotation"/>
        <w:ind w:left="0"/>
        <w:rPr>
          <w:rFonts w:eastAsia="Cambria" w:cs="Times New Roman"/>
          <w:i/>
          <w:iCs/>
          <w:sz w:val="22"/>
          <w:lang w:eastAsia="en-US"/>
        </w:rPr>
      </w:pPr>
      <w:r>
        <w:rPr>
          <w:rFonts w:eastAsia="Cambria" w:cs="Times New Roman"/>
          <w:i/>
          <w:iCs/>
          <w:sz w:val="22"/>
          <w:lang w:eastAsia="en-US"/>
        </w:rPr>
        <w:t>‘</w:t>
      </w:r>
      <w:r w:rsidR="004A1D8A" w:rsidRPr="00D11E8D">
        <w:rPr>
          <w:rFonts w:eastAsia="Cambria" w:cs="Times New Roman"/>
          <w:i/>
          <w:iCs/>
          <w:sz w:val="22"/>
          <w:lang w:eastAsia="en-US"/>
        </w:rPr>
        <w:t xml:space="preserve">The safety of </w:t>
      </w:r>
      <w:r w:rsidR="000D0C1D" w:rsidRPr="00D11E8D">
        <w:rPr>
          <w:rFonts w:eastAsia="Cambria" w:cs="Times New Roman"/>
          <w:i/>
          <w:iCs/>
          <w:sz w:val="22"/>
          <w:lang w:eastAsia="en-US"/>
        </w:rPr>
        <w:t>Zepzelca</w:t>
      </w:r>
      <w:r w:rsidR="004A1D8A" w:rsidRPr="00D11E8D">
        <w:rPr>
          <w:rFonts w:eastAsia="Cambria" w:cs="Times New Roman"/>
          <w:i/>
          <w:iCs/>
          <w:sz w:val="22"/>
          <w:lang w:eastAsia="en-US"/>
        </w:rPr>
        <w:t xml:space="preserve"> was evaluated in a cohort of 105 patients with previously treated SCLC in Study B-005. Patients received </w:t>
      </w:r>
      <w:r w:rsidR="000D0C1D" w:rsidRPr="00D11E8D">
        <w:rPr>
          <w:rFonts w:eastAsia="Cambria" w:cs="Times New Roman"/>
          <w:i/>
          <w:iCs/>
          <w:sz w:val="22"/>
          <w:lang w:eastAsia="en-US"/>
        </w:rPr>
        <w:t>Zepzelca</w:t>
      </w:r>
      <w:r w:rsidR="004A1D8A" w:rsidRPr="00D11E8D">
        <w:rPr>
          <w:rFonts w:eastAsia="Cambria" w:cs="Times New Roman"/>
          <w:i/>
          <w:iCs/>
          <w:sz w:val="22"/>
          <w:lang w:eastAsia="en-US"/>
        </w:rPr>
        <w:t xml:space="preserve"> 3.2 mg/m2 intravenously every 21 days. All patients in this study received a pre-specified anti-emetic regimen consisting of a corticosteroid and serotonin antagonist. Patients could receive </w:t>
      </w:r>
      <w:r w:rsidR="000D0C1D" w:rsidRPr="00D11E8D">
        <w:rPr>
          <w:rFonts w:eastAsia="Cambria" w:cs="Times New Roman"/>
          <w:i/>
          <w:iCs/>
          <w:sz w:val="22"/>
          <w:lang w:eastAsia="en-US"/>
        </w:rPr>
        <w:t>Granulocyte colony-stimulating factor (</w:t>
      </w:r>
      <w:r w:rsidR="004A1D8A" w:rsidRPr="00D11E8D">
        <w:rPr>
          <w:rFonts w:eastAsia="Cambria" w:cs="Times New Roman"/>
          <w:i/>
          <w:iCs/>
          <w:sz w:val="22"/>
          <w:lang w:eastAsia="en-US"/>
        </w:rPr>
        <w:t>G-CSF</w:t>
      </w:r>
      <w:r w:rsidR="000D0C1D" w:rsidRPr="00D11E8D">
        <w:rPr>
          <w:rFonts w:eastAsia="Cambria" w:cs="Times New Roman"/>
          <w:i/>
          <w:iCs/>
          <w:sz w:val="22"/>
          <w:lang w:eastAsia="en-US"/>
        </w:rPr>
        <w:t>)</w:t>
      </w:r>
      <w:r w:rsidR="004A1D8A" w:rsidRPr="00D11E8D">
        <w:rPr>
          <w:rFonts w:eastAsia="Cambria" w:cs="Times New Roman"/>
          <w:i/>
          <w:iCs/>
          <w:sz w:val="22"/>
          <w:lang w:eastAsia="en-US"/>
        </w:rPr>
        <w:t xml:space="preserve"> for secondary prophylaxis (i.e., after patients had an initial decrease in </w:t>
      </w:r>
      <w:r w:rsidR="000D0C1D" w:rsidRPr="00D11E8D">
        <w:rPr>
          <w:rFonts w:eastAsia="Cambria" w:cs="Times New Roman"/>
          <w:i/>
          <w:iCs/>
          <w:sz w:val="22"/>
          <w:lang w:eastAsia="en-US"/>
        </w:rPr>
        <w:t>white blood cells (</w:t>
      </w:r>
      <w:r w:rsidR="004A1D8A" w:rsidRPr="00D11E8D">
        <w:rPr>
          <w:rFonts w:eastAsia="Cambria" w:cs="Times New Roman"/>
          <w:i/>
          <w:iCs/>
          <w:sz w:val="22"/>
          <w:lang w:eastAsia="en-US"/>
        </w:rPr>
        <w:t>WBC</w:t>
      </w:r>
      <w:r w:rsidR="000D0C1D" w:rsidRPr="00D11E8D">
        <w:rPr>
          <w:rFonts w:eastAsia="Cambria" w:cs="Times New Roman"/>
          <w:i/>
          <w:iCs/>
          <w:sz w:val="22"/>
          <w:lang w:eastAsia="en-US"/>
        </w:rPr>
        <w:t>)</w:t>
      </w:r>
      <w:r w:rsidR="004A1D8A" w:rsidRPr="00D11E8D">
        <w:rPr>
          <w:rFonts w:eastAsia="Cambria" w:cs="Times New Roman"/>
          <w:i/>
          <w:iCs/>
          <w:sz w:val="22"/>
          <w:lang w:eastAsia="en-US"/>
        </w:rPr>
        <w:t xml:space="preserve">), but not primary prophylaxis. Among patients who received </w:t>
      </w:r>
      <w:r w:rsidR="000D0C1D" w:rsidRPr="00D11E8D">
        <w:rPr>
          <w:rFonts w:eastAsia="Cambria" w:cs="Times New Roman"/>
          <w:i/>
          <w:iCs/>
          <w:sz w:val="22"/>
          <w:lang w:eastAsia="en-US"/>
        </w:rPr>
        <w:t>Zepzelca</w:t>
      </w:r>
      <w:r w:rsidR="004A1D8A" w:rsidRPr="00D11E8D">
        <w:rPr>
          <w:rFonts w:eastAsia="Cambria" w:cs="Times New Roman"/>
          <w:i/>
          <w:iCs/>
          <w:sz w:val="22"/>
          <w:lang w:eastAsia="en-US"/>
        </w:rPr>
        <w:t>, 29% were exposed for 6 months or longer and 6% were exposed for greater than one year.</w:t>
      </w:r>
    </w:p>
    <w:p w14:paraId="2DDE5216" w14:textId="0C3DFA15" w:rsidR="004A1D8A" w:rsidRPr="00D11E8D" w:rsidRDefault="004A1D8A" w:rsidP="00D11E8D">
      <w:pPr>
        <w:pStyle w:val="Quotation"/>
        <w:ind w:left="0"/>
        <w:rPr>
          <w:rFonts w:eastAsia="Cambria" w:cs="Times New Roman"/>
          <w:i/>
          <w:iCs/>
          <w:sz w:val="22"/>
          <w:lang w:eastAsia="en-US"/>
        </w:rPr>
      </w:pPr>
      <w:r w:rsidRPr="00D11E8D">
        <w:rPr>
          <w:rFonts w:eastAsia="Cambria" w:cs="Times New Roman"/>
          <w:i/>
          <w:iCs/>
          <w:sz w:val="22"/>
          <w:lang w:eastAsia="en-US"/>
        </w:rPr>
        <w:t xml:space="preserve">Serious adverse reactions occurred in 34% of patients who received </w:t>
      </w:r>
      <w:r w:rsidR="000D0C1D" w:rsidRPr="00D11E8D">
        <w:rPr>
          <w:rFonts w:eastAsia="Cambria" w:cs="Times New Roman"/>
          <w:i/>
          <w:iCs/>
          <w:sz w:val="22"/>
          <w:lang w:eastAsia="en-US"/>
        </w:rPr>
        <w:t>Zepzelca</w:t>
      </w:r>
      <w:r w:rsidRPr="00D11E8D">
        <w:rPr>
          <w:rFonts w:eastAsia="Cambria" w:cs="Times New Roman"/>
          <w:i/>
          <w:iCs/>
          <w:sz w:val="22"/>
          <w:lang w:eastAsia="en-US"/>
        </w:rPr>
        <w:t xml:space="preserve">. Serious adverse reactions in ≥ 3% of patients included pneumonia, febrile neutropenia, neutropenia, respiratory tract infection, anemia, dyspnea, and thrombocytopenia. </w:t>
      </w:r>
    </w:p>
    <w:p w14:paraId="44FFDBC0" w14:textId="3EBB1E14" w:rsidR="004A1D8A" w:rsidRPr="00D11E8D" w:rsidRDefault="004A1D8A" w:rsidP="00D11E8D">
      <w:pPr>
        <w:pStyle w:val="Quotation"/>
        <w:ind w:left="0"/>
        <w:rPr>
          <w:rFonts w:eastAsia="Cambria" w:cs="Times New Roman"/>
          <w:i/>
          <w:iCs/>
          <w:sz w:val="22"/>
          <w:lang w:eastAsia="en-US"/>
        </w:rPr>
      </w:pPr>
      <w:r w:rsidRPr="00D11E8D">
        <w:rPr>
          <w:rFonts w:eastAsia="Cambria" w:cs="Times New Roman"/>
          <w:i/>
          <w:iCs/>
          <w:sz w:val="22"/>
          <w:lang w:eastAsia="en-US"/>
        </w:rPr>
        <w:t xml:space="preserve">Permanent discontinuation due to an adverse reaction occurred in two patients (1.9%) who received </w:t>
      </w:r>
      <w:r w:rsidR="000D0C1D" w:rsidRPr="00D11E8D">
        <w:rPr>
          <w:rFonts w:eastAsia="Cambria" w:cs="Times New Roman"/>
          <w:i/>
          <w:iCs/>
          <w:sz w:val="22"/>
          <w:lang w:eastAsia="en-US"/>
        </w:rPr>
        <w:t>Zepzelca</w:t>
      </w:r>
      <w:r w:rsidRPr="00D11E8D">
        <w:rPr>
          <w:rFonts w:eastAsia="Cambria" w:cs="Times New Roman"/>
          <w:i/>
          <w:iCs/>
          <w:sz w:val="22"/>
          <w:lang w:eastAsia="en-US"/>
        </w:rPr>
        <w:t xml:space="preserve">. Adverse reactions resulting in permanent discontinuation in ≥ 1% of patients who received </w:t>
      </w:r>
      <w:r w:rsidR="000D0C1D" w:rsidRPr="00D11E8D">
        <w:rPr>
          <w:rFonts w:eastAsia="Cambria" w:cs="Times New Roman"/>
          <w:i/>
          <w:iCs/>
          <w:sz w:val="22"/>
          <w:lang w:eastAsia="en-US"/>
        </w:rPr>
        <w:t>Zepzelca</w:t>
      </w:r>
      <w:r w:rsidRPr="00D11E8D">
        <w:rPr>
          <w:rFonts w:eastAsia="Cambria" w:cs="Times New Roman"/>
          <w:i/>
          <w:iCs/>
          <w:sz w:val="22"/>
          <w:lang w:eastAsia="en-US"/>
        </w:rPr>
        <w:t xml:space="preserve">, which included peripheral neuropathy and myelosuppression. </w:t>
      </w:r>
    </w:p>
    <w:p w14:paraId="269E32B6" w14:textId="7A229F9E" w:rsidR="004A1D8A" w:rsidRPr="00D11E8D" w:rsidRDefault="004A1D8A" w:rsidP="00D11E8D">
      <w:pPr>
        <w:pStyle w:val="Quotation"/>
        <w:ind w:left="0"/>
        <w:rPr>
          <w:rFonts w:eastAsia="Cambria" w:cs="Times New Roman"/>
          <w:i/>
          <w:iCs/>
          <w:sz w:val="22"/>
          <w:lang w:eastAsia="en-US"/>
        </w:rPr>
      </w:pPr>
      <w:r w:rsidRPr="00D11E8D">
        <w:rPr>
          <w:rFonts w:eastAsia="Cambria" w:cs="Times New Roman"/>
          <w:i/>
          <w:iCs/>
          <w:sz w:val="22"/>
          <w:lang w:eastAsia="en-US"/>
        </w:rPr>
        <w:t xml:space="preserve">Dosage interruptions due to an adverse reaction occurred in 30.5% of patients who received </w:t>
      </w:r>
      <w:r w:rsidR="000D0C1D" w:rsidRPr="00D11E8D">
        <w:rPr>
          <w:rFonts w:eastAsia="Cambria" w:cs="Times New Roman"/>
          <w:i/>
          <w:iCs/>
          <w:sz w:val="22"/>
          <w:lang w:eastAsia="en-US"/>
        </w:rPr>
        <w:t>Zepzelca</w:t>
      </w:r>
      <w:r w:rsidRPr="00D11E8D">
        <w:rPr>
          <w:rFonts w:eastAsia="Cambria" w:cs="Times New Roman"/>
          <w:i/>
          <w:iCs/>
          <w:sz w:val="22"/>
          <w:lang w:eastAsia="en-US"/>
        </w:rPr>
        <w:t xml:space="preserve">. Adverse reactions requiring dosage interruption in ≥ 3% of patients who received </w:t>
      </w:r>
      <w:r w:rsidR="000D0C1D" w:rsidRPr="00D11E8D">
        <w:rPr>
          <w:rFonts w:eastAsia="Cambria" w:cs="Times New Roman"/>
          <w:i/>
          <w:iCs/>
          <w:sz w:val="22"/>
          <w:lang w:eastAsia="en-US"/>
        </w:rPr>
        <w:t>Zepzelca</w:t>
      </w:r>
      <w:r w:rsidRPr="00D11E8D">
        <w:rPr>
          <w:rFonts w:eastAsia="Cambria" w:cs="Times New Roman"/>
          <w:i/>
          <w:iCs/>
          <w:sz w:val="22"/>
          <w:lang w:eastAsia="en-US"/>
        </w:rPr>
        <w:t xml:space="preserve"> included neutropenia, and hypoalbuminemia. </w:t>
      </w:r>
    </w:p>
    <w:p w14:paraId="1E0C416B" w14:textId="7ADB6F35" w:rsidR="004A1D8A" w:rsidRPr="00D11E8D" w:rsidRDefault="004A1D8A" w:rsidP="00D11E8D">
      <w:pPr>
        <w:pStyle w:val="Quotation"/>
        <w:ind w:left="0"/>
        <w:rPr>
          <w:rFonts w:eastAsia="Cambria" w:cs="Times New Roman"/>
          <w:i/>
          <w:iCs/>
          <w:sz w:val="22"/>
          <w:lang w:eastAsia="en-US"/>
        </w:rPr>
      </w:pPr>
      <w:r w:rsidRPr="00D11E8D">
        <w:rPr>
          <w:rFonts w:eastAsia="Cambria" w:cs="Times New Roman"/>
          <w:i/>
          <w:iCs/>
          <w:sz w:val="22"/>
          <w:lang w:eastAsia="en-US"/>
        </w:rPr>
        <w:t xml:space="preserve">Dose reductions due to an adverse reaction occurred in 25% of patients who received </w:t>
      </w:r>
      <w:r w:rsidR="000D0C1D" w:rsidRPr="00D11E8D">
        <w:rPr>
          <w:rFonts w:eastAsia="Cambria" w:cs="Times New Roman"/>
          <w:i/>
          <w:iCs/>
          <w:sz w:val="22"/>
          <w:lang w:eastAsia="en-US"/>
        </w:rPr>
        <w:t>Zepzelca</w:t>
      </w:r>
      <w:r w:rsidRPr="00D11E8D">
        <w:rPr>
          <w:rFonts w:eastAsia="Cambria" w:cs="Times New Roman"/>
          <w:i/>
          <w:iCs/>
          <w:sz w:val="22"/>
          <w:lang w:eastAsia="en-US"/>
        </w:rPr>
        <w:t xml:space="preserve">. Adverse reactions requiring dosage reductions in ≥ 3% of patients who received </w:t>
      </w:r>
      <w:r w:rsidR="000D0C1D" w:rsidRPr="00D11E8D">
        <w:rPr>
          <w:rFonts w:eastAsia="Cambria" w:cs="Times New Roman"/>
          <w:i/>
          <w:iCs/>
          <w:sz w:val="22"/>
          <w:lang w:eastAsia="en-US"/>
        </w:rPr>
        <w:t>Zepzelca</w:t>
      </w:r>
      <w:r w:rsidRPr="00D11E8D">
        <w:rPr>
          <w:rFonts w:eastAsia="Cambria" w:cs="Times New Roman"/>
          <w:i/>
          <w:iCs/>
          <w:sz w:val="22"/>
          <w:lang w:eastAsia="en-US"/>
        </w:rPr>
        <w:t xml:space="preserve"> included neutropenia, febrile </w:t>
      </w:r>
      <w:proofErr w:type="gramStart"/>
      <w:r w:rsidRPr="00D11E8D">
        <w:rPr>
          <w:rFonts w:eastAsia="Cambria" w:cs="Times New Roman"/>
          <w:i/>
          <w:iCs/>
          <w:sz w:val="22"/>
          <w:lang w:eastAsia="en-US"/>
        </w:rPr>
        <w:t>neutropenia</w:t>
      </w:r>
      <w:proofErr w:type="gramEnd"/>
      <w:r w:rsidRPr="00D11E8D">
        <w:rPr>
          <w:rFonts w:eastAsia="Cambria" w:cs="Times New Roman"/>
          <w:i/>
          <w:iCs/>
          <w:sz w:val="22"/>
          <w:lang w:eastAsia="en-US"/>
        </w:rPr>
        <w:t xml:space="preserve"> and fatigue. </w:t>
      </w:r>
    </w:p>
    <w:p w14:paraId="70E04D0E" w14:textId="40579EA7" w:rsidR="00D11E8D" w:rsidRDefault="004A1D8A" w:rsidP="00D11E8D">
      <w:pPr>
        <w:pStyle w:val="Quotation"/>
        <w:ind w:left="0"/>
        <w:rPr>
          <w:rFonts w:eastAsia="Cambria" w:cs="Times New Roman"/>
          <w:i/>
          <w:iCs/>
          <w:sz w:val="22"/>
          <w:lang w:eastAsia="en-US"/>
        </w:rPr>
      </w:pPr>
      <w:r w:rsidRPr="00D11E8D">
        <w:rPr>
          <w:rFonts w:eastAsia="Cambria" w:cs="Times New Roman"/>
          <w:i/>
          <w:iCs/>
          <w:sz w:val="22"/>
          <w:lang w:eastAsia="en-US"/>
        </w:rPr>
        <w:t>The most common adverse reactions, including laboratory abnormalities, (≥ 20%) were leukopenia, lymphopenia, fatigue, anemia, neutropenia, increased creatinine, increased alanine aminotransferase, increased glucose, thrombocytopenia, nausea, decreased appetite, musculoskeletal pain, decreased albumin, constipation, dyspnea, decreased sodium, increased aspartate aminotransferase, vomiting, cough, decreased magnesium and diarrhea.</w:t>
      </w:r>
      <w:r w:rsidR="008D248A">
        <w:rPr>
          <w:rFonts w:eastAsia="Cambria" w:cs="Times New Roman"/>
          <w:i/>
          <w:iCs/>
          <w:sz w:val="22"/>
          <w:lang w:eastAsia="en-US"/>
        </w:rPr>
        <w:t>’</w:t>
      </w:r>
    </w:p>
    <w:p w14:paraId="7F255E44" w14:textId="0B3FE00E" w:rsidR="004A1D8A" w:rsidRPr="00CA4D49" w:rsidRDefault="00E402EA" w:rsidP="00ED64BB">
      <w:pPr>
        <w:pStyle w:val="TableTitle"/>
      </w:pPr>
      <w:bookmarkStart w:id="50" w:name="_Ref95985766"/>
      <w:r>
        <w:lastRenderedPageBreak/>
        <w:t xml:space="preserve">Table </w:t>
      </w:r>
      <w:fldSimple w:instr=" SEQ Table \* ARABIC ">
        <w:r w:rsidR="002C225D">
          <w:rPr>
            <w:noProof/>
          </w:rPr>
          <w:t>7</w:t>
        </w:r>
      </w:fldSimple>
      <w:bookmarkEnd w:id="50"/>
      <w:r w:rsidR="00ED64BB">
        <w:rPr>
          <w:noProof/>
        </w:rPr>
        <w:t xml:space="preserve">: </w:t>
      </w:r>
      <w:r w:rsidR="00124DB0" w:rsidRPr="00C76CFA">
        <w:rPr>
          <w:lang w:val="en-US"/>
        </w:rPr>
        <w:t>Study B-005</w:t>
      </w:r>
      <w:r w:rsidR="00124DB0">
        <w:rPr>
          <w:lang w:val="en-US"/>
        </w:rPr>
        <w:t xml:space="preserve"> </w:t>
      </w:r>
      <w:r w:rsidR="004A1D8A" w:rsidRPr="00C76CFA">
        <w:rPr>
          <w:lang w:val="en-US"/>
        </w:rPr>
        <w:t xml:space="preserve">Adverse </w:t>
      </w:r>
      <w:r w:rsidR="000D0C1D">
        <w:rPr>
          <w:lang w:val="en-US"/>
        </w:rPr>
        <w:t>r</w:t>
      </w:r>
      <w:r w:rsidR="004A1D8A" w:rsidRPr="00C76CFA">
        <w:rPr>
          <w:lang w:val="en-US"/>
        </w:rPr>
        <w:t>eactions (</w:t>
      </w:r>
      <w:r w:rsidR="00ED64BB">
        <w:rPr>
          <w:lang w:val="en-US"/>
        </w:rPr>
        <w:t>greater than or equal to ten percent</w:t>
      </w:r>
      <w:r w:rsidR="004A1D8A" w:rsidRPr="00C76CFA">
        <w:rPr>
          <w:lang w:val="en-US"/>
        </w:rPr>
        <w:t xml:space="preserve">) in </w:t>
      </w:r>
      <w:r w:rsidR="000D0C1D">
        <w:rPr>
          <w:lang w:val="en-US"/>
        </w:rPr>
        <w:t>p</w:t>
      </w:r>
      <w:r w:rsidR="004A1D8A" w:rsidRPr="00C76CFA">
        <w:rPr>
          <w:lang w:val="en-US"/>
        </w:rPr>
        <w:t xml:space="preserve">atients </w:t>
      </w:r>
      <w:r w:rsidR="000D0C1D">
        <w:rPr>
          <w:lang w:val="en-US"/>
        </w:rPr>
        <w:t>w</w:t>
      </w:r>
      <w:r w:rsidR="004A1D8A" w:rsidRPr="00C76CFA">
        <w:rPr>
          <w:lang w:val="en-US"/>
        </w:rPr>
        <w:t xml:space="preserve">ith </w:t>
      </w:r>
      <w:r>
        <w:rPr>
          <w:lang w:val="en-US"/>
        </w:rPr>
        <w:t>small cell lung cancer</w:t>
      </w:r>
      <w:r w:rsidR="004A1D8A" w:rsidRPr="00C76CFA">
        <w:rPr>
          <w:lang w:val="en-US"/>
        </w:rPr>
        <w:t xml:space="preserve"> </w:t>
      </w:r>
      <w:r w:rsidR="000D0C1D">
        <w:rPr>
          <w:lang w:val="en-US"/>
        </w:rPr>
        <w:t>w</w:t>
      </w:r>
      <w:r w:rsidR="004A1D8A" w:rsidRPr="00C76CFA">
        <w:rPr>
          <w:lang w:val="en-US"/>
        </w:rPr>
        <w:t xml:space="preserve">ho </w:t>
      </w:r>
      <w:r w:rsidR="000D0C1D">
        <w:rPr>
          <w:lang w:val="en-US"/>
        </w:rPr>
        <w:t>r</w:t>
      </w:r>
      <w:r w:rsidR="004A1D8A" w:rsidRPr="00C76CFA">
        <w:rPr>
          <w:lang w:val="en-US"/>
        </w:rPr>
        <w:t xml:space="preserve">eceived </w:t>
      </w:r>
      <w:r w:rsidR="000D0C1D">
        <w:t>Zepzelca</w:t>
      </w:r>
      <w:r w:rsidR="004A1D8A" w:rsidRPr="00C76CFA">
        <w:rPr>
          <w:lang w:val="en-US"/>
        </w:rPr>
        <w:t xml:space="preserve"> </w:t>
      </w:r>
    </w:p>
    <w:tbl>
      <w:tblPr>
        <w:tblStyle w:val="TableTGAblu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2625"/>
        <w:gridCol w:w="2455"/>
      </w:tblGrid>
      <w:tr w:rsidR="004A1D8A" w:rsidRPr="00BF7227" w14:paraId="67119258" w14:textId="77777777" w:rsidTr="002C05F8">
        <w:trPr>
          <w:cnfStyle w:val="100000000000" w:firstRow="1" w:lastRow="0" w:firstColumn="0" w:lastColumn="0" w:oddVBand="0" w:evenVBand="0" w:oddHBand="0" w:evenHBand="0" w:firstRowFirstColumn="0" w:firstRowLastColumn="0" w:lastRowFirstColumn="0" w:lastRowLastColumn="0"/>
          <w:trHeight w:val="322"/>
        </w:trPr>
        <w:tc>
          <w:tcPr>
            <w:tcW w:w="2010"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2B9F6E" w14:textId="39C74D28" w:rsidR="004A1D8A" w:rsidRPr="002F4A8D" w:rsidRDefault="004A1D8A" w:rsidP="00ED64BB">
            <w:pPr>
              <w:pStyle w:val="Tabletext"/>
              <w:ind w:left="0"/>
              <w:rPr>
                <w:szCs w:val="19"/>
              </w:rPr>
            </w:pPr>
            <w:r w:rsidRPr="002F4A8D">
              <w:rPr>
                <w:szCs w:val="19"/>
              </w:rPr>
              <w:t>Adverse Reaction</w:t>
            </w:r>
          </w:p>
        </w:tc>
        <w:tc>
          <w:tcPr>
            <w:tcW w:w="299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46FAD5" w14:textId="74D95FF5" w:rsidR="004A1D8A" w:rsidRPr="000C57FE" w:rsidRDefault="00883C4C" w:rsidP="00A17B9B">
            <w:pPr>
              <w:pStyle w:val="Tabletext"/>
              <w:ind w:left="0"/>
              <w:rPr>
                <w:szCs w:val="19"/>
              </w:rPr>
            </w:pPr>
            <w:proofErr w:type="spellStart"/>
            <w:r w:rsidRPr="002F4A8D">
              <w:rPr>
                <w:szCs w:val="19"/>
              </w:rPr>
              <w:t>Zepzelca</w:t>
            </w:r>
            <w:r w:rsidR="00E504E5" w:rsidRPr="002F4A8D">
              <w:rPr>
                <w:szCs w:val="19"/>
                <w:vertAlign w:val="superscript"/>
              </w:rPr>
              <w:t>a</w:t>
            </w:r>
            <w:proofErr w:type="spellEnd"/>
            <w:r w:rsidRPr="002F4A8D">
              <w:rPr>
                <w:szCs w:val="19"/>
              </w:rPr>
              <w:t xml:space="preserve"> </w:t>
            </w:r>
            <w:r w:rsidRPr="000C57FE">
              <w:rPr>
                <w:spacing w:val="-57"/>
                <w:szCs w:val="19"/>
              </w:rPr>
              <w:t>(</w:t>
            </w:r>
            <w:r w:rsidR="004A1D8A" w:rsidRPr="000C57FE">
              <w:rPr>
                <w:szCs w:val="19"/>
              </w:rPr>
              <w:t>n</w:t>
            </w:r>
            <w:r w:rsidR="00C1257D" w:rsidRPr="000C57FE">
              <w:rPr>
                <w:szCs w:val="19"/>
              </w:rPr>
              <w:t xml:space="preserve"> </w:t>
            </w:r>
            <w:r w:rsidR="004A1D8A" w:rsidRPr="000C57FE">
              <w:rPr>
                <w:szCs w:val="19"/>
              </w:rPr>
              <w:t>=</w:t>
            </w:r>
            <w:r w:rsidR="00C1257D" w:rsidRPr="000C57FE">
              <w:rPr>
                <w:szCs w:val="19"/>
              </w:rPr>
              <w:t xml:space="preserve"> </w:t>
            </w:r>
            <w:r w:rsidR="004A1D8A" w:rsidRPr="000C57FE">
              <w:rPr>
                <w:szCs w:val="19"/>
              </w:rPr>
              <w:t>105)</w:t>
            </w:r>
          </w:p>
        </w:tc>
      </w:tr>
      <w:tr w:rsidR="004A1D8A" w:rsidRPr="00BF7227" w14:paraId="6DB19C6E" w14:textId="77777777" w:rsidTr="002C05F8">
        <w:trPr>
          <w:trHeight w:val="128"/>
        </w:trPr>
        <w:tc>
          <w:tcPr>
            <w:tcW w:w="2010" w:type="pct"/>
            <w:vMerge/>
          </w:tcPr>
          <w:p w14:paraId="2828396C" w14:textId="77777777" w:rsidR="004A1D8A" w:rsidRPr="00A17B9B" w:rsidRDefault="004A1D8A" w:rsidP="00FF7417">
            <w:pPr>
              <w:pStyle w:val="Tabletext"/>
              <w:rPr>
                <w:b/>
                <w:szCs w:val="19"/>
              </w:rPr>
            </w:pPr>
          </w:p>
        </w:tc>
        <w:tc>
          <w:tcPr>
            <w:tcW w:w="1545" w:type="pct"/>
            <w:shd w:val="clear" w:color="auto" w:fill="006DA7"/>
          </w:tcPr>
          <w:p w14:paraId="2A2FBCF3" w14:textId="77777777" w:rsidR="004A1D8A" w:rsidRPr="00A17B9B" w:rsidRDefault="004A1D8A" w:rsidP="00FF7417">
            <w:pPr>
              <w:pStyle w:val="Tabletext"/>
              <w:ind w:left="0"/>
              <w:rPr>
                <w:b/>
                <w:color w:val="FFFFFF" w:themeColor="background1"/>
                <w:szCs w:val="19"/>
              </w:rPr>
            </w:pPr>
            <w:r w:rsidRPr="00A17B9B">
              <w:rPr>
                <w:b/>
                <w:color w:val="FFFFFF" w:themeColor="background1"/>
                <w:szCs w:val="19"/>
              </w:rPr>
              <w:t>All</w:t>
            </w:r>
            <w:r w:rsidRPr="00A17B9B">
              <w:rPr>
                <w:b/>
                <w:color w:val="FFFFFF" w:themeColor="background1"/>
                <w:spacing w:val="-3"/>
                <w:szCs w:val="19"/>
              </w:rPr>
              <w:t xml:space="preserve"> </w:t>
            </w:r>
            <w:proofErr w:type="spellStart"/>
            <w:proofErr w:type="gramStart"/>
            <w:r w:rsidRPr="00A17B9B">
              <w:rPr>
                <w:b/>
                <w:color w:val="FFFFFF" w:themeColor="background1"/>
                <w:szCs w:val="19"/>
              </w:rPr>
              <w:t>Grades</w:t>
            </w:r>
            <w:r w:rsidRPr="00A17B9B">
              <w:rPr>
                <w:b/>
                <w:color w:val="FFFFFF" w:themeColor="background1"/>
                <w:szCs w:val="19"/>
                <w:vertAlign w:val="superscript"/>
              </w:rPr>
              <w:t>a,b</w:t>
            </w:r>
            <w:proofErr w:type="spellEnd"/>
            <w:proofErr w:type="gramEnd"/>
            <w:r w:rsidRPr="00A17B9B">
              <w:rPr>
                <w:b/>
                <w:color w:val="FFFFFF" w:themeColor="background1"/>
                <w:spacing w:val="-2"/>
                <w:szCs w:val="19"/>
              </w:rPr>
              <w:t xml:space="preserve"> </w:t>
            </w:r>
            <w:r w:rsidRPr="00A17B9B">
              <w:rPr>
                <w:b/>
                <w:color w:val="FFFFFF" w:themeColor="background1"/>
                <w:szCs w:val="19"/>
              </w:rPr>
              <w:t>(%)</w:t>
            </w:r>
          </w:p>
        </w:tc>
        <w:tc>
          <w:tcPr>
            <w:tcW w:w="1445" w:type="pct"/>
            <w:shd w:val="clear" w:color="auto" w:fill="006DA7"/>
          </w:tcPr>
          <w:p w14:paraId="04709285" w14:textId="41CF40FE" w:rsidR="004A1D8A" w:rsidRPr="00A17B9B" w:rsidRDefault="004A1D8A" w:rsidP="00FF7417">
            <w:pPr>
              <w:pStyle w:val="Tabletext"/>
              <w:ind w:left="0"/>
              <w:rPr>
                <w:b/>
                <w:color w:val="FFFFFF" w:themeColor="background1"/>
                <w:szCs w:val="19"/>
              </w:rPr>
            </w:pPr>
            <w:r w:rsidRPr="00A17B9B">
              <w:rPr>
                <w:b/>
                <w:color w:val="FFFFFF" w:themeColor="background1"/>
                <w:spacing w:val="-1"/>
                <w:szCs w:val="19"/>
              </w:rPr>
              <w:t>Grades</w:t>
            </w:r>
            <w:r w:rsidRPr="00A17B9B">
              <w:rPr>
                <w:b/>
                <w:color w:val="FFFFFF" w:themeColor="background1"/>
                <w:spacing w:val="1"/>
                <w:szCs w:val="19"/>
              </w:rPr>
              <w:t xml:space="preserve"> </w:t>
            </w:r>
            <w:r w:rsidRPr="00A17B9B">
              <w:rPr>
                <w:b/>
                <w:color w:val="FFFFFF" w:themeColor="background1"/>
                <w:szCs w:val="19"/>
              </w:rPr>
              <w:t>3</w:t>
            </w:r>
            <w:r w:rsidR="00C1257D" w:rsidRPr="00A17B9B">
              <w:rPr>
                <w:b/>
                <w:color w:val="FFFFFF" w:themeColor="background1"/>
                <w:szCs w:val="19"/>
              </w:rPr>
              <w:t xml:space="preserve"> to</w:t>
            </w:r>
            <w:r w:rsidRPr="00A17B9B">
              <w:rPr>
                <w:b/>
                <w:color w:val="FFFFFF" w:themeColor="background1"/>
                <w:szCs w:val="19"/>
              </w:rPr>
              <w:t>4</w:t>
            </w:r>
            <w:r w:rsidRPr="00A17B9B">
              <w:rPr>
                <w:b/>
                <w:color w:val="FFFFFF" w:themeColor="background1"/>
                <w:spacing w:val="-22"/>
                <w:szCs w:val="19"/>
              </w:rPr>
              <w:t xml:space="preserve"> </w:t>
            </w:r>
            <w:r w:rsidRPr="00A17B9B">
              <w:rPr>
                <w:b/>
                <w:color w:val="FFFFFF" w:themeColor="background1"/>
                <w:szCs w:val="19"/>
              </w:rPr>
              <w:t>(%)</w:t>
            </w:r>
          </w:p>
        </w:tc>
      </w:tr>
      <w:tr w:rsidR="00FF7417" w:rsidRPr="00BF7227" w14:paraId="30DA2FAD" w14:textId="77777777" w:rsidTr="002C05F8">
        <w:trPr>
          <w:trHeight w:val="276"/>
        </w:trPr>
        <w:tc>
          <w:tcPr>
            <w:tcW w:w="5000" w:type="pct"/>
            <w:gridSpan w:val="3"/>
          </w:tcPr>
          <w:p w14:paraId="4113D4DE" w14:textId="3FEE53AD" w:rsidR="00FF7417" w:rsidRPr="00BF7227" w:rsidRDefault="00FF7417" w:rsidP="00FF7417">
            <w:pPr>
              <w:pStyle w:val="Tabletext"/>
              <w:rPr>
                <w:szCs w:val="19"/>
              </w:rPr>
            </w:pPr>
            <w:r w:rsidRPr="00BF7227">
              <w:rPr>
                <w:b/>
                <w:szCs w:val="19"/>
              </w:rPr>
              <w:t>General</w:t>
            </w:r>
            <w:r w:rsidRPr="00BF7227">
              <w:rPr>
                <w:b/>
                <w:spacing w:val="-2"/>
                <w:szCs w:val="19"/>
              </w:rPr>
              <w:t xml:space="preserve"> </w:t>
            </w:r>
            <w:r w:rsidRPr="00BF7227">
              <w:rPr>
                <w:b/>
                <w:szCs w:val="19"/>
              </w:rPr>
              <w:t>disorders</w:t>
            </w:r>
          </w:p>
        </w:tc>
      </w:tr>
      <w:tr w:rsidR="004A1D8A" w:rsidRPr="00BF7227" w14:paraId="1AFED2B2" w14:textId="77777777" w:rsidTr="002C05F8">
        <w:trPr>
          <w:trHeight w:val="275"/>
        </w:trPr>
        <w:tc>
          <w:tcPr>
            <w:tcW w:w="2010" w:type="pct"/>
          </w:tcPr>
          <w:p w14:paraId="3D63D052" w14:textId="77777777" w:rsidR="004A1D8A" w:rsidRPr="00BF7227" w:rsidRDefault="004A1D8A" w:rsidP="00FF7417">
            <w:pPr>
              <w:pStyle w:val="Tabletext"/>
              <w:rPr>
                <w:szCs w:val="19"/>
              </w:rPr>
            </w:pPr>
            <w:r w:rsidRPr="00BF7227">
              <w:rPr>
                <w:szCs w:val="19"/>
              </w:rPr>
              <w:t>Fatigue</w:t>
            </w:r>
          </w:p>
        </w:tc>
        <w:tc>
          <w:tcPr>
            <w:tcW w:w="1545" w:type="pct"/>
          </w:tcPr>
          <w:p w14:paraId="393BB6C7" w14:textId="77777777" w:rsidR="004A1D8A" w:rsidRPr="00BF7227" w:rsidRDefault="004A1D8A" w:rsidP="00FF7417">
            <w:pPr>
              <w:pStyle w:val="Tabletext"/>
              <w:rPr>
                <w:szCs w:val="19"/>
              </w:rPr>
            </w:pPr>
            <w:r w:rsidRPr="00BF7227">
              <w:rPr>
                <w:szCs w:val="19"/>
              </w:rPr>
              <w:t>77</w:t>
            </w:r>
          </w:p>
        </w:tc>
        <w:tc>
          <w:tcPr>
            <w:tcW w:w="1445" w:type="pct"/>
          </w:tcPr>
          <w:p w14:paraId="42DFB3BB" w14:textId="77777777" w:rsidR="004A1D8A" w:rsidRPr="00BF7227" w:rsidRDefault="004A1D8A" w:rsidP="00FF7417">
            <w:pPr>
              <w:pStyle w:val="Tabletext"/>
              <w:rPr>
                <w:szCs w:val="19"/>
              </w:rPr>
            </w:pPr>
            <w:r w:rsidRPr="00BF7227">
              <w:rPr>
                <w:szCs w:val="19"/>
              </w:rPr>
              <w:t>12</w:t>
            </w:r>
          </w:p>
        </w:tc>
      </w:tr>
      <w:tr w:rsidR="004A1D8A" w:rsidRPr="00BF7227" w14:paraId="14A6E975" w14:textId="77777777" w:rsidTr="002C05F8">
        <w:trPr>
          <w:trHeight w:val="275"/>
        </w:trPr>
        <w:tc>
          <w:tcPr>
            <w:tcW w:w="2010" w:type="pct"/>
          </w:tcPr>
          <w:p w14:paraId="3CE5AE43" w14:textId="77777777" w:rsidR="004A1D8A" w:rsidRPr="00BF7227" w:rsidRDefault="004A1D8A" w:rsidP="00FF7417">
            <w:pPr>
              <w:pStyle w:val="Tabletext"/>
              <w:rPr>
                <w:szCs w:val="19"/>
              </w:rPr>
            </w:pPr>
            <w:r w:rsidRPr="00BF7227">
              <w:rPr>
                <w:szCs w:val="19"/>
              </w:rPr>
              <w:t>Pyrexia</w:t>
            </w:r>
          </w:p>
        </w:tc>
        <w:tc>
          <w:tcPr>
            <w:tcW w:w="1545" w:type="pct"/>
          </w:tcPr>
          <w:p w14:paraId="525B11A3" w14:textId="77777777" w:rsidR="004A1D8A" w:rsidRPr="00BF7227" w:rsidRDefault="004A1D8A" w:rsidP="00FF7417">
            <w:pPr>
              <w:pStyle w:val="Tabletext"/>
              <w:rPr>
                <w:szCs w:val="19"/>
              </w:rPr>
            </w:pPr>
            <w:r w:rsidRPr="00BF7227">
              <w:rPr>
                <w:szCs w:val="19"/>
              </w:rPr>
              <w:t>13</w:t>
            </w:r>
          </w:p>
        </w:tc>
        <w:tc>
          <w:tcPr>
            <w:tcW w:w="1445" w:type="pct"/>
          </w:tcPr>
          <w:p w14:paraId="0AC07721" w14:textId="77777777" w:rsidR="004A1D8A" w:rsidRPr="00BF7227" w:rsidRDefault="004A1D8A" w:rsidP="00FF7417">
            <w:pPr>
              <w:pStyle w:val="Tabletext"/>
              <w:rPr>
                <w:szCs w:val="19"/>
              </w:rPr>
            </w:pPr>
            <w:r w:rsidRPr="00BF7227">
              <w:rPr>
                <w:szCs w:val="19"/>
              </w:rPr>
              <w:t>0</w:t>
            </w:r>
          </w:p>
        </w:tc>
      </w:tr>
      <w:tr w:rsidR="004A1D8A" w:rsidRPr="00BF7227" w14:paraId="2EA66522" w14:textId="77777777" w:rsidTr="002C05F8">
        <w:trPr>
          <w:trHeight w:val="276"/>
        </w:trPr>
        <w:tc>
          <w:tcPr>
            <w:tcW w:w="2010" w:type="pct"/>
          </w:tcPr>
          <w:p w14:paraId="6256F762" w14:textId="77777777" w:rsidR="004A1D8A" w:rsidRPr="00BF7227" w:rsidRDefault="004A1D8A" w:rsidP="00FF7417">
            <w:pPr>
              <w:pStyle w:val="Tabletext"/>
              <w:rPr>
                <w:szCs w:val="19"/>
              </w:rPr>
            </w:pPr>
            <w:r w:rsidRPr="00BF7227">
              <w:rPr>
                <w:szCs w:val="19"/>
              </w:rPr>
              <w:t>Chest pain</w:t>
            </w:r>
          </w:p>
        </w:tc>
        <w:tc>
          <w:tcPr>
            <w:tcW w:w="1545" w:type="pct"/>
          </w:tcPr>
          <w:p w14:paraId="3D5D4830" w14:textId="77777777" w:rsidR="004A1D8A" w:rsidRPr="00BF7227" w:rsidRDefault="004A1D8A" w:rsidP="00FF7417">
            <w:pPr>
              <w:pStyle w:val="Tabletext"/>
              <w:rPr>
                <w:szCs w:val="19"/>
              </w:rPr>
            </w:pPr>
            <w:r w:rsidRPr="00BF7227">
              <w:rPr>
                <w:szCs w:val="19"/>
              </w:rPr>
              <w:t>10</w:t>
            </w:r>
          </w:p>
        </w:tc>
        <w:tc>
          <w:tcPr>
            <w:tcW w:w="1445" w:type="pct"/>
          </w:tcPr>
          <w:p w14:paraId="3EA72E42" w14:textId="77777777" w:rsidR="004A1D8A" w:rsidRPr="00BF7227" w:rsidRDefault="004A1D8A" w:rsidP="00FF7417">
            <w:pPr>
              <w:pStyle w:val="Tabletext"/>
              <w:rPr>
                <w:szCs w:val="19"/>
              </w:rPr>
            </w:pPr>
            <w:r w:rsidRPr="00BF7227">
              <w:rPr>
                <w:szCs w:val="19"/>
              </w:rPr>
              <w:t>0</w:t>
            </w:r>
          </w:p>
        </w:tc>
      </w:tr>
      <w:tr w:rsidR="00FF7417" w:rsidRPr="00BF7227" w14:paraId="164D0F02" w14:textId="77777777" w:rsidTr="002C05F8">
        <w:trPr>
          <w:trHeight w:val="275"/>
        </w:trPr>
        <w:tc>
          <w:tcPr>
            <w:tcW w:w="5000" w:type="pct"/>
            <w:gridSpan w:val="3"/>
          </w:tcPr>
          <w:p w14:paraId="04BE5EF2" w14:textId="30C689AD" w:rsidR="00FF7417" w:rsidRPr="00BF7227" w:rsidRDefault="00FF7417" w:rsidP="00FF7417">
            <w:pPr>
              <w:pStyle w:val="Tabletext"/>
              <w:rPr>
                <w:szCs w:val="19"/>
              </w:rPr>
            </w:pPr>
            <w:r w:rsidRPr="00BF7227">
              <w:rPr>
                <w:b/>
                <w:szCs w:val="19"/>
              </w:rPr>
              <w:t>Gastrointestinal</w:t>
            </w:r>
            <w:r w:rsidRPr="00BF7227">
              <w:rPr>
                <w:b/>
                <w:spacing w:val="-3"/>
                <w:szCs w:val="19"/>
              </w:rPr>
              <w:t xml:space="preserve"> </w:t>
            </w:r>
            <w:r w:rsidRPr="00BF7227">
              <w:rPr>
                <w:b/>
                <w:szCs w:val="19"/>
              </w:rPr>
              <w:t>disorders</w:t>
            </w:r>
          </w:p>
        </w:tc>
      </w:tr>
      <w:tr w:rsidR="004A1D8A" w:rsidRPr="00BF7227" w14:paraId="21FB027E" w14:textId="77777777" w:rsidTr="002C05F8">
        <w:trPr>
          <w:trHeight w:val="275"/>
        </w:trPr>
        <w:tc>
          <w:tcPr>
            <w:tcW w:w="2010" w:type="pct"/>
          </w:tcPr>
          <w:p w14:paraId="25456FD5" w14:textId="77777777" w:rsidR="004A1D8A" w:rsidRPr="00BF7227" w:rsidRDefault="004A1D8A" w:rsidP="00FF7417">
            <w:pPr>
              <w:pStyle w:val="Tabletext"/>
              <w:rPr>
                <w:szCs w:val="19"/>
              </w:rPr>
            </w:pPr>
            <w:r w:rsidRPr="00BF7227">
              <w:rPr>
                <w:szCs w:val="19"/>
              </w:rPr>
              <w:t>Nausea</w:t>
            </w:r>
          </w:p>
        </w:tc>
        <w:tc>
          <w:tcPr>
            <w:tcW w:w="1545" w:type="pct"/>
          </w:tcPr>
          <w:p w14:paraId="73E00961" w14:textId="77777777" w:rsidR="004A1D8A" w:rsidRPr="00BF7227" w:rsidRDefault="004A1D8A" w:rsidP="00FF7417">
            <w:pPr>
              <w:pStyle w:val="Tabletext"/>
              <w:rPr>
                <w:szCs w:val="19"/>
              </w:rPr>
            </w:pPr>
            <w:r w:rsidRPr="00BF7227">
              <w:rPr>
                <w:szCs w:val="19"/>
              </w:rPr>
              <w:t>37</w:t>
            </w:r>
          </w:p>
        </w:tc>
        <w:tc>
          <w:tcPr>
            <w:tcW w:w="1445" w:type="pct"/>
          </w:tcPr>
          <w:p w14:paraId="74D4C79F" w14:textId="77777777" w:rsidR="004A1D8A" w:rsidRPr="00BF7227" w:rsidRDefault="004A1D8A" w:rsidP="00FF7417">
            <w:pPr>
              <w:pStyle w:val="Tabletext"/>
              <w:rPr>
                <w:szCs w:val="19"/>
              </w:rPr>
            </w:pPr>
            <w:r w:rsidRPr="00BF7227">
              <w:rPr>
                <w:szCs w:val="19"/>
              </w:rPr>
              <w:t>0</w:t>
            </w:r>
          </w:p>
        </w:tc>
      </w:tr>
      <w:tr w:rsidR="004A1D8A" w:rsidRPr="00BF7227" w14:paraId="16BA9756" w14:textId="77777777" w:rsidTr="002C05F8">
        <w:trPr>
          <w:trHeight w:val="275"/>
        </w:trPr>
        <w:tc>
          <w:tcPr>
            <w:tcW w:w="2010" w:type="pct"/>
          </w:tcPr>
          <w:p w14:paraId="359B6C9F" w14:textId="77777777" w:rsidR="004A1D8A" w:rsidRPr="00BF7227" w:rsidRDefault="004A1D8A" w:rsidP="00FF7417">
            <w:pPr>
              <w:pStyle w:val="Tabletext"/>
              <w:rPr>
                <w:szCs w:val="19"/>
              </w:rPr>
            </w:pPr>
            <w:r w:rsidRPr="00BF7227">
              <w:rPr>
                <w:szCs w:val="19"/>
              </w:rPr>
              <w:t>Constipation</w:t>
            </w:r>
          </w:p>
        </w:tc>
        <w:tc>
          <w:tcPr>
            <w:tcW w:w="1545" w:type="pct"/>
          </w:tcPr>
          <w:p w14:paraId="26A2E93A" w14:textId="77777777" w:rsidR="004A1D8A" w:rsidRPr="00BF7227" w:rsidRDefault="004A1D8A" w:rsidP="00FF7417">
            <w:pPr>
              <w:pStyle w:val="Tabletext"/>
              <w:rPr>
                <w:szCs w:val="19"/>
              </w:rPr>
            </w:pPr>
            <w:r w:rsidRPr="00BF7227">
              <w:rPr>
                <w:szCs w:val="19"/>
              </w:rPr>
              <w:t>31</w:t>
            </w:r>
          </w:p>
        </w:tc>
        <w:tc>
          <w:tcPr>
            <w:tcW w:w="1445" w:type="pct"/>
          </w:tcPr>
          <w:p w14:paraId="52DA2B43" w14:textId="77777777" w:rsidR="004A1D8A" w:rsidRPr="00BF7227" w:rsidRDefault="004A1D8A" w:rsidP="00FF7417">
            <w:pPr>
              <w:pStyle w:val="Tabletext"/>
              <w:rPr>
                <w:szCs w:val="19"/>
              </w:rPr>
            </w:pPr>
            <w:r w:rsidRPr="00BF7227">
              <w:rPr>
                <w:szCs w:val="19"/>
              </w:rPr>
              <w:t>0</w:t>
            </w:r>
          </w:p>
        </w:tc>
      </w:tr>
      <w:tr w:rsidR="004A1D8A" w:rsidRPr="00BF7227" w14:paraId="7D233782" w14:textId="77777777" w:rsidTr="002C05F8">
        <w:trPr>
          <w:trHeight w:val="276"/>
        </w:trPr>
        <w:tc>
          <w:tcPr>
            <w:tcW w:w="2010" w:type="pct"/>
          </w:tcPr>
          <w:p w14:paraId="0F4C8A99" w14:textId="77777777" w:rsidR="004A1D8A" w:rsidRPr="00BF7227" w:rsidRDefault="004A1D8A" w:rsidP="00FF7417">
            <w:pPr>
              <w:pStyle w:val="Tabletext"/>
              <w:rPr>
                <w:szCs w:val="19"/>
              </w:rPr>
            </w:pPr>
            <w:r w:rsidRPr="00BF7227">
              <w:rPr>
                <w:szCs w:val="19"/>
              </w:rPr>
              <w:t>Vomiting</w:t>
            </w:r>
          </w:p>
        </w:tc>
        <w:tc>
          <w:tcPr>
            <w:tcW w:w="1545" w:type="pct"/>
          </w:tcPr>
          <w:p w14:paraId="066DC695" w14:textId="77777777" w:rsidR="004A1D8A" w:rsidRPr="00BF7227" w:rsidRDefault="004A1D8A" w:rsidP="00FF7417">
            <w:pPr>
              <w:pStyle w:val="Tabletext"/>
              <w:rPr>
                <w:szCs w:val="19"/>
              </w:rPr>
            </w:pPr>
            <w:r w:rsidRPr="00BF7227">
              <w:rPr>
                <w:szCs w:val="19"/>
              </w:rPr>
              <w:t>22</w:t>
            </w:r>
          </w:p>
        </w:tc>
        <w:tc>
          <w:tcPr>
            <w:tcW w:w="1445" w:type="pct"/>
          </w:tcPr>
          <w:p w14:paraId="3C68020B" w14:textId="77777777" w:rsidR="004A1D8A" w:rsidRPr="00BF7227" w:rsidRDefault="004A1D8A" w:rsidP="00FF7417">
            <w:pPr>
              <w:pStyle w:val="Tabletext"/>
              <w:rPr>
                <w:szCs w:val="19"/>
              </w:rPr>
            </w:pPr>
            <w:r w:rsidRPr="00BF7227">
              <w:rPr>
                <w:szCs w:val="19"/>
              </w:rPr>
              <w:t>0</w:t>
            </w:r>
          </w:p>
        </w:tc>
      </w:tr>
      <w:tr w:rsidR="004A1D8A" w:rsidRPr="00BF7227" w14:paraId="4CE7F5DC" w14:textId="77777777" w:rsidTr="002C05F8">
        <w:trPr>
          <w:trHeight w:val="275"/>
        </w:trPr>
        <w:tc>
          <w:tcPr>
            <w:tcW w:w="2010" w:type="pct"/>
          </w:tcPr>
          <w:p w14:paraId="4B157C6C" w14:textId="77777777" w:rsidR="004A1D8A" w:rsidRPr="00BF7227" w:rsidRDefault="004A1D8A" w:rsidP="00FF7417">
            <w:pPr>
              <w:pStyle w:val="Tabletext"/>
              <w:rPr>
                <w:szCs w:val="19"/>
              </w:rPr>
            </w:pPr>
            <w:r w:rsidRPr="00BF7227">
              <w:rPr>
                <w:szCs w:val="19"/>
              </w:rPr>
              <w:t>Diarrhea</w:t>
            </w:r>
          </w:p>
        </w:tc>
        <w:tc>
          <w:tcPr>
            <w:tcW w:w="1545" w:type="pct"/>
          </w:tcPr>
          <w:p w14:paraId="1253215D" w14:textId="77777777" w:rsidR="004A1D8A" w:rsidRPr="00BF7227" w:rsidRDefault="004A1D8A" w:rsidP="00FF7417">
            <w:pPr>
              <w:pStyle w:val="Tabletext"/>
              <w:rPr>
                <w:szCs w:val="19"/>
              </w:rPr>
            </w:pPr>
            <w:r w:rsidRPr="00BF7227">
              <w:rPr>
                <w:szCs w:val="19"/>
              </w:rPr>
              <w:t>20</w:t>
            </w:r>
          </w:p>
        </w:tc>
        <w:tc>
          <w:tcPr>
            <w:tcW w:w="1445" w:type="pct"/>
          </w:tcPr>
          <w:p w14:paraId="1A33B65E" w14:textId="77777777" w:rsidR="004A1D8A" w:rsidRPr="00BF7227" w:rsidRDefault="004A1D8A" w:rsidP="00FF7417">
            <w:pPr>
              <w:pStyle w:val="Tabletext"/>
              <w:rPr>
                <w:szCs w:val="19"/>
              </w:rPr>
            </w:pPr>
            <w:r w:rsidRPr="00BF7227">
              <w:rPr>
                <w:szCs w:val="19"/>
              </w:rPr>
              <w:t>4</w:t>
            </w:r>
          </w:p>
        </w:tc>
      </w:tr>
      <w:tr w:rsidR="004A1D8A" w:rsidRPr="00BF7227" w14:paraId="673C804D" w14:textId="77777777" w:rsidTr="002C05F8">
        <w:trPr>
          <w:trHeight w:val="275"/>
        </w:trPr>
        <w:tc>
          <w:tcPr>
            <w:tcW w:w="2010" w:type="pct"/>
          </w:tcPr>
          <w:p w14:paraId="79CFDE39" w14:textId="77777777" w:rsidR="004A1D8A" w:rsidRPr="00BF7227" w:rsidRDefault="004A1D8A" w:rsidP="00FF7417">
            <w:pPr>
              <w:pStyle w:val="Tabletext"/>
              <w:rPr>
                <w:szCs w:val="19"/>
              </w:rPr>
            </w:pPr>
            <w:r w:rsidRPr="00BF7227">
              <w:rPr>
                <w:szCs w:val="19"/>
              </w:rPr>
              <w:t>Abdominal</w:t>
            </w:r>
            <w:r w:rsidRPr="00BF7227">
              <w:rPr>
                <w:spacing w:val="-2"/>
                <w:szCs w:val="19"/>
              </w:rPr>
              <w:t xml:space="preserve"> </w:t>
            </w:r>
            <w:proofErr w:type="spellStart"/>
            <w:r w:rsidRPr="00BF7227">
              <w:rPr>
                <w:szCs w:val="19"/>
              </w:rPr>
              <w:t>pain</w:t>
            </w:r>
            <w:r w:rsidRPr="00BF7227">
              <w:rPr>
                <w:szCs w:val="19"/>
                <w:vertAlign w:val="superscript"/>
              </w:rPr>
              <w:t>c</w:t>
            </w:r>
            <w:proofErr w:type="spellEnd"/>
          </w:p>
        </w:tc>
        <w:tc>
          <w:tcPr>
            <w:tcW w:w="1545" w:type="pct"/>
          </w:tcPr>
          <w:p w14:paraId="368D20BA" w14:textId="77777777" w:rsidR="004A1D8A" w:rsidRPr="00BF7227" w:rsidRDefault="004A1D8A" w:rsidP="00FF7417">
            <w:pPr>
              <w:pStyle w:val="Tabletext"/>
              <w:rPr>
                <w:szCs w:val="19"/>
              </w:rPr>
            </w:pPr>
            <w:r w:rsidRPr="00BF7227">
              <w:rPr>
                <w:szCs w:val="19"/>
              </w:rPr>
              <w:t>11</w:t>
            </w:r>
          </w:p>
        </w:tc>
        <w:tc>
          <w:tcPr>
            <w:tcW w:w="1445" w:type="pct"/>
          </w:tcPr>
          <w:p w14:paraId="5F2D4853" w14:textId="77777777" w:rsidR="004A1D8A" w:rsidRPr="00BF7227" w:rsidRDefault="004A1D8A" w:rsidP="00FF7417">
            <w:pPr>
              <w:pStyle w:val="Tabletext"/>
              <w:rPr>
                <w:szCs w:val="19"/>
              </w:rPr>
            </w:pPr>
            <w:r w:rsidRPr="00BF7227">
              <w:rPr>
                <w:szCs w:val="19"/>
              </w:rPr>
              <w:t>1</w:t>
            </w:r>
          </w:p>
        </w:tc>
      </w:tr>
      <w:tr w:rsidR="00FF7417" w:rsidRPr="00BF7227" w14:paraId="3B4B408B" w14:textId="77777777" w:rsidTr="002C05F8">
        <w:trPr>
          <w:trHeight w:val="293"/>
        </w:trPr>
        <w:tc>
          <w:tcPr>
            <w:tcW w:w="5000" w:type="pct"/>
            <w:gridSpan w:val="3"/>
          </w:tcPr>
          <w:p w14:paraId="65B3BC4A" w14:textId="3E3A4E46" w:rsidR="00FF7417" w:rsidRPr="00BF7227" w:rsidRDefault="00FF7417" w:rsidP="00FF7417">
            <w:pPr>
              <w:pStyle w:val="Tabletext"/>
              <w:rPr>
                <w:szCs w:val="19"/>
              </w:rPr>
            </w:pPr>
            <w:r w:rsidRPr="00BF7227">
              <w:rPr>
                <w:b/>
                <w:szCs w:val="19"/>
              </w:rPr>
              <w:t>Musculoskeletal</w:t>
            </w:r>
            <w:r w:rsidRPr="00BF7227">
              <w:rPr>
                <w:b/>
                <w:spacing w:val="-2"/>
                <w:szCs w:val="19"/>
              </w:rPr>
              <w:t xml:space="preserve"> </w:t>
            </w:r>
            <w:r w:rsidRPr="00BF7227">
              <w:rPr>
                <w:b/>
                <w:szCs w:val="19"/>
              </w:rPr>
              <w:t>and</w:t>
            </w:r>
            <w:r w:rsidRPr="00BF7227">
              <w:rPr>
                <w:b/>
                <w:spacing w:val="-2"/>
                <w:szCs w:val="19"/>
              </w:rPr>
              <w:t xml:space="preserve"> </w:t>
            </w:r>
            <w:r w:rsidRPr="00BF7227">
              <w:rPr>
                <w:b/>
                <w:szCs w:val="19"/>
              </w:rPr>
              <w:t>connective</w:t>
            </w:r>
            <w:r w:rsidRPr="00BF7227">
              <w:rPr>
                <w:b/>
                <w:spacing w:val="-2"/>
                <w:szCs w:val="19"/>
              </w:rPr>
              <w:t xml:space="preserve"> </w:t>
            </w:r>
            <w:r w:rsidRPr="00BF7227">
              <w:rPr>
                <w:b/>
                <w:szCs w:val="19"/>
              </w:rPr>
              <w:t>tissue</w:t>
            </w:r>
            <w:r w:rsidRPr="00BF7227">
              <w:rPr>
                <w:b/>
                <w:spacing w:val="-1"/>
                <w:szCs w:val="19"/>
              </w:rPr>
              <w:t xml:space="preserve"> </w:t>
            </w:r>
            <w:r w:rsidRPr="00BF7227">
              <w:rPr>
                <w:b/>
                <w:szCs w:val="19"/>
              </w:rPr>
              <w:t>disorders</w:t>
            </w:r>
          </w:p>
        </w:tc>
      </w:tr>
      <w:tr w:rsidR="004A1D8A" w:rsidRPr="00BF7227" w14:paraId="6BDA388D" w14:textId="77777777" w:rsidTr="002C05F8">
        <w:trPr>
          <w:trHeight w:val="275"/>
        </w:trPr>
        <w:tc>
          <w:tcPr>
            <w:tcW w:w="2010" w:type="pct"/>
          </w:tcPr>
          <w:p w14:paraId="50F7F048" w14:textId="77777777" w:rsidR="004A1D8A" w:rsidRPr="00BF7227" w:rsidRDefault="004A1D8A" w:rsidP="00FF7417">
            <w:pPr>
              <w:pStyle w:val="Tabletext"/>
              <w:rPr>
                <w:szCs w:val="19"/>
              </w:rPr>
            </w:pPr>
            <w:r w:rsidRPr="00BF7227">
              <w:rPr>
                <w:szCs w:val="19"/>
              </w:rPr>
              <w:t>Musculoskeletal</w:t>
            </w:r>
            <w:r w:rsidRPr="00BF7227">
              <w:rPr>
                <w:spacing w:val="-1"/>
                <w:szCs w:val="19"/>
              </w:rPr>
              <w:t xml:space="preserve"> </w:t>
            </w:r>
            <w:proofErr w:type="spellStart"/>
            <w:r w:rsidRPr="00BF7227">
              <w:rPr>
                <w:szCs w:val="19"/>
              </w:rPr>
              <w:t>pain</w:t>
            </w:r>
            <w:r w:rsidRPr="00BF7227">
              <w:rPr>
                <w:szCs w:val="19"/>
                <w:vertAlign w:val="superscript"/>
              </w:rPr>
              <w:t>d</w:t>
            </w:r>
            <w:proofErr w:type="spellEnd"/>
          </w:p>
        </w:tc>
        <w:tc>
          <w:tcPr>
            <w:tcW w:w="1545" w:type="pct"/>
          </w:tcPr>
          <w:p w14:paraId="52C9E78D" w14:textId="77777777" w:rsidR="004A1D8A" w:rsidRPr="00BF7227" w:rsidRDefault="004A1D8A" w:rsidP="00FF7417">
            <w:pPr>
              <w:pStyle w:val="Tabletext"/>
              <w:rPr>
                <w:szCs w:val="19"/>
              </w:rPr>
            </w:pPr>
            <w:r w:rsidRPr="00BF7227">
              <w:rPr>
                <w:szCs w:val="19"/>
              </w:rPr>
              <w:t>33</w:t>
            </w:r>
          </w:p>
        </w:tc>
        <w:tc>
          <w:tcPr>
            <w:tcW w:w="1445" w:type="pct"/>
          </w:tcPr>
          <w:p w14:paraId="26C4ED8E" w14:textId="77777777" w:rsidR="004A1D8A" w:rsidRPr="00BF7227" w:rsidRDefault="004A1D8A" w:rsidP="00FF7417">
            <w:pPr>
              <w:pStyle w:val="Tabletext"/>
              <w:rPr>
                <w:szCs w:val="19"/>
              </w:rPr>
            </w:pPr>
            <w:r w:rsidRPr="00BF7227">
              <w:rPr>
                <w:szCs w:val="19"/>
              </w:rPr>
              <w:t>4</w:t>
            </w:r>
          </w:p>
        </w:tc>
      </w:tr>
      <w:tr w:rsidR="00FF7417" w:rsidRPr="00BF7227" w14:paraId="7FB13E59" w14:textId="77777777" w:rsidTr="002C05F8">
        <w:trPr>
          <w:trHeight w:val="275"/>
        </w:trPr>
        <w:tc>
          <w:tcPr>
            <w:tcW w:w="5000" w:type="pct"/>
            <w:gridSpan w:val="3"/>
          </w:tcPr>
          <w:p w14:paraId="607B9287" w14:textId="599ABC1F" w:rsidR="00FF7417" w:rsidRPr="00BF7227" w:rsidRDefault="00FF7417" w:rsidP="00FF7417">
            <w:pPr>
              <w:pStyle w:val="Tabletext"/>
              <w:rPr>
                <w:szCs w:val="19"/>
              </w:rPr>
            </w:pPr>
            <w:r w:rsidRPr="00BF7227">
              <w:rPr>
                <w:b/>
                <w:szCs w:val="19"/>
              </w:rPr>
              <w:t>Metabolism</w:t>
            </w:r>
            <w:r w:rsidRPr="00BF7227">
              <w:rPr>
                <w:b/>
                <w:spacing w:val="-5"/>
                <w:szCs w:val="19"/>
              </w:rPr>
              <w:t xml:space="preserve"> </w:t>
            </w:r>
            <w:r w:rsidRPr="00BF7227">
              <w:rPr>
                <w:b/>
                <w:szCs w:val="19"/>
              </w:rPr>
              <w:t>and</w:t>
            </w:r>
            <w:r w:rsidRPr="00BF7227">
              <w:rPr>
                <w:b/>
                <w:spacing w:val="-5"/>
                <w:szCs w:val="19"/>
              </w:rPr>
              <w:t xml:space="preserve"> </w:t>
            </w:r>
            <w:r w:rsidRPr="00BF7227">
              <w:rPr>
                <w:b/>
                <w:szCs w:val="19"/>
              </w:rPr>
              <w:t>nutrition</w:t>
            </w:r>
            <w:r w:rsidRPr="00BF7227">
              <w:rPr>
                <w:b/>
                <w:spacing w:val="-6"/>
                <w:szCs w:val="19"/>
              </w:rPr>
              <w:t xml:space="preserve"> </w:t>
            </w:r>
            <w:r w:rsidRPr="00BF7227">
              <w:rPr>
                <w:b/>
                <w:szCs w:val="19"/>
              </w:rPr>
              <w:t>disorders</w:t>
            </w:r>
          </w:p>
        </w:tc>
      </w:tr>
      <w:tr w:rsidR="004A1D8A" w:rsidRPr="00BF7227" w14:paraId="5D099DF7" w14:textId="77777777" w:rsidTr="002C05F8">
        <w:trPr>
          <w:trHeight w:val="276"/>
        </w:trPr>
        <w:tc>
          <w:tcPr>
            <w:tcW w:w="2010" w:type="pct"/>
          </w:tcPr>
          <w:p w14:paraId="4DB1DF75" w14:textId="77777777" w:rsidR="004A1D8A" w:rsidRPr="00BF7227" w:rsidRDefault="004A1D8A" w:rsidP="00FF7417">
            <w:pPr>
              <w:pStyle w:val="Tabletext"/>
              <w:rPr>
                <w:szCs w:val="19"/>
              </w:rPr>
            </w:pPr>
            <w:r w:rsidRPr="00BF7227">
              <w:rPr>
                <w:szCs w:val="19"/>
              </w:rPr>
              <w:t>Decreased</w:t>
            </w:r>
            <w:r w:rsidRPr="00BF7227">
              <w:rPr>
                <w:spacing w:val="-2"/>
                <w:szCs w:val="19"/>
              </w:rPr>
              <w:t xml:space="preserve"> </w:t>
            </w:r>
            <w:r w:rsidRPr="00BF7227">
              <w:rPr>
                <w:szCs w:val="19"/>
              </w:rPr>
              <w:t>appetite</w:t>
            </w:r>
          </w:p>
        </w:tc>
        <w:tc>
          <w:tcPr>
            <w:tcW w:w="1545" w:type="pct"/>
          </w:tcPr>
          <w:p w14:paraId="3BD6608C" w14:textId="77777777" w:rsidR="004A1D8A" w:rsidRPr="00BF7227" w:rsidRDefault="004A1D8A" w:rsidP="00FF7417">
            <w:pPr>
              <w:pStyle w:val="Tabletext"/>
              <w:rPr>
                <w:szCs w:val="19"/>
              </w:rPr>
            </w:pPr>
            <w:r w:rsidRPr="00BF7227">
              <w:rPr>
                <w:szCs w:val="19"/>
              </w:rPr>
              <w:t>33</w:t>
            </w:r>
          </w:p>
        </w:tc>
        <w:tc>
          <w:tcPr>
            <w:tcW w:w="1445" w:type="pct"/>
          </w:tcPr>
          <w:p w14:paraId="2A42BAEB" w14:textId="77777777" w:rsidR="004A1D8A" w:rsidRPr="00BF7227" w:rsidRDefault="004A1D8A" w:rsidP="00FF7417">
            <w:pPr>
              <w:pStyle w:val="Tabletext"/>
              <w:rPr>
                <w:szCs w:val="19"/>
              </w:rPr>
            </w:pPr>
            <w:r w:rsidRPr="00BF7227">
              <w:rPr>
                <w:szCs w:val="19"/>
              </w:rPr>
              <w:t>1</w:t>
            </w:r>
          </w:p>
        </w:tc>
      </w:tr>
      <w:tr w:rsidR="00FF7417" w:rsidRPr="00BF7227" w14:paraId="37A263F4" w14:textId="77777777" w:rsidTr="002C05F8">
        <w:trPr>
          <w:trHeight w:val="275"/>
        </w:trPr>
        <w:tc>
          <w:tcPr>
            <w:tcW w:w="5000" w:type="pct"/>
            <w:gridSpan w:val="3"/>
          </w:tcPr>
          <w:p w14:paraId="5583AD76" w14:textId="096237B3" w:rsidR="00FF7417" w:rsidRPr="00BF7227" w:rsidRDefault="00FF7417" w:rsidP="00FF7417">
            <w:pPr>
              <w:pStyle w:val="Tabletext"/>
              <w:rPr>
                <w:szCs w:val="19"/>
              </w:rPr>
            </w:pPr>
            <w:r w:rsidRPr="00BF7227">
              <w:rPr>
                <w:b/>
                <w:szCs w:val="19"/>
              </w:rPr>
              <w:t>Respiratory,</w:t>
            </w:r>
            <w:r w:rsidRPr="00BF7227">
              <w:rPr>
                <w:b/>
                <w:spacing w:val="-5"/>
                <w:szCs w:val="19"/>
              </w:rPr>
              <w:t xml:space="preserve"> </w:t>
            </w:r>
            <w:proofErr w:type="gramStart"/>
            <w:r w:rsidRPr="00BF7227">
              <w:rPr>
                <w:b/>
                <w:szCs w:val="19"/>
              </w:rPr>
              <w:t>thoracic</w:t>
            </w:r>
            <w:proofErr w:type="gramEnd"/>
            <w:r w:rsidRPr="00BF7227">
              <w:rPr>
                <w:b/>
                <w:spacing w:val="-4"/>
                <w:szCs w:val="19"/>
              </w:rPr>
              <w:t xml:space="preserve"> </w:t>
            </w:r>
            <w:r w:rsidRPr="00BF7227">
              <w:rPr>
                <w:b/>
                <w:szCs w:val="19"/>
              </w:rPr>
              <w:t>and</w:t>
            </w:r>
            <w:r w:rsidRPr="00BF7227">
              <w:rPr>
                <w:b/>
                <w:spacing w:val="-4"/>
                <w:szCs w:val="19"/>
              </w:rPr>
              <w:t xml:space="preserve"> </w:t>
            </w:r>
            <w:r w:rsidRPr="00BF7227">
              <w:rPr>
                <w:b/>
                <w:szCs w:val="19"/>
              </w:rPr>
              <w:t>mediastinal</w:t>
            </w:r>
            <w:r w:rsidRPr="00BF7227">
              <w:rPr>
                <w:b/>
                <w:spacing w:val="-3"/>
                <w:szCs w:val="19"/>
              </w:rPr>
              <w:t xml:space="preserve"> </w:t>
            </w:r>
            <w:r w:rsidRPr="00BF7227">
              <w:rPr>
                <w:b/>
                <w:szCs w:val="19"/>
              </w:rPr>
              <w:t>disorders</w:t>
            </w:r>
          </w:p>
        </w:tc>
      </w:tr>
      <w:tr w:rsidR="004A1D8A" w:rsidRPr="00BF7227" w14:paraId="31320369" w14:textId="77777777" w:rsidTr="002C05F8">
        <w:trPr>
          <w:trHeight w:val="275"/>
        </w:trPr>
        <w:tc>
          <w:tcPr>
            <w:tcW w:w="2010" w:type="pct"/>
          </w:tcPr>
          <w:p w14:paraId="6BE16A8B" w14:textId="77777777" w:rsidR="004A1D8A" w:rsidRPr="00BF7227" w:rsidRDefault="004A1D8A" w:rsidP="00FF7417">
            <w:pPr>
              <w:pStyle w:val="Tabletext"/>
              <w:rPr>
                <w:szCs w:val="19"/>
              </w:rPr>
            </w:pPr>
            <w:r w:rsidRPr="00BF7227">
              <w:rPr>
                <w:szCs w:val="19"/>
              </w:rPr>
              <w:t>Dyspnea</w:t>
            </w:r>
          </w:p>
        </w:tc>
        <w:tc>
          <w:tcPr>
            <w:tcW w:w="1545" w:type="pct"/>
          </w:tcPr>
          <w:p w14:paraId="41C14DB5" w14:textId="77777777" w:rsidR="004A1D8A" w:rsidRPr="00BF7227" w:rsidRDefault="004A1D8A" w:rsidP="00FF7417">
            <w:pPr>
              <w:pStyle w:val="Tabletext"/>
              <w:rPr>
                <w:szCs w:val="19"/>
              </w:rPr>
            </w:pPr>
            <w:r w:rsidRPr="00BF7227">
              <w:rPr>
                <w:szCs w:val="19"/>
              </w:rPr>
              <w:t>31</w:t>
            </w:r>
          </w:p>
        </w:tc>
        <w:tc>
          <w:tcPr>
            <w:tcW w:w="1445" w:type="pct"/>
          </w:tcPr>
          <w:p w14:paraId="2FCEF24B" w14:textId="77777777" w:rsidR="004A1D8A" w:rsidRPr="00BF7227" w:rsidRDefault="004A1D8A" w:rsidP="00FF7417">
            <w:pPr>
              <w:pStyle w:val="Tabletext"/>
              <w:rPr>
                <w:szCs w:val="19"/>
              </w:rPr>
            </w:pPr>
            <w:r w:rsidRPr="00BF7227">
              <w:rPr>
                <w:szCs w:val="19"/>
              </w:rPr>
              <w:t>6</w:t>
            </w:r>
          </w:p>
        </w:tc>
      </w:tr>
      <w:tr w:rsidR="004A1D8A" w:rsidRPr="00BF7227" w14:paraId="73D1202B" w14:textId="77777777" w:rsidTr="002C05F8">
        <w:trPr>
          <w:trHeight w:val="276"/>
        </w:trPr>
        <w:tc>
          <w:tcPr>
            <w:tcW w:w="2010" w:type="pct"/>
          </w:tcPr>
          <w:p w14:paraId="66B996A7" w14:textId="77777777" w:rsidR="004A1D8A" w:rsidRPr="00BF7227" w:rsidRDefault="004A1D8A" w:rsidP="00FF7417">
            <w:pPr>
              <w:pStyle w:val="Tabletext"/>
              <w:rPr>
                <w:szCs w:val="19"/>
              </w:rPr>
            </w:pPr>
            <w:proofErr w:type="spellStart"/>
            <w:r w:rsidRPr="00BF7227">
              <w:rPr>
                <w:szCs w:val="19"/>
              </w:rPr>
              <w:t>Cough</w:t>
            </w:r>
            <w:r w:rsidRPr="00BF7227">
              <w:rPr>
                <w:szCs w:val="19"/>
                <w:vertAlign w:val="superscript"/>
              </w:rPr>
              <w:t>e</w:t>
            </w:r>
            <w:proofErr w:type="spellEnd"/>
          </w:p>
        </w:tc>
        <w:tc>
          <w:tcPr>
            <w:tcW w:w="1545" w:type="pct"/>
          </w:tcPr>
          <w:p w14:paraId="78D577C1" w14:textId="77777777" w:rsidR="004A1D8A" w:rsidRPr="00BF7227" w:rsidRDefault="004A1D8A" w:rsidP="00FF7417">
            <w:pPr>
              <w:pStyle w:val="Tabletext"/>
              <w:rPr>
                <w:szCs w:val="19"/>
              </w:rPr>
            </w:pPr>
            <w:r w:rsidRPr="00BF7227">
              <w:rPr>
                <w:szCs w:val="19"/>
              </w:rPr>
              <w:t>20</w:t>
            </w:r>
          </w:p>
        </w:tc>
        <w:tc>
          <w:tcPr>
            <w:tcW w:w="1445" w:type="pct"/>
          </w:tcPr>
          <w:p w14:paraId="30602751" w14:textId="77777777" w:rsidR="004A1D8A" w:rsidRPr="00BF7227" w:rsidRDefault="004A1D8A" w:rsidP="00FF7417">
            <w:pPr>
              <w:pStyle w:val="Tabletext"/>
              <w:rPr>
                <w:szCs w:val="19"/>
              </w:rPr>
            </w:pPr>
            <w:r w:rsidRPr="00BF7227">
              <w:rPr>
                <w:szCs w:val="19"/>
              </w:rPr>
              <w:t>0</w:t>
            </w:r>
          </w:p>
        </w:tc>
      </w:tr>
      <w:tr w:rsidR="00FF7417" w:rsidRPr="00BF7227" w14:paraId="707B8224" w14:textId="77777777" w:rsidTr="002C05F8">
        <w:trPr>
          <w:trHeight w:val="275"/>
        </w:trPr>
        <w:tc>
          <w:tcPr>
            <w:tcW w:w="5000" w:type="pct"/>
            <w:gridSpan w:val="3"/>
          </w:tcPr>
          <w:p w14:paraId="7C980EC4" w14:textId="6152106B" w:rsidR="00FF7417" w:rsidRPr="00BF7227" w:rsidRDefault="00FF7417" w:rsidP="00FF7417">
            <w:pPr>
              <w:pStyle w:val="Tabletext"/>
              <w:rPr>
                <w:szCs w:val="19"/>
              </w:rPr>
            </w:pPr>
            <w:r w:rsidRPr="00BF7227">
              <w:rPr>
                <w:b/>
                <w:szCs w:val="19"/>
              </w:rPr>
              <w:t>Infections</w:t>
            </w:r>
            <w:r w:rsidRPr="00BF7227">
              <w:rPr>
                <w:b/>
                <w:spacing w:val="-5"/>
                <w:szCs w:val="19"/>
              </w:rPr>
              <w:t xml:space="preserve"> </w:t>
            </w:r>
            <w:r w:rsidRPr="00BF7227">
              <w:rPr>
                <w:b/>
                <w:szCs w:val="19"/>
              </w:rPr>
              <w:t>and</w:t>
            </w:r>
            <w:r w:rsidRPr="00BF7227">
              <w:rPr>
                <w:b/>
                <w:spacing w:val="-4"/>
                <w:szCs w:val="19"/>
              </w:rPr>
              <w:t xml:space="preserve"> </w:t>
            </w:r>
            <w:r w:rsidRPr="00BF7227">
              <w:rPr>
                <w:b/>
                <w:szCs w:val="19"/>
              </w:rPr>
              <w:t>infestations</w:t>
            </w:r>
          </w:p>
        </w:tc>
      </w:tr>
      <w:tr w:rsidR="004A1D8A" w:rsidRPr="00BF7227" w14:paraId="1ABDBF6E" w14:textId="77777777" w:rsidTr="002C05F8">
        <w:trPr>
          <w:trHeight w:val="275"/>
        </w:trPr>
        <w:tc>
          <w:tcPr>
            <w:tcW w:w="2010" w:type="pct"/>
          </w:tcPr>
          <w:p w14:paraId="4D3C928B" w14:textId="77777777" w:rsidR="004A1D8A" w:rsidRPr="00BF7227" w:rsidRDefault="004A1D8A" w:rsidP="00FF7417">
            <w:pPr>
              <w:pStyle w:val="Tabletext"/>
              <w:rPr>
                <w:szCs w:val="19"/>
              </w:rPr>
            </w:pPr>
            <w:r w:rsidRPr="00BF7227">
              <w:rPr>
                <w:szCs w:val="19"/>
              </w:rPr>
              <w:t>Respiratory</w:t>
            </w:r>
            <w:r w:rsidRPr="00BF7227">
              <w:rPr>
                <w:spacing w:val="-3"/>
                <w:szCs w:val="19"/>
              </w:rPr>
              <w:t xml:space="preserve"> </w:t>
            </w:r>
            <w:r w:rsidRPr="00BF7227">
              <w:rPr>
                <w:szCs w:val="19"/>
              </w:rPr>
              <w:t>tract</w:t>
            </w:r>
            <w:r w:rsidRPr="00BF7227">
              <w:rPr>
                <w:spacing w:val="-3"/>
                <w:szCs w:val="19"/>
              </w:rPr>
              <w:t xml:space="preserve"> </w:t>
            </w:r>
            <w:proofErr w:type="spellStart"/>
            <w:r w:rsidRPr="00BF7227">
              <w:rPr>
                <w:szCs w:val="19"/>
              </w:rPr>
              <w:t>infection</w:t>
            </w:r>
            <w:r w:rsidRPr="00BF7227">
              <w:rPr>
                <w:szCs w:val="19"/>
                <w:vertAlign w:val="superscript"/>
              </w:rPr>
              <w:t>f</w:t>
            </w:r>
            <w:proofErr w:type="spellEnd"/>
          </w:p>
        </w:tc>
        <w:tc>
          <w:tcPr>
            <w:tcW w:w="1545" w:type="pct"/>
          </w:tcPr>
          <w:p w14:paraId="27CEB4E4" w14:textId="77777777" w:rsidR="004A1D8A" w:rsidRPr="00BF7227" w:rsidRDefault="004A1D8A" w:rsidP="00FF7417">
            <w:pPr>
              <w:pStyle w:val="Tabletext"/>
              <w:rPr>
                <w:szCs w:val="19"/>
              </w:rPr>
            </w:pPr>
            <w:r w:rsidRPr="00BF7227">
              <w:rPr>
                <w:szCs w:val="19"/>
              </w:rPr>
              <w:t>18</w:t>
            </w:r>
          </w:p>
        </w:tc>
        <w:tc>
          <w:tcPr>
            <w:tcW w:w="1445" w:type="pct"/>
          </w:tcPr>
          <w:p w14:paraId="3FFE52DD" w14:textId="77777777" w:rsidR="004A1D8A" w:rsidRPr="00BF7227" w:rsidRDefault="004A1D8A" w:rsidP="00FF7417">
            <w:pPr>
              <w:pStyle w:val="Tabletext"/>
              <w:rPr>
                <w:szCs w:val="19"/>
              </w:rPr>
            </w:pPr>
            <w:r w:rsidRPr="00BF7227">
              <w:rPr>
                <w:szCs w:val="19"/>
              </w:rPr>
              <w:t>5</w:t>
            </w:r>
          </w:p>
        </w:tc>
      </w:tr>
      <w:tr w:rsidR="004A1D8A" w:rsidRPr="00BF7227" w14:paraId="33BF4169" w14:textId="77777777" w:rsidTr="002C05F8">
        <w:trPr>
          <w:trHeight w:val="276"/>
        </w:trPr>
        <w:tc>
          <w:tcPr>
            <w:tcW w:w="2010" w:type="pct"/>
            <w:tcBorders>
              <w:bottom w:val="single" w:sz="4" w:space="0" w:color="auto"/>
            </w:tcBorders>
          </w:tcPr>
          <w:p w14:paraId="7C659BF3" w14:textId="77777777" w:rsidR="004A1D8A" w:rsidRPr="00BF7227" w:rsidRDefault="004A1D8A" w:rsidP="00FF7417">
            <w:pPr>
              <w:pStyle w:val="Tabletext"/>
              <w:rPr>
                <w:szCs w:val="19"/>
              </w:rPr>
            </w:pPr>
            <w:proofErr w:type="spellStart"/>
            <w:r w:rsidRPr="00BF7227">
              <w:rPr>
                <w:szCs w:val="19"/>
              </w:rPr>
              <w:t>Pneumonia</w:t>
            </w:r>
            <w:r w:rsidRPr="00BF7227">
              <w:rPr>
                <w:szCs w:val="19"/>
                <w:vertAlign w:val="superscript"/>
              </w:rPr>
              <w:t>g</w:t>
            </w:r>
            <w:proofErr w:type="spellEnd"/>
          </w:p>
        </w:tc>
        <w:tc>
          <w:tcPr>
            <w:tcW w:w="1545" w:type="pct"/>
            <w:tcBorders>
              <w:bottom w:val="single" w:sz="4" w:space="0" w:color="auto"/>
            </w:tcBorders>
          </w:tcPr>
          <w:p w14:paraId="611CB3EF" w14:textId="77777777" w:rsidR="004A1D8A" w:rsidRPr="00BF7227" w:rsidRDefault="004A1D8A" w:rsidP="00FF7417">
            <w:pPr>
              <w:pStyle w:val="Tabletext"/>
              <w:rPr>
                <w:szCs w:val="19"/>
              </w:rPr>
            </w:pPr>
            <w:r w:rsidRPr="00BF7227">
              <w:rPr>
                <w:szCs w:val="19"/>
              </w:rPr>
              <w:t>10</w:t>
            </w:r>
          </w:p>
        </w:tc>
        <w:tc>
          <w:tcPr>
            <w:tcW w:w="1445" w:type="pct"/>
            <w:tcBorders>
              <w:bottom w:val="single" w:sz="4" w:space="0" w:color="auto"/>
            </w:tcBorders>
          </w:tcPr>
          <w:p w14:paraId="252FBF01" w14:textId="77777777" w:rsidR="004A1D8A" w:rsidRPr="00BF7227" w:rsidRDefault="004A1D8A" w:rsidP="00FF7417">
            <w:pPr>
              <w:pStyle w:val="Tabletext"/>
              <w:rPr>
                <w:szCs w:val="19"/>
              </w:rPr>
            </w:pPr>
            <w:r w:rsidRPr="00BF7227">
              <w:rPr>
                <w:szCs w:val="19"/>
              </w:rPr>
              <w:t>7</w:t>
            </w:r>
          </w:p>
        </w:tc>
      </w:tr>
      <w:tr w:rsidR="00FF7417" w:rsidRPr="00BF7227" w14:paraId="13A2CCBD" w14:textId="77777777" w:rsidTr="002C05F8">
        <w:trPr>
          <w:trHeight w:val="275"/>
        </w:trPr>
        <w:tc>
          <w:tcPr>
            <w:tcW w:w="5000" w:type="pct"/>
            <w:gridSpan w:val="3"/>
            <w:tcBorders>
              <w:top w:val="single" w:sz="4" w:space="0" w:color="auto"/>
              <w:left w:val="single" w:sz="4" w:space="0" w:color="auto"/>
              <w:bottom w:val="single" w:sz="4" w:space="0" w:color="auto"/>
              <w:right w:val="single" w:sz="4" w:space="0" w:color="auto"/>
            </w:tcBorders>
          </w:tcPr>
          <w:p w14:paraId="42D5802B" w14:textId="60BD6460" w:rsidR="00FF7417" w:rsidRPr="00BF7227" w:rsidRDefault="00FF7417" w:rsidP="00FF7417">
            <w:pPr>
              <w:pStyle w:val="Tabletext"/>
              <w:rPr>
                <w:szCs w:val="19"/>
              </w:rPr>
            </w:pPr>
            <w:r w:rsidRPr="00BF7227">
              <w:rPr>
                <w:b/>
                <w:szCs w:val="19"/>
              </w:rPr>
              <w:t>Nervous</w:t>
            </w:r>
            <w:r w:rsidRPr="00BF7227">
              <w:rPr>
                <w:b/>
                <w:spacing w:val="-1"/>
                <w:szCs w:val="19"/>
              </w:rPr>
              <w:t xml:space="preserve"> </w:t>
            </w:r>
            <w:r w:rsidRPr="00BF7227">
              <w:rPr>
                <w:b/>
                <w:szCs w:val="19"/>
              </w:rPr>
              <w:t>system</w:t>
            </w:r>
            <w:r w:rsidRPr="00BF7227">
              <w:rPr>
                <w:b/>
                <w:spacing w:val="-1"/>
                <w:szCs w:val="19"/>
              </w:rPr>
              <w:t xml:space="preserve"> </w:t>
            </w:r>
            <w:r w:rsidRPr="00BF7227">
              <w:rPr>
                <w:b/>
                <w:szCs w:val="19"/>
              </w:rPr>
              <w:t>disorders</w:t>
            </w:r>
          </w:p>
        </w:tc>
      </w:tr>
      <w:tr w:rsidR="004A1D8A" w:rsidRPr="00BF7227" w14:paraId="5287314E" w14:textId="77777777" w:rsidTr="002C05F8">
        <w:trPr>
          <w:trHeight w:val="275"/>
        </w:trPr>
        <w:tc>
          <w:tcPr>
            <w:tcW w:w="2010" w:type="pct"/>
            <w:tcBorders>
              <w:top w:val="single" w:sz="4" w:space="0" w:color="auto"/>
              <w:left w:val="single" w:sz="4" w:space="0" w:color="auto"/>
              <w:bottom w:val="single" w:sz="4" w:space="0" w:color="auto"/>
              <w:right w:val="single" w:sz="4" w:space="0" w:color="auto"/>
            </w:tcBorders>
          </w:tcPr>
          <w:p w14:paraId="67951D57" w14:textId="77777777" w:rsidR="004A1D8A" w:rsidRPr="00BF7227" w:rsidRDefault="004A1D8A" w:rsidP="00FF7417">
            <w:pPr>
              <w:pStyle w:val="Tabletext"/>
              <w:rPr>
                <w:szCs w:val="19"/>
              </w:rPr>
            </w:pPr>
            <w:r w:rsidRPr="00BF7227">
              <w:rPr>
                <w:szCs w:val="19"/>
              </w:rPr>
              <w:t>Peripheral</w:t>
            </w:r>
            <w:r w:rsidRPr="00BF7227">
              <w:rPr>
                <w:spacing w:val="-2"/>
                <w:szCs w:val="19"/>
              </w:rPr>
              <w:t xml:space="preserve"> </w:t>
            </w:r>
            <w:proofErr w:type="spellStart"/>
            <w:r w:rsidRPr="00BF7227">
              <w:rPr>
                <w:szCs w:val="19"/>
              </w:rPr>
              <w:t>neuropathy</w:t>
            </w:r>
            <w:r w:rsidRPr="00BF7227">
              <w:rPr>
                <w:szCs w:val="19"/>
                <w:vertAlign w:val="superscript"/>
              </w:rPr>
              <w:t>h</w:t>
            </w:r>
            <w:proofErr w:type="spellEnd"/>
          </w:p>
        </w:tc>
        <w:tc>
          <w:tcPr>
            <w:tcW w:w="1545" w:type="pct"/>
            <w:tcBorders>
              <w:top w:val="single" w:sz="4" w:space="0" w:color="auto"/>
              <w:left w:val="single" w:sz="4" w:space="0" w:color="auto"/>
              <w:bottom w:val="single" w:sz="4" w:space="0" w:color="auto"/>
              <w:right w:val="single" w:sz="4" w:space="0" w:color="auto"/>
            </w:tcBorders>
          </w:tcPr>
          <w:p w14:paraId="5E9372A9" w14:textId="77777777" w:rsidR="004A1D8A" w:rsidRPr="00BF7227" w:rsidRDefault="004A1D8A" w:rsidP="00FF7417">
            <w:pPr>
              <w:pStyle w:val="Tabletext"/>
              <w:rPr>
                <w:szCs w:val="19"/>
              </w:rPr>
            </w:pPr>
            <w:r w:rsidRPr="00BF7227">
              <w:rPr>
                <w:szCs w:val="19"/>
              </w:rPr>
              <w:t>11</w:t>
            </w:r>
          </w:p>
        </w:tc>
        <w:tc>
          <w:tcPr>
            <w:tcW w:w="1445" w:type="pct"/>
            <w:tcBorders>
              <w:top w:val="single" w:sz="4" w:space="0" w:color="auto"/>
              <w:left w:val="single" w:sz="4" w:space="0" w:color="auto"/>
              <w:bottom w:val="single" w:sz="4" w:space="0" w:color="auto"/>
              <w:right w:val="single" w:sz="4" w:space="0" w:color="auto"/>
            </w:tcBorders>
          </w:tcPr>
          <w:p w14:paraId="59A2B85A" w14:textId="77777777" w:rsidR="004A1D8A" w:rsidRPr="00BF7227" w:rsidRDefault="004A1D8A" w:rsidP="00FF7417">
            <w:pPr>
              <w:pStyle w:val="Tabletext"/>
              <w:rPr>
                <w:szCs w:val="19"/>
              </w:rPr>
            </w:pPr>
            <w:r w:rsidRPr="00BF7227">
              <w:rPr>
                <w:szCs w:val="19"/>
              </w:rPr>
              <w:t>1</w:t>
            </w:r>
          </w:p>
        </w:tc>
      </w:tr>
      <w:tr w:rsidR="004A1D8A" w:rsidRPr="00BF7227" w14:paraId="47498C33" w14:textId="77777777" w:rsidTr="002C05F8">
        <w:trPr>
          <w:trHeight w:val="276"/>
        </w:trPr>
        <w:tc>
          <w:tcPr>
            <w:tcW w:w="2010" w:type="pct"/>
            <w:tcBorders>
              <w:top w:val="single" w:sz="4" w:space="0" w:color="auto"/>
              <w:left w:val="single" w:sz="4" w:space="0" w:color="auto"/>
              <w:bottom w:val="single" w:sz="4" w:space="0" w:color="auto"/>
              <w:right w:val="single" w:sz="4" w:space="0" w:color="auto"/>
            </w:tcBorders>
          </w:tcPr>
          <w:p w14:paraId="277B6AA8" w14:textId="77777777" w:rsidR="004A1D8A" w:rsidRPr="00BF7227" w:rsidRDefault="004A1D8A" w:rsidP="00FF7417">
            <w:pPr>
              <w:pStyle w:val="Tabletext"/>
              <w:rPr>
                <w:szCs w:val="19"/>
              </w:rPr>
            </w:pPr>
            <w:r w:rsidRPr="00BF7227">
              <w:rPr>
                <w:szCs w:val="19"/>
              </w:rPr>
              <w:t>Headache</w:t>
            </w:r>
          </w:p>
        </w:tc>
        <w:tc>
          <w:tcPr>
            <w:tcW w:w="1545" w:type="pct"/>
            <w:tcBorders>
              <w:top w:val="single" w:sz="4" w:space="0" w:color="auto"/>
              <w:left w:val="single" w:sz="4" w:space="0" w:color="auto"/>
              <w:bottom w:val="single" w:sz="4" w:space="0" w:color="auto"/>
              <w:right w:val="single" w:sz="4" w:space="0" w:color="auto"/>
            </w:tcBorders>
          </w:tcPr>
          <w:p w14:paraId="44B78965" w14:textId="77777777" w:rsidR="004A1D8A" w:rsidRPr="00BF7227" w:rsidRDefault="004A1D8A" w:rsidP="00FF7417">
            <w:pPr>
              <w:pStyle w:val="Tabletext"/>
              <w:rPr>
                <w:szCs w:val="19"/>
              </w:rPr>
            </w:pPr>
            <w:r w:rsidRPr="00BF7227">
              <w:rPr>
                <w:szCs w:val="19"/>
              </w:rPr>
              <w:t>10</w:t>
            </w:r>
          </w:p>
        </w:tc>
        <w:tc>
          <w:tcPr>
            <w:tcW w:w="1445" w:type="pct"/>
            <w:tcBorders>
              <w:top w:val="single" w:sz="4" w:space="0" w:color="auto"/>
              <w:left w:val="single" w:sz="4" w:space="0" w:color="auto"/>
              <w:bottom w:val="single" w:sz="4" w:space="0" w:color="auto"/>
              <w:right w:val="single" w:sz="4" w:space="0" w:color="auto"/>
            </w:tcBorders>
          </w:tcPr>
          <w:p w14:paraId="501EC3C7" w14:textId="77777777" w:rsidR="004A1D8A" w:rsidRPr="00BF7227" w:rsidRDefault="004A1D8A" w:rsidP="00FF7417">
            <w:pPr>
              <w:pStyle w:val="Tabletext"/>
              <w:rPr>
                <w:szCs w:val="19"/>
              </w:rPr>
            </w:pPr>
            <w:r w:rsidRPr="00BF7227">
              <w:rPr>
                <w:szCs w:val="19"/>
              </w:rPr>
              <w:t>1</w:t>
            </w:r>
          </w:p>
        </w:tc>
      </w:tr>
    </w:tbl>
    <w:p w14:paraId="13721029" w14:textId="36B78D8F" w:rsidR="004A1D8A" w:rsidRDefault="004A1D8A" w:rsidP="00ED64BB">
      <w:pPr>
        <w:pStyle w:val="TableDescription"/>
      </w:pPr>
      <w:r>
        <w:rPr>
          <w:vertAlign w:val="superscript"/>
        </w:rPr>
        <w:t>a</w:t>
      </w:r>
      <w:r>
        <w:rPr>
          <w:spacing w:val="-2"/>
        </w:rPr>
        <w:t xml:space="preserve"> </w:t>
      </w:r>
      <w:r w:rsidRPr="00D11E8D">
        <w:t>Graded per NCI CTCAE 4.0.</w:t>
      </w:r>
      <w:r w:rsidR="00883C4C">
        <w:t xml:space="preserve"> </w:t>
      </w:r>
      <w:r>
        <w:rPr>
          <w:spacing w:val="-1"/>
          <w:vertAlign w:val="superscript"/>
        </w:rPr>
        <w:t>b</w:t>
      </w:r>
      <w:r>
        <w:rPr>
          <w:spacing w:val="-18"/>
        </w:rPr>
        <w:t xml:space="preserve"> </w:t>
      </w:r>
      <w:r w:rsidRPr="00D11E8D">
        <w:t>No grade 5 adverse reactions were reported</w:t>
      </w:r>
      <w:r>
        <w:t>.</w:t>
      </w:r>
      <w:r w:rsidR="00883C4C">
        <w:t xml:space="preserve"> </w:t>
      </w:r>
      <w:r>
        <w:rPr>
          <w:vertAlign w:val="superscript"/>
        </w:rPr>
        <w:t>c</w:t>
      </w:r>
      <w:r>
        <w:rPr>
          <w:spacing w:val="-3"/>
        </w:rPr>
        <w:t xml:space="preserve"> </w:t>
      </w:r>
      <w:r>
        <w:t>Includes</w:t>
      </w:r>
      <w:r>
        <w:rPr>
          <w:spacing w:val="-2"/>
        </w:rPr>
        <w:t xml:space="preserve"> </w:t>
      </w:r>
      <w:r>
        <w:t>abdominal</w:t>
      </w:r>
      <w:r>
        <w:rPr>
          <w:spacing w:val="-4"/>
        </w:rPr>
        <w:t xml:space="preserve"> </w:t>
      </w:r>
      <w:r>
        <w:t>pain,</w:t>
      </w:r>
      <w:r>
        <w:rPr>
          <w:spacing w:val="-3"/>
        </w:rPr>
        <w:t xml:space="preserve"> </w:t>
      </w:r>
      <w:r>
        <w:t>abdominal</w:t>
      </w:r>
      <w:r>
        <w:rPr>
          <w:spacing w:val="-3"/>
        </w:rPr>
        <w:t xml:space="preserve"> </w:t>
      </w:r>
      <w:r>
        <w:t>pain</w:t>
      </w:r>
      <w:r>
        <w:rPr>
          <w:spacing w:val="-3"/>
        </w:rPr>
        <w:t xml:space="preserve"> </w:t>
      </w:r>
      <w:r>
        <w:t>upper</w:t>
      </w:r>
      <w:r>
        <w:rPr>
          <w:spacing w:val="-3"/>
        </w:rPr>
        <w:t xml:space="preserve"> </w:t>
      </w:r>
      <w:r>
        <w:t>and</w:t>
      </w:r>
      <w:r>
        <w:rPr>
          <w:spacing w:val="-2"/>
        </w:rPr>
        <w:t xml:space="preserve"> </w:t>
      </w:r>
      <w:r>
        <w:t>abdominal</w:t>
      </w:r>
      <w:r>
        <w:rPr>
          <w:spacing w:val="-3"/>
        </w:rPr>
        <w:t xml:space="preserve"> </w:t>
      </w:r>
      <w:r>
        <w:t>discomfort.</w:t>
      </w:r>
      <w:r w:rsidR="00883C4C">
        <w:t xml:space="preserve"> </w:t>
      </w:r>
      <w:r>
        <w:rPr>
          <w:spacing w:val="-1"/>
          <w:vertAlign w:val="superscript"/>
        </w:rPr>
        <w:t>d</w:t>
      </w:r>
      <w:r>
        <w:rPr>
          <w:spacing w:val="-1"/>
        </w:rPr>
        <w:t xml:space="preserve"> Includes musculoskeletal pain, back pain, arthralgia, pain </w:t>
      </w:r>
      <w:r>
        <w:t>in extremity, musculoskeletal chest pain, neck pain, bone</w:t>
      </w:r>
      <w:r>
        <w:rPr>
          <w:spacing w:val="-47"/>
        </w:rPr>
        <w:t xml:space="preserve"> </w:t>
      </w:r>
      <w:r>
        <w:t>pain and myalgia.</w:t>
      </w:r>
      <w:r w:rsidR="00883C4C">
        <w:t xml:space="preserve"> </w:t>
      </w:r>
      <w:r>
        <w:rPr>
          <w:vertAlign w:val="superscript"/>
        </w:rPr>
        <w:t>e</w:t>
      </w:r>
      <w:r>
        <w:rPr>
          <w:spacing w:val="-3"/>
        </w:rPr>
        <w:t xml:space="preserve"> </w:t>
      </w:r>
      <w:r>
        <w:t>Includes</w:t>
      </w:r>
      <w:r>
        <w:rPr>
          <w:spacing w:val="-2"/>
        </w:rPr>
        <w:t xml:space="preserve"> </w:t>
      </w:r>
      <w:r>
        <w:t>cough</w:t>
      </w:r>
      <w:r>
        <w:rPr>
          <w:spacing w:val="-2"/>
        </w:rPr>
        <w:t xml:space="preserve"> </w:t>
      </w:r>
      <w:r>
        <w:t>and</w:t>
      </w:r>
      <w:r>
        <w:rPr>
          <w:spacing w:val="-2"/>
        </w:rPr>
        <w:t xml:space="preserve"> </w:t>
      </w:r>
      <w:r>
        <w:t>productive</w:t>
      </w:r>
      <w:r>
        <w:rPr>
          <w:spacing w:val="-3"/>
        </w:rPr>
        <w:t xml:space="preserve"> </w:t>
      </w:r>
      <w:r>
        <w:t>cough.</w:t>
      </w:r>
      <w:r w:rsidR="00883C4C">
        <w:t xml:space="preserve"> </w:t>
      </w:r>
      <w:r>
        <w:rPr>
          <w:spacing w:val="-1"/>
          <w:vertAlign w:val="superscript"/>
        </w:rPr>
        <w:t>f</w:t>
      </w:r>
      <w:r>
        <w:rPr>
          <w:spacing w:val="-1"/>
        </w:rPr>
        <w:t xml:space="preserve"> Includes upper respiratory tract infection, </w:t>
      </w:r>
      <w:r>
        <w:t xml:space="preserve">viral upper respiratory tract infection, </w:t>
      </w:r>
      <w:r>
        <w:lastRenderedPageBreak/>
        <w:t>respiratory tract infection and</w:t>
      </w:r>
      <w:r>
        <w:rPr>
          <w:spacing w:val="-47"/>
        </w:rPr>
        <w:t xml:space="preserve"> </w:t>
      </w:r>
      <w:r>
        <w:t>bronchitis.</w:t>
      </w:r>
      <w:r w:rsidR="00883C4C">
        <w:t xml:space="preserve"> </w:t>
      </w:r>
      <w:r>
        <w:rPr>
          <w:spacing w:val="-1"/>
          <w:vertAlign w:val="superscript"/>
        </w:rPr>
        <w:t>g</w:t>
      </w:r>
      <w:r>
        <w:rPr>
          <w:spacing w:val="-18"/>
        </w:rPr>
        <w:t xml:space="preserve"> </w:t>
      </w:r>
      <w:r>
        <w:rPr>
          <w:spacing w:val="-1"/>
        </w:rPr>
        <w:t>Includes</w:t>
      </w:r>
      <w:r>
        <w:t xml:space="preserve"> pneumonia</w:t>
      </w:r>
      <w:r>
        <w:rPr>
          <w:spacing w:val="1"/>
        </w:rPr>
        <w:t xml:space="preserve"> </w:t>
      </w:r>
      <w:r>
        <w:t>and</w:t>
      </w:r>
      <w:r>
        <w:rPr>
          <w:spacing w:val="1"/>
        </w:rPr>
        <w:t xml:space="preserve"> </w:t>
      </w:r>
      <w:r>
        <w:t>lung</w:t>
      </w:r>
      <w:r>
        <w:rPr>
          <w:spacing w:val="2"/>
        </w:rPr>
        <w:t xml:space="preserve"> </w:t>
      </w:r>
      <w:r>
        <w:t>infection.</w:t>
      </w:r>
      <w:r w:rsidR="00883C4C">
        <w:t xml:space="preserve"> </w:t>
      </w:r>
      <w:r>
        <w:rPr>
          <w:spacing w:val="-1"/>
          <w:vertAlign w:val="superscript"/>
        </w:rPr>
        <w:t>h</w:t>
      </w:r>
      <w:r>
        <w:rPr>
          <w:spacing w:val="-1"/>
        </w:rPr>
        <w:t xml:space="preserve"> Includes neuropathy peripheral, </w:t>
      </w:r>
      <w:r>
        <w:t xml:space="preserve">neuralgia, </w:t>
      </w:r>
      <w:proofErr w:type="spellStart"/>
      <w:r>
        <w:t>paresthesia</w:t>
      </w:r>
      <w:proofErr w:type="spellEnd"/>
      <w:r>
        <w:t>, peripheral sensory neuropathy, hypoesthesia, and</w:t>
      </w:r>
      <w:r>
        <w:rPr>
          <w:spacing w:val="-47"/>
        </w:rPr>
        <w:t xml:space="preserve"> </w:t>
      </w:r>
      <w:r>
        <w:t>hyperesthesia.</w:t>
      </w:r>
    </w:p>
    <w:p w14:paraId="19E2B243" w14:textId="24A2BF50" w:rsidR="004A1D8A" w:rsidRDefault="004A1D8A" w:rsidP="00883C4C">
      <w:r>
        <w:t xml:space="preserve">Clinically relevant adverse reactions in </w:t>
      </w:r>
      <w:r w:rsidR="00367EFF">
        <w:t xml:space="preserve">less than </w:t>
      </w:r>
      <w:r>
        <w:t xml:space="preserve">10% of patients who received </w:t>
      </w:r>
      <w:r w:rsidR="00883C4C">
        <w:t>Zepzelca</w:t>
      </w:r>
      <w:r>
        <w:t xml:space="preserve"> </w:t>
      </w:r>
      <w:r w:rsidR="00883C4C">
        <w:t>include</w:t>
      </w:r>
      <w:r w:rsidR="00883C4C">
        <w:rPr>
          <w:spacing w:val="-58"/>
        </w:rPr>
        <w:t>d</w:t>
      </w:r>
      <w:r>
        <w:t xml:space="preserve"> dysgeusia,</w:t>
      </w:r>
      <w:r>
        <w:rPr>
          <w:spacing w:val="-1"/>
        </w:rPr>
        <w:t xml:space="preserve"> </w:t>
      </w:r>
      <w:r>
        <w:t>febrile neutropenia and pneumonitis</w:t>
      </w:r>
      <w:r w:rsidR="00D11E8D">
        <w:t xml:space="preserve"> (see </w:t>
      </w:r>
      <w:r w:rsidR="005C1103">
        <w:fldChar w:fldCharType="begin"/>
      </w:r>
      <w:r w:rsidR="005C1103">
        <w:instrText xml:space="preserve"> REF _Ref95985766 \h </w:instrText>
      </w:r>
      <w:r w:rsidR="005C1103">
        <w:fldChar w:fldCharType="separate"/>
      </w:r>
      <w:r w:rsidR="005C1103">
        <w:t xml:space="preserve">Table </w:t>
      </w:r>
      <w:r w:rsidR="005C1103">
        <w:rPr>
          <w:noProof/>
        </w:rPr>
        <w:t>7</w:t>
      </w:r>
      <w:r w:rsidR="005C1103">
        <w:fldChar w:fldCharType="end"/>
      </w:r>
      <w:r w:rsidR="00D11E8D">
        <w:t>)</w:t>
      </w:r>
      <w:r>
        <w:t>.</w:t>
      </w:r>
    </w:p>
    <w:p w14:paraId="55487C08" w14:textId="56895587" w:rsidR="004A1D8A" w:rsidRPr="00883C4C" w:rsidRDefault="00D11E8D" w:rsidP="00D11E8D">
      <w:pPr>
        <w:pStyle w:val="TableTitle"/>
      </w:pPr>
      <w:bookmarkStart w:id="51" w:name="_Ref96681908"/>
      <w:r>
        <w:t xml:space="preserve">Table </w:t>
      </w:r>
      <w:fldSimple w:instr=" SEQ Table \* ARABIC ">
        <w:r w:rsidR="002C225D">
          <w:rPr>
            <w:noProof/>
          </w:rPr>
          <w:t>8</w:t>
        </w:r>
      </w:fldSimple>
      <w:bookmarkEnd w:id="51"/>
      <w:r>
        <w:t xml:space="preserve">: </w:t>
      </w:r>
      <w:r w:rsidR="00124DB0" w:rsidRPr="00883C4C">
        <w:t>Study B-005</w:t>
      </w:r>
      <w:r w:rsidR="00124DB0">
        <w:t xml:space="preserve"> </w:t>
      </w:r>
      <w:r w:rsidR="004A1D8A" w:rsidRPr="00883C4C">
        <w:t xml:space="preserve">Select </w:t>
      </w:r>
      <w:r w:rsidR="00883C4C" w:rsidRPr="00883C4C">
        <w:t>l</w:t>
      </w:r>
      <w:r w:rsidR="004A1D8A" w:rsidRPr="00883C4C">
        <w:t xml:space="preserve">aboratory </w:t>
      </w:r>
      <w:r w:rsidR="00883C4C" w:rsidRPr="00883C4C">
        <w:t>a</w:t>
      </w:r>
      <w:r w:rsidR="004A1D8A" w:rsidRPr="00883C4C">
        <w:t>bnormalities (</w:t>
      </w:r>
      <w:r w:rsidR="00BF7227">
        <w:t>greater than or equal to twenty percent)</w:t>
      </w:r>
      <w:r w:rsidR="004A1D8A" w:rsidRPr="00883C4C">
        <w:t xml:space="preserve"> </w:t>
      </w:r>
      <w:r w:rsidR="00883C4C" w:rsidRPr="00883C4C">
        <w:t>w</w:t>
      </w:r>
      <w:r w:rsidR="004A1D8A" w:rsidRPr="00883C4C">
        <w:t xml:space="preserve">orsening from </w:t>
      </w:r>
      <w:r w:rsidR="00124DB0">
        <w:t>B</w:t>
      </w:r>
      <w:r w:rsidR="004A1D8A" w:rsidRPr="00883C4C">
        <w:t xml:space="preserve">aseline in </w:t>
      </w:r>
      <w:r w:rsidR="00883C4C" w:rsidRPr="00883C4C">
        <w:t>p</w:t>
      </w:r>
      <w:r w:rsidR="004A1D8A" w:rsidRPr="00883C4C">
        <w:t>atients</w:t>
      </w:r>
      <w:r w:rsidR="00883C4C">
        <w:t xml:space="preserve"> w</w:t>
      </w:r>
      <w:r w:rsidR="004A1D8A" w:rsidRPr="00883C4C">
        <w:t xml:space="preserve">ith </w:t>
      </w:r>
      <w:r w:rsidR="00E402EA">
        <w:t>small cell lung cancer</w:t>
      </w:r>
      <w:r w:rsidR="004A1D8A" w:rsidRPr="00883C4C">
        <w:t xml:space="preserve"> </w:t>
      </w:r>
      <w:r w:rsidR="00883C4C" w:rsidRPr="00883C4C">
        <w:t>w</w:t>
      </w:r>
      <w:r w:rsidR="004A1D8A" w:rsidRPr="00883C4C">
        <w:t xml:space="preserve">ho </w:t>
      </w:r>
      <w:r w:rsidR="00883C4C" w:rsidRPr="00883C4C">
        <w:t>r</w:t>
      </w:r>
      <w:r w:rsidR="004A1D8A" w:rsidRPr="00883C4C">
        <w:t xml:space="preserve">eceived </w:t>
      </w:r>
      <w:r w:rsidR="00883C4C" w:rsidRPr="00883C4C">
        <w:t>Zepzelca</w:t>
      </w:r>
      <w:r w:rsidR="004A1D8A" w:rsidRPr="00883C4C">
        <w:t xml:space="preserve"> </w:t>
      </w:r>
    </w:p>
    <w:p w14:paraId="58CB1838" w14:textId="77777777" w:rsidR="004A1D8A" w:rsidRDefault="004A1D8A" w:rsidP="004A1D8A">
      <w:pPr>
        <w:pStyle w:val="BodyText"/>
        <w:spacing w:before="4" w:after="1"/>
        <w:rPr>
          <w:b/>
          <w:sz w:val="10"/>
        </w:rPr>
      </w:pPr>
    </w:p>
    <w:tbl>
      <w:tblPr>
        <w:tblStyle w:val="TableTGAblu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981"/>
        <w:gridCol w:w="1982"/>
      </w:tblGrid>
      <w:tr w:rsidR="00BF7227" w:rsidRPr="00BF7227" w14:paraId="4BE13E1F" w14:textId="77777777" w:rsidTr="00BF7227">
        <w:trPr>
          <w:cnfStyle w:val="100000000000" w:firstRow="1" w:lastRow="0" w:firstColumn="0" w:lastColumn="0" w:oddVBand="0" w:evenVBand="0" w:oddHBand="0" w:evenHBand="0" w:firstRowFirstColumn="0" w:firstRowLastColumn="0" w:lastRowFirstColumn="0" w:lastRowLastColumn="0"/>
          <w:trHeight w:val="292"/>
        </w:trPr>
        <w:tc>
          <w:tcPr>
            <w:tcW w:w="2667"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D0BDE9" w14:textId="57B20232" w:rsidR="004A1D8A" w:rsidRPr="00BF7227" w:rsidRDefault="004A1D8A" w:rsidP="00FF7417">
            <w:pPr>
              <w:pStyle w:val="Tabletext"/>
              <w:rPr>
                <w:rFonts w:asciiTheme="minorHAnsi" w:hAnsiTheme="minorHAnsi"/>
                <w:szCs w:val="19"/>
              </w:rPr>
            </w:pPr>
            <w:r w:rsidRPr="00BF7227">
              <w:rPr>
                <w:rFonts w:asciiTheme="minorHAnsi" w:hAnsiTheme="minorHAnsi"/>
                <w:szCs w:val="19"/>
              </w:rPr>
              <w:t>Laboratory Abnormality</w:t>
            </w:r>
          </w:p>
        </w:tc>
        <w:tc>
          <w:tcPr>
            <w:tcW w:w="2333"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06C5DC" w14:textId="034F5C0C" w:rsidR="004A1D8A" w:rsidRPr="00BF7227" w:rsidRDefault="00883C4C" w:rsidP="00FF7417">
            <w:pPr>
              <w:pStyle w:val="Tabletext"/>
              <w:rPr>
                <w:rFonts w:asciiTheme="minorHAnsi" w:hAnsiTheme="minorHAnsi"/>
                <w:szCs w:val="19"/>
              </w:rPr>
            </w:pPr>
            <w:proofErr w:type="spellStart"/>
            <w:r w:rsidRPr="00BF7227">
              <w:rPr>
                <w:rFonts w:asciiTheme="minorHAnsi" w:hAnsiTheme="minorHAnsi"/>
                <w:szCs w:val="19"/>
              </w:rPr>
              <w:t>Zepzelca</w:t>
            </w:r>
            <w:r w:rsidR="004A1D8A" w:rsidRPr="00BF7227">
              <w:rPr>
                <w:rFonts w:asciiTheme="minorHAnsi" w:hAnsiTheme="minorHAnsi"/>
                <w:szCs w:val="19"/>
                <w:vertAlign w:val="superscript"/>
              </w:rPr>
              <w:t>a</w:t>
            </w:r>
            <w:proofErr w:type="spellEnd"/>
            <w:r w:rsidRPr="00BF7227">
              <w:rPr>
                <w:rFonts w:asciiTheme="minorHAnsi" w:hAnsiTheme="minorHAnsi"/>
                <w:szCs w:val="19"/>
              </w:rPr>
              <w:t xml:space="preserve"> </w:t>
            </w:r>
            <w:r w:rsidR="004A1D8A" w:rsidRPr="00BF7227">
              <w:rPr>
                <w:rFonts w:asciiTheme="minorHAnsi" w:hAnsiTheme="minorHAnsi"/>
                <w:szCs w:val="19"/>
              </w:rPr>
              <w:t>(n=105)</w:t>
            </w:r>
          </w:p>
        </w:tc>
      </w:tr>
      <w:tr w:rsidR="00BF7227" w:rsidRPr="00BF7227" w14:paraId="1AB70176" w14:textId="77777777" w:rsidTr="00BF7227">
        <w:trPr>
          <w:trHeight w:val="129"/>
        </w:trPr>
        <w:tc>
          <w:tcPr>
            <w:tcW w:w="2667" w:type="pct"/>
            <w:vMerge/>
          </w:tcPr>
          <w:p w14:paraId="1B1903C1" w14:textId="77777777" w:rsidR="004A1D8A" w:rsidRPr="00BF7227" w:rsidRDefault="004A1D8A" w:rsidP="00FF7417">
            <w:pPr>
              <w:pStyle w:val="Tabletext"/>
              <w:keepNext/>
              <w:rPr>
                <w:rFonts w:asciiTheme="minorHAnsi" w:hAnsiTheme="minorHAnsi"/>
                <w:color w:val="FFFFFF" w:themeColor="background1"/>
                <w:szCs w:val="19"/>
              </w:rPr>
            </w:pPr>
          </w:p>
        </w:tc>
        <w:tc>
          <w:tcPr>
            <w:tcW w:w="1166" w:type="pct"/>
            <w:shd w:val="clear" w:color="auto" w:fill="006DA7"/>
          </w:tcPr>
          <w:p w14:paraId="29B1CA72" w14:textId="2E2E1E27" w:rsidR="004A1D8A" w:rsidRPr="00BF7227" w:rsidRDefault="004A1D8A" w:rsidP="00FF7417">
            <w:pPr>
              <w:pStyle w:val="Tabletext"/>
              <w:keepNext/>
              <w:rPr>
                <w:rFonts w:asciiTheme="minorHAnsi" w:hAnsiTheme="minorHAnsi"/>
                <w:color w:val="FFFFFF" w:themeColor="background1"/>
                <w:szCs w:val="19"/>
              </w:rPr>
            </w:pPr>
            <w:r w:rsidRPr="00BF7227">
              <w:rPr>
                <w:rFonts w:asciiTheme="minorHAnsi" w:hAnsiTheme="minorHAnsi"/>
                <w:color w:val="FFFFFF" w:themeColor="background1"/>
                <w:szCs w:val="19"/>
              </w:rPr>
              <w:t xml:space="preserve">All </w:t>
            </w:r>
            <w:proofErr w:type="spellStart"/>
            <w:r w:rsidRPr="00BF7227">
              <w:rPr>
                <w:rFonts w:asciiTheme="minorHAnsi" w:hAnsiTheme="minorHAnsi"/>
                <w:color w:val="FFFFFF" w:themeColor="background1"/>
                <w:szCs w:val="19"/>
              </w:rPr>
              <w:t>Grades</w:t>
            </w:r>
            <w:r w:rsidRPr="00BF7227">
              <w:rPr>
                <w:rFonts w:asciiTheme="minorHAnsi" w:hAnsiTheme="minorHAnsi"/>
                <w:color w:val="FFFFFF" w:themeColor="background1"/>
                <w:szCs w:val="19"/>
                <w:vertAlign w:val="superscript"/>
              </w:rPr>
              <w:t>b</w:t>
            </w:r>
            <w:proofErr w:type="spellEnd"/>
            <w:r w:rsidRPr="00BF7227">
              <w:rPr>
                <w:rFonts w:asciiTheme="minorHAnsi" w:hAnsiTheme="minorHAnsi"/>
                <w:color w:val="FFFFFF" w:themeColor="background1"/>
                <w:szCs w:val="19"/>
              </w:rPr>
              <w:t xml:space="preserve"> </w:t>
            </w:r>
            <w:r w:rsidR="00883C4C" w:rsidRPr="00BF7227">
              <w:rPr>
                <w:rFonts w:asciiTheme="minorHAnsi" w:hAnsiTheme="minorHAnsi"/>
                <w:color w:val="FFFFFF" w:themeColor="background1"/>
                <w:szCs w:val="19"/>
              </w:rPr>
              <w:t>(</w:t>
            </w:r>
            <w:r w:rsidRPr="00BF7227">
              <w:rPr>
                <w:rFonts w:asciiTheme="minorHAnsi" w:hAnsiTheme="minorHAnsi"/>
                <w:color w:val="FFFFFF" w:themeColor="background1"/>
                <w:szCs w:val="19"/>
              </w:rPr>
              <w:t>%)</w:t>
            </w:r>
          </w:p>
        </w:tc>
        <w:tc>
          <w:tcPr>
            <w:tcW w:w="1167" w:type="pct"/>
            <w:shd w:val="clear" w:color="auto" w:fill="006DA7"/>
          </w:tcPr>
          <w:p w14:paraId="24B04E42" w14:textId="77777777" w:rsidR="004A1D8A" w:rsidRPr="00BF7227" w:rsidRDefault="004A1D8A" w:rsidP="00FF7417">
            <w:pPr>
              <w:pStyle w:val="Tabletext"/>
              <w:keepNext/>
              <w:rPr>
                <w:rFonts w:asciiTheme="minorHAnsi" w:hAnsiTheme="minorHAnsi"/>
                <w:color w:val="FFFFFF" w:themeColor="background1"/>
                <w:szCs w:val="19"/>
              </w:rPr>
            </w:pPr>
            <w:r w:rsidRPr="00BF7227">
              <w:rPr>
                <w:rFonts w:asciiTheme="minorHAnsi" w:hAnsiTheme="minorHAnsi"/>
                <w:color w:val="FFFFFF" w:themeColor="background1"/>
                <w:szCs w:val="19"/>
              </w:rPr>
              <w:t>Grades 3-4 (%)</w:t>
            </w:r>
          </w:p>
        </w:tc>
      </w:tr>
      <w:tr w:rsidR="00FF7417" w:rsidRPr="00BF7227" w14:paraId="3B7675EC" w14:textId="77777777" w:rsidTr="00BF7227">
        <w:trPr>
          <w:trHeight w:val="276"/>
        </w:trPr>
        <w:tc>
          <w:tcPr>
            <w:tcW w:w="5000" w:type="pct"/>
            <w:gridSpan w:val="3"/>
          </w:tcPr>
          <w:p w14:paraId="5C762501" w14:textId="1E1B57A6" w:rsidR="00FF7417" w:rsidRPr="00BF7227" w:rsidRDefault="00FF7417" w:rsidP="00FF7417">
            <w:pPr>
              <w:pStyle w:val="Tabletext"/>
              <w:rPr>
                <w:rFonts w:asciiTheme="minorHAnsi" w:hAnsiTheme="minorHAnsi"/>
                <w:b/>
                <w:bCs/>
                <w:szCs w:val="19"/>
              </w:rPr>
            </w:pPr>
            <w:r w:rsidRPr="00BF7227">
              <w:rPr>
                <w:rFonts w:asciiTheme="minorHAnsi" w:hAnsiTheme="minorHAnsi"/>
                <w:b/>
                <w:bCs/>
                <w:szCs w:val="19"/>
              </w:rPr>
              <w:t>Hematology</w:t>
            </w:r>
          </w:p>
        </w:tc>
      </w:tr>
      <w:tr w:rsidR="004A1D8A" w:rsidRPr="00BF7227" w14:paraId="15A7A667" w14:textId="77777777" w:rsidTr="00BF7227">
        <w:trPr>
          <w:trHeight w:val="275"/>
        </w:trPr>
        <w:tc>
          <w:tcPr>
            <w:tcW w:w="2667" w:type="pct"/>
          </w:tcPr>
          <w:p w14:paraId="4A96C16A"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Decreased leukocytes</w:t>
            </w:r>
          </w:p>
        </w:tc>
        <w:tc>
          <w:tcPr>
            <w:tcW w:w="1166" w:type="pct"/>
          </w:tcPr>
          <w:p w14:paraId="1486E1D1"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79</w:t>
            </w:r>
          </w:p>
        </w:tc>
        <w:tc>
          <w:tcPr>
            <w:tcW w:w="1167" w:type="pct"/>
          </w:tcPr>
          <w:p w14:paraId="1591CE65"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29</w:t>
            </w:r>
          </w:p>
        </w:tc>
      </w:tr>
      <w:tr w:rsidR="004A1D8A" w:rsidRPr="00BF7227" w14:paraId="68FC6363" w14:textId="77777777" w:rsidTr="00BF7227">
        <w:trPr>
          <w:trHeight w:val="275"/>
        </w:trPr>
        <w:tc>
          <w:tcPr>
            <w:tcW w:w="2667" w:type="pct"/>
          </w:tcPr>
          <w:p w14:paraId="5BA76940"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Decreased lymphocytes</w:t>
            </w:r>
          </w:p>
        </w:tc>
        <w:tc>
          <w:tcPr>
            <w:tcW w:w="1166" w:type="pct"/>
          </w:tcPr>
          <w:p w14:paraId="407DA00E"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79</w:t>
            </w:r>
          </w:p>
        </w:tc>
        <w:tc>
          <w:tcPr>
            <w:tcW w:w="1167" w:type="pct"/>
          </w:tcPr>
          <w:p w14:paraId="2E7210D4"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43</w:t>
            </w:r>
          </w:p>
        </w:tc>
      </w:tr>
      <w:tr w:rsidR="004A1D8A" w:rsidRPr="00BF7227" w14:paraId="41C43509" w14:textId="77777777" w:rsidTr="00BF7227">
        <w:trPr>
          <w:trHeight w:val="276"/>
        </w:trPr>
        <w:tc>
          <w:tcPr>
            <w:tcW w:w="2667" w:type="pct"/>
          </w:tcPr>
          <w:p w14:paraId="357DCD05" w14:textId="368CFC03" w:rsidR="004A1D8A" w:rsidRPr="00BF7227" w:rsidRDefault="004A1D8A" w:rsidP="00FF7417">
            <w:pPr>
              <w:pStyle w:val="Tabletext"/>
              <w:rPr>
                <w:rFonts w:asciiTheme="minorHAnsi" w:hAnsiTheme="minorHAnsi"/>
                <w:szCs w:val="19"/>
              </w:rPr>
            </w:pPr>
            <w:r w:rsidRPr="00BF7227">
              <w:rPr>
                <w:rFonts w:asciiTheme="minorHAnsi" w:hAnsiTheme="minorHAnsi"/>
                <w:szCs w:val="19"/>
              </w:rPr>
              <w:t xml:space="preserve">Decreased </w:t>
            </w:r>
            <w:r w:rsidR="00BF7227" w:rsidRPr="00BF7227">
              <w:rPr>
                <w:rFonts w:asciiTheme="minorHAnsi" w:hAnsiTheme="minorHAnsi"/>
                <w:szCs w:val="19"/>
              </w:rPr>
              <w:t>haemoglobin</w:t>
            </w:r>
          </w:p>
        </w:tc>
        <w:tc>
          <w:tcPr>
            <w:tcW w:w="1166" w:type="pct"/>
          </w:tcPr>
          <w:p w14:paraId="362EFC8D"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74</w:t>
            </w:r>
          </w:p>
        </w:tc>
        <w:tc>
          <w:tcPr>
            <w:tcW w:w="1167" w:type="pct"/>
          </w:tcPr>
          <w:p w14:paraId="439B8EDB"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10</w:t>
            </w:r>
          </w:p>
        </w:tc>
      </w:tr>
      <w:tr w:rsidR="004A1D8A" w:rsidRPr="00BF7227" w14:paraId="71F2ED16" w14:textId="77777777" w:rsidTr="00BF7227">
        <w:trPr>
          <w:trHeight w:val="275"/>
        </w:trPr>
        <w:tc>
          <w:tcPr>
            <w:tcW w:w="2667" w:type="pct"/>
          </w:tcPr>
          <w:p w14:paraId="1F336D11"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Decreased neutrophils</w:t>
            </w:r>
          </w:p>
        </w:tc>
        <w:tc>
          <w:tcPr>
            <w:tcW w:w="1166" w:type="pct"/>
          </w:tcPr>
          <w:p w14:paraId="12EBF401"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71</w:t>
            </w:r>
          </w:p>
        </w:tc>
        <w:tc>
          <w:tcPr>
            <w:tcW w:w="1167" w:type="pct"/>
          </w:tcPr>
          <w:p w14:paraId="00FC8124"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46</w:t>
            </w:r>
          </w:p>
        </w:tc>
      </w:tr>
      <w:tr w:rsidR="004A1D8A" w:rsidRPr="00BF7227" w14:paraId="08DDF623" w14:textId="77777777" w:rsidTr="00BF7227">
        <w:trPr>
          <w:trHeight w:val="275"/>
        </w:trPr>
        <w:tc>
          <w:tcPr>
            <w:tcW w:w="2667" w:type="pct"/>
          </w:tcPr>
          <w:p w14:paraId="0F7E48E0"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Decreased platelets</w:t>
            </w:r>
          </w:p>
        </w:tc>
        <w:tc>
          <w:tcPr>
            <w:tcW w:w="1166" w:type="pct"/>
          </w:tcPr>
          <w:p w14:paraId="7ABE7D55"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37</w:t>
            </w:r>
          </w:p>
        </w:tc>
        <w:tc>
          <w:tcPr>
            <w:tcW w:w="1167" w:type="pct"/>
          </w:tcPr>
          <w:p w14:paraId="78DB1C6A"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7</w:t>
            </w:r>
          </w:p>
        </w:tc>
      </w:tr>
      <w:tr w:rsidR="00FF7417" w:rsidRPr="00BF7227" w14:paraId="7C81EA87" w14:textId="77777777" w:rsidTr="00BF7227">
        <w:trPr>
          <w:trHeight w:val="293"/>
        </w:trPr>
        <w:tc>
          <w:tcPr>
            <w:tcW w:w="5000" w:type="pct"/>
            <w:gridSpan w:val="3"/>
          </w:tcPr>
          <w:p w14:paraId="5A835C89" w14:textId="52C742BE" w:rsidR="00FF7417" w:rsidRPr="00BF7227" w:rsidRDefault="00FF7417" w:rsidP="00FF7417">
            <w:pPr>
              <w:pStyle w:val="Tabletext"/>
              <w:rPr>
                <w:rFonts w:asciiTheme="minorHAnsi" w:hAnsiTheme="minorHAnsi"/>
                <w:b/>
                <w:bCs/>
                <w:szCs w:val="19"/>
              </w:rPr>
            </w:pPr>
            <w:r w:rsidRPr="00BF7227">
              <w:rPr>
                <w:rFonts w:asciiTheme="minorHAnsi" w:hAnsiTheme="minorHAnsi"/>
                <w:b/>
                <w:bCs/>
                <w:szCs w:val="19"/>
              </w:rPr>
              <w:t>Chemistry</w:t>
            </w:r>
          </w:p>
        </w:tc>
      </w:tr>
      <w:tr w:rsidR="004A1D8A" w:rsidRPr="00BF7227" w14:paraId="200BAB7E" w14:textId="77777777" w:rsidTr="00BF7227">
        <w:trPr>
          <w:trHeight w:val="275"/>
        </w:trPr>
        <w:tc>
          <w:tcPr>
            <w:tcW w:w="2667" w:type="pct"/>
          </w:tcPr>
          <w:p w14:paraId="1F0F396D"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Increased creatinine</w:t>
            </w:r>
          </w:p>
        </w:tc>
        <w:tc>
          <w:tcPr>
            <w:tcW w:w="1166" w:type="pct"/>
          </w:tcPr>
          <w:p w14:paraId="261AD228"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69</w:t>
            </w:r>
          </w:p>
        </w:tc>
        <w:tc>
          <w:tcPr>
            <w:tcW w:w="1167" w:type="pct"/>
          </w:tcPr>
          <w:p w14:paraId="6DFD0DEA"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0</w:t>
            </w:r>
          </w:p>
        </w:tc>
      </w:tr>
      <w:tr w:rsidR="004A1D8A" w:rsidRPr="00BF7227" w14:paraId="5FC381B3" w14:textId="77777777" w:rsidTr="00BF7227">
        <w:trPr>
          <w:trHeight w:val="275"/>
        </w:trPr>
        <w:tc>
          <w:tcPr>
            <w:tcW w:w="2667" w:type="pct"/>
          </w:tcPr>
          <w:p w14:paraId="7ABEC062"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Increased alanine aminotransferase</w:t>
            </w:r>
          </w:p>
        </w:tc>
        <w:tc>
          <w:tcPr>
            <w:tcW w:w="1166" w:type="pct"/>
          </w:tcPr>
          <w:p w14:paraId="02E777FA"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66</w:t>
            </w:r>
          </w:p>
        </w:tc>
        <w:tc>
          <w:tcPr>
            <w:tcW w:w="1167" w:type="pct"/>
          </w:tcPr>
          <w:p w14:paraId="04F2556A"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4</w:t>
            </w:r>
          </w:p>
        </w:tc>
      </w:tr>
      <w:tr w:rsidR="004A1D8A" w:rsidRPr="00BF7227" w14:paraId="1FE060B7" w14:textId="77777777" w:rsidTr="00BF7227">
        <w:trPr>
          <w:trHeight w:val="276"/>
        </w:trPr>
        <w:tc>
          <w:tcPr>
            <w:tcW w:w="2667" w:type="pct"/>
          </w:tcPr>
          <w:p w14:paraId="6A5397B7"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Increased glucose</w:t>
            </w:r>
          </w:p>
        </w:tc>
        <w:tc>
          <w:tcPr>
            <w:tcW w:w="1166" w:type="pct"/>
          </w:tcPr>
          <w:p w14:paraId="23F04763"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52</w:t>
            </w:r>
          </w:p>
        </w:tc>
        <w:tc>
          <w:tcPr>
            <w:tcW w:w="1167" w:type="pct"/>
          </w:tcPr>
          <w:p w14:paraId="53EF56C3"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5</w:t>
            </w:r>
          </w:p>
        </w:tc>
      </w:tr>
      <w:tr w:rsidR="004A1D8A" w:rsidRPr="00BF7227" w14:paraId="2E231797" w14:textId="77777777" w:rsidTr="00BF7227">
        <w:trPr>
          <w:trHeight w:val="275"/>
        </w:trPr>
        <w:tc>
          <w:tcPr>
            <w:tcW w:w="2667" w:type="pct"/>
          </w:tcPr>
          <w:p w14:paraId="7DEB1934"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Decreased albumin</w:t>
            </w:r>
          </w:p>
        </w:tc>
        <w:tc>
          <w:tcPr>
            <w:tcW w:w="1166" w:type="pct"/>
          </w:tcPr>
          <w:p w14:paraId="3F32E018"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32</w:t>
            </w:r>
          </w:p>
        </w:tc>
        <w:tc>
          <w:tcPr>
            <w:tcW w:w="1167" w:type="pct"/>
          </w:tcPr>
          <w:p w14:paraId="1DCBCA78"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1</w:t>
            </w:r>
          </w:p>
        </w:tc>
      </w:tr>
      <w:tr w:rsidR="004A1D8A" w:rsidRPr="00BF7227" w14:paraId="02BCAD81" w14:textId="77777777" w:rsidTr="00BF7227">
        <w:trPr>
          <w:trHeight w:val="275"/>
        </w:trPr>
        <w:tc>
          <w:tcPr>
            <w:tcW w:w="2667" w:type="pct"/>
          </w:tcPr>
          <w:p w14:paraId="134CC5F6"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Decreased sodium</w:t>
            </w:r>
          </w:p>
        </w:tc>
        <w:tc>
          <w:tcPr>
            <w:tcW w:w="1166" w:type="pct"/>
          </w:tcPr>
          <w:p w14:paraId="03533A80"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31</w:t>
            </w:r>
          </w:p>
        </w:tc>
        <w:tc>
          <w:tcPr>
            <w:tcW w:w="1167" w:type="pct"/>
          </w:tcPr>
          <w:p w14:paraId="2AF7E298"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7</w:t>
            </w:r>
          </w:p>
        </w:tc>
      </w:tr>
      <w:tr w:rsidR="004A1D8A" w:rsidRPr="00BF7227" w14:paraId="654A6FB3" w14:textId="77777777" w:rsidTr="00BF7227">
        <w:trPr>
          <w:trHeight w:val="276"/>
        </w:trPr>
        <w:tc>
          <w:tcPr>
            <w:tcW w:w="2667" w:type="pct"/>
          </w:tcPr>
          <w:p w14:paraId="1B58CE89"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Increased aspartate aminotransferase</w:t>
            </w:r>
          </w:p>
        </w:tc>
        <w:tc>
          <w:tcPr>
            <w:tcW w:w="1166" w:type="pct"/>
          </w:tcPr>
          <w:p w14:paraId="38F818BE"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26</w:t>
            </w:r>
          </w:p>
        </w:tc>
        <w:tc>
          <w:tcPr>
            <w:tcW w:w="1167" w:type="pct"/>
          </w:tcPr>
          <w:p w14:paraId="20D9F9A2"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2</w:t>
            </w:r>
          </w:p>
        </w:tc>
      </w:tr>
      <w:tr w:rsidR="004A1D8A" w:rsidRPr="00BF7227" w14:paraId="5A8DF2DC" w14:textId="77777777" w:rsidTr="00BF7227">
        <w:trPr>
          <w:trHeight w:val="275"/>
        </w:trPr>
        <w:tc>
          <w:tcPr>
            <w:tcW w:w="2667" w:type="pct"/>
          </w:tcPr>
          <w:p w14:paraId="73AC1A8A"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Decreased magnesium</w:t>
            </w:r>
          </w:p>
        </w:tc>
        <w:tc>
          <w:tcPr>
            <w:tcW w:w="1166" w:type="pct"/>
          </w:tcPr>
          <w:p w14:paraId="2C830B48"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22</w:t>
            </w:r>
          </w:p>
        </w:tc>
        <w:tc>
          <w:tcPr>
            <w:tcW w:w="1167" w:type="pct"/>
          </w:tcPr>
          <w:p w14:paraId="3A549968" w14:textId="77777777" w:rsidR="004A1D8A" w:rsidRPr="00BF7227" w:rsidRDefault="004A1D8A" w:rsidP="00FF7417">
            <w:pPr>
              <w:pStyle w:val="Tabletext"/>
              <w:rPr>
                <w:rFonts w:asciiTheme="minorHAnsi" w:hAnsiTheme="minorHAnsi"/>
                <w:szCs w:val="19"/>
              </w:rPr>
            </w:pPr>
            <w:r w:rsidRPr="00BF7227">
              <w:rPr>
                <w:rFonts w:asciiTheme="minorHAnsi" w:hAnsiTheme="minorHAnsi"/>
                <w:szCs w:val="19"/>
              </w:rPr>
              <w:t>0</w:t>
            </w:r>
          </w:p>
        </w:tc>
      </w:tr>
    </w:tbl>
    <w:p w14:paraId="3F3088A0" w14:textId="20F1691D" w:rsidR="004A1D8A" w:rsidRDefault="004A1D8A" w:rsidP="00BF7227">
      <w:pPr>
        <w:pStyle w:val="TableDescription"/>
      </w:pPr>
      <w:proofErr w:type="spellStart"/>
      <w:r>
        <w:rPr>
          <w:spacing w:val="-1"/>
          <w:vertAlign w:val="superscript"/>
        </w:rPr>
        <w:t>a</w:t>
      </w:r>
      <w:r>
        <w:rPr>
          <w:spacing w:val="-1"/>
        </w:rPr>
        <w:t>The</w:t>
      </w:r>
      <w:proofErr w:type="spellEnd"/>
      <w:r>
        <w:rPr>
          <w:spacing w:val="-1"/>
        </w:rPr>
        <w:t xml:space="preserve"> denominator used to calculate </w:t>
      </w:r>
      <w:r>
        <w:t>the rate varied from 95 to 105 based on the number of patients with a baseline</w:t>
      </w:r>
      <w:r>
        <w:rPr>
          <w:spacing w:val="-47"/>
        </w:rPr>
        <w:t xml:space="preserve"> </w:t>
      </w:r>
      <w:r>
        <w:t>value</w:t>
      </w:r>
      <w:r>
        <w:rPr>
          <w:spacing w:val="-1"/>
        </w:rPr>
        <w:t xml:space="preserve"> </w:t>
      </w:r>
      <w:r>
        <w:t>and</w:t>
      </w:r>
      <w:r>
        <w:rPr>
          <w:spacing w:val="1"/>
        </w:rPr>
        <w:t xml:space="preserve"> </w:t>
      </w:r>
      <w:r>
        <w:t>at least one</w:t>
      </w:r>
      <w:r>
        <w:rPr>
          <w:spacing w:val="-2"/>
        </w:rPr>
        <w:t xml:space="preserve"> </w:t>
      </w:r>
      <w:r>
        <w:t>post-treatment value.</w:t>
      </w:r>
      <w:r w:rsidR="00883C4C">
        <w:t xml:space="preserve"> </w:t>
      </w:r>
      <w:r>
        <w:rPr>
          <w:spacing w:val="-1"/>
          <w:vertAlign w:val="superscript"/>
        </w:rPr>
        <w:t>b</w:t>
      </w:r>
      <w:r>
        <w:rPr>
          <w:spacing w:val="-18"/>
        </w:rPr>
        <w:t xml:space="preserve"> </w:t>
      </w:r>
      <w:r>
        <w:rPr>
          <w:spacing w:val="-1"/>
        </w:rPr>
        <w:t xml:space="preserve">Graded </w:t>
      </w:r>
      <w:r>
        <w:t>per NCI CTCAE 4.0.</w:t>
      </w:r>
    </w:p>
    <w:p w14:paraId="226FDAE3" w14:textId="77777777" w:rsidR="00BF7227" w:rsidRPr="008C5B99" w:rsidRDefault="008A7DF7" w:rsidP="00A41C10">
      <w:pPr>
        <w:pStyle w:val="Heading6"/>
      </w:pPr>
      <w:r w:rsidRPr="00A17B9B">
        <w:t>Corrected QT interval</w:t>
      </w:r>
      <w:r w:rsidRPr="00A17B9B" w:rsidDel="008A7DF7">
        <w:t xml:space="preserve"> </w:t>
      </w:r>
      <w:r w:rsidRPr="00A17B9B">
        <w:t>substudy</w:t>
      </w:r>
    </w:p>
    <w:p w14:paraId="7AA10F60" w14:textId="4B17FC75" w:rsidR="004A1D8A" w:rsidRDefault="004A1D8A" w:rsidP="004A1D8A">
      <w:r>
        <w:t xml:space="preserve">The </w:t>
      </w:r>
      <w:r w:rsidR="0020331C">
        <w:t xml:space="preserve">clinical </w:t>
      </w:r>
      <w:r>
        <w:t xml:space="preserve">dossier included a report from a sub-study of 39 patients with advanced solid tumours was conducted within </w:t>
      </w:r>
      <w:r w:rsidR="00E504E5">
        <w:t>S</w:t>
      </w:r>
      <w:r>
        <w:t xml:space="preserve">tudy B-005 to assess the potential for QTc prolongation with lurbinectedin treatment. </w:t>
      </w:r>
      <w:r w:rsidR="0020331C">
        <w:t xml:space="preserve">The Delegate noted that there was </w:t>
      </w:r>
      <w:r>
        <w:t>no large mean effect on the QTc was detected and a maximum increase in heart rate of 18.3 b</w:t>
      </w:r>
      <w:r w:rsidR="000C57FE">
        <w:t xml:space="preserve">eats </w:t>
      </w:r>
      <w:r>
        <w:t>p</w:t>
      </w:r>
      <w:r w:rsidR="000C57FE">
        <w:t xml:space="preserve">er </w:t>
      </w:r>
      <w:r>
        <w:t>m</w:t>
      </w:r>
      <w:r w:rsidR="000C57FE">
        <w:t>inute</w:t>
      </w:r>
      <w:r>
        <w:t xml:space="preserve"> was observed at </w:t>
      </w:r>
      <w:proofErr w:type="gramStart"/>
      <w:r w:rsidR="0020331C">
        <w:t xml:space="preserve">three </w:t>
      </w:r>
      <w:r>
        <w:t>h</w:t>
      </w:r>
      <w:r w:rsidR="0020331C">
        <w:t>ou</w:t>
      </w:r>
      <w:r>
        <w:t>r</w:t>
      </w:r>
      <w:proofErr w:type="gramEnd"/>
      <w:r>
        <w:t xml:space="preserve"> post end</w:t>
      </w:r>
      <w:r w:rsidR="0020331C">
        <w:t xml:space="preserve"> </w:t>
      </w:r>
      <w:r>
        <w:t>of</w:t>
      </w:r>
      <w:r w:rsidR="0020331C">
        <w:t xml:space="preserve"> </w:t>
      </w:r>
      <w:r>
        <w:t>infusion.</w:t>
      </w:r>
    </w:p>
    <w:p w14:paraId="640088AC" w14:textId="77777777" w:rsidR="004A1D8A" w:rsidRDefault="004A1D8A" w:rsidP="004A1D8A">
      <w:pPr>
        <w:pStyle w:val="Heading5"/>
      </w:pPr>
      <w:r>
        <w:t>Supporting safety data</w:t>
      </w:r>
    </w:p>
    <w:p w14:paraId="03881657" w14:textId="36E1784C" w:rsidR="004A1D8A" w:rsidRDefault="004A1D8A" w:rsidP="004A1D8A">
      <w:r>
        <w:t xml:space="preserve">The primary safety data from the SCLC cohort of </w:t>
      </w:r>
      <w:r w:rsidR="00E504E5">
        <w:t xml:space="preserve">Study </w:t>
      </w:r>
      <w:r>
        <w:t>B-005 (n</w:t>
      </w:r>
      <w:r w:rsidR="0020331C">
        <w:t xml:space="preserve"> </w:t>
      </w:r>
      <w:r>
        <w:t>=</w:t>
      </w:r>
      <w:r w:rsidR="0020331C">
        <w:t xml:space="preserve"> </w:t>
      </w:r>
      <w:r>
        <w:t>105) was supported by safety data from a further 449 patients with advanced solid tumours other than SCLC who received lurbinectedin at the proposed dose (3.2 mg/m</w:t>
      </w:r>
      <w:r w:rsidRPr="0075249E">
        <w:rPr>
          <w:vertAlign w:val="superscript"/>
        </w:rPr>
        <w:t>2</w:t>
      </w:r>
      <w:r>
        <w:t xml:space="preserve"> </w:t>
      </w:r>
      <w:r w:rsidR="0020331C">
        <w:t>intravenously (</w:t>
      </w:r>
      <w:r>
        <w:t>IV</w:t>
      </w:r>
      <w:r w:rsidR="0020331C">
        <w:t>)</w:t>
      </w:r>
      <w:r>
        <w:t xml:space="preserve"> every 21 days): either in </w:t>
      </w:r>
      <w:r w:rsidR="00E504E5">
        <w:t xml:space="preserve">Study </w:t>
      </w:r>
      <w:r>
        <w:t xml:space="preserve">B-005, or in </w:t>
      </w:r>
      <w:r w:rsidR="00E504E5">
        <w:t>S</w:t>
      </w:r>
      <w:r>
        <w:t>tudy C-004 (CORAIL</w:t>
      </w:r>
      <w:r w:rsidR="0020331C">
        <w:t xml:space="preserve"> trial</w:t>
      </w:r>
      <w:r>
        <w:t xml:space="preserve">). </w:t>
      </w:r>
      <w:r w:rsidR="00E504E5">
        <w:t xml:space="preserve">The </w:t>
      </w:r>
      <w:r>
        <w:t xml:space="preserve">CORAIL </w:t>
      </w:r>
      <w:r w:rsidR="0020331C">
        <w:t>trial</w:t>
      </w:r>
      <w:r w:rsidR="00E504E5">
        <w:t xml:space="preserve"> </w:t>
      </w:r>
      <w:r>
        <w:t xml:space="preserve">was an </w:t>
      </w:r>
      <w:r>
        <w:lastRenderedPageBreak/>
        <w:t>open</w:t>
      </w:r>
      <w:r w:rsidR="0020331C">
        <w:t xml:space="preserve"> </w:t>
      </w:r>
      <w:r>
        <w:t xml:space="preserve">label </w:t>
      </w:r>
      <w:r w:rsidR="0020331C">
        <w:t>randomised control trial (</w:t>
      </w:r>
      <w:r>
        <w:t>RCT</w:t>
      </w:r>
      <w:r w:rsidR="0020331C">
        <w:t>)</w:t>
      </w:r>
      <w:r>
        <w:t xml:space="preserve"> of lurbinectedin versus pegylated liposomal doxorubicin or topotecan in patients with platinum</w:t>
      </w:r>
      <w:r w:rsidR="0020331C">
        <w:t xml:space="preserve"> </w:t>
      </w:r>
      <w:r>
        <w:t>resistant ovarian cancer.</w:t>
      </w:r>
    </w:p>
    <w:p w14:paraId="6C24B698" w14:textId="1FD4209B" w:rsidR="004A1D8A" w:rsidRDefault="00D11D49" w:rsidP="004A1D8A">
      <w:r w:rsidRPr="00D11D49">
        <w:t>Serious Adverse Event</w:t>
      </w:r>
      <w:r>
        <w:t xml:space="preserve"> (</w:t>
      </w:r>
      <w:r w:rsidR="00E504E5">
        <w:t>SAEs</w:t>
      </w:r>
      <w:r>
        <w:t>)</w:t>
      </w:r>
      <w:r w:rsidR="004A1D8A">
        <w:t xml:space="preserve"> and adverse events of special interest (AESI) from across the clinical development program (19 clinical trials) were also submitted. The median duration of exposure was 3.1 months for the overall safety population (n</w:t>
      </w:r>
      <w:r w:rsidR="00C1257D">
        <w:t> </w:t>
      </w:r>
      <w:r w:rsidR="004A1D8A">
        <w:t>=</w:t>
      </w:r>
      <w:r w:rsidR="00C1257D">
        <w:t> </w:t>
      </w:r>
      <w:r w:rsidR="004A1D8A">
        <w:t>554) and 3.3</w:t>
      </w:r>
      <w:r w:rsidR="004F1E61">
        <w:t> </w:t>
      </w:r>
      <w:r w:rsidR="004A1D8A">
        <w:t xml:space="preserve">months in the SCLC cohort of </w:t>
      </w:r>
      <w:r w:rsidR="00E504E5">
        <w:t xml:space="preserve">Study </w:t>
      </w:r>
      <w:r w:rsidR="004A1D8A">
        <w:t>B-005.</w:t>
      </w:r>
    </w:p>
    <w:p w14:paraId="577DD323" w14:textId="77777777" w:rsidR="004A1D8A" w:rsidRDefault="004A1D8A" w:rsidP="004A1D8A">
      <w:r>
        <w:t xml:space="preserve">Toxicity in the larger safety population was broadly </w:t>
      </w:r>
      <w:proofErr w:type="gramStart"/>
      <w:r>
        <w:t>similar to</w:t>
      </w:r>
      <w:proofErr w:type="gramEnd"/>
      <w:r>
        <w:t xml:space="preserve"> that seen in the SCLC cohort. Respiratory signs and symptoms were reported more commonly in SCLC patients, and the large safety cohort reported higher rates of abdominal pain and intestinal obstruction, in keeping with the large cohort of included patients with ovarian cancer. </w:t>
      </w:r>
    </w:p>
    <w:p w14:paraId="1119D18A" w14:textId="7A163A5E" w:rsidR="004A1D8A" w:rsidRDefault="004A1D8A" w:rsidP="004A1D8A">
      <w:r>
        <w:t>Seven deaths occurred in the overall safety population due to infection in the context of myelosuppression (five within 30 days of treatment discontinuation) that were attributed by the reviewer to lurbinectedin.</w:t>
      </w:r>
    </w:p>
    <w:p w14:paraId="26885D39" w14:textId="73F5EFC5" w:rsidR="004A1D8A" w:rsidRDefault="004A1D8A" w:rsidP="004A1D8A">
      <w:r>
        <w:t>Myelosuppression and hepatotoxicity were the most significant adverse events and have been included as warnings/precautions in the approved FDA label.</w:t>
      </w:r>
      <w:r>
        <w:fldChar w:fldCharType="begin"/>
      </w:r>
      <w:r>
        <w:instrText xml:space="preserve"> NOTEREF _Ref77346804 \f \h </w:instrText>
      </w:r>
      <w:r>
        <w:fldChar w:fldCharType="separate"/>
      </w:r>
      <w:r w:rsidRPr="00312223">
        <w:rPr>
          <w:rStyle w:val="EndnoteReference"/>
        </w:rPr>
        <w:t>29</w:t>
      </w:r>
      <w:r>
        <w:fldChar w:fldCharType="end"/>
      </w:r>
    </w:p>
    <w:p w14:paraId="5337220D" w14:textId="77777777" w:rsidR="004A1D8A" w:rsidRDefault="004A1D8A" w:rsidP="004A1D8A">
      <w:pPr>
        <w:pStyle w:val="Heading3"/>
      </w:pPr>
      <w:bookmarkStart w:id="52" w:name="_Ref77587853"/>
      <w:bookmarkStart w:id="53" w:name="_Toc102558217"/>
      <w:r>
        <w:t>Confirmatory data plan</w:t>
      </w:r>
      <w:bookmarkEnd w:id="52"/>
      <w:bookmarkEnd w:id="53"/>
    </w:p>
    <w:p w14:paraId="05223D7E" w14:textId="7D9608D3" w:rsidR="004A1D8A" w:rsidRDefault="004A1D8A" w:rsidP="004A1D8A">
      <w:r>
        <w:t>It was initially intended that the A</w:t>
      </w:r>
      <w:r w:rsidR="00EE6C4C">
        <w:t>TLANTIS</w:t>
      </w:r>
      <w:r>
        <w:t xml:space="preserve"> </w:t>
      </w:r>
      <w:r w:rsidR="00E504E5">
        <w:t>trial</w:t>
      </w:r>
      <w:r>
        <w:t xml:space="preserve"> would provide data to confirm the clinical benefit of the proposed provisional indication. </w:t>
      </w:r>
      <w:r w:rsidR="00E504E5">
        <w:t xml:space="preserve">The </w:t>
      </w:r>
      <w:r w:rsidR="00EE6C4C">
        <w:t>ATLANTIS</w:t>
      </w:r>
      <w:r w:rsidR="00E504E5">
        <w:t xml:space="preserve"> trial</w:t>
      </w:r>
      <w:r>
        <w:t xml:space="preserve"> (n</w:t>
      </w:r>
      <w:r w:rsidR="00EE6C4C">
        <w:t xml:space="preserve"> </w:t>
      </w:r>
      <w:r>
        <w:t>=</w:t>
      </w:r>
      <w:r w:rsidR="00EE6C4C">
        <w:t xml:space="preserve"> </w:t>
      </w:r>
      <w:r>
        <w:t xml:space="preserve">613) was a randomised, multicentre, international study comparing lurbinectedin (at a lower dose than in </w:t>
      </w:r>
      <w:r w:rsidR="00EE6C4C">
        <w:t xml:space="preserve">Study </w:t>
      </w:r>
      <w:r>
        <w:t>B-005: 2 mg/m</w:t>
      </w:r>
      <w:r w:rsidRPr="0008307D">
        <w:rPr>
          <w:vertAlign w:val="superscript"/>
        </w:rPr>
        <w:t>2</w:t>
      </w:r>
      <w:r>
        <w:t xml:space="preserve">) in combination with doxorubicin against physician's choice of control (topotecan, or </w:t>
      </w:r>
      <w:r w:rsidR="00D11D49">
        <w:t>CAV</w:t>
      </w:r>
      <w:r>
        <w:t>) for the second</w:t>
      </w:r>
      <w:r w:rsidR="00EE6C4C">
        <w:t xml:space="preserve"> </w:t>
      </w:r>
      <w:r>
        <w:t xml:space="preserve">line treatment of advanced SCLC after failure of </w:t>
      </w:r>
      <w:r w:rsidR="00EE6C4C">
        <w:t>one</w:t>
      </w:r>
      <w:r>
        <w:t xml:space="preserve"> prior </w:t>
      </w:r>
      <w:proofErr w:type="gramStart"/>
      <w:r>
        <w:t>platinum</w:t>
      </w:r>
      <w:r w:rsidR="00EE6C4C">
        <w:t xml:space="preserve"> </w:t>
      </w:r>
      <w:r>
        <w:t>based</w:t>
      </w:r>
      <w:proofErr w:type="gramEnd"/>
      <w:r>
        <w:t xml:space="preserve"> therapy.</w:t>
      </w:r>
      <w:r w:rsidR="00D15DC1">
        <w:rPr>
          <w:rStyle w:val="FootnoteReference"/>
        </w:rPr>
        <w:footnoteReference w:id="42"/>
      </w:r>
      <w:r>
        <w:t xml:space="preserve"> Patients with a CTFI of less than 30 days were excluded.</w:t>
      </w:r>
    </w:p>
    <w:p w14:paraId="0D9DCC6A" w14:textId="3CFC3C85" w:rsidR="004A1D8A" w:rsidRDefault="00E504E5" w:rsidP="004A1D8A">
      <w:r>
        <w:t>The A</w:t>
      </w:r>
      <w:r w:rsidR="00EE6C4C">
        <w:t xml:space="preserve">TLANTIS </w:t>
      </w:r>
      <w:r>
        <w:t>trial</w:t>
      </w:r>
      <w:r w:rsidR="004A1D8A">
        <w:t xml:space="preserve"> failed to demonstrate superiority of overall survival with doxorubicin</w:t>
      </w:r>
      <w:r>
        <w:t xml:space="preserve"> </w:t>
      </w:r>
      <w:r w:rsidR="00EE6C4C">
        <w:t>plus</w:t>
      </w:r>
      <w:r>
        <w:t xml:space="preserve"> </w:t>
      </w:r>
      <w:r w:rsidR="004A1D8A">
        <w:t>lurbinectedin compared to the control arm in the intent</w:t>
      </w:r>
      <w:r w:rsidR="00EE6C4C">
        <w:t xml:space="preserve"> </w:t>
      </w:r>
      <w:r w:rsidR="004A1D8A">
        <w:t>to</w:t>
      </w:r>
      <w:r w:rsidR="00EE6C4C">
        <w:t xml:space="preserve"> </w:t>
      </w:r>
      <w:r w:rsidR="004A1D8A">
        <w:t>treat population (the primary endpoint), and based on the study design, no additional hypotheses were formally tested.</w:t>
      </w:r>
      <w:r w:rsidR="00D15DC1">
        <w:rPr>
          <w:rStyle w:val="FootnoteReference"/>
        </w:rPr>
        <w:footnoteReference w:id="43"/>
      </w:r>
      <w:r w:rsidR="004A1D8A">
        <w:t xml:space="preserve"> The study is therefore unable to provide statistically robust data to confirm clinical benefit of the proposed provisional monotherapy indication. Despite the failure of the primary endpoint, the point estimate for the primary endpoint did not raise concerns that survival was poorer with the lurbinectedin</w:t>
      </w:r>
      <w:r w:rsidR="002B0060">
        <w:t xml:space="preserve"> </w:t>
      </w:r>
      <w:r w:rsidR="004A1D8A">
        <w:t>/doxorubicin combination.</w:t>
      </w:r>
    </w:p>
    <w:p w14:paraId="79B7B67A" w14:textId="50D962F0" w:rsidR="004A1D8A" w:rsidRDefault="004A1D8A" w:rsidP="00A17B9B">
      <w:r>
        <w:t xml:space="preserve">Interpretation of </w:t>
      </w:r>
      <w:r w:rsidR="00E504E5">
        <w:t xml:space="preserve">the </w:t>
      </w:r>
      <w:r w:rsidR="004F1E61">
        <w:t xml:space="preserve">ATLANTIS </w:t>
      </w:r>
      <w:r w:rsidR="00E504E5">
        <w:t xml:space="preserve">trial’s </w:t>
      </w:r>
      <w:r>
        <w:t xml:space="preserve">relevance to the proposed provisional indication would have been complex even if it had demonstrated a positive primary endpoint, as it did not directly study lurbinectedin as monotherapy nor at the same dosage studied in </w:t>
      </w:r>
      <w:r w:rsidR="00E504E5">
        <w:t xml:space="preserve">Study </w:t>
      </w:r>
      <w:r>
        <w:t>B-005.</w:t>
      </w:r>
    </w:p>
    <w:p w14:paraId="17E05A76" w14:textId="7D181E89" w:rsidR="004A1D8A" w:rsidRDefault="004A1D8A" w:rsidP="004A1D8A">
      <w:r w:rsidRPr="00A52170">
        <w:t xml:space="preserve">In replacement of </w:t>
      </w:r>
      <w:r w:rsidR="00E504E5">
        <w:t>the Atlantis trial</w:t>
      </w:r>
      <w:r w:rsidRPr="00A52170">
        <w:t xml:space="preserve"> as a confirmatory study, the </w:t>
      </w:r>
      <w:r w:rsidR="00E504E5">
        <w:t>s</w:t>
      </w:r>
      <w:r w:rsidRPr="00A52170">
        <w:t>ponsor proposes a new, three</w:t>
      </w:r>
      <w:r w:rsidR="000C57FE">
        <w:t xml:space="preserve"> </w:t>
      </w:r>
      <w:proofErr w:type="gramStart"/>
      <w:r w:rsidRPr="00A52170">
        <w:t>arm</w:t>
      </w:r>
      <w:proofErr w:type="gramEnd"/>
      <w:r w:rsidRPr="00A52170">
        <w:t>, randomised</w:t>
      </w:r>
      <w:r>
        <w:t>,</w:t>
      </w:r>
      <w:r w:rsidRPr="00A52170">
        <w:t xml:space="preserve"> controlled trial, with a protocol numbered PM1183-C-008-21. This study is referred to below as Study C-008 for brevity. The proposed study design is summarised in</w:t>
      </w:r>
      <w:r w:rsidR="002C05F8">
        <w:t xml:space="preserve"> </w:t>
      </w:r>
      <w:r w:rsidR="002C05F8">
        <w:fldChar w:fldCharType="begin"/>
      </w:r>
      <w:r w:rsidR="002C05F8">
        <w:instrText xml:space="preserve"> REF _Ref79588782 \h </w:instrText>
      </w:r>
      <w:r w:rsidR="002C05F8">
        <w:fldChar w:fldCharType="separate"/>
      </w:r>
      <w:r w:rsidR="002C05F8">
        <w:t xml:space="preserve">Table </w:t>
      </w:r>
      <w:r w:rsidR="002C05F8">
        <w:rPr>
          <w:noProof/>
        </w:rPr>
        <w:t>9</w:t>
      </w:r>
      <w:r w:rsidR="002C05F8">
        <w:fldChar w:fldCharType="end"/>
      </w:r>
      <w:r w:rsidRPr="00A52170">
        <w:t>.</w:t>
      </w:r>
    </w:p>
    <w:p w14:paraId="14FB2953" w14:textId="20279203" w:rsidR="004A1D8A" w:rsidRDefault="00E402EA" w:rsidP="00CF15C7">
      <w:pPr>
        <w:pStyle w:val="TableTitle"/>
      </w:pPr>
      <w:bookmarkStart w:id="54" w:name="_Ref79588782"/>
      <w:r>
        <w:lastRenderedPageBreak/>
        <w:t xml:space="preserve">Table </w:t>
      </w:r>
      <w:fldSimple w:instr=" SEQ Table \* ARABIC ">
        <w:r w:rsidR="002C225D">
          <w:rPr>
            <w:noProof/>
          </w:rPr>
          <w:t>9</w:t>
        </w:r>
      </w:fldSimple>
      <w:bookmarkEnd w:id="54"/>
      <w:r w:rsidR="00E504E5">
        <w:t xml:space="preserve">: </w:t>
      </w:r>
      <w:r w:rsidR="00CF15C7">
        <w:t>Study C-008 S</w:t>
      </w:r>
      <w:r w:rsidR="004A1D8A">
        <w:t xml:space="preserve">tudy design </w:t>
      </w:r>
      <w:r w:rsidR="00CF15C7">
        <w:t>of the study</w:t>
      </w:r>
    </w:p>
    <w:tbl>
      <w:tblPr>
        <w:tblStyle w:val="TableTGAblue"/>
        <w:tblW w:w="5000" w:type="pct"/>
        <w:tblLook w:val="04A0" w:firstRow="1" w:lastRow="0" w:firstColumn="1" w:lastColumn="0" w:noHBand="0" w:noVBand="1"/>
      </w:tblPr>
      <w:tblGrid>
        <w:gridCol w:w="2118"/>
        <w:gridCol w:w="6366"/>
      </w:tblGrid>
      <w:tr w:rsidR="004A1D8A" w:rsidRPr="00483686" w14:paraId="66F91A18" w14:textId="77777777" w:rsidTr="002C05F8">
        <w:trPr>
          <w:cnfStyle w:val="100000000000" w:firstRow="1" w:lastRow="0" w:firstColumn="0" w:lastColumn="0" w:oddVBand="0" w:evenVBand="0" w:oddHBand="0" w:evenHBand="0" w:firstRowFirstColumn="0" w:firstRowLastColumn="0" w:lastRowFirstColumn="0" w:lastRowLastColumn="0"/>
        </w:trPr>
        <w:tc>
          <w:tcPr>
            <w:tcW w:w="1248" w:type="pct"/>
          </w:tcPr>
          <w:p w14:paraId="026D216F" w14:textId="42225855" w:rsidR="004A1D8A" w:rsidRPr="00CF15C7" w:rsidRDefault="004A1D8A" w:rsidP="004A1D8A">
            <w:pPr>
              <w:rPr>
                <w:sz w:val="19"/>
                <w:szCs w:val="19"/>
              </w:rPr>
            </w:pPr>
            <w:r w:rsidRPr="00CF15C7">
              <w:rPr>
                <w:sz w:val="19"/>
                <w:szCs w:val="19"/>
              </w:rPr>
              <w:t xml:space="preserve">Study design </w:t>
            </w:r>
            <w:r w:rsidR="00FF7417" w:rsidRPr="00CF15C7">
              <w:rPr>
                <w:sz w:val="19"/>
                <w:szCs w:val="19"/>
              </w:rPr>
              <w:t>component</w:t>
            </w:r>
          </w:p>
        </w:tc>
        <w:tc>
          <w:tcPr>
            <w:tcW w:w="3752" w:type="pct"/>
          </w:tcPr>
          <w:p w14:paraId="2FA84F5B" w14:textId="77777777" w:rsidR="004A1D8A" w:rsidRPr="00CF15C7" w:rsidRDefault="004A1D8A" w:rsidP="004A1D8A">
            <w:pPr>
              <w:rPr>
                <w:sz w:val="19"/>
                <w:szCs w:val="19"/>
              </w:rPr>
            </w:pPr>
            <w:r w:rsidRPr="00CF15C7">
              <w:rPr>
                <w:sz w:val="19"/>
                <w:szCs w:val="19"/>
              </w:rPr>
              <w:t>Details</w:t>
            </w:r>
          </w:p>
        </w:tc>
      </w:tr>
      <w:tr w:rsidR="004A1D8A" w:rsidRPr="00483686" w14:paraId="48E9B53D" w14:textId="77777777" w:rsidTr="002C05F8">
        <w:tc>
          <w:tcPr>
            <w:tcW w:w="1248" w:type="pct"/>
          </w:tcPr>
          <w:p w14:paraId="7D6AF8DC" w14:textId="77777777" w:rsidR="004A1D8A" w:rsidRPr="00CF15C7" w:rsidRDefault="004A1D8A" w:rsidP="00FF7417">
            <w:pPr>
              <w:pStyle w:val="Tabletext"/>
              <w:rPr>
                <w:szCs w:val="19"/>
              </w:rPr>
            </w:pPr>
            <w:r w:rsidRPr="00CF15C7">
              <w:rPr>
                <w:szCs w:val="19"/>
              </w:rPr>
              <w:t>Administrative</w:t>
            </w:r>
          </w:p>
        </w:tc>
        <w:tc>
          <w:tcPr>
            <w:tcW w:w="3752" w:type="pct"/>
          </w:tcPr>
          <w:p w14:paraId="0BDA1094" w14:textId="13FE96CA" w:rsidR="004A1D8A" w:rsidRPr="00CF15C7" w:rsidRDefault="004A1D8A" w:rsidP="00FF7417">
            <w:pPr>
              <w:pStyle w:val="Tabletext"/>
              <w:rPr>
                <w:szCs w:val="19"/>
              </w:rPr>
            </w:pPr>
            <w:r w:rsidRPr="00CF15C7">
              <w:rPr>
                <w:szCs w:val="19"/>
              </w:rPr>
              <w:t>Title: A Randomized, Multicenter, Open-label, Phase III Study of Lurbinectedin Single-Agent or Lurbinectedin in Combination with Irinotecan versus Investigator’s Choice (Topotecan or Irinotecan) in Relapsed Small Cell Lung Cancer (SCLC) Patients.</w:t>
            </w:r>
          </w:p>
          <w:p w14:paraId="5F7C3136" w14:textId="281DD04E" w:rsidR="004A1D8A" w:rsidRPr="00CF15C7" w:rsidRDefault="004A1D8A" w:rsidP="00FF7417">
            <w:pPr>
              <w:pStyle w:val="Tabletext"/>
              <w:rPr>
                <w:szCs w:val="19"/>
              </w:rPr>
            </w:pPr>
            <w:r w:rsidRPr="00CF15C7">
              <w:rPr>
                <w:szCs w:val="19"/>
              </w:rPr>
              <w:t xml:space="preserve">Locations: </w:t>
            </w:r>
            <w:r w:rsidR="00CF15C7">
              <w:rPr>
                <w:szCs w:val="19"/>
              </w:rPr>
              <w:t>greater than</w:t>
            </w:r>
            <w:r w:rsidR="00EE6C4C" w:rsidRPr="00CF15C7">
              <w:rPr>
                <w:szCs w:val="19"/>
              </w:rPr>
              <w:t xml:space="preserve"> </w:t>
            </w:r>
            <w:r w:rsidRPr="00CF15C7">
              <w:rPr>
                <w:szCs w:val="19"/>
              </w:rPr>
              <w:t>100 sites planned worldwide</w:t>
            </w:r>
          </w:p>
          <w:p w14:paraId="3A78D755" w14:textId="3A71C8F5" w:rsidR="004A1D8A" w:rsidRPr="00CF15C7" w:rsidRDefault="004A1D8A" w:rsidP="00FF7417">
            <w:pPr>
              <w:pStyle w:val="Tabletext"/>
              <w:rPr>
                <w:szCs w:val="19"/>
              </w:rPr>
            </w:pPr>
            <w:r w:rsidRPr="00CF15C7">
              <w:rPr>
                <w:szCs w:val="19"/>
              </w:rPr>
              <w:t xml:space="preserve">Timing: enrolment to commence </w:t>
            </w:r>
            <w:r w:rsidR="00463066">
              <w:rPr>
                <w:szCs w:val="19"/>
              </w:rPr>
              <w:t xml:space="preserve">quarter four of </w:t>
            </w:r>
            <w:r w:rsidRPr="00CF15C7">
              <w:rPr>
                <w:szCs w:val="19"/>
              </w:rPr>
              <w:t xml:space="preserve">2021; enrolment period expected to last </w:t>
            </w:r>
            <w:r w:rsidR="00EE6C4C" w:rsidRPr="00CF15C7">
              <w:rPr>
                <w:szCs w:val="19"/>
              </w:rPr>
              <w:t xml:space="preserve">about </w:t>
            </w:r>
            <w:r w:rsidRPr="00CF15C7">
              <w:rPr>
                <w:szCs w:val="19"/>
              </w:rPr>
              <w:t xml:space="preserve">29 months; end of study clinical cut-off planned for approximately 10 months after last patient randomised. Total duration of study estimated to be 39 months. </w:t>
            </w:r>
          </w:p>
        </w:tc>
      </w:tr>
      <w:tr w:rsidR="004A1D8A" w:rsidRPr="00483686" w14:paraId="57DC2E98" w14:textId="77777777" w:rsidTr="002C05F8">
        <w:tc>
          <w:tcPr>
            <w:tcW w:w="1248" w:type="pct"/>
          </w:tcPr>
          <w:p w14:paraId="48DACB70" w14:textId="77777777" w:rsidR="004A1D8A" w:rsidRPr="00CF15C7" w:rsidRDefault="004A1D8A" w:rsidP="00FF7417">
            <w:pPr>
              <w:pStyle w:val="Tabletext"/>
              <w:rPr>
                <w:szCs w:val="19"/>
              </w:rPr>
            </w:pPr>
            <w:r w:rsidRPr="00CF15C7">
              <w:rPr>
                <w:szCs w:val="19"/>
              </w:rPr>
              <w:t>Design</w:t>
            </w:r>
          </w:p>
        </w:tc>
        <w:tc>
          <w:tcPr>
            <w:tcW w:w="3752" w:type="pct"/>
          </w:tcPr>
          <w:p w14:paraId="0CBB5F35" w14:textId="40400967" w:rsidR="004A1D8A" w:rsidRPr="00CF15C7" w:rsidRDefault="004A1D8A" w:rsidP="00FF7417">
            <w:pPr>
              <w:pStyle w:val="Tabletext"/>
              <w:rPr>
                <w:szCs w:val="19"/>
              </w:rPr>
            </w:pPr>
            <w:r w:rsidRPr="00CF15C7">
              <w:rPr>
                <w:szCs w:val="19"/>
              </w:rPr>
              <w:t>Open</w:t>
            </w:r>
            <w:r w:rsidR="00EE6C4C" w:rsidRPr="00CF15C7">
              <w:rPr>
                <w:szCs w:val="19"/>
              </w:rPr>
              <w:t xml:space="preserve"> </w:t>
            </w:r>
            <w:r w:rsidRPr="00CF15C7">
              <w:rPr>
                <w:szCs w:val="19"/>
              </w:rPr>
              <w:t>label, three</w:t>
            </w:r>
            <w:r w:rsidR="00EE6C4C" w:rsidRPr="00CF15C7">
              <w:rPr>
                <w:szCs w:val="19"/>
              </w:rPr>
              <w:t xml:space="preserve"> </w:t>
            </w:r>
            <w:proofErr w:type="gramStart"/>
            <w:r w:rsidRPr="00CF15C7">
              <w:rPr>
                <w:szCs w:val="19"/>
              </w:rPr>
              <w:t>arm</w:t>
            </w:r>
            <w:proofErr w:type="gramEnd"/>
            <w:r w:rsidRPr="00CF15C7">
              <w:rPr>
                <w:szCs w:val="19"/>
              </w:rPr>
              <w:t xml:space="preserve"> (each of </w:t>
            </w:r>
            <w:r w:rsidR="00EE6C4C" w:rsidRPr="00CF15C7">
              <w:rPr>
                <w:szCs w:val="19"/>
              </w:rPr>
              <w:t xml:space="preserve">about </w:t>
            </w:r>
            <w:r w:rsidRPr="00CF15C7">
              <w:rPr>
                <w:szCs w:val="19"/>
              </w:rPr>
              <w:t>705 patients), randomised (1:1:1), active</w:t>
            </w:r>
            <w:r w:rsidR="00EE6C4C" w:rsidRPr="00CF15C7">
              <w:rPr>
                <w:szCs w:val="19"/>
              </w:rPr>
              <w:t xml:space="preserve"> </w:t>
            </w:r>
            <w:r w:rsidRPr="00CF15C7">
              <w:rPr>
                <w:szCs w:val="19"/>
              </w:rPr>
              <w:t>controlled trial.</w:t>
            </w:r>
          </w:p>
          <w:p w14:paraId="0B402DBA" w14:textId="77777777" w:rsidR="004A1D8A" w:rsidRPr="00CF15C7" w:rsidRDefault="004A1D8A" w:rsidP="00FF7417">
            <w:pPr>
              <w:pStyle w:val="Tabletext"/>
              <w:rPr>
                <w:szCs w:val="19"/>
              </w:rPr>
            </w:pPr>
            <w:r w:rsidRPr="00CF15C7">
              <w:rPr>
                <w:szCs w:val="19"/>
              </w:rPr>
              <w:t xml:space="preserve">Randomisation to be stratified by: </w:t>
            </w:r>
          </w:p>
          <w:p w14:paraId="3826F843" w14:textId="7EFBE2A2" w:rsidR="004A1D8A" w:rsidRPr="00CF15C7" w:rsidRDefault="00463066" w:rsidP="00FF7417">
            <w:pPr>
              <w:pStyle w:val="Tabletext"/>
              <w:rPr>
                <w:szCs w:val="19"/>
              </w:rPr>
            </w:pPr>
            <w:r>
              <w:t>Chemotherapy-free interval</w:t>
            </w:r>
            <w:r w:rsidR="004A1D8A" w:rsidRPr="00CF15C7">
              <w:rPr>
                <w:szCs w:val="19"/>
              </w:rPr>
              <w:t xml:space="preserve"> after first line </w:t>
            </w:r>
            <w:r>
              <w:rPr>
                <w:szCs w:val="19"/>
              </w:rPr>
              <w:t>(greater than or equal to</w:t>
            </w:r>
            <w:r w:rsidR="00EE6C4C" w:rsidRPr="00CF15C7">
              <w:rPr>
                <w:szCs w:val="19"/>
              </w:rPr>
              <w:t xml:space="preserve"> </w:t>
            </w:r>
            <w:r w:rsidR="004A1D8A" w:rsidRPr="00CF15C7">
              <w:rPr>
                <w:szCs w:val="19"/>
              </w:rPr>
              <w:t xml:space="preserve">90 </w:t>
            </w:r>
            <w:r>
              <w:rPr>
                <w:szCs w:val="19"/>
              </w:rPr>
              <w:t xml:space="preserve">days </w:t>
            </w:r>
            <w:r w:rsidR="004A1D8A" w:rsidRPr="00CF15C7">
              <w:rPr>
                <w:szCs w:val="19"/>
              </w:rPr>
              <w:t>(sensitive)</w:t>
            </w:r>
            <w:r w:rsidR="00CF15C7">
              <w:rPr>
                <w:szCs w:val="19"/>
              </w:rPr>
              <w:t xml:space="preserve"> verses</w:t>
            </w:r>
            <w:r w:rsidR="004A1D8A" w:rsidRPr="00CF15C7">
              <w:rPr>
                <w:szCs w:val="19"/>
              </w:rPr>
              <w:t xml:space="preserve"> </w:t>
            </w:r>
            <w:r>
              <w:rPr>
                <w:szCs w:val="19"/>
              </w:rPr>
              <w:t>less than</w:t>
            </w:r>
            <w:r w:rsidR="00EE6C4C" w:rsidRPr="00CF15C7">
              <w:rPr>
                <w:szCs w:val="19"/>
              </w:rPr>
              <w:t xml:space="preserve"> </w:t>
            </w:r>
            <w:r w:rsidR="004A1D8A" w:rsidRPr="00CF15C7">
              <w:rPr>
                <w:szCs w:val="19"/>
              </w:rPr>
              <w:t>90 days (resistant)</w:t>
            </w:r>
            <w:r w:rsidR="00EE6C4C" w:rsidRPr="00CF15C7">
              <w:rPr>
                <w:szCs w:val="19"/>
              </w:rPr>
              <w:t>)</w:t>
            </w:r>
          </w:p>
          <w:p w14:paraId="4A0EE4F3" w14:textId="6AAE8BDA" w:rsidR="004A1D8A" w:rsidRPr="00CF15C7" w:rsidRDefault="004A1D8A" w:rsidP="00FF7417">
            <w:pPr>
              <w:pStyle w:val="Tabletext"/>
              <w:rPr>
                <w:szCs w:val="19"/>
              </w:rPr>
            </w:pPr>
            <w:r w:rsidRPr="00CF15C7">
              <w:rPr>
                <w:szCs w:val="19"/>
              </w:rPr>
              <w:t xml:space="preserve">Prior anti-PD-(L)1 therapy </w:t>
            </w:r>
            <w:r w:rsidR="00EE6C4C" w:rsidRPr="00CF15C7">
              <w:rPr>
                <w:szCs w:val="19"/>
              </w:rPr>
              <w:t>(</w:t>
            </w:r>
            <w:r w:rsidRPr="00CF15C7">
              <w:rPr>
                <w:szCs w:val="19"/>
              </w:rPr>
              <w:t>Yes v</w:t>
            </w:r>
            <w:r w:rsidR="00EE6C4C" w:rsidRPr="00CF15C7">
              <w:rPr>
                <w:szCs w:val="19"/>
              </w:rPr>
              <w:t>er</w:t>
            </w:r>
            <w:r w:rsidRPr="00CF15C7">
              <w:rPr>
                <w:szCs w:val="19"/>
              </w:rPr>
              <w:t>s</w:t>
            </w:r>
            <w:r w:rsidR="00EE6C4C" w:rsidRPr="00CF15C7">
              <w:rPr>
                <w:szCs w:val="19"/>
              </w:rPr>
              <w:t>us</w:t>
            </w:r>
            <w:r w:rsidRPr="00CF15C7">
              <w:rPr>
                <w:szCs w:val="19"/>
              </w:rPr>
              <w:t xml:space="preserve"> No</w:t>
            </w:r>
            <w:r w:rsidR="00EE6C4C" w:rsidRPr="00CF15C7">
              <w:rPr>
                <w:szCs w:val="19"/>
              </w:rPr>
              <w:t>)</w:t>
            </w:r>
            <w:r w:rsidRPr="00CF15C7">
              <w:rPr>
                <w:szCs w:val="19"/>
              </w:rPr>
              <w:t xml:space="preserve"> </w:t>
            </w:r>
          </w:p>
          <w:p w14:paraId="38722A79" w14:textId="77777777" w:rsidR="004A1D8A" w:rsidRPr="00CF15C7" w:rsidRDefault="004A1D8A" w:rsidP="00FF7417">
            <w:pPr>
              <w:pStyle w:val="Tabletext"/>
              <w:rPr>
                <w:szCs w:val="19"/>
              </w:rPr>
            </w:pPr>
            <w:r w:rsidRPr="00CF15C7">
              <w:rPr>
                <w:szCs w:val="19"/>
              </w:rPr>
              <w:t>Enrolment of patients who have not received previous anti-PD-(L)1 therapy will be limited to 30%</w:t>
            </w:r>
          </w:p>
          <w:p w14:paraId="0ED448E4" w14:textId="2C1227AC" w:rsidR="004A1D8A" w:rsidRPr="00CF15C7" w:rsidRDefault="004A1D8A" w:rsidP="00FF7417">
            <w:pPr>
              <w:pStyle w:val="Tabletext"/>
              <w:rPr>
                <w:szCs w:val="19"/>
              </w:rPr>
            </w:pPr>
            <w:r w:rsidRPr="00CF15C7">
              <w:rPr>
                <w:szCs w:val="19"/>
              </w:rPr>
              <w:t xml:space="preserve">Baseline </w:t>
            </w:r>
            <w:r w:rsidR="00463066">
              <w:rPr>
                <w:szCs w:val="19"/>
              </w:rPr>
              <w:t>central nervous system</w:t>
            </w:r>
            <w:r w:rsidRPr="00CF15C7">
              <w:rPr>
                <w:szCs w:val="19"/>
              </w:rPr>
              <w:t xml:space="preserve"> involvement </w:t>
            </w:r>
            <w:r w:rsidR="00CF15C7">
              <w:rPr>
                <w:szCs w:val="19"/>
              </w:rPr>
              <w:t>(</w:t>
            </w:r>
            <w:r w:rsidRPr="00CF15C7">
              <w:rPr>
                <w:szCs w:val="19"/>
              </w:rPr>
              <w:t>Yes v</w:t>
            </w:r>
            <w:r w:rsidR="000C57FE">
              <w:rPr>
                <w:szCs w:val="19"/>
              </w:rPr>
              <w:t>ersu</w:t>
            </w:r>
            <w:r w:rsidRPr="00CF15C7">
              <w:rPr>
                <w:szCs w:val="19"/>
              </w:rPr>
              <w:t>s. No</w:t>
            </w:r>
            <w:r w:rsidR="00CF15C7">
              <w:rPr>
                <w:szCs w:val="19"/>
              </w:rPr>
              <w:t>)</w:t>
            </w:r>
          </w:p>
          <w:p w14:paraId="00FCF9A5" w14:textId="28EB80D3" w:rsidR="004A1D8A" w:rsidRPr="00CF15C7" w:rsidRDefault="004A1D8A" w:rsidP="00FF7417">
            <w:pPr>
              <w:pStyle w:val="Tabletext"/>
              <w:rPr>
                <w:szCs w:val="19"/>
              </w:rPr>
            </w:pPr>
            <w:r w:rsidRPr="00CF15C7">
              <w:rPr>
                <w:szCs w:val="19"/>
              </w:rPr>
              <w:t xml:space="preserve">Lactate dehydrogenase value </w:t>
            </w:r>
            <w:r w:rsidR="00CF15C7">
              <w:rPr>
                <w:szCs w:val="19"/>
              </w:rPr>
              <w:t>(greater than</w:t>
            </w:r>
            <w:r w:rsidR="00EE6C4C" w:rsidRPr="00CF15C7">
              <w:rPr>
                <w:szCs w:val="19"/>
              </w:rPr>
              <w:t xml:space="preserve"> </w:t>
            </w:r>
            <w:r w:rsidR="00463066">
              <w:rPr>
                <w:szCs w:val="19"/>
              </w:rPr>
              <w:t>upper limit of normal</w:t>
            </w:r>
            <w:r w:rsidRPr="00CF15C7">
              <w:rPr>
                <w:szCs w:val="19"/>
              </w:rPr>
              <w:t xml:space="preserve"> v</w:t>
            </w:r>
            <w:r w:rsidR="000C57FE">
              <w:rPr>
                <w:szCs w:val="19"/>
              </w:rPr>
              <w:t>ersus</w:t>
            </w:r>
            <w:r w:rsidRPr="00CF15C7">
              <w:rPr>
                <w:szCs w:val="19"/>
              </w:rPr>
              <w:t>.</w:t>
            </w:r>
            <w:r w:rsidR="00CF15C7">
              <w:rPr>
                <w:szCs w:val="19"/>
              </w:rPr>
              <w:t xml:space="preserve"> less than or equal to</w:t>
            </w:r>
            <w:r w:rsidR="00EE6C4C" w:rsidRPr="00CF15C7">
              <w:rPr>
                <w:szCs w:val="19"/>
              </w:rPr>
              <w:t xml:space="preserve"> </w:t>
            </w:r>
            <w:r w:rsidR="00463066">
              <w:rPr>
                <w:szCs w:val="19"/>
              </w:rPr>
              <w:t>upper limit of normal</w:t>
            </w:r>
            <w:r w:rsidR="00CF15C7">
              <w:rPr>
                <w:szCs w:val="19"/>
              </w:rPr>
              <w:t>)</w:t>
            </w:r>
          </w:p>
          <w:p w14:paraId="0401E5DE" w14:textId="1BEB5AC4" w:rsidR="004A1D8A" w:rsidRPr="00CF15C7" w:rsidRDefault="004A1D8A" w:rsidP="00FF7417">
            <w:pPr>
              <w:pStyle w:val="Tabletext"/>
              <w:rPr>
                <w:szCs w:val="19"/>
              </w:rPr>
            </w:pPr>
            <w:r w:rsidRPr="00CF15C7">
              <w:rPr>
                <w:szCs w:val="19"/>
              </w:rPr>
              <w:t xml:space="preserve">Investigator’s choice of comparator </w:t>
            </w:r>
            <w:r w:rsidR="00CF15C7">
              <w:rPr>
                <w:szCs w:val="19"/>
              </w:rPr>
              <w:t>(</w:t>
            </w:r>
            <w:r w:rsidRPr="00CF15C7">
              <w:rPr>
                <w:szCs w:val="19"/>
              </w:rPr>
              <w:t>topotecan v</w:t>
            </w:r>
            <w:r w:rsidR="000C57FE">
              <w:rPr>
                <w:szCs w:val="19"/>
              </w:rPr>
              <w:t>ersu</w:t>
            </w:r>
            <w:r w:rsidRPr="00CF15C7">
              <w:rPr>
                <w:szCs w:val="19"/>
              </w:rPr>
              <w:t>s. irinotecan</w:t>
            </w:r>
            <w:r w:rsidR="00CF15C7">
              <w:rPr>
                <w:szCs w:val="19"/>
              </w:rPr>
              <w:t>)</w:t>
            </w:r>
          </w:p>
        </w:tc>
      </w:tr>
      <w:tr w:rsidR="004A1D8A" w:rsidRPr="00483686" w14:paraId="7C12E595" w14:textId="77777777" w:rsidTr="002C05F8">
        <w:tc>
          <w:tcPr>
            <w:tcW w:w="1248" w:type="pct"/>
          </w:tcPr>
          <w:p w14:paraId="34F4645B" w14:textId="77777777" w:rsidR="004A1D8A" w:rsidRPr="00CF15C7" w:rsidRDefault="004A1D8A" w:rsidP="00FF7417">
            <w:pPr>
              <w:pStyle w:val="Tabletext"/>
              <w:rPr>
                <w:szCs w:val="19"/>
              </w:rPr>
            </w:pPr>
            <w:r w:rsidRPr="00CF15C7">
              <w:rPr>
                <w:szCs w:val="19"/>
              </w:rPr>
              <w:t>Population</w:t>
            </w:r>
          </w:p>
        </w:tc>
        <w:tc>
          <w:tcPr>
            <w:tcW w:w="3752" w:type="pct"/>
          </w:tcPr>
          <w:p w14:paraId="1EBAB733" w14:textId="17B1A465" w:rsidR="004A1D8A" w:rsidRPr="00CF15C7" w:rsidRDefault="004A1D8A" w:rsidP="00FF7417">
            <w:pPr>
              <w:pStyle w:val="Tabletext"/>
              <w:rPr>
                <w:szCs w:val="19"/>
              </w:rPr>
            </w:pPr>
            <w:r w:rsidRPr="00CF15C7">
              <w:rPr>
                <w:szCs w:val="19"/>
              </w:rPr>
              <w:t>Adult patients with ECOG PS</w:t>
            </w:r>
            <w:r w:rsidR="000C57FE">
              <w:rPr>
                <w:szCs w:val="19"/>
              </w:rPr>
              <w:t>;</w:t>
            </w:r>
            <w:r w:rsidR="00CF15C7" w:rsidRPr="00CF15C7">
              <w:rPr>
                <w:szCs w:val="19"/>
                <w:vertAlign w:val="superscript"/>
              </w:rPr>
              <w:fldChar w:fldCharType="begin"/>
            </w:r>
            <w:r w:rsidR="00CF15C7" w:rsidRPr="00CF15C7">
              <w:rPr>
                <w:szCs w:val="19"/>
                <w:vertAlign w:val="superscript"/>
              </w:rPr>
              <w:instrText xml:space="preserve"> NOTEREF _Ref96682884 \h </w:instrText>
            </w:r>
            <w:r w:rsidR="00CF15C7">
              <w:rPr>
                <w:szCs w:val="19"/>
                <w:vertAlign w:val="superscript"/>
              </w:rPr>
              <w:instrText xml:space="preserve"> \* MERGEFORMAT </w:instrText>
            </w:r>
            <w:r w:rsidR="00CF15C7" w:rsidRPr="00CF15C7">
              <w:rPr>
                <w:szCs w:val="19"/>
                <w:vertAlign w:val="superscript"/>
              </w:rPr>
            </w:r>
            <w:r w:rsidR="00CF15C7" w:rsidRPr="00CF15C7">
              <w:rPr>
                <w:szCs w:val="19"/>
                <w:vertAlign w:val="superscript"/>
              </w:rPr>
              <w:fldChar w:fldCharType="separate"/>
            </w:r>
            <w:r w:rsidR="00CF15C7" w:rsidRPr="00CF15C7">
              <w:rPr>
                <w:szCs w:val="19"/>
                <w:vertAlign w:val="superscript"/>
              </w:rPr>
              <w:t>37</w:t>
            </w:r>
            <w:r w:rsidR="00CF15C7" w:rsidRPr="00CF15C7">
              <w:rPr>
                <w:szCs w:val="19"/>
                <w:vertAlign w:val="superscript"/>
              </w:rPr>
              <w:fldChar w:fldCharType="end"/>
            </w:r>
            <w:r w:rsidRPr="00CF15C7">
              <w:rPr>
                <w:szCs w:val="19"/>
              </w:rPr>
              <w:t xml:space="preserve"> </w:t>
            </w:r>
            <w:r w:rsidR="00CF15C7">
              <w:rPr>
                <w:szCs w:val="19"/>
              </w:rPr>
              <w:t>less than or equal to</w:t>
            </w:r>
            <w:r w:rsidR="00EE6C4C" w:rsidRPr="00CF15C7">
              <w:rPr>
                <w:szCs w:val="19"/>
              </w:rPr>
              <w:t xml:space="preserve"> </w:t>
            </w:r>
            <w:r w:rsidRPr="00CF15C7">
              <w:rPr>
                <w:szCs w:val="19"/>
              </w:rPr>
              <w:t xml:space="preserve">2 who have advanced </w:t>
            </w:r>
            <w:r w:rsidR="00463066">
              <w:rPr>
                <w:szCs w:val="19"/>
              </w:rPr>
              <w:t>small cell lung cancer</w:t>
            </w:r>
            <w:r w:rsidRPr="00CF15C7">
              <w:rPr>
                <w:szCs w:val="19"/>
              </w:rPr>
              <w:t xml:space="preserve"> that has progressed after one prior line of platinum-containing therapy with a </w:t>
            </w:r>
            <w:r w:rsidR="00463066">
              <w:t>chemotherapy-free interval</w:t>
            </w:r>
            <w:r w:rsidRPr="00CF15C7">
              <w:rPr>
                <w:szCs w:val="19"/>
              </w:rPr>
              <w:t xml:space="preserve"> of at least 30 days and controlled, asymptomatic </w:t>
            </w:r>
            <w:r w:rsidR="00463066">
              <w:rPr>
                <w:szCs w:val="19"/>
              </w:rPr>
              <w:t>central nervous system</w:t>
            </w:r>
            <w:r w:rsidRPr="00CF15C7">
              <w:rPr>
                <w:szCs w:val="19"/>
              </w:rPr>
              <w:t xml:space="preserve"> disease, if present. </w:t>
            </w:r>
          </w:p>
        </w:tc>
      </w:tr>
      <w:tr w:rsidR="004A1D8A" w:rsidRPr="00483686" w14:paraId="31728880" w14:textId="77777777" w:rsidTr="002C05F8">
        <w:tc>
          <w:tcPr>
            <w:tcW w:w="1248" w:type="pct"/>
          </w:tcPr>
          <w:p w14:paraId="7BFE7EF6" w14:textId="77777777" w:rsidR="004A1D8A" w:rsidRPr="00CF15C7" w:rsidRDefault="004A1D8A" w:rsidP="00FF7417">
            <w:pPr>
              <w:pStyle w:val="Tabletext"/>
              <w:rPr>
                <w:szCs w:val="19"/>
              </w:rPr>
            </w:pPr>
            <w:r w:rsidRPr="00CF15C7">
              <w:rPr>
                <w:szCs w:val="19"/>
              </w:rPr>
              <w:t>Interventions</w:t>
            </w:r>
          </w:p>
        </w:tc>
        <w:tc>
          <w:tcPr>
            <w:tcW w:w="3752" w:type="pct"/>
          </w:tcPr>
          <w:p w14:paraId="6D598AB1" w14:textId="77777777" w:rsidR="004A1D8A" w:rsidRPr="00CF15C7" w:rsidRDefault="004A1D8A" w:rsidP="00FF7417">
            <w:pPr>
              <w:pStyle w:val="Tabletext"/>
              <w:rPr>
                <w:szCs w:val="19"/>
              </w:rPr>
            </w:pPr>
            <w:r w:rsidRPr="00CF15C7">
              <w:rPr>
                <w:szCs w:val="19"/>
              </w:rPr>
              <w:t xml:space="preserve">Arm A (lurbinectedin monotherapy): </w:t>
            </w:r>
          </w:p>
          <w:p w14:paraId="1F2A94B9" w14:textId="52AF56B4" w:rsidR="004A1D8A" w:rsidRPr="00CF15C7" w:rsidRDefault="004A1D8A" w:rsidP="00FF7417">
            <w:pPr>
              <w:pStyle w:val="Tabletext"/>
              <w:rPr>
                <w:szCs w:val="19"/>
              </w:rPr>
            </w:pPr>
            <w:r w:rsidRPr="00CF15C7">
              <w:rPr>
                <w:szCs w:val="19"/>
              </w:rPr>
              <w:t>Lurbinectedin 3.2 mg/m</w:t>
            </w:r>
            <w:r w:rsidRPr="00CF15C7">
              <w:rPr>
                <w:szCs w:val="19"/>
                <w:vertAlign w:val="superscript"/>
              </w:rPr>
              <w:t>2</w:t>
            </w:r>
            <w:r w:rsidRPr="00CF15C7">
              <w:rPr>
                <w:szCs w:val="19"/>
              </w:rPr>
              <w:t xml:space="preserve"> IV as a </w:t>
            </w:r>
            <w:proofErr w:type="gramStart"/>
            <w:r w:rsidRPr="00CF15C7">
              <w:rPr>
                <w:szCs w:val="19"/>
              </w:rPr>
              <w:t>60</w:t>
            </w:r>
            <w:r w:rsidR="00EE6C4C" w:rsidRPr="00CF15C7">
              <w:rPr>
                <w:szCs w:val="19"/>
              </w:rPr>
              <w:t xml:space="preserve"> </w:t>
            </w:r>
            <w:r w:rsidRPr="00CF15C7">
              <w:rPr>
                <w:szCs w:val="19"/>
              </w:rPr>
              <w:t>min</w:t>
            </w:r>
            <w:r w:rsidR="00EE6C4C" w:rsidRPr="00CF15C7">
              <w:rPr>
                <w:szCs w:val="19"/>
              </w:rPr>
              <w:t>ute</w:t>
            </w:r>
            <w:proofErr w:type="gramEnd"/>
            <w:r w:rsidRPr="00CF15C7">
              <w:rPr>
                <w:szCs w:val="19"/>
              </w:rPr>
              <w:t xml:space="preserve"> infusion on Day 1 of each 21 day cycle</w:t>
            </w:r>
          </w:p>
          <w:p w14:paraId="3F9850C1" w14:textId="77777777" w:rsidR="004A1D8A" w:rsidRPr="00CF15C7" w:rsidRDefault="004A1D8A" w:rsidP="00FF7417">
            <w:pPr>
              <w:pStyle w:val="Tabletext"/>
              <w:rPr>
                <w:szCs w:val="19"/>
              </w:rPr>
            </w:pPr>
            <w:r w:rsidRPr="00CF15C7">
              <w:rPr>
                <w:szCs w:val="19"/>
              </w:rPr>
              <w:t>Arm B (lurbinectedin plus irinotecan):</w:t>
            </w:r>
          </w:p>
          <w:p w14:paraId="515EC3E5" w14:textId="2B9E15CD" w:rsidR="004A1D8A" w:rsidRPr="00CF15C7" w:rsidRDefault="004A1D8A" w:rsidP="00FF7417">
            <w:pPr>
              <w:pStyle w:val="Tabletext"/>
              <w:rPr>
                <w:szCs w:val="19"/>
              </w:rPr>
            </w:pPr>
            <w:r w:rsidRPr="00CF15C7">
              <w:rPr>
                <w:szCs w:val="19"/>
              </w:rPr>
              <w:t>Irinotecan 75 mg/m</w:t>
            </w:r>
            <w:r w:rsidRPr="00CF15C7">
              <w:rPr>
                <w:szCs w:val="19"/>
                <w:vertAlign w:val="superscript"/>
              </w:rPr>
              <w:t>2</w:t>
            </w:r>
            <w:r w:rsidRPr="00CF15C7">
              <w:rPr>
                <w:szCs w:val="19"/>
              </w:rPr>
              <w:t xml:space="preserve"> IV as a </w:t>
            </w:r>
            <w:proofErr w:type="gramStart"/>
            <w:r w:rsidRPr="00CF15C7">
              <w:rPr>
                <w:szCs w:val="19"/>
              </w:rPr>
              <w:t>90</w:t>
            </w:r>
            <w:r w:rsidR="00EE6C4C" w:rsidRPr="00CF15C7">
              <w:rPr>
                <w:szCs w:val="19"/>
              </w:rPr>
              <w:t xml:space="preserve"> </w:t>
            </w:r>
            <w:r w:rsidRPr="00CF15C7">
              <w:rPr>
                <w:szCs w:val="19"/>
              </w:rPr>
              <w:t>min</w:t>
            </w:r>
            <w:r w:rsidR="00EE6C4C" w:rsidRPr="00CF15C7">
              <w:rPr>
                <w:szCs w:val="19"/>
              </w:rPr>
              <w:t>ute</w:t>
            </w:r>
            <w:proofErr w:type="gramEnd"/>
            <w:r w:rsidRPr="00CF15C7">
              <w:rPr>
                <w:szCs w:val="19"/>
              </w:rPr>
              <w:t xml:space="preserve"> infusion on Day 1 and Day 8 of each 21 day cycle, plus </w:t>
            </w:r>
          </w:p>
          <w:p w14:paraId="3B8E027B" w14:textId="77777777" w:rsidR="004A1D8A" w:rsidRPr="00CF15C7" w:rsidRDefault="004A1D8A" w:rsidP="00FF7417">
            <w:pPr>
              <w:pStyle w:val="Tabletext"/>
              <w:rPr>
                <w:szCs w:val="19"/>
              </w:rPr>
            </w:pPr>
            <w:r w:rsidRPr="00CF15C7">
              <w:rPr>
                <w:szCs w:val="19"/>
              </w:rPr>
              <w:t xml:space="preserve">Lurbinectedin 2.0 mg/m2 IV as a 60-min infusion on Day 1 of each </w:t>
            </w:r>
            <w:proofErr w:type="gramStart"/>
            <w:r w:rsidRPr="00CF15C7">
              <w:rPr>
                <w:szCs w:val="19"/>
              </w:rPr>
              <w:t>21 day</w:t>
            </w:r>
            <w:proofErr w:type="gramEnd"/>
            <w:r w:rsidRPr="00CF15C7">
              <w:rPr>
                <w:szCs w:val="19"/>
              </w:rPr>
              <w:t xml:space="preserve"> cycle</w:t>
            </w:r>
          </w:p>
          <w:p w14:paraId="5201FDCD" w14:textId="23383478" w:rsidR="004A1D8A" w:rsidRPr="00CF15C7" w:rsidRDefault="00CF15C7" w:rsidP="00FF7417">
            <w:pPr>
              <w:pStyle w:val="Tabletext"/>
              <w:rPr>
                <w:szCs w:val="19"/>
              </w:rPr>
            </w:pPr>
            <w:r w:rsidRPr="00CF15C7">
              <w:rPr>
                <w:szCs w:val="19"/>
              </w:rPr>
              <w:t>Granulocyte colony-stimulating factor</w:t>
            </w:r>
            <w:r>
              <w:rPr>
                <w:szCs w:val="19"/>
              </w:rPr>
              <w:t xml:space="preserve"> </w:t>
            </w:r>
            <w:r w:rsidR="004A1D8A" w:rsidRPr="00CF15C7">
              <w:rPr>
                <w:szCs w:val="19"/>
              </w:rPr>
              <w:t xml:space="preserve">on Day 1 of each </w:t>
            </w:r>
            <w:proofErr w:type="gramStart"/>
            <w:r w:rsidR="004A1D8A" w:rsidRPr="00CF15C7">
              <w:rPr>
                <w:szCs w:val="19"/>
              </w:rPr>
              <w:t>21 day</w:t>
            </w:r>
            <w:proofErr w:type="gramEnd"/>
            <w:r w:rsidR="004A1D8A" w:rsidRPr="00CF15C7">
              <w:rPr>
                <w:szCs w:val="19"/>
              </w:rPr>
              <w:t xml:space="preserve"> cycle</w:t>
            </w:r>
          </w:p>
        </w:tc>
      </w:tr>
      <w:tr w:rsidR="004A1D8A" w:rsidRPr="00483686" w14:paraId="2EFC3BF4" w14:textId="77777777" w:rsidTr="002C05F8">
        <w:tc>
          <w:tcPr>
            <w:tcW w:w="1248" w:type="pct"/>
          </w:tcPr>
          <w:p w14:paraId="11EB66FA" w14:textId="77777777" w:rsidR="004A1D8A" w:rsidRPr="00CF15C7" w:rsidRDefault="004A1D8A" w:rsidP="00FF7417">
            <w:pPr>
              <w:pStyle w:val="Tabletext"/>
              <w:rPr>
                <w:szCs w:val="19"/>
              </w:rPr>
            </w:pPr>
            <w:r w:rsidRPr="00CF15C7">
              <w:rPr>
                <w:szCs w:val="19"/>
              </w:rPr>
              <w:t>Comparator</w:t>
            </w:r>
          </w:p>
        </w:tc>
        <w:tc>
          <w:tcPr>
            <w:tcW w:w="3752" w:type="pct"/>
          </w:tcPr>
          <w:p w14:paraId="0EDA3B72" w14:textId="77777777" w:rsidR="004A1D8A" w:rsidRPr="00CF15C7" w:rsidRDefault="004A1D8A" w:rsidP="00FF7417">
            <w:pPr>
              <w:pStyle w:val="Tabletext"/>
              <w:rPr>
                <w:szCs w:val="19"/>
              </w:rPr>
            </w:pPr>
            <w:r w:rsidRPr="00CF15C7">
              <w:rPr>
                <w:szCs w:val="19"/>
              </w:rPr>
              <w:t>Arm C (single agent chemotherapy):</w:t>
            </w:r>
          </w:p>
          <w:p w14:paraId="652747D9" w14:textId="6DB9F664" w:rsidR="004A1D8A" w:rsidRPr="00CF15C7" w:rsidRDefault="004A1D8A" w:rsidP="00FF7417">
            <w:pPr>
              <w:pStyle w:val="Tabletext"/>
              <w:rPr>
                <w:szCs w:val="19"/>
              </w:rPr>
            </w:pPr>
            <w:r w:rsidRPr="00CF15C7">
              <w:rPr>
                <w:szCs w:val="19"/>
              </w:rPr>
              <w:t>Investigator’s choice of topotecan or irinotecan, both at standard doses.</w:t>
            </w:r>
          </w:p>
        </w:tc>
      </w:tr>
      <w:tr w:rsidR="004A1D8A" w:rsidRPr="00483686" w14:paraId="2A71FFE2" w14:textId="77777777" w:rsidTr="00A41C10">
        <w:trPr>
          <w:cantSplit/>
          <w:trHeight w:val="67"/>
        </w:trPr>
        <w:tc>
          <w:tcPr>
            <w:tcW w:w="0" w:type="pct"/>
          </w:tcPr>
          <w:p w14:paraId="1D94DD9A" w14:textId="77777777" w:rsidR="004A1D8A" w:rsidRPr="00CF15C7" w:rsidRDefault="004A1D8A" w:rsidP="00FF7417">
            <w:pPr>
              <w:pStyle w:val="Tabletext"/>
              <w:rPr>
                <w:szCs w:val="19"/>
              </w:rPr>
            </w:pPr>
            <w:r w:rsidRPr="00CF15C7">
              <w:rPr>
                <w:szCs w:val="19"/>
              </w:rPr>
              <w:lastRenderedPageBreak/>
              <w:t>Outcomes</w:t>
            </w:r>
          </w:p>
        </w:tc>
        <w:tc>
          <w:tcPr>
            <w:tcW w:w="0" w:type="pct"/>
          </w:tcPr>
          <w:p w14:paraId="73062E3D" w14:textId="0B7BF081" w:rsidR="004A1D8A" w:rsidRPr="00CF15C7" w:rsidRDefault="004A1D8A" w:rsidP="00FF7417">
            <w:pPr>
              <w:pStyle w:val="Tabletext"/>
              <w:rPr>
                <w:szCs w:val="19"/>
              </w:rPr>
            </w:pPr>
            <w:r w:rsidRPr="00CF15C7">
              <w:rPr>
                <w:szCs w:val="19"/>
              </w:rPr>
              <w:t xml:space="preserve">Primary: </w:t>
            </w:r>
            <w:r w:rsidR="005B4048" w:rsidRPr="00CF15C7">
              <w:rPr>
                <w:szCs w:val="19"/>
              </w:rPr>
              <w:t xml:space="preserve">overall survival </w:t>
            </w:r>
            <w:r w:rsidRPr="00CF15C7">
              <w:rPr>
                <w:szCs w:val="19"/>
              </w:rPr>
              <w:t>(A versus C) and (B versus C)</w:t>
            </w:r>
          </w:p>
          <w:p w14:paraId="4F28DD6F" w14:textId="2F05E294" w:rsidR="004A1D8A" w:rsidRPr="00CF15C7" w:rsidRDefault="004A1D8A" w:rsidP="00FF7417">
            <w:pPr>
              <w:pStyle w:val="Tabletext"/>
              <w:rPr>
                <w:szCs w:val="19"/>
              </w:rPr>
            </w:pPr>
            <w:r w:rsidRPr="00CF15C7">
              <w:rPr>
                <w:szCs w:val="19"/>
              </w:rPr>
              <w:t xml:space="preserve">Secondary: </w:t>
            </w:r>
            <w:r w:rsidR="00530B20" w:rsidRPr="00CF15C7">
              <w:rPr>
                <w:szCs w:val="19"/>
              </w:rPr>
              <w:t>progression-free survival</w:t>
            </w:r>
            <w:r w:rsidRPr="00CF15C7">
              <w:rPr>
                <w:szCs w:val="19"/>
              </w:rPr>
              <w:t xml:space="preserve">, </w:t>
            </w:r>
            <w:r w:rsidR="00463066">
              <w:rPr>
                <w:szCs w:val="19"/>
              </w:rPr>
              <w:t>o</w:t>
            </w:r>
            <w:r w:rsidR="00463066" w:rsidRPr="00463066">
              <w:rPr>
                <w:szCs w:val="19"/>
              </w:rPr>
              <w:t>bjective response rate</w:t>
            </w:r>
            <w:r w:rsidRPr="00CF15C7">
              <w:rPr>
                <w:szCs w:val="19"/>
              </w:rPr>
              <w:t xml:space="preserve">, </w:t>
            </w:r>
            <w:r w:rsidR="00463066">
              <w:rPr>
                <w:szCs w:val="19"/>
              </w:rPr>
              <w:t>d</w:t>
            </w:r>
            <w:r w:rsidR="00463066" w:rsidRPr="00463066">
              <w:rPr>
                <w:szCs w:val="19"/>
              </w:rPr>
              <w:t>uration of response</w:t>
            </w:r>
            <w:r w:rsidRPr="00CF15C7">
              <w:rPr>
                <w:szCs w:val="19"/>
              </w:rPr>
              <w:t xml:space="preserve"> comparison of </w:t>
            </w:r>
            <w:r w:rsidR="00463066">
              <w:rPr>
                <w:szCs w:val="19"/>
              </w:rPr>
              <w:t>c</w:t>
            </w:r>
            <w:r w:rsidR="00463066" w:rsidRPr="00463066">
              <w:rPr>
                <w:szCs w:val="19"/>
              </w:rPr>
              <w:t xml:space="preserve">hemotherapy-free </w:t>
            </w:r>
            <w:proofErr w:type="gramStart"/>
            <w:r w:rsidR="00463066" w:rsidRPr="00463066">
              <w:rPr>
                <w:szCs w:val="19"/>
              </w:rPr>
              <w:t xml:space="preserve">interval </w:t>
            </w:r>
            <w:r w:rsidRPr="00CF15C7">
              <w:rPr>
                <w:szCs w:val="19"/>
              </w:rPr>
              <w:t>based</w:t>
            </w:r>
            <w:proofErr w:type="gramEnd"/>
            <w:r w:rsidRPr="00CF15C7">
              <w:rPr>
                <w:szCs w:val="19"/>
              </w:rPr>
              <w:t xml:space="preserve"> subgroups, safety, patient-reported outcomes</w:t>
            </w:r>
            <w:r w:rsidR="000C57FE">
              <w:rPr>
                <w:szCs w:val="19"/>
              </w:rPr>
              <w:t>.</w:t>
            </w:r>
          </w:p>
          <w:p w14:paraId="6DC3CE27" w14:textId="0FD20549" w:rsidR="004A1D8A" w:rsidRPr="00CF15C7" w:rsidRDefault="004A1D8A" w:rsidP="00FF7417">
            <w:pPr>
              <w:pStyle w:val="Tabletext"/>
              <w:rPr>
                <w:szCs w:val="19"/>
              </w:rPr>
            </w:pPr>
            <w:r w:rsidRPr="00CF15C7">
              <w:rPr>
                <w:szCs w:val="19"/>
              </w:rPr>
              <w:t xml:space="preserve">Exploratory: compare Arm A and Arm B to subgroups of Arm C based on choice of control therapy (topotecan or irinotecan), compare Arm A and Arm B to each other, </w:t>
            </w:r>
            <w:proofErr w:type="gramStart"/>
            <w:r w:rsidR="00463066">
              <w:rPr>
                <w:szCs w:val="19"/>
              </w:rPr>
              <w:t>pharmacokinetics</w:t>
            </w:r>
            <w:proofErr w:type="gramEnd"/>
            <w:r w:rsidRPr="00CF15C7">
              <w:rPr>
                <w:szCs w:val="19"/>
              </w:rPr>
              <w:t xml:space="preserve"> and pharmacogenomics</w:t>
            </w:r>
            <w:r w:rsidR="000C57FE">
              <w:rPr>
                <w:szCs w:val="19"/>
              </w:rPr>
              <w:t>.</w:t>
            </w:r>
          </w:p>
          <w:p w14:paraId="0BC89E6A" w14:textId="77777777" w:rsidR="004A1D8A" w:rsidRPr="00CF15C7" w:rsidRDefault="004A1D8A" w:rsidP="00FF7417">
            <w:pPr>
              <w:pStyle w:val="Tabletext"/>
              <w:rPr>
                <w:szCs w:val="19"/>
              </w:rPr>
            </w:pPr>
            <w:r w:rsidRPr="00CF15C7">
              <w:rPr>
                <w:szCs w:val="19"/>
              </w:rPr>
              <w:t>The study plans to produce anonymised copies of tumour response assessment imaging for potential blinded independent radiological review.</w:t>
            </w:r>
          </w:p>
        </w:tc>
      </w:tr>
      <w:tr w:rsidR="004A1D8A" w:rsidRPr="00483686" w14:paraId="45F24799" w14:textId="77777777" w:rsidTr="002C05F8">
        <w:trPr>
          <w:trHeight w:val="67"/>
        </w:trPr>
        <w:tc>
          <w:tcPr>
            <w:tcW w:w="1248" w:type="pct"/>
          </w:tcPr>
          <w:p w14:paraId="72723D7E" w14:textId="77777777" w:rsidR="004A1D8A" w:rsidRPr="00CF15C7" w:rsidRDefault="004A1D8A" w:rsidP="00FF7417">
            <w:pPr>
              <w:pStyle w:val="Tabletext"/>
              <w:rPr>
                <w:szCs w:val="19"/>
              </w:rPr>
            </w:pPr>
            <w:r w:rsidRPr="00CF15C7">
              <w:rPr>
                <w:szCs w:val="19"/>
              </w:rPr>
              <w:t>Statistical plan</w:t>
            </w:r>
          </w:p>
        </w:tc>
        <w:tc>
          <w:tcPr>
            <w:tcW w:w="3752" w:type="pct"/>
          </w:tcPr>
          <w:p w14:paraId="23ADF40D" w14:textId="6EF8E08D" w:rsidR="004A1D8A" w:rsidRPr="00CF15C7" w:rsidRDefault="004A1D8A" w:rsidP="00FF7417">
            <w:pPr>
              <w:pStyle w:val="Tabletext"/>
              <w:rPr>
                <w:szCs w:val="19"/>
              </w:rPr>
            </w:pPr>
            <w:r w:rsidRPr="00CF15C7">
              <w:rPr>
                <w:szCs w:val="19"/>
              </w:rPr>
              <w:t xml:space="preserve">Comparison of </w:t>
            </w:r>
            <w:r w:rsidR="00463066">
              <w:rPr>
                <w:szCs w:val="19"/>
              </w:rPr>
              <w:t>overall survival</w:t>
            </w:r>
            <w:r w:rsidRPr="00CF15C7">
              <w:rPr>
                <w:szCs w:val="19"/>
              </w:rPr>
              <w:t xml:space="preserve"> (primary endpoint) will be done by log rank test, using a fallback testing procedure with loop</w:t>
            </w:r>
            <w:r w:rsidR="002C2A0D">
              <w:rPr>
                <w:szCs w:val="19"/>
              </w:rPr>
              <w:t xml:space="preserve"> </w:t>
            </w:r>
            <w:r w:rsidRPr="00CF15C7">
              <w:rPr>
                <w:szCs w:val="19"/>
              </w:rPr>
              <w:t>back alpha passing, and an uneven split of alpha:</w:t>
            </w:r>
          </w:p>
          <w:p w14:paraId="63785224" w14:textId="25359C8F" w:rsidR="004A1D8A" w:rsidRPr="00CF15C7" w:rsidRDefault="002C2A0D" w:rsidP="00FF7417">
            <w:pPr>
              <w:pStyle w:val="Tabletext"/>
              <w:rPr>
                <w:szCs w:val="19"/>
              </w:rPr>
            </w:pPr>
            <w:r w:rsidRPr="00CF15C7">
              <w:rPr>
                <w:szCs w:val="19"/>
              </w:rPr>
              <w:t>A</w:t>
            </w:r>
            <w:r w:rsidR="004A1D8A" w:rsidRPr="00CF15C7">
              <w:rPr>
                <w:szCs w:val="19"/>
              </w:rPr>
              <w:t>lpha</w:t>
            </w:r>
            <w:r>
              <w:rPr>
                <w:szCs w:val="19"/>
              </w:rPr>
              <w:t xml:space="preserve"> </w:t>
            </w:r>
            <w:r w:rsidR="004A1D8A" w:rsidRPr="00CF15C7">
              <w:rPr>
                <w:szCs w:val="19"/>
              </w:rPr>
              <w:t>=</w:t>
            </w:r>
            <w:r>
              <w:rPr>
                <w:szCs w:val="19"/>
              </w:rPr>
              <w:t xml:space="preserve"> </w:t>
            </w:r>
            <w:r w:rsidR="004A1D8A" w:rsidRPr="00CF15C7">
              <w:rPr>
                <w:szCs w:val="19"/>
              </w:rPr>
              <w:t xml:space="preserve">0.04 for the first comparison of A </w:t>
            </w:r>
            <w:r>
              <w:rPr>
                <w:szCs w:val="19"/>
              </w:rPr>
              <w:t>vers</w:t>
            </w:r>
            <w:r w:rsidR="00B83074">
              <w:rPr>
                <w:szCs w:val="19"/>
              </w:rPr>
              <w:t>u</w:t>
            </w:r>
            <w:r>
              <w:rPr>
                <w:szCs w:val="19"/>
              </w:rPr>
              <w:t>s</w:t>
            </w:r>
            <w:r w:rsidR="004A1D8A" w:rsidRPr="00CF15C7">
              <w:rPr>
                <w:szCs w:val="19"/>
              </w:rPr>
              <w:t xml:space="preserve"> C</w:t>
            </w:r>
            <w:r>
              <w:rPr>
                <w:szCs w:val="19"/>
              </w:rPr>
              <w:t>.</w:t>
            </w:r>
          </w:p>
          <w:p w14:paraId="19F40A7E" w14:textId="14C3D226" w:rsidR="004A1D8A" w:rsidRPr="00CF15C7" w:rsidRDefault="002C2A0D" w:rsidP="00FF7417">
            <w:pPr>
              <w:pStyle w:val="Tabletext"/>
              <w:rPr>
                <w:szCs w:val="19"/>
              </w:rPr>
            </w:pPr>
            <w:r w:rsidRPr="00CF15C7">
              <w:rPr>
                <w:szCs w:val="19"/>
              </w:rPr>
              <w:t>A</w:t>
            </w:r>
            <w:r w:rsidR="004A1D8A" w:rsidRPr="00CF15C7">
              <w:rPr>
                <w:szCs w:val="19"/>
              </w:rPr>
              <w:t>lpha</w:t>
            </w:r>
            <w:r>
              <w:rPr>
                <w:szCs w:val="19"/>
              </w:rPr>
              <w:t xml:space="preserve"> </w:t>
            </w:r>
            <w:r w:rsidR="004A1D8A" w:rsidRPr="00CF15C7">
              <w:rPr>
                <w:szCs w:val="19"/>
              </w:rPr>
              <w:t>=</w:t>
            </w:r>
            <w:r>
              <w:rPr>
                <w:szCs w:val="19"/>
              </w:rPr>
              <w:t xml:space="preserve"> </w:t>
            </w:r>
            <w:r w:rsidR="004A1D8A" w:rsidRPr="00CF15C7">
              <w:rPr>
                <w:szCs w:val="19"/>
              </w:rPr>
              <w:t xml:space="preserve">0.01 for the second comparison of B </w:t>
            </w:r>
            <w:r>
              <w:rPr>
                <w:szCs w:val="19"/>
              </w:rPr>
              <w:t>vers</w:t>
            </w:r>
            <w:r w:rsidR="00B83074">
              <w:rPr>
                <w:szCs w:val="19"/>
              </w:rPr>
              <w:t>u</w:t>
            </w:r>
            <w:r>
              <w:rPr>
                <w:szCs w:val="19"/>
              </w:rPr>
              <w:t>s</w:t>
            </w:r>
            <w:r w:rsidR="004A1D8A" w:rsidRPr="00CF15C7">
              <w:rPr>
                <w:szCs w:val="19"/>
              </w:rPr>
              <w:t xml:space="preserve"> C</w:t>
            </w:r>
            <w:r>
              <w:rPr>
                <w:szCs w:val="19"/>
              </w:rPr>
              <w:t>.</w:t>
            </w:r>
          </w:p>
          <w:p w14:paraId="42434E54" w14:textId="7672F9F8" w:rsidR="004A1D8A" w:rsidRPr="00CF15C7" w:rsidRDefault="004A1D8A" w:rsidP="00FF7417">
            <w:pPr>
              <w:pStyle w:val="Tabletext"/>
              <w:rPr>
                <w:szCs w:val="19"/>
              </w:rPr>
            </w:pPr>
            <w:r w:rsidRPr="00CF15C7">
              <w:rPr>
                <w:szCs w:val="19"/>
              </w:rPr>
              <w:t>An independent data monitoring committee will have oversight of the study.</w:t>
            </w:r>
          </w:p>
          <w:p w14:paraId="2B20BC17" w14:textId="7898CD1C" w:rsidR="004A1D8A" w:rsidRPr="00CF15C7" w:rsidRDefault="004A1D8A" w:rsidP="00FF7417">
            <w:pPr>
              <w:pStyle w:val="Tabletext"/>
              <w:rPr>
                <w:szCs w:val="19"/>
              </w:rPr>
            </w:pPr>
            <w:r w:rsidRPr="00CF15C7">
              <w:rPr>
                <w:szCs w:val="19"/>
              </w:rPr>
              <w:t xml:space="preserve">An interim analysis is planned at 70% of the anticipated 555 death events. Lan </w:t>
            </w:r>
            <w:proofErr w:type="spellStart"/>
            <w:r w:rsidRPr="00CF15C7">
              <w:rPr>
                <w:szCs w:val="19"/>
              </w:rPr>
              <w:t>DeMets</w:t>
            </w:r>
            <w:proofErr w:type="spellEnd"/>
            <w:r w:rsidRPr="00CF15C7">
              <w:rPr>
                <w:szCs w:val="19"/>
              </w:rPr>
              <w:t xml:space="preserve"> implementation of the O’Brien-Fleming alpha spending function will be used to calculate the significance levels and boundaries at the interim and final</w:t>
            </w:r>
            <w:r w:rsidR="002C2A0D">
              <w:rPr>
                <w:szCs w:val="19"/>
              </w:rPr>
              <w:t xml:space="preserve"> overall survival</w:t>
            </w:r>
            <w:r w:rsidRPr="00CF15C7">
              <w:rPr>
                <w:szCs w:val="19"/>
              </w:rPr>
              <w:t xml:space="preserve"> analyses and preserve the type-1 error level control.</w:t>
            </w:r>
          </w:p>
          <w:p w14:paraId="21DC9473" w14:textId="3761C3A0" w:rsidR="004A1D8A" w:rsidRPr="00CF15C7" w:rsidRDefault="004A1D8A" w:rsidP="00FF7417">
            <w:pPr>
              <w:pStyle w:val="Tabletext"/>
              <w:rPr>
                <w:szCs w:val="19"/>
              </w:rPr>
            </w:pPr>
            <w:r w:rsidRPr="00CF15C7">
              <w:rPr>
                <w:szCs w:val="19"/>
              </w:rPr>
              <w:t xml:space="preserve">If both primary endpoints are positive, secondary endpoints will be tested using a gatekeeping strategy: first </w:t>
            </w:r>
            <w:r w:rsidR="002C2A0D">
              <w:rPr>
                <w:szCs w:val="19"/>
              </w:rPr>
              <w:t xml:space="preserve">progression free survival </w:t>
            </w:r>
            <w:r w:rsidRPr="00CF15C7">
              <w:rPr>
                <w:szCs w:val="19"/>
              </w:rPr>
              <w:t xml:space="preserve">then </w:t>
            </w:r>
            <w:r w:rsidR="002C2A0D">
              <w:rPr>
                <w:szCs w:val="19"/>
              </w:rPr>
              <w:t>o</w:t>
            </w:r>
            <w:r w:rsidR="002C2A0D" w:rsidRPr="002C2A0D">
              <w:rPr>
                <w:szCs w:val="19"/>
              </w:rPr>
              <w:t>bjective response rate</w:t>
            </w:r>
            <w:r w:rsidRPr="00CF15C7">
              <w:rPr>
                <w:szCs w:val="19"/>
              </w:rPr>
              <w:t>.</w:t>
            </w:r>
          </w:p>
          <w:p w14:paraId="2637CE4E" w14:textId="77777777" w:rsidR="004A1D8A" w:rsidRPr="00CF15C7" w:rsidRDefault="004A1D8A" w:rsidP="00FF7417">
            <w:pPr>
              <w:pStyle w:val="Tabletext"/>
              <w:rPr>
                <w:szCs w:val="19"/>
              </w:rPr>
            </w:pPr>
            <w:r w:rsidRPr="00CF15C7">
              <w:rPr>
                <w:szCs w:val="19"/>
              </w:rPr>
              <w:t>Stratification factor(s) will be removed from the stratified log-rank test if there is risk of over-stratification.</w:t>
            </w:r>
          </w:p>
        </w:tc>
      </w:tr>
    </w:tbl>
    <w:p w14:paraId="0A7E9D12" w14:textId="5603CE66" w:rsidR="004A1D8A" w:rsidRPr="0050024A" w:rsidRDefault="004A1D8A" w:rsidP="00EE6C4C">
      <w:r>
        <w:t xml:space="preserve">In addition to the randomised trial, Study C-008, the Delegate notes an investigator-sponsored study (ISS) has been underway in Australia since April 2020. Participants are patients who have enrolled in the </w:t>
      </w:r>
      <w:r w:rsidR="00122F58">
        <w:t>s</w:t>
      </w:r>
      <w:r>
        <w:t xml:space="preserve">ponsor’s ‘co-pay’ access scheme, and who had chemo-immunotherapy as their first line of therapy in the ES-SCLC setting. The ISS is described by the </w:t>
      </w:r>
      <w:r w:rsidR="00EE6C4C">
        <w:t>s</w:t>
      </w:r>
      <w:r>
        <w:t xml:space="preserve">ponsor as </w:t>
      </w:r>
      <w:r w:rsidR="002C2A0D">
        <w:t>‘</w:t>
      </w:r>
      <w:r>
        <w:t>a retrospective multicentre study to evaluate the efficacy and safety of lurbinectedin as second line treatment for patients with SCLC in a real-world setting</w:t>
      </w:r>
      <w:r w:rsidR="002C2A0D">
        <w:t>’</w:t>
      </w:r>
      <w:r>
        <w:t xml:space="preserve">. The primary endpoint is ORR, and key secondary endpoints include overall survival and safety. Results from the ISS are not yet available, but as </w:t>
      </w:r>
      <w:r w:rsidR="00122F58">
        <w:t xml:space="preserve">Study </w:t>
      </w:r>
      <w:r>
        <w:t>B-005 contained a limited number of patients treated post immuno-chemotherapy, the data from the ISS may provide some further single</w:t>
      </w:r>
      <w:r w:rsidR="00EE6C4C">
        <w:t xml:space="preserve"> </w:t>
      </w:r>
      <w:r>
        <w:t xml:space="preserve">arm support for the proposed provisional indication, when results become available. </w:t>
      </w:r>
      <w:proofErr w:type="spellStart"/>
      <w:r>
        <w:t>Topline</w:t>
      </w:r>
      <w:proofErr w:type="spellEnd"/>
      <w:r>
        <w:t xml:space="preserve"> results of the ISS should be made a condition of registration if provisional approval is granted.</w:t>
      </w:r>
    </w:p>
    <w:p w14:paraId="37062121" w14:textId="77777777" w:rsidR="008E7846" w:rsidRPr="002C225D" w:rsidRDefault="00386150" w:rsidP="007B6132">
      <w:pPr>
        <w:pStyle w:val="Heading3"/>
        <w:rPr>
          <w:lang w:eastAsia="en-AU"/>
        </w:rPr>
      </w:pPr>
      <w:bookmarkStart w:id="55" w:name="_Toc102558218"/>
      <w:r w:rsidRPr="002C225D">
        <w:rPr>
          <w:lang w:eastAsia="en-AU"/>
        </w:rPr>
        <w:t>Risk m</w:t>
      </w:r>
      <w:r w:rsidR="008E7846" w:rsidRPr="002C225D">
        <w:rPr>
          <w:lang w:eastAsia="en-AU"/>
        </w:rPr>
        <w:t xml:space="preserve">anagement </w:t>
      </w:r>
      <w:r w:rsidRPr="002C225D">
        <w:rPr>
          <w:lang w:eastAsia="en-AU"/>
        </w:rPr>
        <w:t>p</w:t>
      </w:r>
      <w:r w:rsidR="008E7846" w:rsidRPr="002C225D">
        <w:rPr>
          <w:lang w:eastAsia="en-AU"/>
        </w:rPr>
        <w:t>lan</w:t>
      </w:r>
      <w:bookmarkEnd w:id="39"/>
      <w:bookmarkEnd w:id="55"/>
    </w:p>
    <w:p w14:paraId="34825E22" w14:textId="14405977" w:rsidR="005976D1" w:rsidRDefault="005976D1" w:rsidP="00122F58">
      <w:bookmarkStart w:id="56" w:name="_Hlk77684935"/>
      <w:bookmarkStart w:id="57" w:name="_Ref67643421"/>
      <w:bookmarkStart w:id="58" w:name="_Toc196046505"/>
      <w:bookmarkStart w:id="59" w:name="_Toc196046949"/>
      <w:r w:rsidRPr="005976D1">
        <w:t>Specialised Therapeutics Pharma Pty Ltd has submitted Core-</w:t>
      </w:r>
      <w:r>
        <w:t>risk management plan (</w:t>
      </w:r>
      <w:r w:rsidRPr="005976D1">
        <w:t>RMP</w:t>
      </w:r>
      <w:r>
        <w:t>)</w:t>
      </w:r>
      <w:r w:rsidRPr="005976D1">
        <w:t xml:space="preserve"> version 0.2 (15 January 2020; </w:t>
      </w:r>
      <w:r>
        <w:t>data lock point (DLP)</w:t>
      </w:r>
      <w:r w:rsidRPr="005976D1">
        <w:t xml:space="preserve"> 17 April 2020) and A</w:t>
      </w:r>
      <w:r>
        <w:t>ustralia specific annex (A</w:t>
      </w:r>
      <w:r w:rsidRPr="005976D1">
        <w:t>SA</w:t>
      </w:r>
      <w:r>
        <w:t>)</w:t>
      </w:r>
      <w:r w:rsidRPr="005976D1">
        <w:t xml:space="preserve"> version 0.1 (April 2020) in support of this application. </w:t>
      </w:r>
      <w:r>
        <w:t>In</w:t>
      </w:r>
      <w:r w:rsidRPr="005976D1">
        <w:t xml:space="preserve"> response</w:t>
      </w:r>
      <w:r>
        <w:t xml:space="preserve"> to TGA’s questions</w:t>
      </w:r>
      <w:r w:rsidRPr="005976D1">
        <w:t>, the sponsor has provided ASA version 0.2 (</w:t>
      </w:r>
      <w:r>
        <w:t xml:space="preserve">dated </w:t>
      </w:r>
      <w:r w:rsidRPr="005976D1">
        <w:t xml:space="preserve">Dec 2020) in </w:t>
      </w:r>
      <w:r w:rsidRPr="005976D1">
        <w:lastRenderedPageBreak/>
        <w:t xml:space="preserve">association with Core-RMP version 0.2 (15 January 2020; DLP 17 April 2020). At </w:t>
      </w:r>
      <w:r w:rsidR="00B83074">
        <w:t xml:space="preserve">the request of the </w:t>
      </w:r>
      <w:r w:rsidRPr="005976D1">
        <w:t>TGA,</w:t>
      </w:r>
      <w:r w:rsidR="00B83074">
        <w:t xml:space="preserve"> the</w:t>
      </w:r>
      <w:r w:rsidRPr="005976D1">
        <w:t xml:space="preserve"> sponsor has provided updated version 0.3 (Sept 2021) in association with Core-RMP version 0.2 to support the decision on provisional registration.</w:t>
      </w:r>
    </w:p>
    <w:p w14:paraId="30D4B081" w14:textId="3920A5B8" w:rsidR="00122F58" w:rsidRDefault="00122F58" w:rsidP="00122F58">
      <w:r w:rsidRPr="002C225D">
        <w:t xml:space="preserve">The summary of safety concerns and their associated risk monitoring and mitigation strategies are summarised in </w:t>
      </w:r>
      <w:r w:rsidR="002C225D" w:rsidRPr="002C225D">
        <w:fldChar w:fldCharType="begin"/>
      </w:r>
      <w:r w:rsidR="002C225D" w:rsidRPr="002C225D">
        <w:instrText xml:space="preserve"> REF _Ref96685649 \h </w:instrText>
      </w:r>
      <w:r w:rsidR="002C225D">
        <w:instrText xml:space="preserve"> \* MERGEFORMAT </w:instrText>
      </w:r>
      <w:r w:rsidR="002C225D" w:rsidRPr="002C225D">
        <w:fldChar w:fldCharType="separate"/>
      </w:r>
      <w:r w:rsidR="002C225D" w:rsidRPr="002C225D">
        <w:t>Table 10</w:t>
      </w:r>
      <w:r w:rsidR="002C225D" w:rsidRPr="002C225D">
        <w:fldChar w:fldCharType="end"/>
      </w:r>
      <w:r w:rsidRPr="002C225D">
        <w:t>.</w:t>
      </w:r>
      <w:r w:rsidRPr="002C225D">
        <w:rPr>
          <w:rStyle w:val="FootnoteReference"/>
        </w:rPr>
        <w:footnoteReference w:id="44"/>
      </w:r>
    </w:p>
    <w:p w14:paraId="153AE02C" w14:textId="77777777" w:rsidR="002C225D" w:rsidRPr="002C225D" w:rsidRDefault="002C225D" w:rsidP="002C225D">
      <w:pPr>
        <w:pStyle w:val="TableTitle"/>
      </w:pPr>
      <w:bookmarkStart w:id="60" w:name="_Ref96685649"/>
      <w:r w:rsidRPr="002C225D">
        <w:t xml:space="preserve">Table </w:t>
      </w:r>
      <w:fldSimple w:instr=" SEQ Table \* ARABIC ">
        <w:r w:rsidRPr="002C225D">
          <w:t>10</w:t>
        </w:r>
      </w:fldSimple>
      <w:bookmarkEnd w:id="60"/>
      <w:r w:rsidRPr="002C225D">
        <w:t>: Summary of safety concerns</w:t>
      </w:r>
    </w:p>
    <w:tbl>
      <w:tblPr>
        <w:tblStyle w:val="TableTGAblu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044"/>
        <w:gridCol w:w="1109"/>
        <w:gridCol w:w="1310"/>
        <w:gridCol w:w="1109"/>
        <w:gridCol w:w="1310"/>
      </w:tblGrid>
      <w:tr w:rsidR="002C225D" w:rsidRPr="002C225D" w14:paraId="0D22B2D3" w14:textId="77777777" w:rsidTr="002C225D">
        <w:trPr>
          <w:cnfStyle w:val="100000000000" w:firstRow="1" w:lastRow="0" w:firstColumn="0" w:lastColumn="0" w:oddVBand="0" w:evenVBand="0" w:oddHBand="0" w:evenHBand="0" w:firstRowFirstColumn="0" w:firstRowLastColumn="0" w:lastRowFirstColumn="0" w:lastRowLastColumn="0"/>
          <w:trHeight w:val="131"/>
        </w:trPr>
        <w:tc>
          <w:tcPr>
            <w:tcW w:w="2060" w:type="pct"/>
            <w:gridSpan w:val="2"/>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1CED37" w14:textId="77777777" w:rsidR="002C225D" w:rsidRPr="002C225D" w:rsidRDefault="002C225D" w:rsidP="002C225D">
            <w:pPr>
              <w:pStyle w:val="Tabletext"/>
              <w:rPr>
                <w:rFonts w:asciiTheme="minorHAnsi" w:hAnsiTheme="minorHAnsi"/>
                <w:b w:val="0"/>
                <w:szCs w:val="19"/>
              </w:rPr>
            </w:pPr>
            <w:r w:rsidRPr="002C225D">
              <w:rPr>
                <w:rFonts w:asciiTheme="minorHAnsi" w:hAnsiTheme="minorHAnsi"/>
                <w:szCs w:val="19"/>
              </w:rPr>
              <w:t>Summary of safety concerns</w:t>
            </w:r>
          </w:p>
        </w:tc>
        <w:tc>
          <w:tcPr>
            <w:tcW w:w="147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C5176B" w14:textId="77777777" w:rsidR="002C225D" w:rsidRPr="002C225D" w:rsidRDefault="002C225D" w:rsidP="002C225D">
            <w:pPr>
              <w:pStyle w:val="Tabletext"/>
              <w:rPr>
                <w:rFonts w:asciiTheme="minorHAnsi" w:hAnsiTheme="minorHAnsi"/>
                <w:b w:val="0"/>
                <w:szCs w:val="19"/>
              </w:rPr>
            </w:pPr>
            <w:r w:rsidRPr="002C225D">
              <w:rPr>
                <w:rFonts w:asciiTheme="minorHAnsi" w:hAnsiTheme="minorHAnsi"/>
                <w:szCs w:val="19"/>
              </w:rPr>
              <w:t>Pharmacovigilance</w:t>
            </w:r>
          </w:p>
        </w:tc>
        <w:tc>
          <w:tcPr>
            <w:tcW w:w="147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2045CD" w14:textId="77777777" w:rsidR="002C225D" w:rsidRPr="002C225D" w:rsidRDefault="002C225D" w:rsidP="002C225D">
            <w:pPr>
              <w:pStyle w:val="Tabletext"/>
              <w:rPr>
                <w:rFonts w:asciiTheme="minorHAnsi" w:hAnsiTheme="minorHAnsi"/>
                <w:b w:val="0"/>
                <w:szCs w:val="19"/>
              </w:rPr>
            </w:pPr>
            <w:r w:rsidRPr="002C225D">
              <w:rPr>
                <w:rFonts w:asciiTheme="minorHAnsi" w:hAnsiTheme="minorHAnsi"/>
                <w:szCs w:val="19"/>
              </w:rPr>
              <w:t>Risk Minimisation</w:t>
            </w:r>
          </w:p>
        </w:tc>
      </w:tr>
      <w:tr w:rsidR="002C225D" w:rsidRPr="002C225D" w14:paraId="373D5B08" w14:textId="77777777" w:rsidTr="002C225D">
        <w:trPr>
          <w:trHeight w:val="150"/>
        </w:trPr>
        <w:tc>
          <w:tcPr>
            <w:tcW w:w="2060" w:type="pct"/>
            <w:gridSpan w:val="2"/>
            <w:vMerge/>
          </w:tcPr>
          <w:p w14:paraId="07330AF8" w14:textId="77777777" w:rsidR="002C225D" w:rsidRPr="002C225D" w:rsidRDefault="002C225D" w:rsidP="002C225D">
            <w:pPr>
              <w:pStyle w:val="Tabletext"/>
              <w:rPr>
                <w:rFonts w:asciiTheme="minorHAnsi" w:hAnsiTheme="minorHAnsi"/>
                <w:b/>
                <w:szCs w:val="19"/>
              </w:rPr>
            </w:pPr>
          </w:p>
        </w:tc>
        <w:tc>
          <w:tcPr>
            <w:tcW w:w="676" w:type="pct"/>
            <w:shd w:val="clear" w:color="auto" w:fill="006DA7"/>
          </w:tcPr>
          <w:p w14:paraId="4C38760E" w14:textId="77777777" w:rsidR="002C225D" w:rsidRPr="002C225D" w:rsidRDefault="002C225D" w:rsidP="00F20763">
            <w:pPr>
              <w:pStyle w:val="Tabletext"/>
              <w:ind w:left="0"/>
              <w:rPr>
                <w:rFonts w:asciiTheme="minorHAnsi" w:hAnsiTheme="minorHAnsi"/>
                <w:color w:val="FFFFFF" w:themeColor="background1"/>
                <w:szCs w:val="19"/>
              </w:rPr>
            </w:pPr>
            <w:r w:rsidRPr="002C225D">
              <w:rPr>
                <w:rFonts w:asciiTheme="minorHAnsi" w:hAnsiTheme="minorHAnsi"/>
                <w:color w:val="FFFFFF" w:themeColor="background1"/>
                <w:szCs w:val="19"/>
              </w:rPr>
              <w:t>Routine</w:t>
            </w:r>
          </w:p>
        </w:tc>
        <w:tc>
          <w:tcPr>
            <w:tcW w:w="794" w:type="pct"/>
            <w:shd w:val="clear" w:color="auto" w:fill="006DA7"/>
          </w:tcPr>
          <w:p w14:paraId="2D15C623" w14:textId="77777777" w:rsidR="002C225D" w:rsidRPr="002C225D" w:rsidRDefault="002C225D" w:rsidP="00F20763">
            <w:pPr>
              <w:pStyle w:val="Tabletext"/>
              <w:ind w:left="0"/>
              <w:rPr>
                <w:rFonts w:asciiTheme="minorHAnsi" w:hAnsiTheme="minorHAnsi"/>
                <w:color w:val="FFFFFF" w:themeColor="background1"/>
                <w:szCs w:val="19"/>
              </w:rPr>
            </w:pPr>
            <w:r w:rsidRPr="002C225D">
              <w:rPr>
                <w:rFonts w:asciiTheme="minorHAnsi" w:hAnsiTheme="minorHAnsi"/>
                <w:color w:val="FFFFFF" w:themeColor="background1"/>
                <w:szCs w:val="19"/>
              </w:rPr>
              <w:t>Additional</w:t>
            </w:r>
          </w:p>
        </w:tc>
        <w:tc>
          <w:tcPr>
            <w:tcW w:w="676" w:type="pct"/>
            <w:shd w:val="clear" w:color="auto" w:fill="006DA7"/>
          </w:tcPr>
          <w:p w14:paraId="375EF865" w14:textId="77777777" w:rsidR="002C225D" w:rsidRPr="002C225D" w:rsidRDefault="002C225D" w:rsidP="00F20763">
            <w:pPr>
              <w:pStyle w:val="Tabletext"/>
              <w:ind w:left="0"/>
              <w:rPr>
                <w:rFonts w:asciiTheme="minorHAnsi" w:hAnsiTheme="minorHAnsi"/>
                <w:color w:val="FFFFFF" w:themeColor="background1"/>
                <w:szCs w:val="19"/>
              </w:rPr>
            </w:pPr>
            <w:r w:rsidRPr="002C225D">
              <w:rPr>
                <w:rFonts w:asciiTheme="minorHAnsi" w:hAnsiTheme="minorHAnsi"/>
                <w:color w:val="FFFFFF" w:themeColor="background1"/>
                <w:szCs w:val="19"/>
              </w:rPr>
              <w:t>Routine</w:t>
            </w:r>
          </w:p>
        </w:tc>
        <w:tc>
          <w:tcPr>
            <w:tcW w:w="794" w:type="pct"/>
            <w:shd w:val="clear" w:color="auto" w:fill="006DA7"/>
          </w:tcPr>
          <w:p w14:paraId="516BFFB3" w14:textId="77777777" w:rsidR="002C225D" w:rsidRPr="002C225D" w:rsidRDefault="002C225D" w:rsidP="00F20763">
            <w:pPr>
              <w:pStyle w:val="Tabletext"/>
              <w:ind w:left="0"/>
              <w:rPr>
                <w:rFonts w:asciiTheme="minorHAnsi" w:hAnsiTheme="minorHAnsi"/>
                <w:color w:val="FFFFFF" w:themeColor="background1"/>
                <w:szCs w:val="19"/>
              </w:rPr>
            </w:pPr>
            <w:r w:rsidRPr="002C225D">
              <w:rPr>
                <w:rFonts w:asciiTheme="minorHAnsi" w:hAnsiTheme="minorHAnsi"/>
                <w:color w:val="FFFFFF" w:themeColor="background1"/>
                <w:szCs w:val="19"/>
              </w:rPr>
              <w:t>Additional</w:t>
            </w:r>
          </w:p>
        </w:tc>
      </w:tr>
      <w:tr w:rsidR="002C225D" w:rsidRPr="002C225D" w14:paraId="7ABFC207" w14:textId="77777777" w:rsidTr="002C225D">
        <w:trPr>
          <w:trHeight w:val="137"/>
        </w:trPr>
        <w:tc>
          <w:tcPr>
            <w:tcW w:w="909" w:type="pct"/>
            <w:vMerge w:val="restart"/>
          </w:tcPr>
          <w:p w14:paraId="47DA160D" w14:textId="77777777" w:rsidR="002C225D" w:rsidRPr="002C225D" w:rsidRDefault="002C225D" w:rsidP="002C225D">
            <w:pPr>
              <w:pStyle w:val="Tabletext"/>
              <w:rPr>
                <w:rFonts w:asciiTheme="minorHAnsi" w:hAnsiTheme="minorHAnsi"/>
                <w:b/>
                <w:szCs w:val="19"/>
              </w:rPr>
            </w:pPr>
            <w:r w:rsidRPr="002C225D">
              <w:rPr>
                <w:rFonts w:asciiTheme="minorHAnsi" w:hAnsiTheme="minorHAnsi"/>
                <w:b/>
                <w:szCs w:val="19"/>
              </w:rPr>
              <w:t>Important identified risks</w:t>
            </w:r>
          </w:p>
        </w:tc>
        <w:tc>
          <w:tcPr>
            <w:tcW w:w="1151" w:type="pct"/>
          </w:tcPr>
          <w:p w14:paraId="148CC9E4" w14:textId="77777777" w:rsidR="002C225D" w:rsidRPr="002C225D" w:rsidRDefault="002C225D" w:rsidP="002C225D">
            <w:pPr>
              <w:pStyle w:val="Tabletext"/>
              <w:rPr>
                <w:rFonts w:asciiTheme="minorHAnsi" w:hAnsiTheme="minorHAnsi"/>
                <w:szCs w:val="19"/>
              </w:rPr>
            </w:pPr>
            <w:r w:rsidRPr="002C225D">
              <w:rPr>
                <w:rFonts w:asciiTheme="minorHAnsi" w:hAnsiTheme="minorHAnsi"/>
                <w:szCs w:val="19"/>
              </w:rPr>
              <w:t>Myelosuppression</w:t>
            </w:r>
          </w:p>
        </w:tc>
        <w:tc>
          <w:tcPr>
            <w:tcW w:w="676" w:type="pct"/>
          </w:tcPr>
          <w:p w14:paraId="7829E925"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sym w:font="Wingdings" w:char="F0FC"/>
            </w:r>
          </w:p>
        </w:tc>
        <w:tc>
          <w:tcPr>
            <w:tcW w:w="794" w:type="pct"/>
          </w:tcPr>
          <w:p w14:paraId="7AE22EEB"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t>–</w:t>
            </w:r>
          </w:p>
        </w:tc>
        <w:tc>
          <w:tcPr>
            <w:tcW w:w="676" w:type="pct"/>
          </w:tcPr>
          <w:p w14:paraId="522EDE96"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sym w:font="Wingdings" w:char="F0FC"/>
            </w:r>
          </w:p>
        </w:tc>
        <w:tc>
          <w:tcPr>
            <w:tcW w:w="794" w:type="pct"/>
          </w:tcPr>
          <w:p w14:paraId="6B1E0C03" w14:textId="77777777" w:rsidR="002C225D" w:rsidRPr="002C225D" w:rsidRDefault="002C225D" w:rsidP="002C225D">
            <w:pPr>
              <w:jc w:val="center"/>
              <w:rPr>
                <w:rFonts w:asciiTheme="minorHAnsi" w:hAnsiTheme="minorHAnsi"/>
                <w:sz w:val="19"/>
                <w:szCs w:val="19"/>
              </w:rPr>
            </w:pPr>
            <w:r w:rsidRPr="002C225D">
              <w:rPr>
                <w:rFonts w:asciiTheme="minorHAnsi" w:hAnsiTheme="minorHAnsi"/>
                <w:sz w:val="19"/>
                <w:szCs w:val="19"/>
              </w:rPr>
              <w:t>–</w:t>
            </w:r>
          </w:p>
        </w:tc>
      </w:tr>
      <w:tr w:rsidR="002C225D" w:rsidRPr="002C225D" w14:paraId="1DDD8763" w14:textId="77777777" w:rsidTr="002C225D">
        <w:trPr>
          <w:trHeight w:val="187"/>
        </w:trPr>
        <w:tc>
          <w:tcPr>
            <w:tcW w:w="909" w:type="pct"/>
            <w:vMerge/>
          </w:tcPr>
          <w:p w14:paraId="298378F6" w14:textId="77777777" w:rsidR="002C225D" w:rsidRPr="002C225D" w:rsidRDefault="002C225D" w:rsidP="002C225D">
            <w:pPr>
              <w:pStyle w:val="Tabletext"/>
              <w:rPr>
                <w:rFonts w:asciiTheme="minorHAnsi" w:hAnsiTheme="minorHAnsi"/>
                <w:b/>
                <w:szCs w:val="19"/>
              </w:rPr>
            </w:pPr>
          </w:p>
        </w:tc>
        <w:tc>
          <w:tcPr>
            <w:tcW w:w="1151" w:type="pct"/>
          </w:tcPr>
          <w:p w14:paraId="33C436EE" w14:textId="77777777" w:rsidR="002C225D" w:rsidRPr="002C225D" w:rsidRDefault="002C225D" w:rsidP="002C225D">
            <w:pPr>
              <w:pStyle w:val="Tabletext"/>
              <w:rPr>
                <w:rFonts w:asciiTheme="minorHAnsi" w:hAnsiTheme="minorHAnsi"/>
                <w:szCs w:val="19"/>
              </w:rPr>
            </w:pPr>
            <w:r w:rsidRPr="002C225D">
              <w:rPr>
                <w:rFonts w:asciiTheme="minorHAnsi" w:hAnsiTheme="minorHAnsi"/>
                <w:szCs w:val="19"/>
              </w:rPr>
              <w:t>Liver enzyme increase</w:t>
            </w:r>
          </w:p>
        </w:tc>
        <w:tc>
          <w:tcPr>
            <w:tcW w:w="676" w:type="pct"/>
          </w:tcPr>
          <w:p w14:paraId="097C1FD5"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sym w:font="Wingdings" w:char="F0FC"/>
            </w:r>
          </w:p>
        </w:tc>
        <w:tc>
          <w:tcPr>
            <w:tcW w:w="794" w:type="pct"/>
          </w:tcPr>
          <w:p w14:paraId="79DDD9E9"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t>–</w:t>
            </w:r>
          </w:p>
        </w:tc>
        <w:tc>
          <w:tcPr>
            <w:tcW w:w="676" w:type="pct"/>
          </w:tcPr>
          <w:p w14:paraId="4EFDADF0"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sym w:font="Wingdings" w:char="F0FC"/>
            </w:r>
          </w:p>
        </w:tc>
        <w:tc>
          <w:tcPr>
            <w:tcW w:w="794" w:type="pct"/>
          </w:tcPr>
          <w:p w14:paraId="7506B869" w14:textId="77777777" w:rsidR="002C225D" w:rsidRPr="002C225D" w:rsidRDefault="002C225D" w:rsidP="002C225D">
            <w:pPr>
              <w:jc w:val="center"/>
              <w:rPr>
                <w:rFonts w:asciiTheme="minorHAnsi" w:hAnsiTheme="minorHAnsi"/>
                <w:sz w:val="19"/>
                <w:szCs w:val="19"/>
              </w:rPr>
            </w:pPr>
            <w:r w:rsidRPr="002C225D">
              <w:rPr>
                <w:rFonts w:asciiTheme="minorHAnsi" w:hAnsiTheme="minorHAnsi"/>
                <w:sz w:val="19"/>
                <w:szCs w:val="19"/>
              </w:rPr>
              <w:t>–</w:t>
            </w:r>
          </w:p>
        </w:tc>
      </w:tr>
      <w:tr w:rsidR="002C225D" w:rsidRPr="002C225D" w14:paraId="57F67451" w14:textId="77777777" w:rsidTr="002C225D">
        <w:trPr>
          <w:trHeight w:val="592"/>
        </w:trPr>
        <w:tc>
          <w:tcPr>
            <w:tcW w:w="909" w:type="pct"/>
          </w:tcPr>
          <w:p w14:paraId="569FA287" w14:textId="77777777" w:rsidR="002C225D" w:rsidRPr="002C225D" w:rsidRDefault="002C225D" w:rsidP="002C225D">
            <w:pPr>
              <w:pStyle w:val="Tabletext"/>
              <w:rPr>
                <w:rFonts w:asciiTheme="minorHAnsi" w:hAnsiTheme="minorHAnsi"/>
                <w:b/>
                <w:szCs w:val="19"/>
              </w:rPr>
            </w:pPr>
            <w:r w:rsidRPr="002C225D">
              <w:rPr>
                <w:rFonts w:asciiTheme="minorHAnsi" w:hAnsiTheme="minorHAnsi"/>
                <w:b/>
                <w:szCs w:val="19"/>
              </w:rPr>
              <w:t>Important potential risks</w:t>
            </w:r>
          </w:p>
        </w:tc>
        <w:tc>
          <w:tcPr>
            <w:tcW w:w="1151" w:type="pct"/>
          </w:tcPr>
          <w:p w14:paraId="452AEC69" w14:textId="77777777" w:rsidR="002C225D" w:rsidRPr="002C225D" w:rsidRDefault="002C225D" w:rsidP="002C225D">
            <w:pPr>
              <w:pStyle w:val="Tabletext"/>
              <w:rPr>
                <w:rFonts w:asciiTheme="minorHAnsi" w:hAnsiTheme="minorHAnsi"/>
                <w:szCs w:val="19"/>
              </w:rPr>
            </w:pPr>
            <w:r w:rsidRPr="002C225D">
              <w:rPr>
                <w:rFonts w:asciiTheme="minorHAnsi" w:hAnsiTheme="minorHAnsi"/>
                <w:szCs w:val="19"/>
              </w:rPr>
              <w:t>None</w:t>
            </w:r>
          </w:p>
        </w:tc>
        <w:tc>
          <w:tcPr>
            <w:tcW w:w="676" w:type="pct"/>
          </w:tcPr>
          <w:p w14:paraId="1ABC4A0B" w14:textId="77777777" w:rsidR="002C225D" w:rsidRPr="002C225D" w:rsidRDefault="002C225D" w:rsidP="002C225D">
            <w:pPr>
              <w:jc w:val="center"/>
              <w:rPr>
                <w:rFonts w:asciiTheme="minorHAnsi" w:hAnsiTheme="minorHAnsi"/>
                <w:sz w:val="19"/>
                <w:szCs w:val="19"/>
              </w:rPr>
            </w:pPr>
            <w:r w:rsidRPr="002C225D">
              <w:rPr>
                <w:rFonts w:asciiTheme="minorHAnsi" w:hAnsiTheme="minorHAnsi"/>
                <w:sz w:val="19"/>
                <w:szCs w:val="19"/>
              </w:rPr>
              <w:t>–</w:t>
            </w:r>
          </w:p>
        </w:tc>
        <w:tc>
          <w:tcPr>
            <w:tcW w:w="794" w:type="pct"/>
          </w:tcPr>
          <w:p w14:paraId="44714FED" w14:textId="77777777" w:rsidR="002C225D" w:rsidRPr="002C225D" w:rsidRDefault="002C225D" w:rsidP="002C225D">
            <w:pPr>
              <w:jc w:val="center"/>
              <w:rPr>
                <w:rFonts w:asciiTheme="minorHAnsi" w:hAnsiTheme="minorHAnsi"/>
                <w:sz w:val="19"/>
                <w:szCs w:val="19"/>
              </w:rPr>
            </w:pPr>
            <w:r w:rsidRPr="002C225D">
              <w:rPr>
                <w:rFonts w:asciiTheme="minorHAnsi" w:hAnsiTheme="minorHAnsi"/>
                <w:sz w:val="19"/>
                <w:szCs w:val="19"/>
              </w:rPr>
              <w:t>–</w:t>
            </w:r>
          </w:p>
        </w:tc>
        <w:tc>
          <w:tcPr>
            <w:tcW w:w="676" w:type="pct"/>
          </w:tcPr>
          <w:p w14:paraId="4A141F53" w14:textId="77777777" w:rsidR="002C225D" w:rsidRPr="002C225D" w:rsidRDefault="002C225D" w:rsidP="002C225D">
            <w:pPr>
              <w:jc w:val="center"/>
              <w:rPr>
                <w:rFonts w:asciiTheme="minorHAnsi" w:hAnsiTheme="minorHAnsi"/>
                <w:sz w:val="19"/>
                <w:szCs w:val="19"/>
              </w:rPr>
            </w:pPr>
            <w:r w:rsidRPr="002C225D">
              <w:rPr>
                <w:rFonts w:asciiTheme="minorHAnsi" w:hAnsiTheme="minorHAnsi"/>
                <w:sz w:val="19"/>
                <w:szCs w:val="19"/>
              </w:rPr>
              <w:t>–</w:t>
            </w:r>
          </w:p>
        </w:tc>
        <w:tc>
          <w:tcPr>
            <w:tcW w:w="794" w:type="pct"/>
          </w:tcPr>
          <w:p w14:paraId="01028008" w14:textId="77777777" w:rsidR="002C225D" w:rsidRPr="002C225D" w:rsidRDefault="002C225D" w:rsidP="002C225D">
            <w:pPr>
              <w:jc w:val="center"/>
              <w:rPr>
                <w:rFonts w:asciiTheme="minorHAnsi" w:hAnsiTheme="minorHAnsi"/>
                <w:sz w:val="19"/>
                <w:szCs w:val="19"/>
              </w:rPr>
            </w:pPr>
            <w:r w:rsidRPr="002C225D">
              <w:rPr>
                <w:rFonts w:asciiTheme="minorHAnsi" w:hAnsiTheme="minorHAnsi"/>
                <w:sz w:val="19"/>
                <w:szCs w:val="19"/>
              </w:rPr>
              <w:t>–</w:t>
            </w:r>
          </w:p>
        </w:tc>
      </w:tr>
      <w:tr w:rsidR="002C225D" w:rsidRPr="002C225D" w14:paraId="28D0257B" w14:textId="77777777" w:rsidTr="002C225D">
        <w:trPr>
          <w:trHeight w:val="178"/>
        </w:trPr>
        <w:tc>
          <w:tcPr>
            <w:tcW w:w="909" w:type="pct"/>
            <w:vMerge w:val="restart"/>
          </w:tcPr>
          <w:p w14:paraId="24D93739" w14:textId="77777777" w:rsidR="002C225D" w:rsidRPr="002C225D" w:rsidRDefault="002C225D" w:rsidP="002C225D">
            <w:pPr>
              <w:pStyle w:val="Tabletext"/>
              <w:rPr>
                <w:rFonts w:asciiTheme="minorHAnsi" w:hAnsiTheme="minorHAnsi"/>
                <w:b/>
                <w:szCs w:val="19"/>
              </w:rPr>
            </w:pPr>
            <w:r w:rsidRPr="002C225D">
              <w:rPr>
                <w:rFonts w:asciiTheme="minorHAnsi" w:hAnsiTheme="minorHAnsi"/>
                <w:b/>
                <w:szCs w:val="19"/>
              </w:rPr>
              <w:t>Missing information</w:t>
            </w:r>
          </w:p>
        </w:tc>
        <w:tc>
          <w:tcPr>
            <w:tcW w:w="1151" w:type="pct"/>
          </w:tcPr>
          <w:p w14:paraId="3C2844F2" w14:textId="77777777" w:rsidR="002C225D" w:rsidRPr="002C225D" w:rsidRDefault="002C225D" w:rsidP="002C225D">
            <w:pPr>
              <w:pStyle w:val="Tabletext"/>
              <w:rPr>
                <w:rFonts w:asciiTheme="minorHAnsi" w:hAnsiTheme="minorHAnsi"/>
                <w:szCs w:val="19"/>
              </w:rPr>
            </w:pPr>
            <w:r w:rsidRPr="002C225D">
              <w:rPr>
                <w:rFonts w:asciiTheme="minorHAnsi" w:hAnsiTheme="minorHAnsi"/>
                <w:szCs w:val="19"/>
              </w:rPr>
              <w:t>Use during pregnancy, including reproductive and development toxicity</w:t>
            </w:r>
          </w:p>
        </w:tc>
        <w:tc>
          <w:tcPr>
            <w:tcW w:w="676" w:type="pct"/>
          </w:tcPr>
          <w:p w14:paraId="6FE9DD70" w14:textId="77777777" w:rsidR="002C225D" w:rsidRPr="002C225D" w:rsidRDefault="002C225D" w:rsidP="002C225D">
            <w:pPr>
              <w:pStyle w:val="Tabletext"/>
              <w:jc w:val="center"/>
              <w:rPr>
                <w:rFonts w:asciiTheme="minorHAnsi" w:hAnsiTheme="minorHAnsi"/>
                <w:szCs w:val="19"/>
                <w:vertAlign w:val="superscript"/>
              </w:rPr>
            </w:pPr>
            <w:r w:rsidRPr="002C225D">
              <w:rPr>
                <w:rFonts w:asciiTheme="minorHAnsi" w:hAnsiTheme="minorHAnsi"/>
                <w:szCs w:val="19"/>
              </w:rPr>
              <w:sym w:font="Wingdings" w:char="F0FC"/>
            </w:r>
            <w:r w:rsidRPr="002C225D">
              <w:rPr>
                <w:rFonts w:asciiTheme="minorHAnsi" w:hAnsiTheme="minorHAnsi"/>
                <w:szCs w:val="19"/>
                <w:vertAlign w:val="superscript"/>
              </w:rPr>
              <w:t>1</w:t>
            </w:r>
          </w:p>
        </w:tc>
        <w:tc>
          <w:tcPr>
            <w:tcW w:w="794" w:type="pct"/>
          </w:tcPr>
          <w:p w14:paraId="79E1169B"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t>–</w:t>
            </w:r>
          </w:p>
        </w:tc>
        <w:tc>
          <w:tcPr>
            <w:tcW w:w="676" w:type="pct"/>
          </w:tcPr>
          <w:p w14:paraId="4B2D4180"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sym w:font="Wingdings" w:char="F0FC"/>
            </w:r>
          </w:p>
        </w:tc>
        <w:tc>
          <w:tcPr>
            <w:tcW w:w="794" w:type="pct"/>
          </w:tcPr>
          <w:p w14:paraId="2236BBD2" w14:textId="77777777" w:rsidR="002C225D" w:rsidRPr="002C225D" w:rsidRDefault="002C225D" w:rsidP="002C225D">
            <w:pPr>
              <w:jc w:val="center"/>
              <w:rPr>
                <w:rFonts w:asciiTheme="minorHAnsi" w:hAnsiTheme="minorHAnsi"/>
                <w:sz w:val="19"/>
                <w:szCs w:val="19"/>
              </w:rPr>
            </w:pPr>
            <w:r w:rsidRPr="002C225D">
              <w:rPr>
                <w:rFonts w:asciiTheme="minorHAnsi" w:hAnsiTheme="minorHAnsi"/>
                <w:sz w:val="19"/>
                <w:szCs w:val="19"/>
              </w:rPr>
              <w:t>–</w:t>
            </w:r>
          </w:p>
        </w:tc>
      </w:tr>
      <w:tr w:rsidR="002C225D" w:rsidRPr="002C225D" w14:paraId="1F09535C" w14:textId="77777777" w:rsidTr="002C225D">
        <w:trPr>
          <w:trHeight w:val="103"/>
        </w:trPr>
        <w:tc>
          <w:tcPr>
            <w:tcW w:w="909" w:type="pct"/>
            <w:vMerge/>
          </w:tcPr>
          <w:p w14:paraId="543AB061" w14:textId="77777777" w:rsidR="002C225D" w:rsidRPr="002C225D" w:rsidRDefault="002C225D" w:rsidP="002C225D">
            <w:pPr>
              <w:pStyle w:val="Tabletext"/>
              <w:rPr>
                <w:rFonts w:asciiTheme="minorHAnsi" w:hAnsiTheme="minorHAnsi"/>
                <w:szCs w:val="19"/>
              </w:rPr>
            </w:pPr>
          </w:p>
        </w:tc>
        <w:tc>
          <w:tcPr>
            <w:tcW w:w="1151" w:type="pct"/>
          </w:tcPr>
          <w:p w14:paraId="6A8D6B21" w14:textId="77777777" w:rsidR="002C225D" w:rsidRPr="002C225D" w:rsidRDefault="002C225D" w:rsidP="002C225D">
            <w:pPr>
              <w:pStyle w:val="Tabletext"/>
              <w:rPr>
                <w:rFonts w:asciiTheme="minorHAnsi" w:hAnsiTheme="minorHAnsi"/>
                <w:szCs w:val="19"/>
              </w:rPr>
            </w:pPr>
            <w:r w:rsidRPr="002C225D">
              <w:rPr>
                <w:rFonts w:asciiTheme="minorHAnsi" w:hAnsiTheme="minorHAnsi"/>
                <w:szCs w:val="19"/>
              </w:rPr>
              <w:t>Use in patients with hepatic impairment</w:t>
            </w:r>
          </w:p>
        </w:tc>
        <w:tc>
          <w:tcPr>
            <w:tcW w:w="676" w:type="pct"/>
          </w:tcPr>
          <w:p w14:paraId="4E53AE6C"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sym w:font="Wingdings" w:char="F0FC"/>
            </w:r>
          </w:p>
        </w:tc>
        <w:tc>
          <w:tcPr>
            <w:tcW w:w="794" w:type="pct"/>
          </w:tcPr>
          <w:p w14:paraId="7B57527A" w14:textId="77777777" w:rsidR="002C225D" w:rsidRPr="002C225D" w:rsidRDefault="002C225D" w:rsidP="002C225D">
            <w:pPr>
              <w:pStyle w:val="Tabletext"/>
              <w:jc w:val="center"/>
              <w:rPr>
                <w:rFonts w:asciiTheme="minorHAnsi" w:hAnsiTheme="minorHAnsi"/>
                <w:szCs w:val="19"/>
                <w:vertAlign w:val="superscript"/>
              </w:rPr>
            </w:pPr>
            <w:r w:rsidRPr="002C225D">
              <w:rPr>
                <w:rFonts w:asciiTheme="minorHAnsi" w:hAnsiTheme="minorHAnsi"/>
                <w:szCs w:val="19"/>
              </w:rPr>
              <w:sym w:font="Wingdings" w:char="F0FC"/>
            </w:r>
            <w:r w:rsidRPr="002C225D">
              <w:rPr>
                <w:rFonts w:asciiTheme="minorHAnsi" w:hAnsiTheme="minorHAnsi"/>
                <w:szCs w:val="19"/>
                <w:vertAlign w:val="superscript"/>
              </w:rPr>
              <w:t>2</w:t>
            </w:r>
          </w:p>
        </w:tc>
        <w:tc>
          <w:tcPr>
            <w:tcW w:w="676" w:type="pct"/>
          </w:tcPr>
          <w:p w14:paraId="60040C14"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sym w:font="Wingdings" w:char="F0FC"/>
            </w:r>
          </w:p>
        </w:tc>
        <w:tc>
          <w:tcPr>
            <w:tcW w:w="794" w:type="pct"/>
          </w:tcPr>
          <w:p w14:paraId="16503B8D" w14:textId="77777777" w:rsidR="002C225D" w:rsidRPr="002C225D" w:rsidRDefault="002C225D" w:rsidP="002C225D">
            <w:pPr>
              <w:jc w:val="center"/>
              <w:rPr>
                <w:rFonts w:asciiTheme="minorHAnsi" w:hAnsiTheme="minorHAnsi"/>
                <w:sz w:val="19"/>
                <w:szCs w:val="19"/>
              </w:rPr>
            </w:pPr>
            <w:r w:rsidRPr="002C225D">
              <w:rPr>
                <w:rFonts w:asciiTheme="minorHAnsi" w:hAnsiTheme="minorHAnsi"/>
                <w:sz w:val="19"/>
                <w:szCs w:val="19"/>
              </w:rPr>
              <w:t>–</w:t>
            </w:r>
          </w:p>
        </w:tc>
      </w:tr>
      <w:tr w:rsidR="002C225D" w:rsidRPr="002C225D" w14:paraId="5E15BB7C" w14:textId="77777777" w:rsidTr="002C225D">
        <w:trPr>
          <w:trHeight w:val="140"/>
        </w:trPr>
        <w:tc>
          <w:tcPr>
            <w:tcW w:w="909" w:type="pct"/>
            <w:vMerge/>
          </w:tcPr>
          <w:p w14:paraId="43CFC0AC" w14:textId="77777777" w:rsidR="002C225D" w:rsidRPr="002C225D" w:rsidRDefault="002C225D" w:rsidP="002C225D">
            <w:pPr>
              <w:pStyle w:val="Tabletext"/>
              <w:rPr>
                <w:rFonts w:asciiTheme="minorHAnsi" w:hAnsiTheme="minorHAnsi"/>
                <w:szCs w:val="19"/>
              </w:rPr>
            </w:pPr>
          </w:p>
        </w:tc>
        <w:tc>
          <w:tcPr>
            <w:tcW w:w="1151" w:type="pct"/>
          </w:tcPr>
          <w:p w14:paraId="1015E07A" w14:textId="6A2EC9BF" w:rsidR="002C225D" w:rsidRPr="002C225D" w:rsidRDefault="002C225D" w:rsidP="005976D1">
            <w:pPr>
              <w:pStyle w:val="Tabletext"/>
              <w:rPr>
                <w:rFonts w:asciiTheme="minorHAnsi" w:hAnsiTheme="minorHAnsi"/>
                <w:szCs w:val="19"/>
              </w:rPr>
            </w:pPr>
            <w:r w:rsidRPr="002C225D">
              <w:rPr>
                <w:rFonts w:asciiTheme="minorHAnsi" w:hAnsiTheme="minorHAnsi"/>
                <w:szCs w:val="19"/>
              </w:rPr>
              <w:t>Drug interaction with potent CYP3A4</w:t>
            </w:r>
            <w:r w:rsidR="005976D1">
              <w:rPr>
                <w:rFonts w:asciiTheme="minorHAnsi" w:hAnsiTheme="minorHAnsi"/>
                <w:szCs w:val="19"/>
              </w:rPr>
              <w:t xml:space="preserve"> </w:t>
            </w:r>
            <w:r w:rsidRPr="002C225D">
              <w:rPr>
                <w:rFonts w:asciiTheme="minorHAnsi" w:hAnsiTheme="minorHAnsi"/>
                <w:szCs w:val="19"/>
              </w:rPr>
              <w:t>inhibitors or inducers</w:t>
            </w:r>
          </w:p>
        </w:tc>
        <w:tc>
          <w:tcPr>
            <w:tcW w:w="676" w:type="pct"/>
          </w:tcPr>
          <w:p w14:paraId="32516CF5"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sym w:font="Wingdings" w:char="F0FC"/>
            </w:r>
          </w:p>
        </w:tc>
        <w:tc>
          <w:tcPr>
            <w:tcW w:w="794" w:type="pct"/>
          </w:tcPr>
          <w:p w14:paraId="78CDB52A" w14:textId="77777777" w:rsidR="002C225D" w:rsidRPr="002C225D" w:rsidRDefault="002C225D" w:rsidP="002C225D">
            <w:pPr>
              <w:pStyle w:val="Tabletext"/>
              <w:jc w:val="center"/>
              <w:rPr>
                <w:rFonts w:asciiTheme="minorHAnsi" w:hAnsiTheme="minorHAnsi"/>
                <w:szCs w:val="19"/>
                <w:vertAlign w:val="superscript"/>
              </w:rPr>
            </w:pPr>
            <w:r w:rsidRPr="002C225D">
              <w:rPr>
                <w:rFonts w:asciiTheme="minorHAnsi" w:hAnsiTheme="minorHAnsi"/>
                <w:szCs w:val="19"/>
              </w:rPr>
              <w:sym w:font="Wingdings" w:char="F0FC"/>
            </w:r>
            <w:r w:rsidRPr="002C225D">
              <w:rPr>
                <w:rFonts w:asciiTheme="minorHAnsi" w:hAnsiTheme="minorHAnsi"/>
                <w:szCs w:val="19"/>
                <w:vertAlign w:val="superscript"/>
              </w:rPr>
              <w:t>3</w:t>
            </w:r>
          </w:p>
        </w:tc>
        <w:tc>
          <w:tcPr>
            <w:tcW w:w="676" w:type="pct"/>
          </w:tcPr>
          <w:p w14:paraId="06ABF503" w14:textId="77777777" w:rsidR="002C225D" w:rsidRPr="002C225D" w:rsidRDefault="002C225D" w:rsidP="002C225D">
            <w:pPr>
              <w:pStyle w:val="Tabletext"/>
              <w:jc w:val="center"/>
              <w:rPr>
                <w:rFonts w:asciiTheme="minorHAnsi" w:hAnsiTheme="minorHAnsi"/>
                <w:szCs w:val="19"/>
              </w:rPr>
            </w:pPr>
            <w:r w:rsidRPr="002C225D">
              <w:rPr>
                <w:rFonts w:asciiTheme="minorHAnsi" w:hAnsiTheme="minorHAnsi"/>
                <w:szCs w:val="19"/>
              </w:rPr>
              <w:sym w:font="Wingdings" w:char="F0FC"/>
            </w:r>
          </w:p>
        </w:tc>
        <w:tc>
          <w:tcPr>
            <w:tcW w:w="794" w:type="pct"/>
          </w:tcPr>
          <w:p w14:paraId="0DE3252C" w14:textId="77777777" w:rsidR="002C225D" w:rsidRPr="002C225D" w:rsidRDefault="002C225D" w:rsidP="002C225D">
            <w:pPr>
              <w:jc w:val="center"/>
              <w:rPr>
                <w:rFonts w:asciiTheme="minorHAnsi" w:hAnsiTheme="minorHAnsi"/>
                <w:sz w:val="19"/>
                <w:szCs w:val="19"/>
              </w:rPr>
            </w:pPr>
            <w:r w:rsidRPr="002C225D">
              <w:rPr>
                <w:rFonts w:asciiTheme="minorHAnsi" w:hAnsiTheme="minorHAnsi"/>
                <w:sz w:val="19"/>
                <w:szCs w:val="19"/>
              </w:rPr>
              <w:t>–</w:t>
            </w:r>
          </w:p>
        </w:tc>
      </w:tr>
    </w:tbl>
    <w:p w14:paraId="2651DE48" w14:textId="75710628" w:rsidR="002C225D" w:rsidRDefault="002C225D" w:rsidP="002C225D">
      <w:pPr>
        <w:pStyle w:val="TableDescription"/>
      </w:pPr>
      <w:r>
        <w:rPr>
          <w:vertAlign w:val="superscript"/>
        </w:rPr>
        <w:t>1</w:t>
      </w:r>
      <w:r>
        <w:t>Pregnancy Follow-Up form</w:t>
      </w:r>
      <w:r w:rsidR="00F20763">
        <w:t xml:space="preserve">, </w:t>
      </w:r>
      <w:r>
        <w:rPr>
          <w:vertAlign w:val="superscript"/>
        </w:rPr>
        <w:t>2</w:t>
      </w:r>
      <w:r w:rsidRPr="00F12FB2">
        <w:rPr>
          <w:vertAlign w:val="superscript"/>
        </w:rPr>
        <w:t xml:space="preserve"> </w:t>
      </w:r>
      <w:r w:rsidRPr="00F12FB2">
        <w:t>Clinical trial – PM1183-A-017-20</w:t>
      </w:r>
      <w:r w:rsidR="00F20763">
        <w:t xml:space="preserve">, </w:t>
      </w:r>
      <w:r>
        <w:rPr>
          <w:vertAlign w:val="superscript"/>
        </w:rPr>
        <w:t>3</w:t>
      </w:r>
      <w:r w:rsidRPr="00F12FB2">
        <w:rPr>
          <w:vertAlign w:val="superscript"/>
        </w:rPr>
        <w:t xml:space="preserve"> </w:t>
      </w:r>
      <w:r w:rsidRPr="00F12FB2">
        <w:t>Clinical trial – PM1183-A-018-20 and PM1183</w:t>
      </w:r>
      <w:r>
        <w:t>-A-019-20</w:t>
      </w:r>
    </w:p>
    <w:p w14:paraId="0C06362E" w14:textId="202B00D2" w:rsidR="00744DB2" w:rsidRDefault="00744DB2" w:rsidP="00744DB2">
      <w:r>
        <w:t xml:space="preserve">In the Australian context, management of SCLC is through tertiary treatment centres by medical oncologists with expertise in the treatment of lung cancers. Lurbinectedin is a </w:t>
      </w:r>
      <w:proofErr w:type="gramStart"/>
      <w:r w:rsidR="00B83074">
        <w:t>one </w:t>
      </w:r>
      <w:r>
        <w:t>hour IV</w:t>
      </w:r>
      <w:proofErr w:type="gramEnd"/>
      <w:r>
        <w:t xml:space="preserve"> infusion which may be administered in the day unit of a cancer treatment centre.</w:t>
      </w:r>
    </w:p>
    <w:p w14:paraId="0E4C16E8" w14:textId="50CB8D7F" w:rsidR="00744DB2" w:rsidRDefault="00744DB2" w:rsidP="00744DB2">
      <w:r>
        <w:lastRenderedPageBreak/>
        <w:t>The summary of safety concerns is considered acceptable from an RMP perspective. Should the Delegate raise any issues that impact on the safety specification, the sponsor may be required to address these issues in a revised RMP.</w:t>
      </w:r>
    </w:p>
    <w:p w14:paraId="18177755" w14:textId="347C0905" w:rsidR="00744DB2" w:rsidRDefault="00744DB2" w:rsidP="00744DB2">
      <w:r>
        <w:t xml:space="preserve">Routine pharmacovigilance activities have been proposed for all safety concerns and sponsor commits to implementation of a ‘Pregnancy follow up form’ for use in Australia, as stated in the ASA. Three additional planned pharmacovigilance activities have been proposed to further characterise the missing information: ‘Use in patients with hepatic impairment’ and ‘Drug interaction with potent CYP3A4 inhibitors and </w:t>
      </w:r>
      <w:proofErr w:type="gramStart"/>
      <w:r>
        <w:t>inducers’</w:t>
      </w:r>
      <w:proofErr w:type="gramEnd"/>
      <w:r>
        <w:t xml:space="preserve">. There is a </w:t>
      </w:r>
      <w:proofErr w:type="gramStart"/>
      <w:r>
        <w:t>single Phase III</w:t>
      </w:r>
      <w:proofErr w:type="gramEnd"/>
      <w:r>
        <w:t xml:space="preserve"> confirmatory study (PM1183-C-008-21) proposed in the ASA version 0.3 clinical study plan to support provisional registration. Subject to Delegate’s decision on final acceptability of the clinical study plan, the pharmacovigilance plan is considered acceptable.</w:t>
      </w:r>
    </w:p>
    <w:p w14:paraId="5AC8C4EA" w14:textId="6A3C8BE8" w:rsidR="00744DB2" w:rsidRPr="004D2DE8" w:rsidRDefault="00744DB2" w:rsidP="00A17B9B">
      <w:r>
        <w:t xml:space="preserve">Only routine risk minimisation activities are proposed for all safety concerns. This is considered acceptable given the context of use by oncology specialists who are familiar with and experienced in the management of such concerns. The proposed Consumer Medicine Information (CMI) and PI are updated to inform of </w:t>
      </w:r>
      <w:proofErr w:type="spellStart"/>
      <w:r>
        <w:t>Zepzelca’s</w:t>
      </w:r>
      <w:proofErr w:type="spellEnd"/>
      <w:r>
        <w:t xml:space="preserve"> inclusion in the Black Triangle Scheme for additional monitoring when medicine is in usage. Pending Delegate’s decision on acceptability of sponsor’s proposed PI statement explaining the medicine is provisional, the risk minimisation plan is considered acceptable.</w:t>
      </w:r>
    </w:p>
    <w:p w14:paraId="17D0BD07" w14:textId="77777777" w:rsidR="00C23B2C" w:rsidRDefault="00C23B2C" w:rsidP="00C23B2C">
      <w:pPr>
        <w:pStyle w:val="Heading3"/>
      </w:pPr>
      <w:bookmarkStart w:id="61" w:name="conditionsofreg"/>
      <w:bookmarkStart w:id="62" w:name="_Toc247691531"/>
      <w:bookmarkStart w:id="63" w:name="_Toc314842515"/>
      <w:bookmarkStart w:id="64" w:name="_Toc59545464"/>
      <w:bookmarkStart w:id="65" w:name="_Toc102558219"/>
      <w:bookmarkEnd w:id="56"/>
      <w:bookmarkEnd w:id="57"/>
      <w:bookmarkEnd w:id="61"/>
      <w:r>
        <w:t>Risk-benefit analysis</w:t>
      </w:r>
      <w:bookmarkEnd w:id="62"/>
      <w:bookmarkEnd w:id="63"/>
      <w:bookmarkEnd w:id="64"/>
      <w:bookmarkEnd w:id="65"/>
    </w:p>
    <w:p w14:paraId="3A285DC2" w14:textId="16B8030F" w:rsidR="00D23139" w:rsidRDefault="007D53B6" w:rsidP="00D23139">
      <w:pPr>
        <w:pStyle w:val="Heading4"/>
      </w:pPr>
      <w:r>
        <w:t>Delegate’s considerations</w:t>
      </w:r>
    </w:p>
    <w:p w14:paraId="5D92C206" w14:textId="295F411E" w:rsidR="004A1D8A" w:rsidRPr="00115715" w:rsidRDefault="004A1D8A" w:rsidP="00C23B2C">
      <w:r w:rsidRPr="00115715">
        <w:t xml:space="preserve">For patients with </w:t>
      </w:r>
      <w:r w:rsidR="00840FC4">
        <w:t>SCLC</w:t>
      </w:r>
      <w:r w:rsidRPr="00115715">
        <w:t>, second</w:t>
      </w:r>
      <w:r w:rsidR="00C23B2C">
        <w:t xml:space="preserve"> </w:t>
      </w:r>
      <w:r w:rsidRPr="00115715">
        <w:t>line treatment options are very limited.</w:t>
      </w:r>
      <w:r w:rsidR="002C2A0D">
        <w:t xml:space="preserve"> </w:t>
      </w:r>
      <w:r w:rsidRPr="00115715">
        <w:t xml:space="preserve">Topotecan is the </w:t>
      </w:r>
      <w:proofErr w:type="gramStart"/>
      <w:r w:rsidRPr="00115715">
        <w:t>most commonly used</w:t>
      </w:r>
      <w:proofErr w:type="gramEnd"/>
      <w:r w:rsidRPr="00115715">
        <w:t xml:space="preserve"> agent and the only one specifically registered for second line treatment of SCLC in Australia, and its use is based on data which was gathered prior to a recent change in standard-of-care.</w:t>
      </w:r>
    </w:p>
    <w:p w14:paraId="622A4628" w14:textId="0AD89B38" w:rsidR="004A1D8A" w:rsidRPr="00115715" w:rsidRDefault="004A1D8A" w:rsidP="00C23B2C">
      <w:r w:rsidRPr="008535EC">
        <w:t>In Study B-005, lurbinectedin administered in the second</w:t>
      </w:r>
      <w:r>
        <w:t xml:space="preserve"> </w:t>
      </w:r>
      <w:r w:rsidRPr="008535EC">
        <w:t xml:space="preserve">line </w:t>
      </w:r>
      <w:r>
        <w:t xml:space="preserve">setting </w:t>
      </w:r>
      <w:r w:rsidRPr="008535EC">
        <w:t xml:space="preserve">to patients with </w:t>
      </w:r>
      <w:r>
        <w:t>advanced</w:t>
      </w:r>
      <w:r w:rsidRPr="008535EC">
        <w:t xml:space="preserve"> SCLC demonstrated </w:t>
      </w:r>
      <w:r>
        <w:t>activity, including in patients with platinum</w:t>
      </w:r>
      <w:r w:rsidR="00C23B2C">
        <w:t xml:space="preserve"> </w:t>
      </w:r>
      <w:r>
        <w:t xml:space="preserve">resistant disease. It </w:t>
      </w:r>
      <w:r w:rsidRPr="00115715">
        <w:t>is unclear whether the responses in this single</w:t>
      </w:r>
      <w:r w:rsidR="00C23B2C">
        <w:t xml:space="preserve"> </w:t>
      </w:r>
      <w:r w:rsidRPr="00115715">
        <w:t xml:space="preserve">arm study will translate into a benefit </w:t>
      </w:r>
      <w:r>
        <w:t>in survival or progression</w:t>
      </w:r>
      <w:r w:rsidR="00C23B2C">
        <w:t xml:space="preserve"> </w:t>
      </w:r>
      <w:r>
        <w:t xml:space="preserve">free survival </w:t>
      </w:r>
      <w:r w:rsidRPr="00115715">
        <w:t>compared to topotecan</w:t>
      </w:r>
      <w:r>
        <w:t>.</w:t>
      </w:r>
      <w:r w:rsidRPr="00115715">
        <w:t xml:space="preserve"> A cross</w:t>
      </w:r>
      <w:r w:rsidR="00C23B2C">
        <w:t xml:space="preserve"> </w:t>
      </w:r>
      <w:r w:rsidRPr="00115715">
        <w:t xml:space="preserve">trial comparison </w:t>
      </w:r>
      <w:r>
        <w:t xml:space="preserve">between the results per BICR in </w:t>
      </w:r>
      <w:r w:rsidR="00122F58">
        <w:t xml:space="preserve">Study </w:t>
      </w:r>
      <w:r>
        <w:t xml:space="preserve">B-005 and </w:t>
      </w:r>
      <w:r w:rsidRPr="00115715">
        <w:t>historical controls treated with topotecan or a CAV (chemotherapy) regimen is presented in</w:t>
      </w:r>
      <w:r w:rsidR="002C2A0D">
        <w:t xml:space="preserve"> </w:t>
      </w:r>
      <w:r w:rsidR="002C2A0D">
        <w:fldChar w:fldCharType="begin"/>
      </w:r>
      <w:r w:rsidR="002C2A0D">
        <w:instrText xml:space="preserve"> REF _Ref96001898 \h </w:instrText>
      </w:r>
      <w:r w:rsidR="002C2A0D">
        <w:fldChar w:fldCharType="separate"/>
      </w:r>
      <w:r w:rsidR="002C2A0D">
        <w:t xml:space="preserve">Table </w:t>
      </w:r>
      <w:r w:rsidR="002C2A0D">
        <w:rPr>
          <w:noProof/>
        </w:rPr>
        <w:t>10</w:t>
      </w:r>
      <w:r w:rsidR="002C2A0D">
        <w:fldChar w:fldCharType="end"/>
      </w:r>
      <w:r w:rsidRPr="00115715">
        <w:t>.</w:t>
      </w:r>
    </w:p>
    <w:p w14:paraId="0AD24E8B" w14:textId="50FBB4B0" w:rsidR="004A1D8A" w:rsidRDefault="00E402EA" w:rsidP="002C2A0D">
      <w:pPr>
        <w:pStyle w:val="TableTitle"/>
      </w:pPr>
      <w:bookmarkStart w:id="66" w:name="_Ref96001898"/>
      <w:bookmarkStart w:id="67" w:name="_Ref38535119"/>
      <w:bookmarkStart w:id="68" w:name="_Ref38621353"/>
      <w:bookmarkStart w:id="69" w:name="_Ref80011864"/>
      <w:r>
        <w:t xml:space="preserve">Table </w:t>
      </w:r>
      <w:fldSimple w:instr=" SEQ Table \* ARABIC ">
        <w:r w:rsidR="002C225D">
          <w:rPr>
            <w:noProof/>
          </w:rPr>
          <w:t>11</w:t>
        </w:r>
      </w:fldSimple>
      <w:bookmarkEnd w:id="66"/>
      <w:r w:rsidR="002C2A0D">
        <w:rPr>
          <w:noProof/>
        </w:rPr>
        <w:t xml:space="preserve">: </w:t>
      </w:r>
      <w:bookmarkEnd w:id="67"/>
      <w:r w:rsidR="004A1D8A">
        <w:t xml:space="preserve">Cross-trial comparison of efficacy </w:t>
      </w:r>
      <w:bookmarkEnd w:id="68"/>
      <w:r w:rsidR="004A1D8A">
        <w:t>by blinded independent review</w:t>
      </w:r>
      <w:bookmarkEnd w:id="69"/>
      <w:r w:rsidR="007C5995">
        <w:t xml:space="preserve"> (objective response rate and duration of response)</w:t>
      </w:r>
    </w:p>
    <w:tbl>
      <w:tblPr>
        <w:tblStyle w:val="TableTGAblue"/>
        <w:tblW w:w="5192" w:type="pct"/>
        <w:tblLook w:val="04A0" w:firstRow="1" w:lastRow="0" w:firstColumn="1" w:lastColumn="0" w:noHBand="0" w:noVBand="1"/>
      </w:tblPr>
      <w:tblGrid>
        <w:gridCol w:w="1781"/>
        <w:gridCol w:w="1808"/>
        <w:gridCol w:w="1891"/>
        <w:gridCol w:w="1711"/>
        <w:gridCol w:w="1619"/>
      </w:tblGrid>
      <w:tr w:rsidR="004A1D8A" w:rsidRPr="00483686" w14:paraId="47F33A8C" w14:textId="77777777" w:rsidTr="00A41C10">
        <w:trPr>
          <w:cnfStyle w:val="100000000000" w:firstRow="1" w:lastRow="0" w:firstColumn="0" w:lastColumn="0" w:oddVBand="0" w:evenVBand="0" w:oddHBand="0" w:evenHBand="0" w:firstRowFirstColumn="0" w:firstRowLastColumn="0" w:lastRowFirstColumn="0" w:lastRowLastColumn="0"/>
        </w:trPr>
        <w:tc>
          <w:tcPr>
            <w:tcW w:w="1011" w:type="pct"/>
          </w:tcPr>
          <w:p w14:paraId="411BCE16" w14:textId="77777777" w:rsidR="004A1D8A" w:rsidRPr="002C2A0D" w:rsidRDefault="004A1D8A" w:rsidP="00A41C10">
            <w:pPr>
              <w:pStyle w:val="TableParagraph"/>
              <w:ind w:left="0" w:right="0"/>
              <w:rPr>
                <w:rFonts w:asciiTheme="minorHAnsi" w:hAnsiTheme="minorHAnsi"/>
                <w:sz w:val="19"/>
                <w:szCs w:val="19"/>
              </w:rPr>
            </w:pPr>
          </w:p>
        </w:tc>
        <w:tc>
          <w:tcPr>
            <w:tcW w:w="1026" w:type="pct"/>
          </w:tcPr>
          <w:p w14:paraId="62BE068B" w14:textId="0337DFC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CAV*</w:t>
            </w:r>
            <w:r w:rsidRPr="002C2A0D">
              <w:rPr>
                <w:rFonts w:asciiTheme="minorHAnsi" w:hAnsiTheme="minorHAnsi"/>
                <w:sz w:val="19"/>
                <w:szCs w:val="19"/>
              </w:rPr>
              <w:br/>
              <w:t xml:space="preserve">Von Pawel et al. 1999 </w:t>
            </w:r>
            <w:r w:rsidRPr="002C2A0D">
              <w:rPr>
                <w:rFonts w:asciiTheme="minorHAnsi" w:hAnsiTheme="minorHAnsi"/>
                <w:sz w:val="19"/>
                <w:szCs w:val="19"/>
              </w:rPr>
              <w:fldChar w:fldCharType="begin"/>
            </w:r>
            <w:r w:rsidRPr="002C2A0D">
              <w:rPr>
                <w:rFonts w:asciiTheme="minorHAnsi" w:hAnsiTheme="minorHAnsi"/>
                <w:sz w:val="19"/>
                <w:szCs w:val="19"/>
              </w:rPr>
              <w:instrText xml:space="preserve"> NOTEREF _Ref77349966 \f \h </w:instrText>
            </w:r>
            <w:r w:rsidR="00FF7417" w:rsidRPr="002C2A0D">
              <w:rPr>
                <w:rFonts w:asciiTheme="minorHAnsi" w:hAnsiTheme="minorHAnsi"/>
                <w:sz w:val="19"/>
                <w:szCs w:val="19"/>
              </w:rPr>
              <w:instrText xml:space="preserve"> \* MERGEFORMAT </w:instrText>
            </w:r>
            <w:r w:rsidRPr="002C2A0D">
              <w:rPr>
                <w:rFonts w:asciiTheme="minorHAnsi" w:hAnsiTheme="minorHAnsi"/>
                <w:sz w:val="19"/>
                <w:szCs w:val="19"/>
              </w:rPr>
            </w:r>
            <w:r w:rsidRPr="002C2A0D">
              <w:rPr>
                <w:rFonts w:asciiTheme="minorHAnsi" w:hAnsiTheme="minorHAnsi"/>
                <w:sz w:val="19"/>
                <w:szCs w:val="19"/>
              </w:rPr>
              <w:fldChar w:fldCharType="separate"/>
            </w:r>
            <w:r w:rsidRPr="002C2A0D">
              <w:rPr>
                <w:rStyle w:val="EndnoteReference"/>
                <w:rFonts w:asciiTheme="minorHAnsi" w:hAnsiTheme="minorHAnsi"/>
                <w:sz w:val="19"/>
                <w:szCs w:val="19"/>
              </w:rPr>
              <w:t>21</w:t>
            </w:r>
            <w:r w:rsidRPr="002C2A0D">
              <w:rPr>
                <w:rFonts w:asciiTheme="minorHAnsi" w:hAnsiTheme="minorHAnsi"/>
                <w:sz w:val="19"/>
                <w:szCs w:val="19"/>
              </w:rPr>
              <w:fldChar w:fldCharType="end"/>
            </w:r>
            <w:r w:rsidRPr="002C2A0D">
              <w:rPr>
                <w:rFonts w:asciiTheme="minorHAnsi" w:hAnsiTheme="minorHAnsi"/>
                <w:sz w:val="19"/>
                <w:szCs w:val="19"/>
              </w:rPr>
              <w:br/>
              <w:t>(n=104)</w:t>
            </w:r>
          </w:p>
        </w:tc>
        <w:tc>
          <w:tcPr>
            <w:tcW w:w="1073" w:type="pct"/>
          </w:tcPr>
          <w:p w14:paraId="2F0DF98F" w14:textId="119086E6" w:rsidR="004A1D8A" w:rsidRPr="00135E64" w:rsidRDefault="004A1D8A" w:rsidP="00A41C10">
            <w:pPr>
              <w:pStyle w:val="TableParagraph"/>
              <w:ind w:left="0" w:right="0"/>
              <w:rPr>
                <w:rFonts w:asciiTheme="minorHAnsi" w:hAnsiTheme="minorHAnsi"/>
                <w:sz w:val="19"/>
                <w:szCs w:val="19"/>
                <w:lang w:val="es-ES"/>
              </w:rPr>
            </w:pPr>
            <w:r w:rsidRPr="00135E64">
              <w:rPr>
                <w:rFonts w:asciiTheme="minorHAnsi" w:hAnsiTheme="minorHAnsi"/>
                <w:sz w:val="19"/>
                <w:szCs w:val="19"/>
                <w:lang w:val="es-ES"/>
              </w:rPr>
              <w:t>Topotecan</w:t>
            </w:r>
            <w:r w:rsidRPr="00135E64">
              <w:rPr>
                <w:rFonts w:asciiTheme="minorHAnsi" w:hAnsiTheme="minorHAnsi"/>
                <w:sz w:val="19"/>
                <w:szCs w:val="19"/>
                <w:lang w:val="es-ES"/>
              </w:rPr>
              <w:br/>
              <w:t xml:space="preserve">Von Pawel et al. 1999 </w:t>
            </w:r>
            <w:r w:rsidRPr="002C2A0D">
              <w:rPr>
                <w:rFonts w:asciiTheme="minorHAnsi" w:hAnsiTheme="minorHAnsi"/>
                <w:sz w:val="19"/>
                <w:szCs w:val="19"/>
              </w:rPr>
              <w:fldChar w:fldCharType="begin"/>
            </w:r>
            <w:r w:rsidRPr="00135E64">
              <w:rPr>
                <w:rFonts w:asciiTheme="minorHAnsi" w:hAnsiTheme="minorHAnsi"/>
                <w:sz w:val="19"/>
                <w:szCs w:val="19"/>
                <w:lang w:val="es-ES"/>
              </w:rPr>
              <w:instrText xml:space="preserve"> NOTEREF _Ref77349966 \f \h </w:instrText>
            </w:r>
            <w:r w:rsidR="00FF7417" w:rsidRPr="00135E64">
              <w:rPr>
                <w:rFonts w:asciiTheme="minorHAnsi" w:hAnsiTheme="minorHAnsi"/>
                <w:sz w:val="19"/>
                <w:szCs w:val="19"/>
                <w:lang w:val="es-ES"/>
              </w:rPr>
              <w:instrText xml:space="preserve"> \* MERGEFORMAT </w:instrText>
            </w:r>
            <w:r w:rsidRPr="002C2A0D">
              <w:rPr>
                <w:rFonts w:asciiTheme="minorHAnsi" w:hAnsiTheme="minorHAnsi"/>
                <w:sz w:val="19"/>
                <w:szCs w:val="19"/>
              </w:rPr>
            </w:r>
            <w:r w:rsidRPr="002C2A0D">
              <w:rPr>
                <w:rFonts w:asciiTheme="minorHAnsi" w:hAnsiTheme="minorHAnsi"/>
                <w:sz w:val="19"/>
                <w:szCs w:val="19"/>
              </w:rPr>
              <w:fldChar w:fldCharType="separate"/>
            </w:r>
            <w:r w:rsidRPr="00135E64">
              <w:rPr>
                <w:rStyle w:val="EndnoteReference"/>
                <w:rFonts w:asciiTheme="minorHAnsi" w:hAnsiTheme="minorHAnsi"/>
                <w:sz w:val="19"/>
                <w:szCs w:val="19"/>
                <w:lang w:val="es-ES"/>
              </w:rPr>
              <w:t>21</w:t>
            </w:r>
            <w:r w:rsidRPr="002C2A0D">
              <w:rPr>
                <w:rFonts w:asciiTheme="minorHAnsi" w:hAnsiTheme="minorHAnsi"/>
                <w:sz w:val="19"/>
                <w:szCs w:val="19"/>
              </w:rPr>
              <w:fldChar w:fldCharType="end"/>
            </w:r>
            <w:r w:rsidRPr="00135E64">
              <w:rPr>
                <w:rFonts w:asciiTheme="minorHAnsi" w:hAnsiTheme="minorHAnsi"/>
                <w:sz w:val="19"/>
                <w:szCs w:val="19"/>
                <w:lang w:val="es-ES"/>
              </w:rPr>
              <w:br/>
              <w:t>(n=107)</w:t>
            </w:r>
          </w:p>
        </w:tc>
        <w:tc>
          <w:tcPr>
            <w:tcW w:w="971" w:type="pct"/>
          </w:tcPr>
          <w:p w14:paraId="462BAE7A" w14:textId="60E96BC9" w:rsidR="004A1D8A" w:rsidRPr="00135E64" w:rsidRDefault="004A1D8A" w:rsidP="00A41C10">
            <w:pPr>
              <w:pStyle w:val="TableParagraph"/>
              <w:ind w:left="0" w:right="0"/>
              <w:rPr>
                <w:rFonts w:asciiTheme="minorHAnsi" w:hAnsiTheme="minorHAnsi"/>
                <w:sz w:val="19"/>
                <w:szCs w:val="19"/>
                <w:lang w:val="es-ES"/>
              </w:rPr>
            </w:pPr>
            <w:r w:rsidRPr="00135E64">
              <w:rPr>
                <w:rFonts w:asciiTheme="minorHAnsi" w:hAnsiTheme="minorHAnsi"/>
                <w:sz w:val="19"/>
                <w:szCs w:val="19"/>
                <w:lang w:val="es-ES"/>
              </w:rPr>
              <w:t>Topotecan</w:t>
            </w:r>
            <w:r w:rsidRPr="00135E64">
              <w:rPr>
                <w:rFonts w:asciiTheme="minorHAnsi" w:hAnsiTheme="minorHAnsi"/>
                <w:sz w:val="19"/>
                <w:szCs w:val="19"/>
                <w:lang w:val="es-ES"/>
              </w:rPr>
              <w:br/>
              <w:t>Von Pawel et al. 2014</w:t>
            </w:r>
            <w:r w:rsidRPr="002C2A0D">
              <w:rPr>
                <w:rFonts w:asciiTheme="minorHAnsi" w:hAnsiTheme="minorHAnsi"/>
                <w:sz w:val="19"/>
                <w:szCs w:val="19"/>
              </w:rPr>
              <w:fldChar w:fldCharType="begin"/>
            </w:r>
            <w:r w:rsidRPr="00135E64">
              <w:rPr>
                <w:rFonts w:asciiTheme="minorHAnsi" w:hAnsiTheme="minorHAnsi"/>
                <w:sz w:val="19"/>
                <w:szCs w:val="19"/>
                <w:lang w:val="es-ES"/>
              </w:rPr>
              <w:instrText xml:space="preserve"> NOTEREF _Ref77349983 \f \h </w:instrText>
            </w:r>
            <w:r w:rsidR="00FF7417" w:rsidRPr="00135E64">
              <w:rPr>
                <w:rFonts w:asciiTheme="minorHAnsi" w:hAnsiTheme="minorHAnsi"/>
                <w:sz w:val="19"/>
                <w:szCs w:val="19"/>
                <w:lang w:val="es-ES"/>
              </w:rPr>
              <w:instrText xml:space="preserve"> \* MERGEFORMAT </w:instrText>
            </w:r>
            <w:r w:rsidRPr="002C2A0D">
              <w:rPr>
                <w:rFonts w:asciiTheme="minorHAnsi" w:hAnsiTheme="minorHAnsi"/>
                <w:sz w:val="19"/>
                <w:szCs w:val="19"/>
              </w:rPr>
            </w:r>
            <w:r w:rsidRPr="002C2A0D">
              <w:rPr>
                <w:rFonts w:asciiTheme="minorHAnsi" w:hAnsiTheme="minorHAnsi"/>
                <w:sz w:val="19"/>
                <w:szCs w:val="19"/>
              </w:rPr>
              <w:fldChar w:fldCharType="separate"/>
            </w:r>
            <w:r w:rsidRPr="00135E64">
              <w:rPr>
                <w:rStyle w:val="EndnoteReference"/>
                <w:rFonts w:asciiTheme="minorHAnsi" w:hAnsiTheme="minorHAnsi"/>
                <w:sz w:val="19"/>
                <w:szCs w:val="19"/>
                <w:lang w:val="es-ES"/>
              </w:rPr>
              <w:t>23</w:t>
            </w:r>
            <w:r w:rsidRPr="002C2A0D">
              <w:rPr>
                <w:rFonts w:asciiTheme="minorHAnsi" w:hAnsiTheme="minorHAnsi"/>
                <w:sz w:val="19"/>
                <w:szCs w:val="19"/>
              </w:rPr>
              <w:fldChar w:fldCharType="end"/>
            </w:r>
          </w:p>
          <w:p w14:paraId="14D15BC2"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(n=213)</w:t>
            </w:r>
          </w:p>
        </w:tc>
        <w:tc>
          <w:tcPr>
            <w:tcW w:w="919" w:type="pct"/>
          </w:tcPr>
          <w:p w14:paraId="3EB9E85C"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Lurbinectedin</w:t>
            </w:r>
          </w:p>
          <w:p w14:paraId="7D13E4D0"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B-005-14</w:t>
            </w:r>
          </w:p>
          <w:p w14:paraId="7F3E0621"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2020</w:t>
            </w:r>
          </w:p>
          <w:p w14:paraId="097E28E3"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(n=105)</w:t>
            </w:r>
          </w:p>
        </w:tc>
      </w:tr>
      <w:tr w:rsidR="004A1D8A" w:rsidRPr="00483686" w14:paraId="34092B8F" w14:textId="77777777" w:rsidTr="00A41C10">
        <w:tc>
          <w:tcPr>
            <w:tcW w:w="1011" w:type="pct"/>
          </w:tcPr>
          <w:p w14:paraId="5919DB88"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ORR </w:t>
            </w:r>
          </w:p>
          <w:p w14:paraId="5007E5F8"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(95% CI)</w:t>
            </w:r>
          </w:p>
        </w:tc>
        <w:tc>
          <w:tcPr>
            <w:tcW w:w="1026" w:type="pct"/>
          </w:tcPr>
          <w:p w14:paraId="5A0E34B5"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18.3% </w:t>
            </w:r>
          </w:p>
          <w:p w14:paraId="6E08E6E2"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(10.8-25.7)</w:t>
            </w:r>
          </w:p>
        </w:tc>
        <w:tc>
          <w:tcPr>
            <w:tcW w:w="1073" w:type="pct"/>
          </w:tcPr>
          <w:p w14:paraId="668E51DA"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24.3% </w:t>
            </w:r>
          </w:p>
          <w:p w14:paraId="7CE70BCE"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(16.2-32.4)</w:t>
            </w:r>
          </w:p>
        </w:tc>
        <w:tc>
          <w:tcPr>
            <w:tcW w:w="971" w:type="pct"/>
          </w:tcPr>
          <w:p w14:paraId="46BCE874"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16.9% </w:t>
            </w:r>
          </w:p>
          <w:p w14:paraId="582E857A"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(12.1-22.6)</w:t>
            </w:r>
          </w:p>
        </w:tc>
        <w:tc>
          <w:tcPr>
            <w:tcW w:w="919" w:type="pct"/>
          </w:tcPr>
          <w:p w14:paraId="0BC38346"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30.5% </w:t>
            </w:r>
          </w:p>
          <w:p w14:paraId="668FC1C2"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(21.9-40.2)</w:t>
            </w:r>
          </w:p>
        </w:tc>
      </w:tr>
      <w:tr w:rsidR="004A1D8A" w:rsidRPr="00483686" w14:paraId="750E43B4" w14:textId="77777777" w:rsidTr="00A41C10">
        <w:tc>
          <w:tcPr>
            <w:tcW w:w="1011" w:type="pct"/>
          </w:tcPr>
          <w:p w14:paraId="5ED8DEFF"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DOR, months </w:t>
            </w:r>
          </w:p>
          <w:p w14:paraId="40EFB281"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(95% CI)</w:t>
            </w:r>
          </w:p>
        </w:tc>
        <w:tc>
          <w:tcPr>
            <w:tcW w:w="1026" w:type="pct"/>
          </w:tcPr>
          <w:p w14:paraId="469FDED9"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3.5 </w:t>
            </w:r>
          </w:p>
          <w:p w14:paraId="7E34F874"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(1.9-16.1)</w:t>
            </w:r>
          </w:p>
        </w:tc>
        <w:tc>
          <w:tcPr>
            <w:tcW w:w="1073" w:type="pct"/>
          </w:tcPr>
          <w:p w14:paraId="512C813C"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3.3 </w:t>
            </w:r>
          </w:p>
          <w:p w14:paraId="090C81C8" w14:textId="75D8DC6D"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(NR) range 2.2-11.5</w:t>
            </w:r>
          </w:p>
        </w:tc>
        <w:tc>
          <w:tcPr>
            <w:tcW w:w="971" w:type="pct"/>
          </w:tcPr>
          <w:p w14:paraId="3FDB9BDD"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4.2 </w:t>
            </w:r>
          </w:p>
          <w:p w14:paraId="66F74EB1"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(NR)</w:t>
            </w:r>
          </w:p>
        </w:tc>
        <w:tc>
          <w:tcPr>
            <w:tcW w:w="919" w:type="pct"/>
          </w:tcPr>
          <w:p w14:paraId="3892BB3C"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5.1 </w:t>
            </w:r>
          </w:p>
          <w:p w14:paraId="7025CBF4"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(4.9-6.4)</w:t>
            </w:r>
          </w:p>
        </w:tc>
      </w:tr>
      <w:tr w:rsidR="004A1D8A" w:rsidRPr="00483686" w14:paraId="509F9320" w14:textId="77777777" w:rsidTr="00A41C10">
        <w:trPr>
          <w:trHeight w:val="385"/>
        </w:trPr>
        <w:tc>
          <w:tcPr>
            <w:tcW w:w="0" w:type="pct"/>
            <w:gridSpan w:val="5"/>
          </w:tcPr>
          <w:p w14:paraId="3F48382B" w14:textId="77777777" w:rsidR="004A1D8A" w:rsidRPr="002C2A0D" w:rsidRDefault="004A1D8A" w:rsidP="00A41C10">
            <w:pPr>
              <w:pStyle w:val="TableParagraph"/>
              <w:ind w:left="0" w:right="0"/>
              <w:rPr>
                <w:rFonts w:asciiTheme="minorHAnsi" w:hAnsiTheme="minorHAnsi"/>
                <w:i/>
                <w:iCs/>
                <w:sz w:val="19"/>
                <w:szCs w:val="19"/>
              </w:rPr>
            </w:pPr>
            <w:r w:rsidRPr="002C2A0D">
              <w:rPr>
                <w:rFonts w:asciiTheme="minorHAnsi" w:hAnsiTheme="minorHAnsi"/>
                <w:i/>
                <w:iCs/>
                <w:sz w:val="19"/>
                <w:szCs w:val="19"/>
              </w:rPr>
              <w:t xml:space="preserve">ORR (95% CI) by CTFI subgroups: </w:t>
            </w:r>
          </w:p>
        </w:tc>
      </w:tr>
      <w:tr w:rsidR="004A1D8A" w:rsidRPr="00483686" w14:paraId="308515BB" w14:textId="77777777" w:rsidTr="00A41C10">
        <w:tc>
          <w:tcPr>
            <w:tcW w:w="1011" w:type="pct"/>
          </w:tcPr>
          <w:p w14:paraId="14DC13BC"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CTFI &lt;90 days</w:t>
            </w:r>
          </w:p>
          <w:p w14:paraId="59EDD65B"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(platinum resistant)</w:t>
            </w:r>
          </w:p>
        </w:tc>
        <w:tc>
          <w:tcPr>
            <w:tcW w:w="1026" w:type="pct"/>
          </w:tcPr>
          <w:p w14:paraId="144550B4"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NR</w:t>
            </w:r>
          </w:p>
        </w:tc>
        <w:tc>
          <w:tcPr>
            <w:tcW w:w="1073" w:type="pct"/>
          </w:tcPr>
          <w:p w14:paraId="4235D598"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NR</w:t>
            </w:r>
          </w:p>
        </w:tc>
        <w:tc>
          <w:tcPr>
            <w:tcW w:w="971" w:type="pct"/>
          </w:tcPr>
          <w:p w14:paraId="264FF7A5"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9.4% </w:t>
            </w:r>
          </w:p>
          <w:p w14:paraId="64DC3D18"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(3.0-15.0)</w:t>
            </w:r>
          </w:p>
        </w:tc>
        <w:tc>
          <w:tcPr>
            <w:tcW w:w="919" w:type="pct"/>
          </w:tcPr>
          <w:p w14:paraId="7020BED9"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13.3% </w:t>
            </w:r>
          </w:p>
          <w:p w14:paraId="334671B6"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(5.1-26.8)</w:t>
            </w:r>
          </w:p>
        </w:tc>
      </w:tr>
      <w:tr w:rsidR="004A1D8A" w:rsidRPr="00483686" w14:paraId="3408E515" w14:textId="77777777" w:rsidTr="00A41C10">
        <w:tc>
          <w:tcPr>
            <w:tcW w:w="1011" w:type="pct"/>
          </w:tcPr>
          <w:p w14:paraId="7C9F6CC3"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CTFI &gt;90 days</w:t>
            </w:r>
          </w:p>
          <w:p w14:paraId="0B1C8023"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(platinum sensitive)</w:t>
            </w:r>
          </w:p>
        </w:tc>
        <w:tc>
          <w:tcPr>
            <w:tcW w:w="1026" w:type="pct"/>
          </w:tcPr>
          <w:p w14:paraId="5F6C659A"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NR</w:t>
            </w:r>
          </w:p>
        </w:tc>
        <w:tc>
          <w:tcPr>
            <w:tcW w:w="1073" w:type="pct"/>
          </w:tcPr>
          <w:p w14:paraId="5C82A933"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NR</w:t>
            </w:r>
          </w:p>
        </w:tc>
        <w:tc>
          <w:tcPr>
            <w:tcW w:w="971" w:type="pct"/>
          </w:tcPr>
          <w:p w14:paraId="1BA1E4B8"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23.1% </w:t>
            </w:r>
          </w:p>
          <w:p w14:paraId="2CD01C7E"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(15-31)</w:t>
            </w:r>
          </w:p>
        </w:tc>
        <w:tc>
          <w:tcPr>
            <w:tcW w:w="919" w:type="pct"/>
          </w:tcPr>
          <w:p w14:paraId="46E1E9B6"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 xml:space="preserve">43.4% </w:t>
            </w:r>
          </w:p>
          <w:p w14:paraId="63CFC016" w14:textId="77777777" w:rsidR="004A1D8A" w:rsidRPr="002C2A0D" w:rsidRDefault="004A1D8A" w:rsidP="00A41C10">
            <w:pPr>
              <w:pStyle w:val="TableParagraph"/>
              <w:ind w:left="0" w:right="0"/>
              <w:rPr>
                <w:rFonts w:asciiTheme="minorHAnsi" w:hAnsiTheme="minorHAnsi"/>
                <w:sz w:val="19"/>
                <w:szCs w:val="19"/>
              </w:rPr>
            </w:pPr>
            <w:r w:rsidRPr="002C2A0D">
              <w:rPr>
                <w:rFonts w:asciiTheme="minorHAnsi" w:hAnsiTheme="minorHAnsi"/>
                <w:sz w:val="19"/>
                <w:szCs w:val="19"/>
              </w:rPr>
              <w:t>(30.6-56.8)</w:t>
            </w:r>
          </w:p>
        </w:tc>
      </w:tr>
    </w:tbl>
    <w:p w14:paraId="54492F58" w14:textId="65165309" w:rsidR="004A1D8A" w:rsidRDefault="004A1D8A" w:rsidP="002C2A0D">
      <w:pPr>
        <w:pStyle w:val="TableDescription"/>
      </w:pPr>
      <w:r>
        <w:t>NR = not reported. * C</w:t>
      </w:r>
      <w:r w:rsidRPr="00B354FE">
        <w:t xml:space="preserve">yclophosphamide, </w:t>
      </w:r>
      <w:proofErr w:type="gramStart"/>
      <w:r w:rsidRPr="00B354FE">
        <w:t>doxorubicin</w:t>
      </w:r>
      <w:proofErr w:type="gramEnd"/>
      <w:r w:rsidRPr="00B354FE">
        <w:t xml:space="preserve"> and vincristine</w:t>
      </w:r>
    </w:p>
    <w:p w14:paraId="16AA1F35" w14:textId="074C2583" w:rsidR="004A1D8A" w:rsidRDefault="004A1D8A" w:rsidP="004A1D8A">
      <w:r w:rsidRPr="008535EC">
        <w:lastRenderedPageBreak/>
        <w:t xml:space="preserve">The response rate appears to be descriptively higher in </w:t>
      </w:r>
      <w:r w:rsidR="00A14773">
        <w:t>Study</w:t>
      </w:r>
      <w:r w:rsidR="00B83074">
        <w:t xml:space="preserve"> </w:t>
      </w:r>
      <w:r w:rsidRPr="008535EC">
        <w:t>B-005 than in the other trials: both in the entire patient group and in patients with platinum</w:t>
      </w:r>
      <w:r w:rsidR="007C5995">
        <w:t xml:space="preserve"> </w:t>
      </w:r>
      <w:r w:rsidRPr="008535EC">
        <w:t>sensitive disease</w:t>
      </w:r>
      <w:r>
        <w:t>, although t</w:t>
      </w:r>
      <w:r w:rsidRPr="008535EC">
        <w:t>he lack of separation of confidence intervals is noted.</w:t>
      </w:r>
      <w:r>
        <w:t xml:space="preserve"> The other trials are also notably older than </w:t>
      </w:r>
      <w:r w:rsidR="00A14773">
        <w:t xml:space="preserve">Study </w:t>
      </w:r>
      <w:r>
        <w:t>B-005.</w:t>
      </w:r>
      <w:r w:rsidRPr="008535EC">
        <w:t xml:space="preserve"> </w:t>
      </w:r>
      <w:r>
        <w:t>However, t</w:t>
      </w:r>
      <w:r w:rsidRPr="008535EC">
        <w:t xml:space="preserve">he </w:t>
      </w:r>
      <w:r w:rsidR="00A14773">
        <w:t xml:space="preserve">Study </w:t>
      </w:r>
      <w:r w:rsidRPr="008535EC">
        <w:t>B-005 population included patients with a poorer prognosis and a lower likelihood of response than the other populations</w:t>
      </w:r>
      <w:r>
        <w:t xml:space="preserve"> included in </w:t>
      </w:r>
      <w:r w:rsidR="00F20763">
        <w:fldChar w:fldCharType="begin"/>
      </w:r>
      <w:r w:rsidR="00F20763">
        <w:instrText xml:space="preserve"> REF _Ref96610188 \h </w:instrText>
      </w:r>
      <w:r w:rsidR="00F20763">
        <w:fldChar w:fldCharType="separate"/>
      </w:r>
      <w:r w:rsidR="00F20763">
        <w:t xml:space="preserve">Table </w:t>
      </w:r>
      <w:r w:rsidR="00F20763">
        <w:rPr>
          <w:noProof/>
        </w:rPr>
        <w:t>3</w:t>
      </w:r>
      <w:r w:rsidR="00F20763">
        <w:fldChar w:fldCharType="end"/>
      </w:r>
      <w:r w:rsidRPr="008535EC">
        <w:t>.</w:t>
      </w:r>
    </w:p>
    <w:p w14:paraId="177BFEBC" w14:textId="7A3FA79A" w:rsidR="004A1D8A" w:rsidRDefault="004A1D8A" w:rsidP="004A1D8A">
      <w:r>
        <w:t xml:space="preserve">Although there are </w:t>
      </w:r>
      <w:proofErr w:type="gramStart"/>
      <w:r>
        <w:t>a number of</w:t>
      </w:r>
      <w:proofErr w:type="gramEnd"/>
      <w:r>
        <w:t xml:space="preserve"> existing second line treatment options for treatment of SCLC, they are very limited in terms of efficacy, but also in terms of quality and age of supporting data. Topotecan is the only treatment option for which there is </w:t>
      </w:r>
      <w:r w:rsidR="00530B20">
        <w:t>P</w:t>
      </w:r>
      <w:r>
        <w:t xml:space="preserve">hase </w:t>
      </w:r>
      <w:r w:rsidR="00530B20">
        <w:t>III</w:t>
      </w:r>
      <w:r>
        <w:t xml:space="preserve"> supporting data that is not more than two decades old, in which it demonstrated benefit over CAV. Re-treatment with first line platinum has shown larger response rates, but in very old, single arm datasets. All existing options are associated with uncertain effectiveness in the post-immunotherapy setting that is posed by the recent approvals of add-on durvalumab and atezolizumab in the first line, as well as with inevitable relapse and significant toxicity.</w:t>
      </w:r>
    </w:p>
    <w:p w14:paraId="17876D47" w14:textId="145EB004" w:rsidR="008C1D45" w:rsidRPr="00A02D8B" w:rsidRDefault="00D7331F" w:rsidP="008C1D45">
      <w:pPr>
        <w:pStyle w:val="Heading3"/>
      </w:pPr>
      <w:bookmarkStart w:id="70" w:name="_Toc102558220"/>
      <w:r>
        <w:t>Proposed action</w:t>
      </w:r>
      <w:bookmarkEnd w:id="70"/>
    </w:p>
    <w:p w14:paraId="4177F657" w14:textId="52A85A5F" w:rsidR="008C1D45" w:rsidRDefault="008C1D45" w:rsidP="008C1D45">
      <w:r>
        <w:t xml:space="preserve">Advanced SCLC is a </w:t>
      </w:r>
      <w:proofErr w:type="gramStart"/>
      <w:r>
        <w:t>life</w:t>
      </w:r>
      <w:r w:rsidR="007C5995">
        <w:t xml:space="preserve"> </w:t>
      </w:r>
      <w:r>
        <w:t>threatening</w:t>
      </w:r>
      <w:proofErr w:type="gramEnd"/>
      <w:r>
        <w:t xml:space="preserve"> disease with very limited existing therapeutic options.</w:t>
      </w:r>
    </w:p>
    <w:p w14:paraId="32322E44" w14:textId="4651E2A1" w:rsidR="008C1D45" w:rsidRDefault="008C1D45" w:rsidP="008C1D45">
      <w:r>
        <w:t xml:space="preserve">Pivotal </w:t>
      </w:r>
      <w:r w:rsidR="00A14773">
        <w:t>S</w:t>
      </w:r>
      <w:r>
        <w:t>tudy B-005 provides evidence of activity of lurbinectedin in the second line treatment of advanced SCLC, because in the absence of therapy, the natural history of the disease is that tumours grow or remain stable rather than shrink.</w:t>
      </w:r>
    </w:p>
    <w:p w14:paraId="4A25A531" w14:textId="09FE72BE" w:rsidR="008C1D45" w:rsidRPr="00CF21CB" w:rsidRDefault="008C1D45" w:rsidP="008C1D45">
      <w:r>
        <w:t>It is unclear whether the demonstrated responses in this single</w:t>
      </w:r>
      <w:r w:rsidR="007C5995">
        <w:t xml:space="preserve"> </w:t>
      </w:r>
      <w:r>
        <w:t>arm study will translate into improved time</w:t>
      </w:r>
      <w:r w:rsidR="007C5995">
        <w:t xml:space="preserve"> </w:t>
      </w:r>
      <w:r>
        <w:t>to</w:t>
      </w:r>
      <w:r w:rsidR="007C5995">
        <w:t xml:space="preserve"> </w:t>
      </w:r>
      <w:r>
        <w:t xml:space="preserve">event </w:t>
      </w:r>
      <w:r w:rsidRPr="00CF21CB">
        <w:t xml:space="preserve">endpoints (such as PFS or OS) compared to the </w:t>
      </w:r>
      <w:r>
        <w:t xml:space="preserve">only </w:t>
      </w:r>
      <w:r w:rsidRPr="00CF21CB">
        <w:t>existing registered therapy, topotecan. It is noted that amrubicin showed promising early data, including in platinum</w:t>
      </w:r>
      <w:r w:rsidR="007C5995">
        <w:t xml:space="preserve"> </w:t>
      </w:r>
      <w:r w:rsidRPr="00CF21CB">
        <w:t xml:space="preserve">resistant and refractory patients, </w:t>
      </w:r>
      <w:r>
        <w:t>which</w:t>
      </w:r>
      <w:r w:rsidRPr="00CF21CB">
        <w:t xml:space="preserve"> did not translate into a survival benefit </w:t>
      </w:r>
      <w:r>
        <w:t xml:space="preserve">when </w:t>
      </w:r>
      <w:r w:rsidRPr="00CF21CB">
        <w:t>compared to standard</w:t>
      </w:r>
      <w:r w:rsidR="007C5995">
        <w:t xml:space="preserve"> </w:t>
      </w:r>
      <w:r w:rsidRPr="00CF21CB">
        <w:t>of</w:t>
      </w:r>
      <w:r w:rsidR="007C5995">
        <w:t xml:space="preserve"> </w:t>
      </w:r>
      <w:r w:rsidRPr="00CF21CB">
        <w:t xml:space="preserve">care (topotecan or CAV) in a subsequent </w:t>
      </w:r>
      <w:r w:rsidR="00A14773">
        <w:t>P</w:t>
      </w:r>
      <w:r w:rsidRPr="00CF21CB">
        <w:t xml:space="preserve">hase </w:t>
      </w:r>
      <w:r w:rsidR="00A14773">
        <w:t>III</w:t>
      </w:r>
      <w:r w:rsidRPr="00CF21CB">
        <w:t xml:space="preserve"> trial.</w:t>
      </w:r>
      <w:r w:rsidRPr="00CF21CB">
        <w:fldChar w:fldCharType="begin"/>
      </w:r>
      <w:r w:rsidRPr="00CF21CB">
        <w:instrText xml:space="preserve"> NOTEREF _Ref73722566 \f \h  \* MERGEFORMAT </w:instrText>
      </w:r>
      <w:r w:rsidRPr="00CF21CB">
        <w:fldChar w:fldCharType="separate"/>
      </w:r>
      <w:r w:rsidRPr="00312223">
        <w:rPr>
          <w:rStyle w:val="EndnoteReference"/>
        </w:rPr>
        <w:t>23</w:t>
      </w:r>
      <w:r w:rsidRPr="00CF21CB">
        <w:fldChar w:fldCharType="end"/>
      </w:r>
    </w:p>
    <w:p w14:paraId="213F3560" w14:textId="0184A8C9" w:rsidR="008C1D45" w:rsidRDefault="008C1D45" w:rsidP="00744DB2">
      <w:r>
        <w:t xml:space="preserve">Whilst </w:t>
      </w:r>
      <w:r w:rsidR="00530B20">
        <w:t>S</w:t>
      </w:r>
      <w:r>
        <w:t>tudy B-005 was conducted prior to the emergence of first</w:t>
      </w:r>
      <w:r w:rsidR="00D7331F">
        <w:t xml:space="preserve"> </w:t>
      </w:r>
      <w:r>
        <w:t>line immunochemotherapy and contained very few patients who had received it, data from the available small cohort does not indicate an absence of responses, and comprehensive representation is expected amongst the confirmatory trial population. There is a similar lack of data to support the use of topotecan (or other chemotherapy) after first line immunochemotherapy.</w:t>
      </w:r>
    </w:p>
    <w:p w14:paraId="10EF5EEC" w14:textId="594BDE9D" w:rsidR="008C1D45" w:rsidRDefault="008C1D45" w:rsidP="008C1D45">
      <w:r>
        <w:t xml:space="preserve">The safety profile of lurbinectedin monotherapy in SCLC appears to be acceptable, given the </w:t>
      </w:r>
      <w:proofErr w:type="gramStart"/>
      <w:r>
        <w:t>life</w:t>
      </w:r>
      <w:r w:rsidR="00D7331F">
        <w:t xml:space="preserve"> </w:t>
      </w:r>
      <w:r>
        <w:t>threatening</w:t>
      </w:r>
      <w:proofErr w:type="gramEnd"/>
      <w:r>
        <w:t xml:space="preserve"> nature of the disease.</w:t>
      </w:r>
    </w:p>
    <w:p w14:paraId="4A193C4E" w14:textId="4EA824B2" w:rsidR="008C1D45" w:rsidRDefault="008C1D45" w:rsidP="008C1D45">
      <w:r w:rsidRPr="002943A3">
        <w:t xml:space="preserve">The proposed confirmatory study is </w:t>
      </w:r>
      <w:r w:rsidR="00A14773">
        <w:t xml:space="preserve">Study </w:t>
      </w:r>
      <w:r w:rsidRPr="002943A3">
        <w:t xml:space="preserve">C-008, with overall survival as the primary endpoint. Study report availability is expected to be </w:t>
      </w:r>
      <w:r w:rsidR="00530B20">
        <w:t>early</w:t>
      </w:r>
      <w:r w:rsidRPr="002943A3">
        <w:t xml:space="preserve"> 202</w:t>
      </w:r>
      <w:r>
        <w:t>6</w:t>
      </w:r>
      <w:r w:rsidRPr="002943A3">
        <w:t>. This is expected to be available within the limitations of Australian provisional registration (maximum 6 years, including two</w:t>
      </w:r>
      <w:r>
        <w:t xml:space="preserve"> x</w:t>
      </w:r>
      <w:r w:rsidRPr="002943A3">
        <w:t xml:space="preserve"> 2-year extensions).</w:t>
      </w:r>
    </w:p>
    <w:p w14:paraId="2B61E4D7" w14:textId="0748B5C3" w:rsidR="008C1D45" w:rsidRDefault="008C1D45" w:rsidP="008C1D45">
      <w:r w:rsidRPr="00B062B2">
        <w:t xml:space="preserve">The benefit-risk balance of </w:t>
      </w:r>
      <w:r>
        <w:t xml:space="preserve">provisional registration of </w:t>
      </w:r>
      <w:r w:rsidRPr="00B062B2">
        <w:t xml:space="preserve">lurbinectedin for the proposed usage </w:t>
      </w:r>
      <w:r>
        <w:t xml:space="preserve">is </w:t>
      </w:r>
      <w:r w:rsidRPr="00B062B2">
        <w:t>positive</w:t>
      </w:r>
      <w:r>
        <w:t xml:space="preserve">, and the remaining uncertainties are expected to be addressed by the </w:t>
      </w:r>
      <w:r w:rsidRPr="00B062B2">
        <w:t>pending confirmatory data</w:t>
      </w:r>
      <w:r>
        <w:t>set</w:t>
      </w:r>
      <w:r w:rsidRPr="00B062B2">
        <w:t>.</w:t>
      </w:r>
    </w:p>
    <w:p w14:paraId="56D33E18" w14:textId="77777777" w:rsidR="00A41C10" w:rsidRPr="00F73346" w:rsidRDefault="00A41C10" w:rsidP="00A41C10">
      <w:pPr>
        <w:pStyle w:val="Heading4"/>
      </w:pPr>
      <w:bookmarkStart w:id="71" w:name="_Toc98931936"/>
      <w:r w:rsidRPr="00F73346">
        <w:t>Advisory Committee considerations</w:t>
      </w:r>
      <w:bookmarkEnd w:id="71"/>
    </w:p>
    <w:p w14:paraId="685482CD" w14:textId="1B0C29A8" w:rsidR="00A41C10" w:rsidRPr="007D53B6" w:rsidRDefault="00A41C10" w:rsidP="00A41C10">
      <w:r w:rsidRPr="00C65E63">
        <w:t>The Delegate did not refer this application to the Advisory Committee on Medicines (ACM) for advice.</w:t>
      </w:r>
    </w:p>
    <w:p w14:paraId="284DBAE8" w14:textId="77777777" w:rsidR="008E7846" w:rsidRPr="002E238E" w:rsidRDefault="008E7846" w:rsidP="008E7846">
      <w:pPr>
        <w:pStyle w:val="Heading3"/>
      </w:pPr>
      <w:bookmarkStart w:id="72" w:name="_Toc247691532"/>
      <w:bookmarkStart w:id="73" w:name="_Toc314842516"/>
      <w:bookmarkStart w:id="74" w:name="_Toc102558221"/>
      <w:bookmarkEnd w:id="30"/>
      <w:bookmarkEnd w:id="58"/>
      <w:bookmarkEnd w:id="59"/>
      <w:r>
        <w:lastRenderedPageBreak/>
        <w:t>Outcome</w:t>
      </w:r>
      <w:bookmarkEnd w:id="72"/>
      <w:bookmarkEnd w:id="73"/>
      <w:bookmarkEnd w:id="74"/>
    </w:p>
    <w:p w14:paraId="49082F25" w14:textId="357E30E3" w:rsidR="007D53B6" w:rsidRDefault="007D53B6" w:rsidP="007D53B6">
      <w:bookmarkStart w:id="75" w:name="_Toc247691533"/>
      <w:bookmarkStart w:id="76" w:name="_Toc314842517"/>
      <w:r>
        <w:t xml:space="preserve">Based on a review of quality, </w:t>
      </w:r>
      <w:proofErr w:type="gramStart"/>
      <w:r>
        <w:t>safety</w:t>
      </w:r>
      <w:proofErr w:type="gramEnd"/>
      <w:r>
        <w:t xml:space="preserve"> and efficacy, </w:t>
      </w:r>
      <w:r w:rsidR="00F0146F">
        <w:t xml:space="preserve">the </w:t>
      </w:r>
      <w:r>
        <w:t xml:space="preserve">TGA approved the registration of </w:t>
      </w:r>
      <w:r w:rsidR="000F656B">
        <w:t>Zepzelca</w:t>
      </w:r>
      <w:r w:rsidR="000F656B" w:rsidRPr="00250271">
        <w:t xml:space="preserve"> </w:t>
      </w:r>
      <w:r w:rsidR="00190359" w:rsidRPr="00250271">
        <w:t>(</w:t>
      </w:r>
      <w:r w:rsidR="000F656B" w:rsidRPr="000F656B">
        <w:t>lurbinectedin</w:t>
      </w:r>
      <w:r w:rsidR="00190359" w:rsidRPr="00250271">
        <w:t xml:space="preserve">) </w:t>
      </w:r>
      <w:r w:rsidR="000F656B">
        <w:t xml:space="preserve">4 mg, powder for injection, </w:t>
      </w:r>
      <w:r w:rsidR="002E09AB">
        <w:t>container</w:t>
      </w:r>
      <w:r w:rsidR="002C2A0D">
        <w:t>.</w:t>
      </w:r>
    </w:p>
    <w:p w14:paraId="0A9E8786" w14:textId="77777777" w:rsidR="002C2A0D" w:rsidRPr="002C2A0D" w:rsidRDefault="00D7331F" w:rsidP="002C2A0D">
      <w:pPr>
        <w:ind w:left="720"/>
        <w:rPr>
          <w:rFonts w:ascii="Cambria-Italic" w:eastAsiaTheme="minorHAnsi" w:hAnsi="Cambria-Italic" w:cs="Cambria-Italic"/>
          <w:i/>
          <w:iCs/>
        </w:rPr>
      </w:pPr>
      <w:r w:rsidRPr="002C2A0D">
        <w:rPr>
          <w:i/>
          <w:iCs/>
        </w:rPr>
        <w:t>Zepzelca is indicated for the treatment of patients with metastatic small cell lung cancer (SCLC) that has progressed on or after prior platinum-containing therapy. This indication was approved via the provisional approval pathway, based on objective response rate and duration of response in a single arm trial. Continued approval for this indication depends on verification and description of clinical benefit in a confirmatory trial</w:t>
      </w:r>
      <w:r w:rsidRPr="002C2A0D">
        <w:rPr>
          <w:rFonts w:ascii="Cambria-Italic" w:eastAsiaTheme="minorHAnsi" w:hAnsi="Cambria-Italic" w:cs="Cambria-Italic"/>
          <w:i/>
          <w:iCs/>
        </w:rPr>
        <w:t>.</w:t>
      </w:r>
    </w:p>
    <w:p w14:paraId="68C62943" w14:textId="1E9D10E9" w:rsidR="00D23139" w:rsidRPr="00D23139" w:rsidRDefault="00D23139" w:rsidP="00D23139">
      <w:pPr>
        <w:pStyle w:val="Heading4"/>
      </w:pPr>
      <w:r w:rsidRPr="00D23139">
        <w:t>Specific conditions of registration applying to these goods</w:t>
      </w:r>
    </w:p>
    <w:p w14:paraId="30A97BEE" w14:textId="77777777" w:rsidR="002B3F70" w:rsidRPr="005358A9" w:rsidRDefault="002B3F70" w:rsidP="002B3F70">
      <w:pPr>
        <w:pStyle w:val="ListBullet"/>
      </w:pPr>
      <w:r w:rsidRPr="005358A9">
        <w:t>Zepzelca (lurbinectedin) is to be included in the Black Triangle Scheme. The P</w:t>
      </w:r>
      <w:r>
        <w:t>roduct Information (P</w:t>
      </w:r>
      <w:r w:rsidRPr="005358A9">
        <w:t>I</w:t>
      </w:r>
      <w:r>
        <w:t>)</w:t>
      </w:r>
      <w:r w:rsidRPr="005358A9">
        <w:t xml:space="preserve"> and</w:t>
      </w:r>
      <w:r>
        <w:t xml:space="preserve"> </w:t>
      </w:r>
      <w:r w:rsidRPr="0040135E">
        <w:t>Consumer Medicines Information</w:t>
      </w:r>
      <w:r>
        <w:t xml:space="preserve"> (</w:t>
      </w:r>
      <w:r w:rsidRPr="005358A9">
        <w:t>CMI</w:t>
      </w:r>
      <w:r>
        <w:t>)</w:t>
      </w:r>
      <w:r w:rsidRPr="005358A9">
        <w:t xml:space="preserve"> for Zepzelca must include the black triangle symbol and mandatory</w:t>
      </w:r>
      <w:r>
        <w:t xml:space="preserve"> </w:t>
      </w:r>
      <w:r w:rsidRPr="005358A9">
        <w:t>accompanying text for the products entire period of provisional registration.</w:t>
      </w:r>
    </w:p>
    <w:p w14:paraId="71041DDF" w14:textId="033C4656" w:rsidR="002B3F70" w:rsidRPr="005358A9" w:rsidRDefault="002B3F70" w:rsidP="002B3F70">
      <w:pPr>
        <w:pStyle w:val="ListBullet"/>
      </w:pPr>
      <w:r w:rsidRPr="005358A9">
        <w:t xml:space="preserve">The lurbinectedin core </w:t>
      </w:r>
      <w:r>
        <w:t>European Union (</w:t>
      </w:r>
      <w:r w:rsidRPr="005358A9">
        <w:t>EU</w:t>
      </w:r>
      <w:r>
        <w:t>)</w:t>
      </w:r>
      <w:r w:rsidRPr="005358A9">
        <w:t>-risk management plan (RMP) (version 0.2, dated 15</w:t>
      </w:r>
      <w:r>
        <w:t xml:space="preserve"> </w:t>
      </w:r>
      <w:r w:rsidRPr="005358A9">
        <w:t xml:space="preserve">January 2020, data lock point 17 April 2020), with Australian </w:t>
      </w:r>
      <w:r>
        <w:t>s</w:t>
      </w:r>
      <w:r w:rsidRPr="005358A9">
        <w:t xml:space="preserve">pecific </w:t>
      </w:r>
      <w:r>
        <w:t>a</w:t>
      </w:r>
      <w:r w:rsidRPr="005358A9">
        <w:t xml:space="preserve">nnex </w:t>
      </w:r>
      <w:r>
        <w:t xml:space="preserve">(ASA) </w:t>
      </w:r>
      <w:r w:rsidRPr="005358A9">
        <w:t>(version</w:t>
      </w:r>
      <w:r>
        <w:t xml:space="preserve"> </w:t>
      </w:r>
      <w:r w:rsidRPr="005358A9">
        <w:t xml:space="preserve">0.3, dated September 2021), included with </w:t>
      </w:r>
      <w:r w:rsidR="0004573D">
        <w:t>s</w:t>
      </w:r>
      <w:r w:rsidRPr="005358A9">
        <w:t>ubmission PM-2020-02181-1-4, and any</w:t>
      </w:r>
      <w:r>
        <w:t xml:space="preserve"> </w:t>
      </w:r>
      <w:r w:rsidRPr="005358A9">
        <w:t>subsequent revisions, as agreed with the TGA will be implemented in Australia.</w:t>
      </w:r>
    </w:p>
    <w:p w14:paraId="45FADEA2" w14:textId="77777777" w:rsidR="002B3F70" w:rsidRPr="005358A9" w:rsidRDefault="002B3F70" w:rsidP="002C2A0D">
      <w:pPr>
        <w:pStyle w:val="ListBullet"/>
        <w:numPr>
          <w:ilvl w:val="0"/>
          <w:numId w:val="0"/>
        </w:numPr>
        <w:ind w:left="360"/>
      </w:pPr>
      <w:r w:rsidRPr="005358A9">
        <w:t>An obligatory component of risk management plans is routine pharmacovigilance.</w:t>
      </w:r>
      <w:r>
        <w:t xml:space="preserve"> </w:t>
      </w:r>
      <w:r w:rsidRPr="005358A9">
        <w:t>Routine pharmacovigilance includes the submission of periodic safety update</w:t>
      </w:r>
      <w:r>
        <w:t xml:space="preserve"> </w:t>
      </w:r>
      <w:r w:rsidRPr="005358A9">
        <w:t>reports (PSURs).</w:t>
      </w:r>
    </w:p>
    <w:p w14:paraId="443BD8F9" w14:textId="77777777" w:rsidR="002B3F70" w:rsidRPr="005358A9" w:rsidRDefault="002B3F70" w:rsidP="002C2A0D">
      <w:pPr>
        <w:pStyle w:val="ListBullet"/>
        <w:numPr>
          <w:ilvl w:val="0"/>
          <w:numId w:val="0"/>
        </w:numPr>
        <w:ind w:left="360"/>
      </w:pPr>
      <w:r w:rsidRPr="005358A9">
        <w:t>Unless agreed separately between the supplier who is the recipient of the approval</w:t>
      </w:r>
      <w:r>
        <w:t xml:space="preserve"> </w:t>
      </w:r>
      <w:r w:rsidRPr="005358A9">
        <w:t>and the TGA, the first report must be submitted to TGA no later than 15 calendar</w:t>
      </w:r>
      <w:r>
        <w:t xml:space="preserve"> </w:t>
      </w:r>
      <w:r w:rsidRPr="005358A9">
        <w:t>months after the date of th</w:t>
      </w:r>
      <w:r>
        <w:t>e</w:t>
      </w:r>
      <w:r w:rsidRPr="005358A9">
        <w:t xml:space="preserve"> approval letter. The subsequent reports must be</w:t>
      </w:r>
      <w:r>
        <w:t xml:space="preserve"> </w:t>
      </w:r>
      <w:r w:rsidRPr="005358A9">
        <w:t>submitted no less frequently than annually from the date of the first submitted</w:t>
      </w:r>
      <w:r>
        <w:t xml:space="preserve"> </w:t>
      </w:r>
      <w:r w:rsidRPr="005358A9">
        <w:t>report until the period covered by such reports is not less than three years from the</w:t>
      </w:r>
      <w:r>
        <w:t xml:space="preserve"> </w:t>
      </w:r>
      <w:r w:rsidRPr="005358A9">
        <w:t>date of th</w:t>
      </w:r>
      <w:r>
        <w:t>e</w:t>
      </w:r>
      <w:r w:rsidRPr="005358A9">
        <w:t xml:space="preserve"> approval letter, or the entire period of provisional registration,</w:t>
      </w:r>
      <w:r>
        <w:t xml:space="preserve"> </w:t>
      </w:r>
      <w:r w:rsidRPr="005358A9">
        <w:t>whichever is longer.</w:t>
      </w:r>
    </w:p>
    <w:p w14:paraId="46FFA66B" w14:textId="77777777" w:rsidR="002B3F70" w:rsidRPr="005358A9" w:rsidRDefault="002B3F70" w:rsidP="002C2A0D">
      <w:pPr>
        <w:pStyle w:val="ListBullet"/>
        <w:numPr>
          <w:ilvl w:val="0"/>
          <w:numId w:val="0"/>
        </w:numPr>
        <w:ind w:left="360"/>
      </w:pPr>
      <w:r w:rsidRPr="005358A9">
        <w:t>The reports are to at least meet the requirements for PSURs as described in the</w:t>
      </w:r>
      <w:r>
        <w:t xml:space="preserve"> </w:t>
      </w:r>
      <w:r w:rsidRPr="005358A9">
        <w:t>European Medicines Agency’s Guideline on Good Pharmacovigilance Practices (GVP)</w:t>
      </w:r>
      <w:r>
        <w:t xml:space="preserve"> </w:t>
      </w:r>
      <w:r w:rsidRPr="005358A9">
        <w:t>Module VII-</w:t>
      </w:r>
      <w:r>
        <w:t>P</w:t>
      </w:r>
      <w:r w:rsidRPr="005358A9">
        <w:t>eriodic safety update report (Rev 1), Part VII.B Structures and</w:t>
      </w:r>
      <w:r>
        <w:t xml:space="preserve"> </w:t>
      </w:r>
      <w:r w:rsidRPr="005358A9">
        <w:t>processes. Note that submission of a PSUR does not constitute an application to vary</w:t>
      </w:r>
      <w:r>
        <w:t xml:space="preserve"> </w:t>
      </w:r>
      <w:r w:rsidRPr="005358A9">
        <w:t>the registration. Each report must have been prepared within ninety calendar days</w:t>
      </w:r>
      <w:r>
        <w:t xml:space="preserve"> </w:t>
      </w:r>
      <w:r w:rsidRPr="005358A9">
        <w:t>of the data lock point for that report.</w:t>
      </w:r>
    </w:p>
    <w:p w14:paraId="58A0282B" w14:textId="77777777" w:rsidR="002B3F70" w:rsidRPr="005358A9" w:rsidRDefault="002B3F70" w:rsidP="002B3F70">
      <w:pPr>
        <w:pStyle w:val="ListBullet"/>
      </w:pPr>
      <w:r w:rsidRPr="005358A9">
        <w:t>Confirmatory trial data (as identified in the sponsor’s plan to submit comprehensive</w:t>
      </w:r>
      <w:r>
        <w:t xml:space="preserve"> </w:t>
      </w:r>
      <w:r w:rsidRPr="005358A9">
        <w:t>clinical data on the safety and efficacy of the medicine before the end of the 6 years that</w:t>
      </w:r>
      <w:r>
        <w:t xml:space="preserve"> </w:t>
      </w:r>
      <w:r w:rsidRPr="005358A9">
        <w:t>would start on the day that registration would commence) must be provided.</w:t>
      </w:r>
    </w:p>
    <w:p w14:paraId="1331D689" w14:textId="77777777" w:rsidR="002B3F70" w:rsidRPr="005358A9" w:rsidRDefault="002B3F70" w:rsidP="002C2A0D">
      <w:pPr>
        <w:pStyle w:val="ListBullet"/>
        <w:numPr>
          <w:ilvl w:val="0"/>
          <w:numId w:val="0"/>
        </w:numPr>
        <w:ind w:left="360"/>
      </w:pPr>
      <w:r w:rsidRPr="005358A9">
        <w:t>Specifically, the sponsor must conduct studies as described in the clinical study plan in</w:t>
      </w:r>
      <w:r>
        <w:t xml:space="preserve"> </w:t>
      </w:r>
      <w:r w:rsidRPr="005358A9">
        <w:t>version 0.3 (</w:t>
      </w:r>
      <w:r>
        <w:t>September</w:t>
      </w:r>
      <w:r w:rsidRPr="005358A9">
        <w:t xml:space="preserve"> 2021) of the A</w:t>
      </w:r>
      <w:r>
        <w:t>SA</w:t>
      </w:r>
      <w:r w:rsidRPr="005358A9">
        <w:t>. The following study report(s)</w:t>
      </w:r>
      <w:r>
        <w:t xml:space="preserve"> </w:t>
      </w:r>
      <w:r w:rsidRPr="005358A9">
        <w:t>should be submitted to TGA:</w:t>
      </w:r>
    </w:p>
    <w:p w14:paraId="7A00023C" w14:textId="77777777" w:rsidR="002B3F70" w:rsidRPr="005358A9" w:rsidRDefault="002B3F70" w:rsidP="002C2A0D">
      <w:pPr>
        <w:pStyle w:val="ListBullet2"/>
      </w:pPr>
      <w:r w:rsidRPr="005358A9">
        <w:t xml:space="preserve">PM1183-C-008-21, by </w:t>
      </w:r>
      <w:r>
        <w:t>first quarter of</w:t>
      </w:r>
      <w:r w:rsidRPr="005358A9">
        <w:t xml:space="preserve"> 2026</w:t>
      </w:r>
    </w:p>
    <w:p w14:paraId="2AC87248" w14:textId="1979A8E0" w:rsidR="0004573D" w:rsidRPr="005358A9" w:rsidRDefault="0004573D" w:rsidP="0004573D">
      <w:pPr>
        <w:pStyle w:val="ListBullet"/>
      </w:pPr>
      <w:r>
        <w:t>The sponsor should submit results for the primary endpoint from the Investigator-Sponsored Study led by authors at the Peter MacCallum Cancer Centre, titled ‘Retrospective multicentre study of the efficacy and safety of lurbinectedin as second line treatment for patients with small cell lung cancer (SCLC),’ when available.</w:t>
      </w:r>
    </w:p>
    <w:p w14:paraId="7CD5655D" w14:textId="77777777" w:rsidR="002B3F70" w:rsidRPr="005358A9" w:rsidRDefault="002B3F70" w:rsidP="002B3F70">
      <w:pPr>
        <w:pStyle w:val="ListBullet"/>
      </w:pPr>
      <w:r>
        <w:lastRenderedPageBreak/>
        <w:t>For all injectable products the PI must be included with the product as a package insert.</w:t>
      </w:r>
    </w:p>
    <w:p w14:paraId="1869626A" w14:textId="77777777" w:rsidR="008E7846" w:rsidRDefault="00A80B5B" w:rsidP="00D23139">
      <w:pPr>
        <w:pStyle w:val="Heading2"/>
      </w:pPr>
      <w:bookmarkStart w:id="77" w:name="_Toc102558222"/>
      <w:r>
        <w:t xml:space="preserve">Attachment 1. </w:t>
      </w:r>
      <w:r w:rsidR="008E7846">
        <w:t xml:space="preserve">Product </w:t>
      </w:r>
      <w:r w:rsidR="00AA0ED0">
        <w:t>I</w:t>
      </w:r>
      <w:r w:rsidR="008E7846">
        <w:t>nformation</w:t>
      </w:r>
      <w:bookmarkEnd w:id="75"/>
      <w:bookmarkEnd w:id="76"/>
      <w:bookmarkEnd w:id="77"/>
    </w:p>
    <w:p w14:paraId="2A99D089" w14:textId="2B244A7E" w:rsidR="00BA4B04" w:rsidRDefault="006136D7" w:rsidP="00BA4B04">
      <w:pPr>
        <w:tabs>
          <w:tab w:val="left" w:pos="284"/>
        </w:tabs>
        <w:spacing w:before="0" w:after="480" w:line="240" w:lineRule="auto"/>
      </w:pPr>
      <w:r w:rsidRPr="002B3624">
        <w:t xml:space="preserve">The </w:t>
      </w:r>
      <w:r>
        <w:t>PI</w:t>
      </w:r>
      <w:r w:rsidRPr="002B3624">
        <w:t xml:space="preserve"> for </w:t>
      </w:r>
      <w:r w:rsidR="00886381">
        <w:t>Zepzelca</w:t>
      </w:r>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0" w:history="1">
        <w:r w:rsidR="007C6B9B" w:rsidRPr="007C6B9B">
          <w:rPr>
            <w:rStyle w:val="Hyperlink"/>
          </w:rPr>
          <w:t>https://www.tga.gov.au/product-information-pi</w:t>
        </w:r>
      </w:hyperlink>
      <w:r w:rsidR="007C6B9B" w:rsidRPr="007C6B9B">
        <w:t>&gt;.</w:t>
      </w:r>
      <w:bookmarkStart w:id="78" w:name="_Hlk99712688"/>
    </w:p>
    <w:p w14:paraId="4E594B9D" w14:textId="77777777" w:rsidR="00130E1B" w:rsidRDefault="00130E1B" w:rsidP="00BA4B04">
      <w:pPr>
        <w:tabs>
          <w:tab w:val="left" w:pos="284"/>
        </w:tabs>
        <w:spacing w:before="0" w:after="480" w:line="240" w:lineRule="auto"/>
        <w:rPr>
          <w:rFonts w:ascii="Times New Roman" w:eastAsia="Calibri" w:hAnsi="Times New Roman"/>
        </w:rPr>
        <w:sectPr w:rsidR="00130E1B" w:rsidSect="00B452CE">
          <w:headerReference w:type="even" r:id="rId21"/>
          <w:headerReference w:type="default" r:id="rId22"/>
          <w:headerReference w:type="first" r:id="rId23"/>
          <w:footerReference w:type="first" r:id="rId24"/>
          <w:pgSz w:w="11906" w:h="16838" w:code="9"/>
          <w:pgMar w:top="834" w:right="1701" w:bottom="1191" w:left="1701" w:header="907" w:footer="216" w:gutter="0"/>
          <w:cols w:space="708"/>
          <w:docGrid w:linePitch="360"/>
        </w:sectPr>
      </w:pPr>
    </w:p>
    <w:p w14:paraId="0D160E9F" w14:textId="62F9D0B9" w:rsidR="00BA4B04" w:rsidRPr="00BA4B04" w:rsidRDefault="00BA4B04" w:rsidP="00BA4B04">
      <w:pPr>
        <w:spacing w:after="0"/>
        <w:rPr>
          <w:rFonts w:ascii="Times New Roman" w:eastAsia="Calibri" w:hAnsi="Times New Roman"/>
        </w:rPr>
      </w:pPr>
      <w:r w:rsidRPr="00BE2A26">
        <w:rPr>
          <w:rFonts w:ascii="SimSun" w:eastAsia="SimSun" w:hAnsi="SimSun" w:cs="Arial" w:hint="eastAsia"/>
          <w:sz w:val="40"/>
        </w:rPr>
        <w:lastRenderedPageBreak/>
        <w:t>▼</w:t>
      </w:r>
      <w:r w:rsidRPr="00BA4B04">
        <w:rPr>
          <w:rFonts w:ascii="Times New Roman" w:eastAsia="Calibri" w:hAnsi="Times New Roman"/>
        </w:rPr>
        <w:t xml:space="preserve">This medicinal product is subject to additional monitoring in Australia due to provisional approval. This will allow quick identification of new safety information. Healthcare professionals are asked to report any suspected adverse events at </w:t>
      </w:r>
      <w:hyperlink r:id="rId25" w:history="1">
        <w:r w:rsidRPr="00BA4B04">
          <w:rPr>
            <w:rFonts w:ascii="Times New Roman" w:eastAsia="Calibri" w:hAnsi="Times New Roman"/>
            <w:color w:val="0000FF"/>
            <w:u w:val="single"/>
          </w:rPr>
          <w:t>www.tga.gov.au/reporting-problems</w:t>
        </w:r>
      </w:hyperlink>
      <w:r w:rsidRPr="00BA4B04">
        <w:rPr>
          <w:rFonts w:ascii="Times New Roman" w:eastAsia="Calibri" w:hAnsi="Times New Roman"/>
        </w:rPr>
        <w:t>.</w:t>
      </w:r>
    </w:p>
    <w:p w14:paraId="223BAC00" w14:textId="77777777" w:rsidR="00BA4B04" w:rsidRPr="00BA4B04" w:rsidRDefault="00BA4B04" w:rsidP="00BA4B04">
      <w:pPr>
        <w:keepNext/>
        <w:keepLines/>
        <w:spacing w:before="0" w:after="0" w:line="276" w:lineRule="auto"/>
        <w:jc w:val="center"/>
        <w:outlineLvl w:val="0"/>
        <w:rPr>
          <w:rFonts w:ascii="Times New Roman" w:eastAsia="SimSun" w:hAnsi="Times New Roman"/>
          <w:b/>
          <w:bCs/>
          <w:caps/>
          <w:sz w:val="28"/>
          <w:szCs w:val="28"/>
        </w:rPr>
      </w:pPr>
      <w:r w:rsidRPr="00BA4B04">
        <w:rPr>
          <w:rFonts w:ascii="Times New Roman" w:eastAsia="SimSun" w:hAnsi="Times New Roman"/>
          <w:b/>
          <w:bCs/>
          <w:caps/>
          <w:sz w:val="28"/>
          <w:szCs w:val="28"/>
        </w:rPr>
        <w:t>Australian Product Information</w:t>
      </w:r>
    </w:p>
    <w:p w14:paraId="6642455A" w14:textId="77777777" w:rsidR="00BA4B04" w:rsidRPr="00BA4B04" w:rsidRDefault="00BA4B04" w:rsidP="00BA4B04">
      <w:pPr>
        <w:keepNext/>
        <w:keepLines/>
        <w:spacing w:before="240" w:after="0" w:line="276" w:lineRule="auto"/>
        <w:jc w:val="center"/>
        <w:outlineLvl w:val="0"/>
        <w:rPr>
          <w:rFonts w:ascii="Times New Roman" w:eastAsia="SimSun" w:hAnsi="Times New Roman"/>
          <w:b/>
          <w:bCs/>
          <w:caps/>
          <w:sz w:val="28"/>
          <w:szCs w:val="28"/>
        </w:rPr>
      </w:pPr>
      <w:r w:rsidRPr="00BA4B04">
        <w:rPr>
          <w:rFonts w:ascii="Times New Roman" w:eastAsia="SimSun" w:hAnsi="Times New Roman"/>
          <w:b/>
          <w:bCs/>
          <w:caps/>
          <w:sz w:val="28"/>
          <w:szCs w:val="28"/>
        </w:rPr>
        <w:t xml:space="preserve">ZEPZELCA (LURBINECTEDIN) </w:t>
      </w:r>
    </w:p>
    <w:p w14:paraId="176B873B" w14:textId="77777777" w:rsidR="00BA4B04" w:rsidRPr="00BA4B04" w:rsidRDefault="00BA4B04" w:rsidP="00BA4B04">
      <w:pPr>
        <w:keepNext/>
        <w:keepLines/>
        <w:spacing w:before="0" w:after="0" w:line="276" w:lineRule="auto"/>
        <w:jc w:val="center"/>
        <w:outlineLvl w:val="0"/>
        <w:rPr>
          <w:rFonts w:ascii="Times New Roman" w:eastAsia="SimSun" w:hAnsi="Times New Roman"/>
          <w:b/>
          <w:bCs/>
          <w:caps/>
          <w:sz w:val="28"/>
          <w:szCs w:val="28"/>
        </w:rPr>
      </w:pPr>
      <w:r w:rsidRPr="00BA4B04">
        <w:rPr>
          <w:rFonts w:ascii="Times New Roman" w:eastAsia="SimSun" w:hAnsi="Times New Roman"/>
          <w:b/>
          <w:bCs/>
          <w:caps/>
          <w:sz w:val="28"/>
          <w:szCs w:val="28"/>
        </w:rPr>
        <w:t>POWDER FOR SOLUTION FOR INFUSION</w:t>
      </w:r>
    </w:p>
    <w:p w14:paraId="132FADBD" w14:textId="77777777" w:rsidR="00BA4B04" w:rsidRPr="00BA4B04" w:rsidRDefault="00BA4B04" w:rsidP="00BA4B04">
      <w:pPr>
        <w:spacing w:before="0" w:after="200" w:line="276" w:lineRule="auto"/>
        <w:rPr>
          <w:rFonts w:ascii="Times New Roman" w:eastAsia="Calibri" w:hAnsi="Times New Roman"/>
        </w:rPr>
      </w:pPr>
    </w:p>
    <w:p w14:paraId="2728F431" w14:textId="77777777" w:rsidR="00BA4B04" w:rsidRPr="00BA4B04" w:rsidRDefault="00BA4B04" w:rsidP="00BA4B04">
      <w:pPr>
        <w:keepNext/>
        <w:keepLines/>
        <w:spacing w:before="0" w:line="276" w:lineRule="auto"/>
        <w:ind w:left="432" w:hanging="432"/>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t>Name of the medicine</w:t>
      </w:r>
    </w:p>
    <w:p w14:paraId="692CCF0B" w14:textId="77777777" w:rsidR="00BA4B04" w:rsidRPr="00BA4B04" w:rsidRDefault="00BA4B04" w:rsidP="00BA4B04">
      <w:pPr>
        <w:widowControl w:val="0"/>
        <w:spacing w:before="0" w:after="200" w:line="240" w:lineRule="auto"/>
        <w:rPr>
          <w:rFonts w:ascii="Times New Roman" w:eastAsia="Calibri" w:hAnsi="Times New Roman"/>
          <w:noProof/>
        </w:rPr>
      </w:pPr>
      <w:r w:rsidRPr="00BA4B04">
        <w:rPr>
          <w:rFonts w:ascii="Times New Roman" w:eastAsia="Calibri" w:hAnsi="Times New Roman"/>
        </w:rPr>
        <w:t>ZEPZELCA 4 mg powder for solution for infusion.</w:t>
      </w:r>
    </w:p>
    <w:p w14:paraId="770FD1A1" w14:textId="77777777" w:rsidR="00BA4B04" w:rsidRPr="00BA4B04" w:rsidRDefault="00BA4B04" w:rsidP="00BA4B04">
      <w:pPr>
        <w:keepNext/>
        <w:keepLines/>
        <w:spacing w:before="0" w:line="276" w:lineRule="auto"/>
        <w:ind w:left="432" w:hanging="432"/>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t>Qualitative and quantitative composition</w:t>
      </w:r>
    </w:p>
    <w:p w14:paraId="34E9F843"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 xml:space="preserve">For the full list of excipients, see section </w:t>
      </w:r>
      <w:r w:rsidRPr="00BA4B04">
        <w:rPr>
          <w:rFonts w:ascii="Times New Roman" w:eastAsia="Calibri" w:hAnsi="Times New Roman"/>
          <w:i/>
          <w:iCs/>
        </w:rPr>
        <w:t>6.1</w:t>
      </w:r>
      <w:r w:rsidRPr="00BA4B04">
        <w:rPr>
          <w:rFonts w:ascii="Times New Roman" w:eastAsia="Calibri" w:hAnsi="Times New Roman"/>
        </w:rPr>
        <w:t xml:space="preserve"> </w:t>
      </w:r>
      <w:r w:rsidRPr="00BA4B04">
        <w:rPr>
          <w:rFonts w:ascii="Times New Roman" w:eastAsia="Calibri" w:hAnsi="Times New Roman"/>
          <w:i/>
          <w:iCs/>
        </w:rPr>
        <w:t>List of excipients</w:t>
      </w:r>
      <w:r w:rsidRPr="00BA4B04">
        <w:rPr>
          <w:rFonts w:ascii="Times New Roman" w:eastAsia="Calibri" w:hAnsi="Times New Roman"/>
        </w:rPr>
        <w:t>.</w:t>
      </w:r>
    </w:p>
    <w:p w14:paraId="0EE5F60A" w14:textId="77777777" w:rsidR="00BA4B04" w:rsidRPr="00BA4B04" w:rsidRDefault="00BA4B04" w:rsidP="00BA4B04">
      <w:pPr>
        <w:keepNext/>
        <w:keepLines/>
        <w:spacing w:before="0" w:line="276" w:lineRule="auto"/>
        <w:ind w:left="432" w:hanging="432"/>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t>Pharmaceutical form</w:t>
      </w:r>
    </w:p>
    <w:p w14:paraId="271C8CFD" w14:textId="77777777" w:rsidR="00BA4B04" w:rsidRPr="00BA4B04" w:rsidRDefault="00BA4B04" w:rsidP="00BA4B04">
      <w:pPr>
        <w:spacing w:before="0" w:after="200" w:line="23" w:lineRule="atLeast"/>
        <w:rPr>
          <w:rFonts w:ascii="Times New Roman" w:eastAsia="Times New Roman" w:hAnsi="Times New Roman"/>
        </w:rPr>
      </w:pPr>
      <w:bookmarkStart w:id="79" w:name="_SP_QA_2012_07_11_15_51_23_0018"/>
      <w:r w:rsidRPr="00BA4B04">
        <w:rPr>
          <w:rFonts w:ascii="Times New Roman" w:eastAsia="Times New Roman" w:hAnsi="Times New Roman"/>
        </w:rPr>
        <w:t>4 mg of lurbinectedin as lyophilised powder in a single-dose vial for reconstitution.</w:t>
      </w:r>
      <w:bookmarkEnd w:id="79"/>
    </w:p>
    <w:p w14:paraId="0D5997F6" w14:textId="77777777" w:rsidR="00BA4B04" w:rsidRPr="00BA4B04" w:rsidRDefault="00BA4B04" w:rsidP="00BA4B04">
      <w:pPr>
        <w:keepNext/>
        <w:keepLines/>
        <w:spacing w:before="0" w:line="276" w:lineRule="auto"/>
        <w:ind w:left="432" w:hanging="432"/>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t>Clinical particulars</w:t>
      </w:r>
    </w:p>
    <w:p w14:paraId="412767DF"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Therapeutic indications </w:t>
      </w:r>
    </w:p>
    <w:p w14:paraId="1FC8B5FF" w14:textId="77777777" w:rsidR="00BA4B04" w:rsidRPr="00BA4B04" w:rsidRDefault="00BA4B04" w:rsidP="00BA4B04">
      <w:pPr>
        <w:spacing w:after="240" w:line="23" w:lineRule="atLeast"/>
        <w:rPr>
          <w:rFonts w:ascii="Times New Roman" w:eastAsia="Times New Roman" w:hAnsi="Times New Roman"/>
          <w:sz w:val="24"/>
          <w:szCs w:val="20"/>
          <w:lang w:val="en-US"/>
        </w:rPr>
      </w:pPr>
      <w:r w:rsidRPr="00BA4B04">
        <w:rPr>
          <w:rFonts w:ascii="Times New Roman" w:eastAsia="Times New Roman" w:hAnsi="Times New Roman"/>
        </w:rPr>
        <w:t>ZEPZELCA is indicated for the treatment of patients with metastatic small cell lung cancer (SCLC) that has progressed on or after prior platinum-containing therapy.</w:t>
      </w:r>
      <w:r w:rsidRPr="00BA4B04">
        <w:rPr>
          <w:rFonts w:ascii="Times New Roman" w:eastAsia="Times New Roman" w:hAnsi="Times New Roman"/>
          <w:lang w:val="en-US"/>
        </w:rPr>
        <w:t xml:space="preserve"> This indication was approved via the </w:t>
      </w:r>
      <w:r w:rsidRPr="00BA4B04">
        <w:rPr>
          <w:rFonts w:ascii="Times New Roman" w:eastAsia="Times New Roman" w:hAnsi="Times New Roman"/>
          <w:b/>
          <w:bCs/>
          <w:lang w:val="en-US"/>
        </w:rPr>
        <w:t>provisional approval</w:t>
      </w:r>
      <w:r w:rsidRPr="00BA4B04">
        <w:rPr>
          <w:rFonts w:ascii="Times New Roman" w:eastAsia="Times New Roman" w:hAnsi="Times New Roman"/>
          <w:lang w:val="en-US"/>
        </w:rPr>
        <w:t xml:space="preserve"> pathway, based on objective response rate and duration of response in a single arm trial. Continued approval for this indication depends on verification and description of clinical benefit in a confirmatory trial.</w:t>
      </w:r>
    </w:p>
    <w:p w14:paraId="71FAC542"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Dose and method of administration </w:t>
      </w:r>
    </w:p>
    <w:p w14:paraId="3C6E7C13" w14:textId="77777777" w:rsidR="00BA4B04" w:rsidRPr="00BA4B04" w:rsidRDefault="00BA4B04" w:rsidP="00BA4B04">
      <w:pPr>
        <w:keepNext/>
        <w:spacing w:before="0" w:after="200" w:line="240" w:lineRule="auto"/>
        <w:rPr>
          <w:rFonts w:ascii="Times New Roman" w:eastAsia="Calibri" w:hAnsi="Times New Roman"/>
        </w:rPr>
      </w:pPr>
      <w:bookmarkStart w:id="80" w:name="_Toc24452179"/>
      <w:bookmarkStart w:id="81" w:name="_Toc26375309"/>
      <w:r w:rsidRPr="00BA4B04">
        <w:rPr>
          <w:rFonts w:ascii="Times New Roman" w:eastAsia="Calibri" w:hAnsi="Times New Roman"/>
        </w:rPr>
        <w:t>ZEPZELCA must be administered under the supervision of a physician experienced in the use of chemotherapy. Its use should be confined to qualified oncologists or other health professionals specialised in the administration of cytotoxic agents.</w:t>
      </w:r>
    </w:p>
    <w:p w14:paraId="759AAB8F"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Recommended dose and schedule</w:t>
      </w:r>
      <w:bookmarkEnd w:id="80"/>
      <w:bookmarkEnd w:id="81"/>
    </w:p>
    <w:p w14:paraId="49B471CD"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The recommended dose is 3.2 mg/m</w:t>
      </w:r>
      <w:r w:rsidRPr="00BA4B04">
        <w:rPr>
          <w:rFonts w:ascii="Times New Roman" w:eastAsia="Times New Roman" w:hAnsi="Times New Roman"/>
          <w:vertAlign w:val="superscript"/>
        </w:rPr>
        <w:t>2</w:t>
      </w:r>
      <w:r w:rsidRPr="00BA4B04">
        <w:rPr>
          <w:rFonts w:ascii="Times New Roman" w:eastAsia="Times New Roman" w:hAnsi="Times New Roman"/>
        </w:rPr>
        <w:t xml:space="preserve"> by intravenous infusion over 60 minutes, repeated once every 21 days until disease progression or unacceptable toxicity.</w:t>
      </w:r>
    </w:p>
    <w:p w14:paraId="2A7EB232"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Only administer ZEPZELCA to patients with an absolute neutrophil count above 1.5 x 10</w:t>
      </w:r>
      <w:r w:rsidRPr="00BA4B04">
        <w:rPr>
          <w:rFonts w:ascii="Times New Roman" w:eastAsia="Times New Roman" w:hAnsi="Times New Roman"/>
          <w:vertAlign w:val="superscript"/>
        </w:rPr>
        <w:t>9</w:t>
      </w:r>
      <w:r w:rsidRPr="00BA4B04">
        <w:rPr>
          <w:rFonts w:ascii="Times New Roman" w:eastAsia="Times New Roman" w:hAnsi="Times New Roman"/>
        </w:rPr>
        <w:t>/L, and a platelet count above</w:t>
      </w:r>
      <w:r w:rsidRPr="00BA4B04">
        <w:rPr>
          <w:rFonts w:ascii="Times New Roman" w:eastAsia="Times New Roman" w:hAnsi="Times New Roman"/>
          <w:color w:val="000000"/>
        </w:rPr>
        <w:t xml:space="preserve"> </w:t>
      </w:r>
      <w:r w:rsidRPr="00BA4B04">
        <w:rPr>
          <w:rFonts w:ascii="Times New Roman" w:eastAsia="Times New Roman" w:hAnsi="Times New Roman"/>
        </w:rPr>
        <w:t>100 x 10</w:t>
      </w:r>
      <w:r w:rsidRPr="00BA4B04">
        <w:rPr>
          <w:rFonts w:ascii="Times New Roman" w:eastAsia="Times New Roman" w:hAnsi="Times New Roman"/>
          <w:vertAlign w:val="superscript"/>
        </w:rPr>
        <w:t>9</w:t>
      </w:r>
      <w:r w:rsidRPr="00BA4B04">
        <w:rPr>
          <w:rFonts w:ascii="Times New Roman" w:eastAsia="Times New Roman" w:hAnsi="Times New Roman"/>
        </w:rPr>
        <w:t>/L.</w:t>
      </w:r>
    </w:p>
    <w:p w14:paraId="5986F125" w14:textId="77777777" w:rsidR="00BA4B04" w:rsidRPr="00BA4B04" w:rsidRDefault="00BA4B04" w:rsidP="00BA4B04">
      <w:pPr>
        <w:keepNext/>
        <w:keepLines/>
        <w:tabs>
          <w:tab w:val="center" w:pos="4513"/>
        </w:tabs>
        <w:spacing w:before="200" w:after="0" w:line="276" w:lineRule="auto"/>
        <w:ind w:left="227" w:hanging="227"/>
        <w:outlineLvl w:val="2"/>
        <w:rPr>
          <w:rFonts w:ascii="Times New Roman" w:eastAsia="Times New Roman" w:hAnsi="Times New Roman"/>
          <w:b/>
          <w:bCs/>
        </w:rPr>
      </w:pPr>
      <w:bookmarkStart w:id="82" w:name="_Toc24452180"/>
      <w:bookmarkStart w:id="83" w:name="_Toc26375310"/>
      <w:r w:rsidRPr="00BA4B04">
        <w:rPr>
          <w:rFonts w:ascii="Times New Roman" w:eastAsia="Times New Roman" w:hAnsi="Times New Roman"/>
          <w:b/>
          <w:bCs/>
        </w:rPr>
        <w:t>Dose modifications for adverse reactions</w:t>
      </w:r>
      <w:bookmarkEnd w:id="82"/>
      <w:bookmarkEnd w:id="83"/>
      <w:r w:rsidRPr="00BA4B04">
        <w:rPr>
          <w:rFonts w:ascii="Times New Roman" w:eastAsia="Times New Roman" w:hAnsi="Times New Roman"/>
          <w:b/>
          <w:bCs/>
        </w:rPr>
        <w:tab/>
      </w:r>
    </w:p>
    <w:p w14:paraId="28DDEF23"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The recommended dose reduction levels for adverse reactions are listed in </w:t>
      </w:r>
      <w:r w:rsidRPr="00BA4B04">
        <w:rPr>
          <w:rFonts w:ascii="Times New Roman" w:eastAsia="Times New Roman" w:hAnsi="Times New Roman"/>
          <w:color w:val="0432FF"/>
        </w:rPr>
        <w:fldChar w:fldCharType="begin"/>
      </w:r>
      <w:r w:rsidRPr="00BA4B04">
        <w:rPr>
          <w:rFonts w:ascii="Times New Roman" w:eastAsia="Times New Roman" w:hAnsi="Times New Roman"/>
          <w:color w:val="0432FF"/>
        </w:rPr>
        <w:instrText xml:space="preserve"> REF _Ref80264954 \h  \* MERGEFORMAT </w:instrText>
      </w:r>
      <w:r w:rsidRPr="00BA4B04">
        <w:rPr>
          <w:rFonts w:ascii="Times New Roman" w:eastAsia="Times New Roman" w:hAnsi="Times New Roman"/>
          <w:color w:val="0432FF"/>
        </w:rPr>
      </w:r>
      <w:r w:rsidRPr="00BA4B04">
        <w:rPr>
          <w:rFonts w:ascii="Times New Roman" w:eastAsia="Times New Roman" w:hAnsi="Times New Roman"/>
          <w:color w:val="0432FF"/>
        </w:rPr>
        <w:fldChar w:fldCharType="separate"/>
      </w:r>
      <w:r w:rsidRPr="00BA4B04">
        <w:rPr>
          <w:rFonts w:ascii="Times New Roman" w:eastAsia="Times New Roman" w:hAnsi="Times New Roman"/>
          <w:color w:val="0432FF"/>
        </w:rPr>
        <w:t>Table 1</w:t>
      </w:r>
      <w:r w:rsidRPr="00BA4B04">
        <w:rPr>
          <w:rFonts w:ascii="Times New Roman" w:eastAsia="Times New Roman" w:hAnsi="Times New Roman"/>
          <w:color w:val="0432FF"/>
        </w:rPr>
        <w:fldChar w:fldCharType="end"/>
      </w:r>
      <w:r w:rsidRPr="00BA4B04">
        <w:rPr>
          <w:rFonts w:ascii="Times New Roman" w:eastAsia="Times New Roman" w:hAnsi="Times New Roman"/>
        </w:rPr>
        <w:t xml:space="preserve">. Dosage modifications for ZEPZELCA for adverse reactions are presented in </w:t>
      </w:r>
      <w:r w:rsidRPr="00BA4B04">
        <w:rPr>
          <w:rFonts w:ascii="Times New Roman" w:eastAsia="Times New Roman" w:hAnsi="Times New Roman"/>
          <w:color w:val="0432FF"/>
        </w:rPr>
        <w:fldChar w:fldCharType="begin"/>
      </w:r>
      <w:r w:rsidRPr="00BA4B04">
        <w:rPr>
          <w:rFonts w:ascii="Times New Roman" w:eastAsia="Times New Roman" w:hAnsi="Times New Roman"/>
          <w:color w:val="0432FF"/>
        </w:rPr>
        <w:instrText xml:space="preserve"> REF _Ref79584927 \h  \* MERGEFORMAT </w:instrText>
      </w:r>
      <w:r w:rsidRPr="00BA4B04">
        <w:rPr>
          <w:rFonts w:ascii="Times New Roman" w:eastAsia="Times New Roman" w:hAnsi="Times New Roman"/>
          <w:color w:val="0432FF"/>
        </w:rPr>
      </w:r>
      <w:r w:rsidRPr="00BA4B04">
        <w:rPr>
          <w:rFonts w:ascii="Times New Roman" w:eastAsia="Times New Roman" w:hAnsi="Times New Roman"/>
          <w:color w:val="0432FF"/>
        </w:rPr>
        <w:fldChar w:fldCharType="separate"/>
      </w:r>
      <w:r w:rsidRPr="00BA4B04">
        <w:rPr>
          <w:rFonts w:ascii="Times New Roman" w:eastAsia="Times New Roman" w:hAnsi="Times New Roman"/>
          <w:color w:val="0432FF"/>
        </w:rPr>
        <w:t>Table 2</w:t>
      </w:r>
      <w:r w:rsidRPr="00BA4B04">
        <w:rPr>
          <w:rFonts w:ascii="Times New Roman" w:eastAsia="Times New Roman" w:hAnsi="Times New Roman"/>
          <w:color w:val="0432FF"/>
        </w:rPr>
        <w:fldChar w:fldCharType="end"/>
      </w:r>
      <w:r w:rsidRPr="00BA4B04">
        <w:rPr>
          <w:rFonts w:ascii="Times New Roman" w:eastAsia="Times New Roman" w:hAnsi="Times New Roman"/>
        </w:rPr>
        <w:t>. Permanently discontinue ZEPZELCA in patients who are unable to tolerate 2.0 mg/m</w:t>
      </w:r>
      <w:r w:rsidRPr="00BA4B04">
        <w:rPr>
          <w:rFonts w:ascii="Times New Roman" w:eastAsia="Times New Roman" w:hAnsi="Times New Roman"/>
          <w:vertAlign w:val="superscript"/>
        </w:rPr>
        <w:t>2</w:t>
      </w:r>
      <w:r w:rsidRPr="00BA4B04">
        <w:rPr>
          <w:rFonts w:ascii="Times New Roman" w:eastAsia="Times New Roman" w:hAnsi="Times New Roman"/>
        </w:rPr>
        <w:t xml:space="preserve"> or require a dose delay greater than two weeks. </w:t>
      </w:r>
    </w:p>
    <w:p w14:paraId="0E9E0E7E" w14:textId="77777777" w:rsidR="00BA4B04" w:rsidRPr="00BA4B04" w:rsidRDefault="00BA4B04" w:rsidP="00BA4B04">
      <w:pPr>
        <w:keepNext/>
        <w:spacing w:line="23" w:lineRule="atLeast"/>
        <w:ind w:left="1440" w:hanging="1440"/>
        <w:rPr>
          <w:rFonts w:ascii="Times New Roman" w:eastAsia="Times New Roman" w:hAnsi="Times New Roman"/>
          <w:b/>
          <w:bCs/>
          <w:sz w:val="24"/>
          <w:szCs w:val="24"/>
        </w:rPr>
      </w:pPr>
      <w:bookmarkStart w:id="84" w:name="_Ref80264954"/>
      <w:r w:rsidRPr="00BA4B04">
        <w:rPr>
          <w:rFonts w:ascii="Times New Roman" w:eastAsia="Times New Roman" w:hAnsi="Times New Roman"/>
          <w:b/>
          <w:bCs/>
          <w:sz w:val="24"/>
          <w:szCs w:val="24"/>
        </w:rPr>
        <w:lastRenderedPageBreak/>
        <w:t>Table </w:t>
      </w:r>
      <w:r w:rsidRPr="00BA4B04">
        <w:rPr>
          <w:rFonts w:ascii="Times New Roman" w:eastAsia="Times New Roman" w:hAnsi="Times New Roman"/>
          <w:b/>
          <w:bCs/>
          <w:noProof/>
          <w:sz w:val="24"/>
          <w:szCs w:val="24"/>
        </w:rPr>
        <w:fldChar w:fldCharType="begin"/>
      </w:r>
      <w:r w:rsidRPr="00BA4B04">
        <w:rPr>
          <w:rFonts w:ascii="Times New Roman" w:eastAsia="Times New Roman" w:hAnsi="Times New Roman"/>
          <w:b/>
          <w:bCs/>
          <w:noProof/>
          <w:sz w:val="24"/>
          <w:szCs w:val="24"/>
        </w:rPr>
        <w:instrText xml:space="preserve"> SEQ Table \* ARABIC \* MERGEFORMAT </w:instrText>
      </w:r>
      <w:r w:rsidRPr="00BA4B04">
        <w:rPr>
          <w:rFonts w:ascii="Times New Roman" w:eastAsia="Times New Roman" w:hAnsi="Times New Roman"/>
          <w:b/>
          <w:bCs/>
          <w:noProof/>
          <w:sz w:val="24"/>
          <w:szCs w:val="24"/>
        </w:rPr>
        <w:fldChar w:fldCharType="separate"/>
      </w:r>
      <w:r w:rsidRPr="00BA4B04">
        <w:rPr>
          <w:rFonts w:ascii="Times New Roman" w:eastAsia="Times New Roman" w:hAnsi="Times New Roman"/>
          <w:b/>
          <w:bCs/>
          <w:noProof/>
          <w:sz w:val="24"/>
          <w:szCs w:val="24"/>
        </w:rPr>
        <w:t>1</w:t>
      </w:r>
      <w:r w:rsidRPr="00BA4B04">
        <w:rPr>
          <w:rFonts w:ascii="Times New Roman" w:eastAsia="Times New Roman" w:hAnsi="Times New Roman"/>
          <w:b/>
          <w:bCs/>
          <w:noProof/>
          <w:sz w:val="24"/>
          <w:szCs w:val="24"/>
        </w:rPr>
        <w:fldChar w:fldCharType="end"/>
      </w:r>
      <w:bookmarkEnd w:id="84"/>
      <w:r w:rsidRPr="00BA4B04">
        <w:rPr>
          <w:rFonts w:ascii="Times New Roman" w:eastAsia="Times New Roman" w:hAnsi="Times New Roman"/>
          <w:b/>
          <w:bCs/>
          <w:sz w:val="24"/>
          <w:szCs w:val="24"/>
        </w:rPr>
        <w:t>:</w:t>
      </w:r>
      <w:r w:rsidRPr="00BA4B04">
        <w:rPr>
          <w:rFonts w:ascii="Times New Roman" w:eastAsia="Times New Roman" w:hAnsi="Times New Roman"/>
          <w:b/>
          <w:bCs/>
          <w:sz w:val="24"/>
          <w:szCs w:val="24"/>
        </w:rPr>
        <w:tab/>
        <w:t>ZEPZELCA dose reduction schedule</w:t>
      </w:r>
    </w:p>
    <w:tbl>
      <w:tblPr>
        <w:tblStyle w:val="C-Table"/>
        <w:tblW w:w="2751" w:type="pct"/>
        <w:tblLook w:val="04A0" w:firstRow="1" w:lastRow="0" w:firstColumn="1" w:lastColumn="0" w:noHBand="0" w:noVBand="1"/>
      </w:tblPr>
      <w:tblGrid>
        <w:gridCol w:w="2059"/>
        <w:gridCol w:w="2611"/>
      </w:tblGrid>
      <w:tr w:rsidR="00BA4B04" w:rsidRPr="00BA4B04" w14:paraId="0C5AAACB" w14:textId="77777777" w:rsidTr="00130E1B">
        <w:trPr>
          <w:cantSplit w:val="0"/>
          <w:tblHeader/>
        </w:trPr>
        <w:tc>
          <w:tcPr>
            <w:tcW w:w="2205" w:type="pct"/>
          </w:tcPr>
          <w:p w14:paraId="609EBDFB" w14:textId="77777777" w:rsidR="00BA4B04" w:rsidRPr="00BA4B04" w:rsidRDefault="00BA4B04" w:rsidP="007A4C05">
            <w:pPr>
              <w:keepNext/>
              <w:numPr>
                <w:ilvl w:val="0"/>
                <w:numId w:val="9"/>
              </w:numPr>
              <w:tabs>
                <w:tab w:val="left" w:pos="540"/>
              </w:tabs>
              <w:spacing w:before="60" w:after="60" w:line="23" w:lineRule="atLeast"/>
              <w:ind w:left="0" w:firstLine="0"/>
              <w:rPr>
                <w:rFonts w:ascii="Times New Roman" w:eastAsia="Times New Roman" w:hAnsi="Times New Roman"/>
                <w:b/>
                <w:bCs/>
              </w:rPr>
            </w:pPr>
            <w:r w:rsidRPr="00BA4B04">
              <w:rPr>
                <w:rFonts w:ascii="Times New Roman" w:eastAsia="Times New Roman" w:hAnsi="Times New Roman"/>
                <w:b/>
                <w:bCs/>
              </w:rPr>
              <w:t>Dose level</w:t>
            </w:r>
          </w:p>
        </w:tc>
        <w:tc>
          <w:tcPr>
            <w:tcW w:w="2795" w:type="pct"/>
          </w:tcPr>
          <w:p w14:paraId="44EB2797" w14:textId="77777777" w:rsidR="00BA4B04" w:rsidRPr="00BA4B04" w:rsidRDefault="00BA4B04" w:rsidP="007A4C05">
            <w:pPr>
              <w:keepNext/>
              <w:numPr>
                <w:ilvl w:val="0"/>
                <w:numId w:val="9"/>
              </w:numPr>
              <w:tabs>
                <w:tab w:val="left" w:pos="540"/>
              </w:tabs>
              <w:spacing w:before="60" w:after="60" w:line="23" w:lineRule="atLeast"/>
              <w:ind w:left="0" w:firstLine="0"/>
              <w:jc w:val="center"/>
              <w:rPr>
                <w:rFonts w:ascii="Times New Roman" w:eastAsia="Times New Roman" w:hAnsi="Times New Roman"/>
                <w:b/>
                <w:bCs/>
              </w:rPr>
            </w:pPr>
            <w:r w:rsidRPr="00BA4B04">
              <w:rPr>
                <w:rFonts w:ascii="Times New Roman" w:eastAsia="Times New Roman" w:hAnsi="Times New Roman"/>
                <w:b/>
                <w:bCs/>
              </w:rPr>
              <w:t>Dose amount</w:t>
            </w:r>
          </w:p>
        </w:tc>
      </w:tr>
      <w:tr w:rsidR="00BA4B04" w:rsidRPr="00BA4B04" w14:paraId="2F60D5DE" w14:textId="77777777" w:rsidTr="00130E1B">
        <w:trPr>
          <w:cantSplit w:val="0"/>
        </w:trPr>
        <w:tc>
          <w:tcPr>
            <w:tcW w:w="2205" w:type="pct"/>
          </w:tcPr>
          <w:p w14:paraId="0D56E68C"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Initial dose</w:t>
            </w:r>
          </w:p>
        </w:tc>
        <w:tc>
          <w:tcPr>
            <w:tcW w:w="2795" w:type="pct"/>
          </w:tcPr>
          <w:p w14:paraId="59D73032" w14:textId="77777777" w:rsidR="00BA4B04" w:rsidRPr="00BA4B04" w:rsidRDefault="00BA4B04" w:rsidP="007A4C05">
            <w:pPr>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3.2 mg/m</w:t>
            </w:r>
            <w:r w:rsidRPr="00BA4B04">
              <w:rPr>
                <w:rFonts w:ascii="Times New Roman" w:eastAsia="Times New Roman" w:hAnsi="Times New Roman"/>
                <w:vertAlign w:val="superscript"/>
              </w:rPr>
              <w:t>2</w:t>
            </w:r>
          </w:p>
        </w:tc>
      </w:tr>
      <w:tr w:rsidR="00BA4B04" w:rsidRPr="00BA4B04" w14:paraId="264AE122" w14:textId="77777777" w:rsidTr="00130E1B">
        <w:trPr>
          <w:cantSplit w:val="0"/>
        </w:trPr>
        <w:tc>
          <w:tcPr>
            <w:tcW w:w="2205" w:type="pct"/>
          </w:tcPr>
          <w:p w14:paraId="30F9681C"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bCs/>
              </w:rPr>
              <w:t>On 1</w:t>
            </w:r>
            <w:r w:rsidRPr="00BA4B04">
              <w:rPr>
                <w:rFonts w:ascii="Times New Roman" w:eastAsia="Times New Roman" w:hAnsi="Times New Roman"/>
                <w:bCs/>
                <w:vertAlign w:val="superscript"/>
              </w:rPr>
              <w:t>st</w:t>
            </w:r>
            <w:r w:rsidRPr="00BA4B04">
              <w:rPr>
                <w:rFonts w:ascii="Times New Roman" w:eastAsia="Times New Roman" w:hAnsi="Times New Roman"/>
                <w:bCs/>
              </w:rPr>
              <w:t xml:space="preserve"> dose reduction</w:t>
            </w:r>
          </w:p>
        </w:tc>
        <w:tc>
          <w:tcPr>
            <w:tcW w:w="2795" w:type="pct"/>
          </w:tcPr>
          <w:p w14:paraId="6B1BD86E" w14:textId="77777777" w:rsidR="00BA4B04" w:rsidRPr="00BA4B04" w:rsidRDefault="00BA4B04" w:rsidP="007A4C05">
            <w:pPr>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2.6 mg/m</w:t>
            </w:r>
            <w:r w:rsidRPr="00BA4B04">
              <w:rPr>
                <w:rFonts w:ascii="Times New Roman" w:eastAsia="Times New Roman" w:hAnsi="Times New Roman"/>
                <w:vertAlign w:val="superscript"/>
              </w:rPr>
              <w:t>2</w:t>
            </w:r>
          </w:p>
        </w:tc>
      </w:tr>
      <w:tr w:rsidR="00BA4B04" w:rsidRPr="00BA4B04" w14:paraId="0391A6D0" w14:textId="77777777" w:rsidTr="00130E1B">
        <w:trPr>
          <w:cantSplit w:val="0"/>
        </w:trPr>
        <w:tc>
          <w:tcPr>
            <w:tcW w:w="2205" w:type="pct"/>
          </w:tcPr>
          <w:p w14:paraId="21ABA1DB"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bCs/>
              </w:rPr>
              <w:t>On 2</w:t>
            </w:r>
            <w:r w:rsidRPr="00BA4B04">
              <w:rPr>
                <w:rFonts w:ascii="Times New Roman" w:eastAsia="Times New Roman" w:hAnsi="Times New Roman"/>
                <w:bCs/>
                <w:vertAlign w:val="superscript"/>
              </w:rPr>
              <w:t>nd</w:t>
            </w:r>
            <w:r w:rsidRPr="00BA4B04">
              <w:rPr>
                <w:rFonts w:ascii="Times New Roman" w:eastAsia="Times New Roman" w:hAnsi="Times New Roman"/>
                <w:bCs/>
              </w:rPr>
              <w:t xml:space="preserve"> dose reduction</w:t>
            </w:r>
          </w:p>
        </w:tc>
        <w:tc>
          <w:tcPr>
            <w:tcW w:w="2795" w:type="pct"/>
          </w:tcPr>
          <w:p w14:paraId="506D137E" w14:textId="77777777" w:rsidR="00BA4B04" w:rsidRPr="00BA4B04" w:rsidRDefault="00BA4B04" w:rsidP="007A4C05">
            <w:pPr>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2.0 mg/m</w:t>
            </w:r>
            <w:r w:rsidRPr="00BA4B04">
              <w:rPr>
                <w:rFonts w:ascii="Times New Roman" w:eastAsia="Times New Roman" w:hAnsi="Times New Roman"/>
                <w:vertAlign w:val="superscript"/>
              </w:rPr>
              <w:t>2</w:t>
            </w:r>
          </w:p>
        </w:tc>
      </w:tr>
    </w:tbl>
    <w:p w14:paraId="05B92B78" w14:textId="77777777" w:rsidR="00BA4B04" w:rsidRPr="00BA4B04" w:rsidRDefault="00BA4B04" w:rsidP="00BA4B04">
      <w:pPr>
        <w:widowControl w:val="0"/>
        <w:autoSpaceDE w:val="0"/>
        <w:autoSpaceDN w:val="0"/>
        <w:spacing w:before="10" w:after="0" w:line="240" w:lineRule="auto"/>
        <w:rPr>
          <w:rFonts w:ascii="Times New Roman" w:eastAsia="Times New Roman" w:hAnsi="Times New Roman"/>
          <w:sz w:val="20"/>
          <w:szCs w:val="24"/>
          <w:lang w:val="en-US"/>
        </w:rPr>
      </w:pPr>
      <w:bookmarkStart w:id="85" w:name="_Toc24452181"/>
      <w:bookmarkStart w:id="86" w:name="_Toc26375311"/>
    </w:p>
    <w:p w14:paraId="2BC54D06" w14:textId="77777777" w:rsidR="00BA4B04" w:rsidRPr="00BA4B04" w:rsidRDefault="00BA4B04" w:rsidP="00BA4B04">
      <w:pPr>
        <w:keepNext/>
        <w:spacing w:line="280" w:lineRule="atLeast"/>
        <w:ind w:left="1440" w:hanging="1440"/>
        <w:rPr>
          <w:rFonts w:ascii="Times New Roman" w:eastAsia="Times New Roman" w:hAnsi="Times New Roman"/>
          <w:b/>
          <w:bCs/>
          <w:sz w:val="24"/>
          <w:szCs w:val="24"/>
          <w:lang w:val="en-US"/>
        </w:rPr>
      </w:pPr>
      <w:bookmarkStart w:id="87" w:name="_Ref79584927"/>
      <w:r w:rsidRPr="00BA4B04">
        <w:rPr>
          <w:rFonts w:ascii="Times New Roman" w:eastAsia="Times New Roman" w:hAnsi="Times New Roman"/>
          <w:b/>
          <w:bCs/>
          <w:sz w:val="24"/>
          <w:szCs w:val="24"/>
          <w:lang w:val="en-US"/>
        </w:rPr>
        <w:t xml:space="preserve">Table </w:t>
      </w:r>
      <w:r w:rsidRPr="00BA4B04">
        <w:rPr>
          <w:rFonts w:ascii="Times New Roman" w:eastAsia="Times New Roman" w:hAnsi="Times New Roman"/>
          <w:b/>
          <w:bCs/>
          <w:sz w:val="24"/>
          <w:szCs w:val="24"/>
          <w:lang w:val="en-US"/>
        </w:rPr>
        <w:fldChar w:fldCharType="begin"/>
      </w:r>
      <w:r w:rsidRPr="00BA4B04">
        <w:rPr>
          <w:rFonts w:ascii="Times New Roman" w:eastAsia="Times New Roman" w:hAnsi="Times New Roman"/>
          <w:b/>
          <w:bCs/>
          <w:sz w:val="24"/>
          <w:szCs w:val="24"/>
          <w:lang w:val="en-US"/>
        </w:rPr>
        <w:instrText xml:space="preserve"> SEQ Table \* ARABIC </w:instrText>
      </w:r>
      <w:r w:rsidRPr="00BA4B04">
        <w:rPr>
          <w:rFonts w:ascii="Times New Roman" w:eastAsia="Times New Roman" w:hAnsi="Times New Roman"/>
          <w:b/>
          <w:bCs/>
          <w:sz w:val="24"/>
          <w:szCs w:val="24"/>
          <w:lang w:val="en-US"/>
        </w:rPr>
        <w:fldChar w:fldCharType="separate"/>
      </w:r>
      <w:r w:rsidRPr="00BA4B04">
        <w:rPr>
          <w:rFonts w:ascii="Times New Roman" w:eastAsia="Times New Roman" w:hAnsi="Times New Roman"/>
          <w:b/>
          <w:bCs/>
          <w:noProof/>
          <w:sz w:val="24"/>
          <w:szCs w:val="24"/>
          <w:lang w:val="en-US"/>
        </w:rPr>
        <w:t>2</w:t>
      </w:r>
      <w:r w:rsidRPr="00BA4B04">
        <w:rPr>
          <w:rFonts w:ascii="Times New Roman" w:eastAsia="Times New Roman" w:hAnsi="Times New Roman"/>
          <w:b/>
          <w:bCs/>
          <w:sz w:val="24"/>
          <w:szCs w:val="24"/>
          <w:lang w:val="en-US"/>
        </w:rPr>
        <w:fldChar w:fldCharType="end"/>
      </w:r>
      <w:bookmarkEnd w:id="87"/>
      <w:r w:rsidRPr="00BA4B04">
        <w:rPr>
          <w:rFonts w:ascii="Times New Roman" w:eastAsia="Times New Roman" w:hAnsi="Times New Roman"/>
          <w:b/>
          <w:bCs/>
          <w:sz w:val="24"/>
          <w:szCs w:val="24"/>
          <w:lang w:val="en-US"/>
        </w:rPr>
        <w:t>:</w:t>
      </w:r>
      <w:r w:rsidRPr="00BA4B04">
        <w:rPr>
          <w:rFonts w:ascii="Times New Roman" w:eastAsia="Times New Roman" w:hAnsi="Times New Roman"/>
          <w:b/>
          <w:bCs/>
          <w:sz w:val="24"/>
          <w:szCs w:val="24"/>
        </w:rPr>
        <w:t xml:space="preserve"> </w:t>
      </w:r>
      <w:r w:rsidRPr="00BA4B04">
        <w:rPr>
          <w:rFonts w:ascii="Times New Roman" w:eastAsia="Times New Roman" w:hAnsi="Times New Roman"/>
          <w:b/>
          <w:bCs/>
          <w:sz w:val="24"/>
          <w:szCs w:val="24"/>
        </w:rPr>
        <w:tab/>
        <w:t>Dosage modifications for ZEPZELCA for adverse reactions</w:t>
      </w:r>
    </w:p>
    <w:tbl>
      <w:tblPr>
        <w:tblStyle w:val="C-Table"/>
        <w:tblW w:w="5000" w:type="pct"/>
        <w:tblLook w:val="04A0" w:firstRow="1" w:lastRow="0" w:firstColumn="1" w:lastColumn="0" w:noHBand="0" w:noVBand="1"/>
      </w:tblPr>
      <w:tblGrid>
        <w:gridCol w:w="2278"/>
        <w:gridCol w:w="2531"/>
        <w:gridCol w:w="3679"/>
      </w:tblGrid>
      <w:tr w:rsidR="00BA4B04" w:rsidRPr="00BA4B04" w14:paraId="5D468260" w14:textId="77777777" w:rsidTr="00130E1B">
        <w:trPr>
          <w:cantSplit w:val="0"/>
          <w:tblHeader/>
        </w:trPr>
        <w:tc>
          <w:tcPr>
            <w:tcW w:w="1188" w:type="pct"/>
          </w:tcPr>
          <w:p w14:paraId="4B289C05" w14:textId="77777777" w:rsidR="00BA4B04" w:rsidRPr="00BA4B04" w:rsidRDefault="00BA4B04" w:rsidP="007A4C05">
            <w:pPr>
              <w:keepNext/>
              <w:numPr>
                <w:ilvl w:val="0"/>
                <w:numId w:val="9"/>
              </w:numPr>
              <w:tabs>
                <w:tab w:val="left" w:pos="540"/>
              </w:tabs>
              <w:spacing w:before="60" w:after="60" w:line="23" w:lineRule="atLeast"/>
              <w:ind w:left="0" w:firstLine="0"/>
              <w:rPr>
                <w:rFonts w:ascii="Times New Roman" w:eastAsia="Times New Roman" w:hAnsi="Times New Roman"/>
                <w:b/>
                <w:bCs/>
              </w:rPr>
            </w:pPr>
            <w:r w:rsidRPr="00BA4B04">
              <w:rPr>
                <w:rFonts w:ascii="Times New Roman" w:eastAsia="Times New Roman" w:hAnsi="Times New Roman"/>
                <w:b/>
                <w:bCs/>
              </w:rPr>
              <w:t>Adverse reaction</w:t>
            </w:r>
          </w:p>
        </w:tc>
        <w:tc>
          <w:tcPr>
            <w:tcW w:w="1568" w:type="pct"/>
          </w:tcPr>
          <w:p w14:paraId="6FF65889" w14:textId="77777777" w:rsidR="00BA4B04" w:rsidRPr="00BA4B04" w:rsidRDefault="00BA4B04" w:rsidP="007A4C05">
            <w:pPr>
              <w:keepNext/>
              <w:numPr>
                <w:ilvl w:val="0"/>
                <w:numId w:val="9"/>
              </w:numPr>
              <w:tabs>
                <w:tab w:val="left" w:pos="540"/>
              </w:tabs>
              <w:spacing w:before="60" w:after="60" w:line="23" w:lineRule="atLeast"/>
              <w:ind w:left="0" w:firstLine="0"/>
              <w:jc w:val="center"/>
              <w:rPr>
                <w:rFonts w:ascii="Times New Roman" w:eastAsia="Times New Roman" w:hAnsi="Times New Roman"/>
                <w:b/>
                <w:bCs/>
                <w:vertAlign w:val="superscript"/>
              </w:rPr>
            </w:pPr>
            <w:r w:rsidRPr="00BA4B04">
              <w:rPr>
                <w:rFonts w:ascii="Times New Roman" w:eastAsia="Times New Roman" w:hAnsi="Times New Roman"/>
                <w:b/>
                <w:bCs/>
              </w:rPr>
              <w:t>Severity*</w:t>
            </w:r>
          </w:p>
        </w:tc>
        <w:tc>
          <w:tcPr>
            <w:tcW w:w="2244" w:type="pct"/>
          </w:tcPr>
          <w:p w14:paraId="58AF6F1D" w14:textId="77777777" w:rsidR="00BA4B04" w:rsidRPr="00BA4B04" w:rsidRDefault="00BA4B04" w:rsidP="007A4C05">
            <w:pPr>
              <w:keepNext/>
              <w:numPr>
                <w:ilvl w:val="0"/>
                <w:numId w:val="9"/>
              </w:numPr>
              <w:tabs>
                <w:tab w:val="left" w:pos="540"/>
              </w:tabs>
              <w:spacing w:before="60" w:after="60" w:line="23" w:lineRule="atLeast"/>
              <w:ind w:left="0" w:firstLine="0"/>
              <w:jc w:val="center"/>
              <w:rPr>
                <w:rFonts w:ascii="Times New Roman" w:eastAsia="Times New Roman" w:hAnsi="Times New Roman"/>
                <w:b/>
                <w:bCs/>
              </w:rPr>
            </w:pPr>
            <w:r w:rsidRPr="00BA4B04">
              <w:rPr>
                <w:rFonts w:ascii="Times New Roman" w:eastAsia="Times New Roman" w:hAnsi="Times New Roman"/>
                <w:b/>
                <w:bCs/>
              </w:rPr>
              <w:t>Dosage modification</w:t>
            </w:r>
          </w:p>
        </w:tc>
      </w:tr>
      <w:tr w:rsidR="00BA4B04" w:rsidRPr="00BA4B04" w14:paraId="7E766AAE" w14:textId="77777777" w:rsidTr="00130E1B">
        <w:trPr>
          <w:cantSplit w:val="0"/>
        </w:trPr>
        <w:tc>
          <w:tcPr>
            <w:tcW w:w="1188" w:type="pct"/>
          </w:tcPr>
          <w:p w14:paraId="75048AB8"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Neutropenia</w:t>
            </w:r>
          </w:p>
          <w:p w14:paraId="4A4A999F"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 xml:space="preserve">[see </w:t>
            </w:r>
            <w:r w:rsidRPr="00BA4B04">
              <w:rPr>
                <w:rFonts w:ascii="Times New Roman" w:eastAsia="Times New Roman" w:hAnsi="Times New Roman"/>
                <w:i/>
                <w:iCs/>
              </w:rPr>
              <w:t>4.4 Special warnings and precautions for use</w:t>
            </w:r>
            <w:r w:rsidRPr="00BA4B04">
              <w:rPr>
                <w:rFonts w:ascii="Times New Roman" w:eastAsia="Times New Roman" w:hAnsi="Times New Roman"/>
              </w:rPr>
              <w:t>]</w:t>
            </w:r>
          </w:p>
        </w:tc>
        <w:tc>
          <w:tcPr>
            <w:tcW w:w="1568" w:type="pct"/>
          </w:tcPr>
          <w:p w14:paraId="2AF44E71"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Grade 4</w:t>
            </w:r>
            <w:r w:rsidRPr="00BA4B04">
              <w:rPr>
                <w:rFonts w:ascii="Times New Roman" w:eastAsia="Times New Roman" w:hAnsi="Times New Roman"/>
                <w:vertAlign w:val="superscript"/>
              </w:rPr>
              <w:t>**</w:t>
            </w:r>
          </w:p>
          <w:p w14:paraId="79720B2E"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or</w:t>
            </w:r>
          </w:p>
          <w:p w14:paraId="2723E484"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Any grade febrile neutropenia</w:t>
            </w:r>
          </w:p>
        </w:tc>
        <w:tc>
          <w:tcPr>
            <w:tcW w:w="2244" w:type="pct"/>
          </w:tcPr>
          <w:p w14:paraId="270258B9" w14:textId="77777777" w:rsidR="00BA4B04" w:rsidRPr="00BA4B04" w:rsidRDefault="00BA4B04" w:rsidP="007A4C05">
            <w:pPr>
              <w:numPr>
                <w:ilvl w:val="0"/>
                <w:numId w:val="14"/>
              </w:numPr>
              <w:tabs>
                <w:tab w:val="left" w:pos="540"/>
              </w:tabs>
              <w:spacing w:before="60" w:after="60" w:line="23" w:lineRule="atLeast"/>
              <w:ind w:left="298" w:hanging="284"/>
              <w:rPr>
                <w:rFonts w:ascii="Times New Roman" w:eastAsia="Times New Roman" w:hAnsi="Times New Roman"/>
              </w:rPr>
            </w:pPr>
            <w:r w:rsidRPr="00BA4B04">
              <w:rPr>
                <w:rFonts w:ascii="Times New Roman" w:eastAsia="Times New Roman" w:hAnsi="Times New Roman"/>
              </w:rPr>
              <w:t>Withhold ZEPZELCA until Grade ≤ 1</w:t>
            </w:r>
          </w:p>
          <w:p w14:paraId="20127099" w14:textId="77777777" w:rsidR="00BA4B04" w:rsidRPr="00BA4B04" w:rsidRDefault="00BA4B04" w:rsidP="007A4C05">
            <w:pPr>
              <w:numPr>
                <w:ilvl w:val="0"/>
                <w:numId w:val="14"/>
              </w:numPr>
              <w:tabs>
                <w:tab w:val="left" w:pos="540"/>
              </w:tabs>
              <w:spacing w:before="60" w:after="60" w:line="23" w:lineRule="atLeast"/>
              <w:ind w:left="298" w:hanging="284"/>
              <w:rPr>
                <w:rFonts w:ascii="Times New Roman" w:eastAsia="Times New Roman" w:hAnsi="Times New Roman"/>
              </w:rPr>
            </w:pPr>
            <w:r w:rsidRPr="00BA4B04">
              <w:rPr>
                <w:rFonts w:ascii="Times New Roman" w:eastAsia="Times New Roman" w:hAnsi="Times New Roman"/>
              </w:rPr>
              <w:t>Resume ZEPZELCA at a reduced dose</w:t>
            </w:r>
          </w:p>
        </w:tc>
      </w:tr>
      <w:tr w:rsidR="00BA4B04" w:rsidRPr="00BA4B04" w14:paraId="562D4596" w14:textId="77777777" w:rsidTr="00130E1B">
        <w:trPr>
          <w:cantSplit w:val="0"/>
        </w:trPr>
        <w:tc>
          <w:tcPr>
            <w:tcW w:w="1188" w:type="pct"/>
          </w:tcPr>
          <w:p w14:paraId="1FE791E5"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 xml:space="preserve">Thrombocytopenia </w:t>
            </w:r>
          </w:p>
          <w:p w14:paraId="11D4BB43"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 xml:space="preserve">[see </w:t>
            </w:r>
            <w:r w:rsidRPr="00BA4B04">
              <w:rPr>
                <w:rFonts w:ascii="Times New Roman" w:eastAsia="Times New Roman" w:hAnsi="Times New Roman"/>
                <w:i/>
                <w:iCs/>
              </w:rPr>
              <w:t>4.4 Special warnings and precautions for use</w:t>
            </w:r>
            <w:r w:rsidRPr="00BA4B04">
              <w:rPr>
                <w:rFonts w:ascii="Times New Roman" w:eastAsia="Times New Roman" w:hAnsi="Times New Roman"/>
              </w:rPr>
              <w:t>]</w:t>
            </w:r>
          </w:p>
        </w:tc>
        <w:tc>
          <w:tcPr>
            <w:tcW w:w="1568" w:type="pct"/>
          </w:tcPr>
          <w:p w14:paraId="2920AE3E"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Grade 3 with bleeding</w:t>
            </w:r>
          </w:p>
          <w:p w14:paraId="65C93D23"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or</w:t>
            </w:r>
          </w:p>
          <w:p w14:paraId="743B65E4"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Grade 4</w:t>
            </w:r>
          </w:p>
        </w:tc>
        <w:tc>
          <w:tcPr>
            <w:tcW w:w="2244" w:type="pct"/>
          </w:tcPr>
          <w:p w14:paraId="25C0D789" w14:textId="77777777" w:rsidR="00BA4B04" w:rsidRPr="00BA4B04" w:rsidRDefault="00BA4B04" w:rsidP="007A4C05">
            <w:pPr>
              <w:numPr>
                <w:ilvl w:val="0"/>
                <w:numId w:val="14"/>
              </w:numPr>
              <w:tabs>
                <w:tab w:val="left" w:pos="540"/>
              </w:tabs>
              <w:spacing w:before="60" w:after="60" w:line="23" w:lineRule="atLeast"/>
              <w:ind w:left="298" w:hanging="284"/>
              <w:rPr>
                <w:rFonts w:ascii="Times New Roman" w:eastAsia="Times New Roman" w:hAnsi="Times New Roman"/>
              </w:rPr>
            </w:pPr>
            <w:r w:rsidRPr="00BA4B04">
              <w:rPr>
                <w:rFonts w:ascii="Times New Roman" w:eastAsia="Times New Roman" w:hAnsi="Times New Roman"/>
              </w:rPr>
              <w:t>Withhold ZEPZELCA until platelet ≥ 100 x 10</w:t>
            </w:r>
            <w:r w:rsidRPr="00BA4B04">
              <w:rPr>
                <w:rFonts w:ascii="Times New Roman" w:eastAsia="Times New Roman" w:hAnsi="Times New Roman"/>
                <w:vertAlign w:val="superscript"/>
              </w:rPr>
              <w:t>9</w:t>
            </w:r>
            <w:r w:rsidRPr="00BA4B04">
              <w:rPr>
                <w:rFonts w:ascii="Times New Roman" w:eastAsia="Times New Roman" w:hAnsi="Times New Roman"/>
              </w:rPr>
              <w:t>/L</w:t>
            </w:r>
          </w:p>
          <w:p w14:paraId="72197869" w14:textId="77777777" w:rsidR="00BA4B04" w:rsidRPr="00BA4B04" w:rsidRDefault="00BA4B04" w:rsidP="007A4C05">
            <w:pPr>
              <w:numPr>
                <w:ilvl w:val="0"/>
                <w:numId w:val="14"/>
              </w:numPr>
              <w:tabs>
                <w:tab w:val="left" w:pos="540"/>
              </w:tabs>
              <w:spacing w:before="60" w:after="60" w:line="23" w:lineRule="atLeast"/>
              <w:ind w:left="298" w:hanging="284"/>
              <w:rPr>
                <w:rFonts w:ascii="Times New Roman" w:eastAsia="Times New Roman" w:hAnsi="Times New Roman"/>
              </w:rPr>
            </w:pPr>
            <w:r w:rsidRPr="00BA4B04">
              <w:rPr>
                <w:rFonts w:ascii="Times New Roman" w:eastAsia="Times New Roman" w:hAnsi="Times New Roman"/>
              </w:rPr>
              <w:t>Resume ZEPZELCA at a reduced dose</w:t>
            </w:r>
          </w:p>
        </w:tc>
      </w:tr>
      <w:tr w:rsidR="00BA4B04" w:rsidRPr="00BA4B04" w14:paraId="02DA3C53" w14:textId="77777777" w:rsidTr="00130E1B">
        <w:trPr>
          <w:cantSplit w:val="0"/>
        </w:trPr>
        <w:tc>
          <w:tcPr>
            <w:tcW w:w="1188" w:type="pct"/>
            <w:vMerge w:val="restart"/>
          </w:tcPr>
          <w:p w14:paraId="21D365A2"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 xml:space="preserve">Hepatotoxicity </w:t>
            </w:r>
          </w:p>
          <w:p w14:paraId="45EEBF09"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 xml:space="preserve">[see </w:t>
            </w:r>
            <w:r w:rsidRPr="00BA4B04">
              <w:rPr>
                <w:rFonts w:ascii="Times New Roman" w:eastAsia="Times New Roman" w:hAnsi="Times New Roman"/>
                <w:i/>
                <w:iCs/>
              </w:rPr>
              <w:t>4.4 Special warnings and precautions for use</w:t>
            </w:r>
            <w:r w:rsidRPr="00BA4B04">
              <w:rPr>
                <w:rFonts w:ascii="Times New Roman" w:eastAsia="Times New Roman" w:hAnsi="Times New Roman"/>
              </w:rPr>
              <w:t>], or other adverse reactions</w:t>
            </w:r>
          </w:p>
        </w:tc>
        <w:tc>
          <w:tcPr>
            <w:tcW w:w="1568" w:type="pct"/>
          </w:tcPr>
          <w:p w14:paraId="7323852C"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Grade 2</w:t>
            </w:r>
          </w:p>
        </w:tc>
        <w:tc>
          <w:tcPr>
            <w:tcW w:w="2244" w:type="pct"/>
          </w:tcPr>
          <w:p w14:paraId="34B8DF13" w14:textId="77777777" w:rsidR="00BA4B04" w:rsidRPr="00BA4B04" w:rsidRDefault="00BA4B04" w:rsidP="007A4C05">
            <w:pPr>
              <w:numPr>
                <w:ilvl w:val="0"/>
                <w:numId w:val="14"/>
              </w:numPr>
              <w:tabs>
                <w:tab w:val="left" w:pos="540"/>
              </w:tabs>
              <w:spacing w:before="60" w:after="60" w:line="23" w:lineRule="atLeast"/>
              <w:ind w:left="298" w:hanging="284"/>
              <w:rPr>
                <w:rFonts w:ascii="Times New Roman" w:eastAsia="Times New Roman" w:hAnsi="Times New Roman"/>
              </w:rPr>
            </w:pPr>
            <w:r w:rsidRPr="00BA4B04">
              <w:rPr>
                <w:rFonts w:ascii="Times New Roman" w:eastAsia="Times New Roman" w:hAnsi="Times New Roman"/>
              </w:rPr>
              <w:t>Withhold ZEPZELCA until Grade ≤ 1</w:t>
            </w:r>
          </w:p>
          <w:p w14:paraId="33529992" w14:textId="77777777" w:rsidR="00BA4B04" w:rsidRPr="00BA4B04" w:rsidRDefault="00BA4B04" w:rsidP="007A4C05">
            <w:pPr>
              <w:numPr>
                <w:ilvl w:val="0"/>
                <w:numId w:val="14"/>
              </w:numPr>
              <w:tabs>
                <w:tab w:val="left" w:pos="540"/>
              </w:tabs>
              <w:spacing w:before="60" w:after="60" w:line="23" w:lineRule="atLeast"/>
              <w:ind w:left="298" w:hanging="284"/>
              <w:rPr>
                <w:rFonts w:ascii="Times New Roman" w:eastAsia="Times New Roman" w:hAnsi="Times New Roman"/>
              </w:rPr>
            </w:pPr>
            <w:r w:rsidRPr="00BA4B04">
              <w:rPr>
                <w:rFonts w:ascii="Times New Roman" w:eastAsia="Times New Roman" w:hAnsi="Times New Roman"/>
              </w:rPr>
              <w:t>Resume ZEPZELCA at a reduced dose</w:t>
            </w:r>
          </w:p>
        </w:tc>
      </w:tr>
      <w:tr w:rsidR="00BA4B04" w:rsidRPr="00BA4B04" w14:paraId="2074090C" w14:textId="77777777" w:rsidTr="00130E1B">
        <w:trPr>
          <w:cantSplit w:val="0"/>
        </w:trPr>
        <w:tc>
          <w:tcPr>
            <w:tcW w:w="1188" w:type="pct"/>
            <w:vMerge/>
          </w:tcPr>
          <w:p w14:paraId="0948FE2B"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p>
        </w:tc>
        <w:tc>
          <w:tcPr>
            <w:tcW w:w="1568" w:type="pct"/>
          </w:tcPr>
          <w:p w14:paraId="504B6C13" w14:textId="77777777" w:rsidR="00BA4B04" w:rsidRPr="00BA4B04" w:rsidRDefault="00BA4B04" w:rsidP="007A4C05">
            <w:pPr>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Grade ≥ 3</w:t>
            </w:r>
          </w:p>
        </w:tc>
        <w:tc>
          <w:tcPr>
            <w:tcW w:w="2244" w:type="pct"/>
          </w:tcPr>
          <w:p w14:paraId="787DE510" w14:textId="77777777" w:rsidR="00BA4B04" w:rsidRPr="00BA4B04" w:rsidRDefault="00BA4B04" w:rsidP="007A4C05">
            <w:pPr>
              <w:numPr>
                <w:ilvl w:val="0"/>
                <w:numId w:val="14"/>
              </w:numPr>
              <w:tabs>
                <w:tab w:val="left" w:pos="540"/>
              </w:tabs>
              <w:spacing w:before="60" w:after="60" w:line="23" w:lineRule="atLeast"/>
              <w:ind w:left="298" w:hanging="284"/>
              <w:rPr>
                <w:rFonts w:ascii="Times New Roman" w:eastAsia="Times New Roman" w:hAnsi="Times New Roman"/>
              </w:rPr>
            </w:pPr>
            <w:r w:rsidRPr="00BA4B04">
              <w:rPr>
                <w:rFonts w:ascii="Times New Roman" w:eastAsia="Times New Roman" w:hAnsi="Times New Roman"/>
              </w:rPr>
              <w:t>Withhold ZEPZELCA until Grade ≤ 1</w:t>
            </w:r>
          </w:p>
          <w:p w14:paraId="10C9955F" w14:textId="77777777" w:rsidR="00BA4B04" w:rsidRPr="00BA4B04" w:rsidRDefault="00BA4B04" w:rsidP="007A4C05">
            <w:pPr>
              <w:numPr>
                <w:ilvl w:val="0"/>
                <w:numId w:val="14"/>
              </w:numPr>
              <w:tabs>
                <w:tab w:val="left" w:pos="540"/>
              </w:tabs>
              <w:spacing w:before="60" w:after="60" w:line="23" w:lineRule="atLeast"/>
              <w:ind w:left="298" w:hanging="284"/>
              <w:rPr>
                <w:rFonts w:ascii="Times New Roman" w:eastAsia="Times New Roman" w:hAnsi="Times New Roman"/>
              </w:rPr>
            </w:pPr>
            <w:r w:rsidRPr="00BA4B04">
              <w:rPr>
                <w:rFonts w:ascii="Times New Roman" w:eastAsia="Times New Roman" w:hAnsi="Times New Roman"/>
              </w:rPr>
              <w:t>Resume ZEPZELCA at a reduced dose</w:t>
            </w:r>
          </w:p>
        </w:tc>
      </w:tr>
    </w:tbl>
    <w:p w14:paraId="1E8BD94B"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sz w:val="20"/>
          <w:vertAlign w:val="superscript"/>
        </w:rPr>
        <w:t xml:space="preserve">* </w:t>
      </w:r>
      <w:r w:rsidRPr="00BA4B04">
        <w:rPr>
          <w:rFonts w:ascii="Times New Roman" w:eastAsia="Calibri" w:hAnsi="Times New Roman"/>
          <w:sz w:val="20"/>
        </w:rPr>
        <w:t>National Cancer Institute Common Terminology Criteria for Adverse Events (NCI CTCAE) version 4.0.</w:t>
      </w:r>
      <w:r w:rsidRPr="00BA4B04">
        <w:rPr>
          <w:rFonts w:ascii="Times New Roman" w:eastAsia="Calibri" w:hAnsi="Times New Roman"/>
          <w:spacing w:val="1"/>
          <w:sz w:val="20"/>
        </w:rPr>
        <w:t xml:space="preserve"> </w:t>
      </w:r>
      <w:r w:rsidRPr="00BA4B04">
        <w:rPr>
          <w:rFonts w:ascii="Times New Roman" w:eastAsia="Calibri" w:hAnsi="Times New Roman"/>
          <w:spacing w:val="1"/>
          <w:sz w:val="20"/>
        </w:rPr>
        <w:br/>
      </w:r>
      <w:r w:rsidRPr="00BA4B04">
        <w:rPr>
          <w:rFonts w:ascii="Times New Roman" w:eastAsia="Calibri" w:hAnsi="Times New Roman"/>
          <w:sz w:val="20"/>
          <w:vertAlign w:val="superscript"/>
        </w:rPr>
        <w:t xml:space="preserve">** </w:t>
      </w:r>
      <w:r w:rsidRPr="00BA4B04">
        <w:rPr>
          <w:rFonts w:ascii="Times New Roman" w:eastAsia="Calibri" w:hAnsi="Times New Roman"/>
          <w:sz w:val="20"/>
        </w:rPr>
        <w:t>Patients with isolated Grade 4 neutropenia (neutrophil count less than 0.5 x 10</w:t>
      </w:r>
      <w:r w:rsidRPr="00BA4B04">
        <w:rPr>
          <w:rFonts w:ascii="Times New Roman" w:eastAsia="Calibri" w:hAnsi="Times New Roman"/>
          <w:sz w:val="20"/>
          <w:vertAlign w:val="superscript"/>
        </w:rPr>
        <w:t>9</w:t>
      </w:r>
      <w:r w:rsidRPr="00BA4B04">
        <w:rPr>
          <w:rFonts w:ascii="Times New Roman" w:eastAsia="Calibri" w:hAnsi="Times New Roman"/>
          <w:sz w:val="20"/>
        </w:rPr>
        <w:t>/L) may receive G-CSF</w:t>
      </w:r>
      <w:r w:rsidRPr="00BA4B04">
        <w:rPr>
          <w:rFonts w:ascii="Times New Roman" w:eastAsia="Calibri" w:hAnsi="Times New Roman"/>
          <w:spacing w:val="-47"/>
          <w:sz w:val="20"/>
        </w:rPr>
        <w:t xml:space="preserve"> </w:t>
      </w:r>
      <w:r w:rsidRPr="00BA4B04">
        <w:rPr>
          <w:rFonts w:ascii="Times New Roman" w:eastAsia="Calibri" w:hAnsi="Times New Roman"/>
          <w:sz w:val="20"/>
        </w:rPr>
        <w:t>prophylaxis</w:t>
      </w:r>
      <w:r w:rsidRPr="00BA4B04">
        <w:rPr>
          <w:rFonts w:ascii="Times New Roman" w:eastAsia="Calibri" w:hAnsi="Times New Roman"/>
          <w:spacing w:val="-2"/>
          <w:sz w:val="20"/>
        </w:rPr>
        <w:t xml:space="preserve"> </w:t>
      </w:r>
      <w:r w:rsidRPr="00BA4B04">
        <w:rPr>
          <w:rFonts w:ascii="Times New Roman" w:eastAsia="Calibri" w:hAnsi="Times New Roman"/>
          <w:sz w:val="20"/>
        </w:rPr>
        <w:t>rather</w:t>
      </w:r>
      <w:r w:rsidRPr="00BA4B04">
        <w:rPr>
          <w:rFonts w:ascii="Times New Roman" w:eastAsia="Calibri" w:hAnsi="Times New Roman"/>
          <w:spacing w:val="-1"/>
          <w:sz w:val="20"/>
        </w:rPr>
        <w:t xml:space="preserve"> </w:t>
      </w:r>
      <w:r w:rsidRPr="00BA4B04">
        <w:rPr>
          <w:rFonts w:ascii="Times New Roman" w:eastAsia="Calibri" w:hAnsi="Times New Roman"/>
          <w:sz w:val="20"/>
        </w:rPr>
        <w:t>than</w:t>
      </w:r>
      <w:r w:rsidRPr="00BA4B04">
        <w:rPr>
          <w:rFonts w:ascii="Times New Roman" w:eastAsia="Calibri" w:hAnsi="Times New Roman"/>
          <w:spacing w:val="-1"/>
          <w:sz w:val="20"/>
        </w:rPr>
        <w:t xml:space="preserve"> </w:t>
      </w:r>
      <w:r w:rsidRPr="00BA4B04">
        <w:rPr>
          <w:rFonts w:ascii="Times New Roman" w:eastAsia="Calibri" w:hAnsi="Times New Roman"/>
          <w:sz w:val="20"/>
        </w:rPr>
        <w:t>undergo</w:t>
      </w:r>
      <w:r w:rsidRPr="00BA4B04">
        <w:rPr>
          <w:rFonts w:ascii="Times New Roman" w:eastAsia="Calibri" w:hAnsi="Times New Roman"/>
          <w:spacing w:val="-1"/>
          <w:sz w:val="20"/>
        </w:rPr>
        <w:t xml:space="preserve"> </w:t>
      </w:r>
      <w:r w:rsidRPr="00BA4B04">
        <w:rPr>
          <w:rFonts w:ascii="Times New Roman" w:eastAsia="Calibri" w:hAnsi="Times New Roman"/>
          <w:sz w:val="20"/>
        </w:rPr>
        <w:t>lurbinectedin</w:t>
      </w:r>
      <w:r w:rsidRPr="00BA4B04">
        <w:rPr>
          <w:rFonts w:ascii="Times New Roman" w:eastAsia="Calibri" w:hAnsi="Times New Roman"/>
          <w:spacing w:val="-2"/>
          <w:sz w:val="20"/>
        </w:rPr>
        <w:t xml:space="preserve"> </w:t>
      </w:r>
      <w:r w:rsidRPr="00BA4B04">
        <w:rPr>
          <w:rFonts w:ascii="Times New Roman" w:eastAsia="Calibri" w:hAnsi="Times New Roman"/>
          <w:sz w:val="20"/>
        </w:rPr>
        <w:t>dose reduction.</w:t>
      </w:r>
    </w:p>
    <w:p w14:paraId="761BD41B"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Premedication</w:t>
      </w:r>
      <w:bookmarkEnd w:id="85"/>
      <w:bookmarkEnd w:id="86"/>
    </w:p>
    <w:p w14:paraId="24A5030D" w14:textId="77777777" w:rsidR="00BA4B04" w:rsidRPr="00BA4B04" w:rsidRDefault="00BA4B04" w:rsidP="00BA4B04">
      <w:pPr>
        <w:keepNext/>
        <w:spacing w:line="23" w:lineRule="atLeast"/>
        <w:rPr>
          <w:rFonts w:ascii="Times New Roman" w:eastAsia="Times New Roman" w:hAnsi="Times New Roman"/>
        </w:rPr>
      </w:pPr>
      <w:r w:rsidRPr="00BA4B04">
        <w:rPr>
          <w:rFonts w:ascii="Times New Roman" w:eastAsia="Times New Roman" w:hAnsi="Times New Roman"/>
        </w:rPr>
        <w:t>Pre-infusion, consider prophylactic administration of the following antiemetic medications:</w:t>
      </w:r>
    </w:p>
    <w:p w14:paraId="6972CB48" w14:textId="77777777" w:rsidR="00BA4B04" w:rsidRPr="00BA4B04" w:rsidRDefault="00BA4B04" w:rsidP="007A4C05">
      <w:pPr>
        <w:numPr>
          <w:ilvl w:val="0"/>
          <w:numId w:val="10"/>
        </w:numPr>
        <w:spacing w:before="0" w:after="200" w:line="23" w:lineRule="atLeast"/>
        <w:rPr>
          <w:rFonts w:ascii="Times New Roman" w:eastAsia="Times New Roman" w:hAnsi="Times New Roman"/>
        </w:rPr>
      </w:pPr>
      <w:r w:rsidRPr="00BA4B04">
        <w:rPr>
          <w:rFonts w:ascii="Times New Roman" w:eastAsia="Times New Roman" w:hAnsi="Times New Roman"/>
        </w:rPr>
        <w:t>Corticosteroids (intravenous dexamethasone 8 mg or equivalent)</w:t>
      </w:r>
    </w:p>
    <w:p w14:paraId="73ED86E2" w14:textId="77777777" w:rsidR="00BA4B04" w:rsidRPr="00BA4B04" w:rsidRDefault="00BA4B04" w:rsidP="007A4C05">
      <w:pPr>
        <w:numPr>
          <w:ilvl w:val="0"/>
          <w:numId w:val="10"/>
        </w:numPr>
        <w:spacing w:before="0" w:after="200" w:line="23" w:lineRule="atLeast"/>
        <w:rPr>
          <w:rFonts w:ascii="Times New Roman" w:eastAsia="Times New Roman" w:hAnsi="Times New Roman"/>
        </w:rPr>
      </w:pPr>
      <w:r w:rsidRPr="00BA4B04">
        <w:rPr>
          <w:rFonts w:ascii="Times New Roman" w:eastAsia="Times New Roman" w:hAnsi="Times New Roman"/>
        </w:rPr>
        <w:t>Serotonin antagonists (intravenous ondansetron 8 mg or equivalent)</w:t>
      </w:r>
    </w:p>
    <w:p w14:paraId="7A5C845C"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bookmarkStart w:id="88" w:name="_Toc24452182"/>
      <w:bookmarkStart w:id="89" w:name="_Toc26375312"/>
      <w:r w:rsidRPr="00BA4B04">
        <w:rPr>
          <w:rFonts w:ascii="Times New Roman" w:eastAsia="Times New Roman" w:hAnsi="Times New Roman"/>
          <w:b/>
          <w:bCs/>
        </w:rPr>
        <w:t>Preparation and administration</w:t>
      </w:r>
      <w:bookmarkEnd w:id="88"/>
      <w:bookmarkEnd w:id="89"/>
    </w:p>
    <w:p w14:paraId="4A4EABCA"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ZEPZELCA is a cytotoxic drug. Follow applicable special handling and disposal procedures. </w:t>
      </w:r>
    </w:p>
    <w:p w14:paraId="472153A7" w14:textId="77777777" w:rsidR="00BA4B04" w:rsidRPr="00BA4B04" w:rsidRDefault="00BA4B04" w:rsidP="00BA4B04">
      <w:pPr>
        <w:spacing w:line="23" w:lineRule="atLeast"/>
        <w:rPr>
          <w:rFonts w:ascii="Times New Roman" w:eastAsia="Calibri" w:hAnsi="Times New Roman"/>
        </w:rPr>
      </w:pPr>
      <w:r w:rsidRPr="00BA4B04">
        <w:rPr>
          <w:rFonts w:ascii="Times New Roman" w:eastAsia="Times New Roman" w:hAnsi="Times New Roman"/>
        </w:rPr>
        <w:t>The ZEPZELCA vial</w:t>
      </w:r>
      <w:r w:rsidRPr="00BA4B04">
        <w:rPr>
          <w:rFonts w:ascii="Times New Roman" w:eastAsia="Calibri" w:hAnsi="Times New Roman"/>
        </w:rPr>
        <w:t xml:space="preserve"> is for single use (</w:t>
      </w:r>
      <w:r w:rsidRPr="00BA4B04">
        <w:rPr>
          <w:rFonts w:ascii="Times New Roman" w:eastAsia="Times New Roman" w:hAnsi="Times New Roman"/>
          <w:lang w:val="en-US"/>
        </w:rPr>
        <w:t>in one patient on one occasion) only. Discard any residue.</w:t>
      </w:r>
    </w:p>
    <w:p w14:paraId="6492FD64" w14:textId="77777777" w:rsidR="00BA4B04" w:rsidRPr="00BA4B04" w:rsidRDefault="00BA4B04" w:rsidP="00BA4B04">
      <w:pPr>
        <w:spacing w:line="23" w:lineRule="atLeast"/>
        <w:rPr>
          <w:rFonts w:ascii="Times New Roman" w:eastAsia="Calibri" w:hAnsi="Times New Roman"/>
        </w:rPr>
      </w:pPr>
      <w:r w:rsidRPr="00BA4B04">
        <w:rPr>
          <w:rFonts w:ascii="Times New Roman" w:eastAsia="Calibri" w:hAnsi="Times New Roman"/>
        </w:rPr>
        <w:t xml:space="preserve">Prepare the solution for infusion using aseptic technique as follows: </w:t>
      </w:r>
    </w:p>
    <w:p w14:paraId="760FC95B" w14:textId="77777777" w:rsidR="00BA4B04" w:rsidRPr="00BA4B04" w:rsidRDefault="00BA4B04" w:rsidP="007A4C05">
      <w:pPr>
        <w:numPr>
          <w:ilvl w:val="0"/>
          <w:numId w:val="11"/>
        </w:numPr>
        <w:spacing w:before="0" w:after="200" w:line="23" w:lineRule="atLeast"/>
        <w:rPr>
          <w:rFonts w:ascii="Times New Roman" w:eastAsia="Calibri" w:hAnsi="Times New Roman"/>
        </w:rPr>
      </w:pPr>
      <w:r w:rsidRPr="00BA4B04">
        <w:rPr>
          <w:rFonts w:ascii="Times New Roman" w:eastAsia="Calibri" w:hAnsi="Times New Roman"/>
        </w:rPr>
        <w:t xml:space="preserve">Inject 8 mL of Sterile Water for Injection USP into the vial, yielding a reconstituted solution containing 0.5 mg/ml lurbinectedin. Shake the vial until dissolution is complete. </w:t>
      </w:r>
    </w:p>
    <w:p w14:paraId="56AC94B4" w14:textId="77777777" w:rsidR="00BA4B04" w:rsidRPr="00BA4B04" w:rsidRDefault="00BA4B04" w:rsidP="007A4C05">
      <w:pPr>
        <w:numPr>
          <w:ilvl w:val="0"/>
          <w:numId w:val="11"/>
        </w:numPr>
        <w:spacing w:before="0" w:after="200" w:line="23" w:lineRule="atLeast"/>
        <w:rPr>
          <w:rFonts w:ascii="Times New Roman" w:eastAsia="Times New Roman" w:hAnsi="Times New Roman"/>
        </w:rPr>
      </w:pPr>
      <w:r w:rsidRPr="00BA4B04">
        <w:rPr>
          <w:rFonts w:ascii="Times New Roman" w:eastAsia="Times New Roman" w:hAnsi="Times New Roman"/>
        </w:rPr>
        <w:lastRenderedPageBreak/>
        <w:t xml:space="preserve">Visually inspect the reconstituted solution for particulate matter and discoloration. </w:t>
      </w:r>
      <w:r w:rsidRPr="00BA4B04">
        <w:rPr>
          <w:rFonts w:ascii="Times New Roman" w:eastAsia="Calibri" w:hAnsi="Times New Roman"/>
        </w:rPr>
        <w:t xml:space="preserve">It should be clear, </w:t>
      </w:r>
      <w:proofErr w:type="gramStart"/>
      <w:r w:rsidRPr="00BA4B04">
        <w:rPr>
          <w:rFonts w:ascii="Times New Roman" w:eastAsia="Calibri" w:hAnsi="Times New Roman"/>
        </w:rPr>
        <w:t>colourless</w:t>
      </w:r>
      <w:proofErr w:type="gramEnd"/>
      <w:r w:rsidRPr="00BA4B04">
        <w:rPr>
          <w:rFonts w:ascii="Times New Roman" w:eastAsia="Calibri" w:hAnsi="Times New Roman"/>
        </w:rPr>
        <w:t xml:space="preserve"> or slightly yellowish, and free of visible particles. </w:t>
      </w:r>
    </w:p>
    <w:p w14:paraId="35D1A5EB" w14:textId="77777777" w:rsidR="00BA4B04" w:rsidRPr="00BA4B04" w:rsidRDefault="00BA4B04" w:rsidP="007A4C05">
      <w:pPr>
        <w:numPr>
          <w:ilvl w:val="0"/>
          <w:numId w:val="11"/>
        </w:numPr>
        <w:spacing w:before="0" w:after="200" w:line="23" w:lineRule="atLeast"/>
        <w:rPr>
          <w:rFonts w:ascii="Times New Roman" w:eastAsia="Times New Roman" w:hAnsi="Times New Roman"/>
        </w:rPr>
      </w:pPr>
      <w:r w:rsidRPr="00BA4B04">
        <w:rPr>
          <w:rFonts w:ascii="Times New Roman" w:eastAsia="Times New Roman" w:hAnsi="Times New Roman"/>
        </w:rPr>
        <w:t>Calculate the required volume of reconstituted solution as follows:</w:t>
      </w:r>
    </w:p>
    <w:p w14:paraId="46D6EAC2" w14:textId="77777777" w:rsidR="00BA4B04" w:rsidRPr="00BA4B04" w:rsidRDefault="00BA4B04" w:rsidP="00BA4B04">
      <w:pPr>
        <w:autoSpaceDE w:val="0"/>
        <w:autoSpaceDN w:val="0"/>
        <w:adjustRightInd w:val="0"/>
        <w:spacing w:before="0" w:after="200" w:line="23" w:lineRule="atLeast"/>
        <w:ind w:left="40" w:right="-20" w:firstLine="680"/>
        <w:rPr>
          <w:rFonts w:ascii="Times New Roman" w:eastAsia="Calibri" w:hAnsi="Times New Roman"/>
          <w:u w:val="single"/>
        </w:rPr>
      </w:pPr>
      <w:r w:rsidRPr="00BA4B04">
        <w:rPr>
          <w:rFonts w:ascii="Times New Roman" w:eastAsia="Calibri" w:hAnsi="Times New Roman"/>
        </w:rPr>
        <w:t xml:space="preserve">Volume (mL) = </w:t>
      </w:r>
      <w:r w:rsidRPr="00BA4B04">
        <w:rPr>
          <w:rFonts w:ascii="Times New Roman" w:eastAsia="Calibri" w:hAnsi="Times New Roman"/>
          <w:u w:val="single"/>
        </w:rPr>
        <w:t>Body Surface Area (m</w:t>
      </w:r>
      <w:r w:rsidRPr="00BA4B04">
        <w:rPr>
          <w:rFonts w:ascii="Times New Roman" w:eastAsia="Calibri" w:hAnsi="Times New Roman"/>
          <w:u w:val="single"/>
          <w:vertAlign w:val="superscript"/>
        </w:rPr>
        <w:t>2</w:t>
      </w:r>
      <w:r w:rsidRPr="00BA4B04">
        <w:rPr>
          <w:rFonts w:ascii="Times New Roman" w:eastAsia="Calibri" w:hAnsi="Times New Roman"/>
          <w:u w:val="single"/>
        </w:rPr>
        <w:t>) x Individual Dose (mg/m</w:t>
      </w:r>
      <w:r w:rsidRPr="00BA4B04">
        <w:rPr>
          <w:rFonts w:ascii="Times New Roman" w:eastAsia="Calibri" w:hAnsi="Times New Roman"/>
          <w:u w:val="single"/>
          <w:vertAlign w:val="superscript"/>
        </w:rPr>
        <w:t>2</w:t>
      </w:r>
      <w:r w:rsidRPr="00BA4B04">
        <w:rPr>
          <w:rFonts w:ascii="Times New Roman" w:eastAsia="Calibri" w:hAnsi="Times New Roman"/>
          <w:u w:val="single"/>
        </w:rPr>
        <w:t>)</w:t>
      </w:r>
    </w:p>
    <w:p w14:paraId="3DF8EBC5" w14:textId="77777777" w:rsidR="00BA4B04" w:rsidRPr="00BA4B04" w:rsidRDefault="00BA4B04" w:rsidP="00BA4B04">
      <w:pPr>
        <w:tabs>
          <w:tab w:val="left" w:pos="4590"/>
        </w:tabs>
        <w:autoSpaceDE w:val="0"/>
        <w:autoSpaceDN w:val="0"/>
        <w:adjustRightInd w:val="0"/>
        <w:spacing w:before="0" w:after="200" w:line="23" w:lineRule="atLeast"/>
        <w:ind w:left="3420" w:right="4046"/>
        <w:rPr>
          <w:rFonts w:ascii="Times New Roman" w:eastAsia="Calibri" w:hAnsi="Times New Roman"/>
        </w:rPr>
      </w:pPr>
      <w:r w:rsidRPr="00BA4B04">
        <w:rPr>
          <w:rFonts w:ascii="Times New Roman" w:eastAsia="Calibri" w:hAnsi="Times New Roman"/>
        </w:rPr>
        <w:t>0.5 mg/mL</w:t>
      </w:r>
    </w:p>
    <w:p w14:paraId="1179AF7F" w14:textId="77777777" w:rsidR="00BA4B04" w:rsidRPr="00BA4B04" w:rsidRDefault="00BA4B04" w:rsidP="007A4C05">
      <w:pPr>
        <w:numPr>
          <w:ilvl w:val="0"/>
          <w:numId w:val="12"/>
        </w:numPr>
        <w:spacing w:before="0" w:after="200" w:line="23" w:lineRule="atLeast"/>
        <w:rPr>
          <w:rFonts w:ascii="Times New Roman" w:eastAsia="Calibri" w:hAnsi="Times New Roman"/>
        </w:rPr>
      </w:pPr>
      <w:r w:rsidRPr="00BA4B04">
        <w:rPr>
          <w:rFonts w:ascii="Times New Roman" w:eastAsia="Calibri" w:hAnsi="Times New Roman"/>
        </w:rPr>
        <w:t>For administration through a central venous line, withdraw the required volume of reconstituted solution from the vial and add to an infusion container containing at least 100 mL of diluent (</w:t>
      </w:r>
      <w:r w:rsidRPr="00BA4B04">
        <w:rPr>
          <w:rFonts w:ascii="Times New Roman" w:eastAsia="Times New Roman" w:hAnsi="Times New Roman"/>
        </w:rPr>
        <w:t>0.9% Sodium Chloride Injection USP or 5% Glucose Injection</w:t>
      </w:r>
      <w:r w:rsidRPr="00BA4B04">
        <w:rPr>
          <w:rFonts w:ascii="Times New Roman" w:eastAsia="Calibri" w:hAnsi="Times New Roman"/>
        </w:rPr>
        <w:t>).</w:t>
      </w:r>
    </w:p>
    <w:p w14:paraId="044E6731" w14:textId="77777777" w:rsidR="00BA4B04" w:rsidRPr="00BA4B04" w:rsidRDefault="00BA4B04" w:rsidP="007A4C05">
      <w:pPr>
        <w:numPr>
          <w:ilvl w:val="0"/>
          <w:numId w:val="12"/>
        </w:numPr>
        <w:spacing w:before="0" w:after="200" w:line="23" w:lineRule="atLeast"/>
        <w:rPr>
          <w:rFonts w:ascii="Times New Roman" w:eastAsia="Calibri" w:hAnsi="Times New Roman"/>
        </w:rPr>
      </w:pPr>
      <w:r w:rsidRPr="00BA4B04">
        <w:rPr>
          <w:rFonts w:ascii="Times New Roman" w:eastAsia="Calibri" w:hAnsi="Times New Roman"/>
        </w:rPr>
        <w:t>For administration through a peripheral venous line, withdraw the required volume of reconstituted solution from the vial and add to an infusion container containing at least 250 mL of diluent (</w:t>
      </w:r>
      <w:r w:rsidRPr="00BA4B04">
        <w:rPr>
          <w:rFonts w:ascii="Times New Roman" w:eastAsia="Times New Roman" w:hAnsi="Times New Roman"/>
        </w:rPr>
        <w:t>0.9% Sodium Chloride Injection USP or 5% Glucose Injection</w:t>
      </w:r>
      <w:r w:rsidRPr="00BA4B04">
        <w:rPr>
          <w:rFonts w:ascii="Times New Roman" w:eastAsia="Calibri" w:hAnsi="Times New Roman"/>
        </w:rPr>
        <w:t>).</w:t>
      </w:r>
    </w:p>
    <w:p w14:paraId="4ED9844A" w14:textId="77777777" w:rsidR="00BA4B04" w:rsidRPr="00BA4B04" w:rsidRDefault="00BA4B04" w:rsidP="00BA4B04">
      <w:pPr>
        <w:spacing w:line="23" w:lineRule="atLeast"/>
        <w:rPr>
          <w:rFonts w:ascii="Times New Roman" w:eastAsia="Calibri" w:hAnsi="Times New Roman"/>
        </w:rPr>
      </w:pPr>
      <w:r w:rsidRPr="00BA4B04">
        <w:rPr>
          <w:rFonts w:ascii="Times New Roman" w:eastAsia="Calibri" w:hAnsi="Times New Roman"/>
        </w:rPr>
        <w:t>Use as soon as practicable a</w:t>
      </w:r>
      <w:r w:rsidRPr="00BA4B04">
        <w:rPr>
          <w:rFonts w:ascii="Times New Roman" w:eastAsia="Times New Roman" w:hAnsi="Times New Roman"/>
        </w:rPr>
        <w:t>fter reconstitution and dilution</w:t>
      </w:r>
      <w:r w:rsidRPr="00BA4B04">
        <w:rPr>
          <w:rFonts w:ascii="Times New Roman" w:eastAsia="Calibri" w:hAnsi="Times New Roman"/>
        </w:rPr>
        <w:t>. If necessary, the solution can be stored prior to administration, either at room temperature/in ambient light or, ideally, under refrigerated (2° to 8° C) conditions, for a maximum of 24 hours following</w:t>
      </w:r>
      <w:r w:rsidRPr="00BA4B04">
        <w:rPr>
          <w:rFonts w:ascii="Times New Roman" w:eastAsia="Times New Roman" w:hAnsi="Times New Roman"/>
        </w:rPr>
        <w:t xml:space="preserve"> reconstitution</w:t>
      </w:r>
      <w:r w:rsidRPr="00BA4B04">
        <w:rPr>
          <w:rFonts w:ascii="Times New Roman" w:eastAsia="Calibri" w:hAnsi="Times New Roman"/>
        </w:rPr>
        <w:t xml:space="preserve"> (including infusion time). </w:t>
      </w:r>
    </w:p>
    <w:p w14:paraId="09B4DB49" w14:textId="77777777" w:rsidR="00BA4B04" w:rsidRPr="00BA4B04" w:rsidRDefault="00BA4B04" w:rsidP="00BA4B04">
      <w:pPr>
        <w:keepNext/>
        <w:keepLines/>
        <w:spacing w:before="200" w:after="0" w:line="276" w:lineRule="auto"/>
        <w:outlineLvl w:val="2"/>
        <w:rPr>
          <w:rFonts w:ascii="Times New Roman" w:eastAsia="Times New Roman" w:hAnsi="Times New Roman"/>
          <w:b/>
          <w:bCs/>
        </w:rPr>
      </w:pPr>
      <w:bookmarkStart w:id="90" w:name="_Toc24452183"/>
      <w:bookmarkStart w:id="91" w:name="_Toc26375313"/>
      <w:r w:rsidRPr="00BA4B04">
        <w:rPr>
          <w:rFonts w:ascii="Times New Roman" w:eastAsia="Times New Roman" w:hAnsi="Times New Roman"/>
          <w:b/>
          <w:bCs/>
        </w:rPr>
        <w:t>Dose modification for hepatic impairment</w:t>
      </w:r>
    </w:p>
    <w:p w14:paraId="7A4D2F2C" w14:textId="77777777" w:rsidR="00BA4B04" w:rsidRPr="00BA4B04" w:rsidRDefault="00BA4B04" w:rsidP="00BA4B04">
      <w:pPr>
        <w:spacing w:after="200" w:line="23" w:lineRule="atLeast"/>
        <w:rPr>
          <w:rFonts w:ascii="Times New Roman" w:eastAsia="Times New Roman" w:hAnsi="Times New Roman"/>
        </w:rPr>
      </w:pPr>
      <w:r w:rsidRPr="00BA4B04">
        <w:rPr>
          <w:rFonts w:ascii="Times New Roman" w:eastAsia="Times New Roman" w:hAnsi="Times New Roman"/>
        </w:rPr>
        <w:t xml:space="preserve">Dose adjustment is not required for patients with mild hepatic impairment (total bilirubin ≤1.5×ULN and AST ≤ 3xULN). The effect of moderate or severe hepatic impairment (total bilirubin &gt;1.5xULN) on the pharmacokinetics of lurbinectedin is unknown [see </w:t>
      </w:r>
      <w:r w:rsidRPr="00BA4B04">
        <w:rPr>
          <w:rFonts w:ascii="Times New Roman" w:eastAsia="Times New Roman" w:hAnsi="Times New Roman"/>
          <w:i/>
          <w:iCs/>
        </w:rPr>
        <w:t>5.2 Pharmacokinetic properties</w:t>
      </w:r>
      <w:r w:rsidRPr="00BA4B04">
        <w:rPr>
          <w:rFonts w:ascii="Times New Roman" w:eastAsia="Times New Roman" w:hAnsi="Times New Roman"/>
        </w:rPr>
        <w:t>].</w:t>
      </w:r>
      <w:r w:rsidRPr="00BA4B04">
        <w:rPr>
          <w:rFonts w:ascii="Times New Roman" w:eastAsia="Times New Roman" w:hAnsi="Times New Roman"/>
          <w:color w:val="000000"/>
          <w:sz w:val="23"/>
          <w:szCs w:val="23"/>
          <w:lang w:val="en-US"/>
        </w:rPr>
        <w:t xml:space="preserve"> </w:t>
      </w:r>
    </w:p>
    <w:p w14:paraId="7E1798E7"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Dose modification for renal impairment</w:t>
      </w:r>
      <w:bookmarkEnd w:id="90"/>
      <w:bookmarkEnd w:id="91"/>
    </w:p>
    <w:p w14:paraId="6A51C1BD" w14:textId="77777777" w:rsidR="00BA4B04" w:rsidRPr="00BA4B04" w:rsidRDefault="00BA4B04" w:rsidP="00BA4B04">
      <w:pPr>
        <w:spacing w:before="0" w:after="200" w:line="23" w:lineRule="atLeast"/>
        <w:rPr>
          <w:rFonts w:ascii="Times New Roman" w:eastAsia="Times New Roman" w:hAnsi="Times New Roman"/>
        </w:rPr>
      </w:pPr>
      <w:r w:rsidRPr="00BA4B04">
        <w:rPr>
          <w:rFonts w:ascii="Times New Roman" w:eastAsia="Times New Roman" w:hAnsi="Times New Roman"/>
        </w:rPr>
        <w:t>Dose adjustment is not required in patients with mild to moderate (CL</w:t>
      </w:r>
      <w:r w:rsidRPr="00BA4B04">
        <w:rPr>
          <w:rFonts w:ascii="Times New Roman" w:eastAsia="Times New Roman" w:hAnsi="Times New Roman"/>
          <w:vertAlign w:val="subscript"/>
        </w:rPr>
        <w:t>CR</w:t>
      </w:r>
      <w:r w:rsidRPr="00BA4B04">
        <w:rPr>
          <w:rFonts w:ascii="Times New Roman" w:eastAsia="Times New Roman" w:hAnsi="Times New Roman"/>
        </w:rPr>
        <w:t xml:space="preserve"> 30-89 mL/min) renal impairment. The effect of severe renal impairment (CL</w:t>
      </w:r>
      <w:r w:rsidRPr="00BA4B04">
        <w:rPr>
          <w:rFonts w:ascii="Times New Roman" w:eastAsia="Times New Roman" w:hAnsi="Times New Roman"/>
          <w:vertAlign w:val="subscript"/>
        </w:rPr>
        <w:t xml:space="preserve">CR </w:t>
      </w:r>
      <w:r w:rsidRPr="00BA4B04">
        <w:rPr>
          <w:rFonts w:ascii="Times New Roman" w:eastAsia="Times New Roman" w:hAnsi="Times New Roman"/>
        </w:rPr>
        <w:t xml:space="preserve">&lt;30 mL/min) on the pharmacokinetics of lurbinectedin is unknown [see </w:t>
      </w:r>
      <w:r w:rsidRPr="00BA4B04">
        <w:rPr>
          <w:rFonts w:ascii="Times New Roman" w:eastAsia="Times New Roman" w:hAnsi="Times New Roman"/>
          <w:i/>
          <w:iCs/>
        </w:rPr>
        <w:t>5.2 Pharmacokinetic properties</w:t>
      </w:r>
      <w:r w:rsidRPr="00BA4B04">
        <w:rPr>
          <w:rFonts w:ascii="Times New Roman" w:eastAsia="Times New Roman" w:hAnsi="Times New Roman"/>
        </w:rPr>
        <w:t xml:space="preserve">]. </w:t>
      </w:r>
    </w:p>
    <w:p w14:paraId="5D82582F"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Contraindications</w:t>
      </w:r>
    </w:p>
    <w:p w14:paraId="6C7DEBD2" w14:textId="77777777" w:rsidR="00BA4B04" w:rsidRPr="00BA4B04" w:rsidRDefault="00BA4B04" w:rsidP="00BA4B04">
      <w:pPr>
        <w:spacing w:before="0" w:after="200" w:line="23" w:lineRule="atLeast"/>
        <w:rPr>
          <w:rFonts w:ascii="Times New Roman" w:eastAsia="Times New Roman" w:hAnsi="Times New Roman"/>
        </w:rPr>
      </w:pPr>
      <w:bookmarkStart w:id="92" w:name="_SP_QA_2012_07_11_15_51_23_0019"/>
      <w:r w:rsidRPr="00BA4B04">
        <w:rPr>
          <w:rFonts w:ascii="Times New Roman" w:eastAsia="Times New Roman" w:hAnsi="Times New Roman"/>
        </w:rPr>
        <w:t>ZEPZELCA is contraindicated in patients with history of significant drug allergy to the active substance or any of the excipients.</w:t>
      </w:r>
      <w:bookmarkEnd w:id="92"/>
    </w:p>
    <w:p w14:paraId="35CCD4F2"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Special warnings and precautions for use</w:t>
      </w:r>
    </w:p>
    <w:p w14:paraId="0E1212EC"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bookmarkStart w:id="93" w:name="_Toc24452188"/>
      <w:bookmarkStart w:id="94" w:name="_Toc26375318"/>
      <w:r w:rsidRPr="00BA4B04">
        <w:rPr>
          <w:rFonts w:ascii="Times New Roman" w:eastAsia="Times New Roman" w:hAnsi="Times New Roman"/>
          <w:b/>
          <w:bCs/>
        </w:rPr>
        <w:t>Myelosuppression</w:t>
      </w:r>
      <w:bookmarkEnd w:id="93"/>
      <w:bookmarkEnd w:id="94"/>
    </w:p>
    <w:p w14:paraId="666C9464"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ZEPZELCA can cause myelosuppression.</w:t>
      </w:r>
    </w:p>
    <w:p w14:paraId="6E85A40E" w14:textId="77777777" w:rsidR="00BA4B04" w:rsidRPr="00BA4B04" w:rsidRDefault="00BA4B04" w:rsidP="00BA4B04">
      <w:pPr>
        <w:autoSpaceDE w:val="0"/>
        <w:autoSpaceDN w:val="0"/>
        <w:adjustRightInd w:val="0"/>
        <w:spacing w:before="0" w:line="278" w:lineRule="atLeast"/>
        <w:rPr>
          <w:rFonts w:ascii="Times New Roman" w:eastAsia="Calibri" w:hAnsi="Times New Roman"/>
          <w:color w:val="000000"/>
          <w:sz w:val="23"/>
          <w:szCs w:val="23"/>
        </w:rPr>
      </w:pPr>
      <w:r w:rsidRPr="00BA4B04">
        <w:rPr>
          <w:rFonts w:ascii="Times New Roman" w:eastAsia="Calibri" w:hAnsi="Times New Roman"/>
          <w:color w:val="000000"/>
          <w:sz w:val="23"/>
          <w:szCs w:val="23"/>
        </w:rPr>
        <w:t>In clinical studies of 554 patients with advanced solid tumours receiving ZEPZELCA [see</w:t>
      </w:r>
      <w:r w:rsidRPr="00BA4B04">
        <w:rPr>
          <w:rFonts w:ascii="Times New Roman" w:eastAsia="Calibri" w:hAnsi="Times New Roman"/>
          <w:i/>
          <w:iCs/>
          <w:color w:val="000000"/>
          <w:sz w:val="23"/>
          <w:szCs w:val="23"/>
        </w:rPr>
        <w:t xml:space="preserve"> 4.8 Adverse effects (undesirable effects)</w:t>
      </w:r>
      <w:r w:rsidRPr="00BA4B04">
        <w:rPr>
          <w:rFonts w:ascii="Times New Roman" w:eastAsia="Calibri" w:hAnsi="Times New Roman"/>
          <w:color w:val="000000"/>
          <w:sz w:val="23"/>
          <w:szCs w:val="23"/>
        </w:rPr>
        <w:t>]</w:t>
      </w:r>
      <w:r w:rsidRPr="00BA4B04">
        <w:rPr>
          <w:rFonts w:ascii="Times New Roman" w:eastAsia="Calibri" w:hAnsi="Times New Roman"/>
          <w:i/>
          <w:iCs/>
          <w:color w:val="000000"/>
          <w:sz w:val="23"/>
          <w:szCs w:val="23"/>
        </w:rPr>
        <w:t xml:space="preserve">, </w:t>
      </w:r>
      <w:r w:rsidRPr="00BA4B04">
        <w:rPr>
          <w:rFonts w:ascii="Times New Roman" w:eastAsia="Calibri" w:hAnsi="Times New Roman"/>
          <w:color w:val="000000"/>
          <w:sz w:val="23"/>
          <w:szCs w:val="23"/>
        </w:rPr>
        <w:t xml:space="preserve">Grade 3 or 4 neutropenia occurred in 41% of patients, with a median time to onset of 15 days and a median duration of 7 days. Febrile neutropenia occurred in 7% of patients. Sepsis occurred in 2% of patients and was fatal in 1% (all cases occurred in patients with solid tumours other than SCLC). Grade 3 or 4 thrombocytopenia occurred in 10%, with a median time to onset of 10 days and a median duration of 7 days. Grade 3 or 4 anaemia occurred in 17% of patients. </w:t>
      </w:r>
    </w:p>
    <w:p w14:paraId="17F3A43A" w14:textId="77777777" w:rsidR="00BA4B04" w:rsidRPr="00BA4B04" w:rsidRDefault="00BA4B04" w:rsidP="00BA4B04">
      <w:pPr>
        <w:autoSpaceDE w:val="0"/>
        <w:autoSpaceDN w:val="0"/>
        <w:adjustRightInd w:val="0"/>
        <w:spacing w:before="0" w:after="0" w:line="278" w:lineRule="atLeast"/>
        <w:rPr>
          <w:rFonts w:ascii="Times New Roman" w:eastAsia="Calibri" w:hAnsi="Times New Roman"/>
        </w:rPr>
      </w:pPr>
      <w:r w:rsidRPr="00BA4B04">
        <w:rPr>
          <w:rFonts w:ascii="Times New Roman" w:eastAsia="Calibri" w:hAnsi="Times New Roman"/>
          <w:color w:val="000000"/>
          <w:sz w:val="23"/>
          <w:szCs w:val="23"/>
        </w:rPr>
        <w:lastRenderedPageBreak/>
        <w:t xml:space="preserve">Administer ZEPZELCA only to patients with baseline neutrophil count of at least </w:t>
      </w:r>
      <w:r w:rsidRPr="00BA4B04">
        <w:rPr>
          <w:rFonts w:ascii="Times New Roman" w:eastAsia="Calibri" w:hAnsi="Times New Roman"/>
        </w:rPr>
        <w:t>1.5 x 10</w:t>
      </w:r>
      <w:r w:rsidRPr="00BA4B04">
        <w:rPr>
          <w:rFonts w:ascii="Times New Roman" w:eastAsia="Calibri" w:hAnsi="Times New Roman"/>
          <w:vertAlign w:val="superscript"/>
        </w:rPr>
        <w:t>9</w:t>
      </w:r>
      <w:r w:rsidRPr="00BA4B04">
        <w:rPr>
          <w:rFonts w:ascii="Times New Roman" w:eastAsia="Calibri" w:hAnsi="Times New Roman"/>
        </w:rPr>
        <w:t>/L</w:t>
      </w:r>
      <w:r w:rsidRPr="00BA4B04">
        <w:rPr>
          <w:rFonts w:ascii="Times New Roman" w:eastAsia="Calibri" w:hAnsi="Times New Roman"/>
          <w:color w:val="000000"/>
          <w:sz w:val="23"/>
          <w:szCs w:val="23"/>
        </w:rPr>
        <w:t xml:space="preserve"> and platelet count of at least 100 x 10</w:t>
      </w:r>
      <w:r w:rsidRPr="00BA4B04">
        <w:rPr>
          <w:rFonts w:ascii="Times New Roman" w:eastAsia="Calibri" w:hAnsi="Times New Roman"/>
          <w:color w:val="000000"/>
          <w:sz w:val="23"/>
          <w:szCs w:val="23"/>
          <w:vertAlign w:val="superscript"/>
        </w:rPr>
        <w:t>9</w:t>
      </w:r>
      <w:r w:rsidRPr="00BA4B04">
        <w:rPr>
          <w:rFonts w:ascii="Times New Roman" w:eastAsia="Calibri" w:hAnsi="Times New Roman"/>
          <w:color w:val="000000"/>
          <w:sz w:val="23"/>
          <w:szCs w:val="23"/>
        </w:rPr>
        <w:t xml:space="preserve">/L. </w:t>
      </w:r>
    </w:p>
    <w:p w14:paraId="78EFF15A" w14:textId="77777777" w:rsidR="00BA4B04" w:rsidRPr="00BA4B04" w:rsidRDefault="00BA4B04" w:rsidP="00BA4B04">
      <w:pPr>
        <w:autoSpaceDE w:val="0"/>
        <w:autoSpaceDN w:val="0"/>
        <w:adjustRightInd w:val="0"/>
        <w:spacing w:before="0" w:after="0" w:line="278" w:lineRule="atLeast"/>
        <w:rPr>
          <w:rFonts w:ascii="Times New Roman" w:eastAsia="Calibri" w:hAnsi="Times New Roman"/>
          <w:color w:val="000000"/>
          <w:sz w:val="23"/>
          <w:szCs w:val="23"/>
        </w:rPr>
      </w:pPr>
      <w:r w:rsidRPr="00BA4B04">
        <w:rPr>
          <w:rFonts w:ascii="Times New Roman" w:eastAsia="Calibri" w:hAnsi="Times New Roman"/>
        </w:rPr>
        <w:t xml:space="preserve">Monitor blood counts including neutrophil count and platelet count prior to each administration. </w:t>
      </w:r>
      <w:r w:rsidRPr="00BA4B04">
        <w:rPr>
          <w:rFonts w:ascii="Times New Roman" w:eastAsia="Calibri" w:hAnsi="Times New Roman"/>
          <w:color w:val="000000"/>
          <w:sz w:val="23"/>
          <w:szCs w:val="23"/>
        </w:rPr>
        <w:t>For neutrophil count less than 0.5 x 10</w:t>
      </w:r>
      <w:r w:rsidRPr="00BA4B04">
        <w:rPr>
          <w:rFonts w:ascii="Times New Roman" w:eastAsia="Calibri" w:hAnsi="Times New Roman"/>
          <w:color w:val="000000"/>
          <w:sz w:val="23"/>
          <w:szCs w:val="23"/>
          <w:vertAlign w:val="superscript"/>
        </w:rPr>
        <w:t>9</w:t>
      </w:r>
      <w:r w:rsidRPr="00BA4B04">
        <w:rPr>
          <w:rFonts w:ascii="Times New Roman" w:eastAsia="Calibri" w:hAnsi="Times New Roman"/>
          <w:color w:val="000000"/>
          <w:sz w:val="23"/>
          <w:szCs w:val="23"/>
        </w:rPr>
        <w:t>/L</w:t>
      </w:r>
      <w:r w:rsidRPr="00BA4B04">
        <w:rPr>
          <w:rFonts w:ascii="Times New Roman" w:eastAsia="Calibri" w:hAnsi="Times New Roman"/>
          <w:color w:val="000000"/>
          <w:position w:val="9"/>
          <w:sz w:val="16"/>
          <w:szCs w:val="16"/>
          <w:vertAlign w:val="superscript"/>
        </w:rPr>
        <w:t xml:space="preserve"> </w:t>
      </w:r>
      <w:r w:rsidRPr="00BA4B04">
        <w:rPr>
          <w:rFonts w:ascii="Times New Roman" w:eastAsia="Calibri" w:hAnsi="Times New Roman"/>
          <w:color w:val="000000"/>
          <w:sz w:val="23"/>
          <w:szCs w:val="23"/>
        </w:rPr>
        <w:t>or any value less than lower limit of normal, the use of G-CSF is recommended. Withhold, reduce the dose, or permanently discontinue ZEPZELCA based on severity</w:t>
      </w:r>
      <w:r w:rsidRPr="00BA4B04">
        <w:rPr>
          <w:rFonts w:ascii="Times New Roman" w:eastAsia="Calibri" w:hAnsi="Times New Roman"/>
        </w:rPr>
        <w:t xml:space="preserve"> [see</w:t>
      </w:r>
      <w:r w:rsidRPr="00BA4B04">
        <w:rPr>
          <w:rFonts w:ascii="Times New Roman" w:eastAsia="Calibri" w:hAnsi="Times New Roman"/>
          <w:i/>
          <w:iCs/>
        </w:rPr>
        <w:t xml:space="preserve"> 4.2 Dose and method of administration</w:t>
      </w:r>
      <w:r w:rsidRPr="00BA4B04">
        <w:rPr>
          <w:rFonts w:ascii="Times New Roman" w:eastAsia="Calibri" w:hAnsi="Times New Roman"/>
        </w:rPr>
        <w:t>].</w:t>
      </w:r>
    </w:p>
    <w:p w14:paraId="280AF0F3"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bookmarkStart w:id="95" w:name="_Toc24452190"/>
      <w:bookmarkStart w:id="96" w:name="_Toc26375320"/>
      <w:r w:rsidRPr="00BA4B04">
        <w:rPr>
          <w:rFonts w:ascii="Times New Roman" w:eastAsia="Times New Roman" w:hAnsi="Times New Roman"/>
          <w:b/>
          <w:bCs/>
        </w:rPr>
        <w:t>Hepatotoxicity</w:t>
      </w:r>
      <w:bookmarkEnd w:id="95"/>
      <w:bookmarkEnd w:id="96"/>
    </w:p>
    <w:p w14:paraId="46CA5971" w14:textId="77777777" w:rsidR="00BA4B04" w:rsidRPr="00BA4B04" w:rsidRDefault="00BA4B04" w:rsidP="00BA4B04">
      <w:pPr>
        <w:spacing w:line="23" w:lineRule="atLeast"/>
        <w:rPr>
          <w:rFonts w:ascii="Times New Roman" w:eastAsia="Times New Roman" w:hAnsi="Times New Roman"/>
          <w:color w:val="000000"/>
          <w:sz w:val="23"/>
          <w:szCs w:val="23"/>
          <w:lang w:val="en-US"/>
        </w:rPr>
      </w:pPr>
      <w:r w:rsidRPr="00BA4B04">
        <w:rPr>
          <w:rFonts w:ascii="Times New Roman" w:eastAsia="Times New Roman" w:hAnsi="Times New Roman"/>
          <w:color w:val="000000"/>
          <w:sz w:val="23"/>
          <w:szCs w:val="23"/>
          <w:lang w:val="en-US"/>
        </w:rPr>
        <w:t xml:space="preserve">ZEPZELCA can cause hepatotoxicity. </w:t>
      </w:r>
    </w:p>
    <w:p w14:paraId="5BD6229C"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In clinical studies of 554 patients with </w:t>
      </w:r>
      <w:r w:rsidRPr="00BA4B04">
        <w:rPr>
          <w:rFonts w:ascii="Times New Roman" w:eastAsia="Times New Roman" w:hAnsi="Times New Roman"/>
          <w:color w:val="000000"/>
          <w:sz w:val="23"/>
          <w:szCs w:val="23"/>
          <w:lang w:val="en-US"/>
        </w:rPr>
        <w:t xml:space="preserve">advanced solid </w:t>
      </w:r>
      <w:proofErr w:type="spellStart"/>
      <w:r w:rsidRPr="00BA4B04">
        <w:rPr>
          <w:rFonts w:ascii="Times New Roman" w:eastAsia="Times New Roman" w:hAnsi="Times New Roman"/>
          <w:color w:val="000000"/>
          <w:sz w:val="23"/>
          <w:szCs w:val="23"/>
          <w:lang w:val="en-US"/>
        </w:rPr>
        <w:t>tumours</w:t>
      </w:r>
      <w:proofErr w:type="spellEnd"/>
      <w:r w:rsidRPr="00BA4B04">
        <w:rPr>
          <w:rFonts w:ascii="Times New Roman" w:eastAsia="Times New Roman" w:hAnsi="Times New Roman"/>
          <w:color w:val="000000"/>
          <w:sz w:val="23"/>
          <w:szCs w:val="23"/>
          <w:lang w:val="en-US"/>
        </w:rPr>
        <w:t xml:space="preserve"> receiving </w:t>
      </w:r>
      <w:r w:rsidRPr="00BA4B04">
        <w:rPr>
          <w:rFonts w:ascii="Times New Roman" w:eastAsia="Times New Roman" w:hAnsi="Times New Roman"/>
        </w:rPr>
        <w:t xml:space="preserve">ZEPZELCA </w:t>
      </w:r>
      <w:r w:rsidRPr="00BA4B04">
        <w:rPr>
          <w:rFonts w:ascii="Times New Roman" w:eastAsia="Times New Roman" w:hAnsi="Times New Roman"/>
          <w:color w:val="000000"/>
          <w:sz w:val="23"/>
          <w:szCs w:val="23"/>
          <w:lang w:val="en-US"/>
        </w:rPr>
        <w:t>[see</w:t>
      </w:r>
      <w:r w:rsidRPr="00BA4B04">
        <w:rPr>
          <w:rFonts w:ascii="Times New Roman" w:eastAsia="Times New Roman" w:hAnsi="Times New Roman"/>
          <w:i/>
          <w:iCs/>
          <w:color w:val="000000"/>
          <w:sz w:val="23"/>
          <w:szCs w:val="23"/>
          <w:lang w:val="en-US"/>
        </w:rPr>
        <w:t xml:space="preserve"> 4.8 Adverse effects (undesirable effects)</w:t>
      </w:r>
      <w:r w:rsidRPr="00BA4B04">
        <w:rPr>
          <w:rFonts w:ascii="Times New Roman" w:eastAsia="Times New Roman" w:hAnsi="Times New Roman"/>
          <w:color w:val="000000"/>
          <w:sz w:val="23"/>
          <w:szCs w:val="23"/>
          <w:lang w:val="en-US"/>
        </w:rPr>
        <w:t>]</w:t>
      </w:r>
      <w:r w:rsidRPr="00BA4B04">
        <w:rPr>
          <w:rFonts w:ascii="Times New Roman" w:eastAsia="Times New Roman" w:hAnsi="Times New Roman"/>
        </w:rPr>
        <w:t xml:space="preserve">, Grade 3 elevations of ALT and AST </w:t>
      </w:r>
      <w:r w:rsidRPr="00BA4B04">
        <w:rPr>
          <w:rFonts w:ascii="Times New Roman" w:eastAsia="Times New Roman" w:hAnsi="Times New Roman"/>
          <w:color w:val="000000"/>
          <w:sz w:val="23"/>
          <w:szCs w:val="23"/>
          <w:lang w:val="en-US"/>
        </w:rPr>
        <w:t xml:space="preserve">were observed in 6% and 3% of patients, respectively, and </w:t>
      </w:r>
      <w:r w:rsidRPr="00BA4B04">
        <w:rPr>
          <w:rFonts w:ascii="Times New Roman" w:eastAsia="Times New Roman" w:hAnsi="Times New Roman"/>
        </w:rPr>
        <w:t xml:space="preserve">Grade 4 elevations of ALT and AST </w:t>
      </w:r>
      <w:r w:rsidRPr="00BA4B04">
        <w:rPr>
          <w:rFonts w:ascii="Times New Roman" w:eastAsia="Times New Roman" w:hAnsi="Times New Roman"/>
          <w:color w:val="000000"/>
          <w:sz w:val="23"/>
          <w:szCs w:val="23"/>
          <w:lang w:val="en-US"/>
        </w:rPr>
        <w:t>were observed in 0.4% and 0.5% of patients, respectively. The median time to onset of Grade ≥3 elevation in transaminases was 8 days (range: 3 to 49), with a median duration of 7 days</w:t>
      </w:r>
      <w:r w:rsidRPr="00BA4B04">
        <w:rPr>
          <w:rFonts w:ascii="Times New Roman" w:eastAsia="Times New Roman" w:hAnsi="Times New Roman"/>
        </w:rPr>
        <w:t>.</w:t>
      </w:r>
    </w:p>
    <w:p w14:paraId="40FA9D5A"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Monitor liver function tests</w:t>
      </w:r>
      <w:r w:rsidRPr="00BA4B04">
        <w:rPr>
          <w:rFonts w:ascii="Times New Roman" w:eastAsia="Times New Roman" w:hAnsi="Times New Roman"/>
          <w:color w:val="000000"/>
          <w:sz w:val="23"/>
          <w:szCs w:val="23"/>
          <w:lang w:val="en-US"/>
        </w:rPr>
        <w:t xml:space="preserve"> prior to initiating ZEPZELCA, periodically during treatment, and as clinically indicated. Withhold, reduce the dose, or permanently discontinue ZEPZELCA based on severity </w:t>
      </w:r>
      <w:r w:rsidRPr="00BA4B04">
        <w:rPr>
          <w:rFonts w:ascii="Times New Roman" w:eastAsia="Times New Roman" w:hAnsi="Times New Roman"/>
        </w:rPr>
        <w:t>[see</w:t>
      </w:r>
      <w:r w:rsidRPr="00BA4B04">
        <w:rPr>
          <w:rFonts w:ascii="Times New Roman" w:eastAsia="Times New Roman" w:hAnsi="Times New Roman"/>
          <w:i/>
          <w:iCs/>
        </w:rPr>
        <w:t xml:space="preserve"> 4.2 Dose and method of administration</w:t>
      </w:r>
      <w:r w:rsidRPr="00BA4B04">
        <w:rPr>
          <w:rFonts w:ascii="Times New Roman" w:eastAsia="Times New Roman" w:hAnsi="Times New Roman"/>
        </w:rPr>
        <w:t>].</w:t>
      </w:r>
    </w:p>
    <w:p w14:paraId="69736800"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bookmarkStart w:id="97" w:name="_Toc24452191"/>
      <w:bookmarkStart w:id="98" w:name="_Toc26375321"/>
      <w:r w:rsidRPr="00BA4B04">
        <w:rPr>
          <w:rFonts w:ascii="Times New Roman" w:eastAsia="Times New Roman" w:hAnsi="Times New Roman"/>
          <w:b/>
          <w:bCs/>
        </w:rPr>
        <w:t xml:space="preserve">Use in hepatic impairment </w:t>
      </w:r>
    </w:p>
    <w:p w14:paraId="0B69ADD5" w14:textId="77777777" w:rsidR="00BA4B04" w:rsidRPr="00BA4B04" w:rsidRDefault="00BA4B04" w:rsidP="00BA4B04">
      <w:pPr>
        <w:spacing w:line="23" w:lineRule="atLeast"/>
        <w:rPr>
          <w:rFonts w:ascii="Times New Roman" w:eastAsia="Times New Roman" w:hAnsi="Times New Roman"/>
          <w:sz w:val="24"/>
          <w:szCs w:val="20"/>
          <w:lang w:val="en-US"/>
        </w:rPr>
      </w:pPr>
      <w:r w:rsidRPr="00BA4B04">
        <w:rPr>
          <w:rFonts w:ascii="Times New Roman" w:eastAsia="Times New Roman" w:hAnsi="Times New Roman"/>
        </w:rPr>
        <w:t>ZEPZELCA has not been studied in p</w:t>
      </w:r>
      <w:r w:rsidRPr="00BA4B04" w:rsidDel="00010719">
        <w:rPr>
          <w:rFonts w:ascii="Times New Roman" w:eastAsia="Times New Roman" w:hAnsi="Times New Roman"/>
        </w:rPr>
        <w:t xml:space="preserve">atients with </w:t>
      </w:r>
      <w:r w:rsidRPr="00BA4B04">
        <w:rPr>
          <w:rFonts w:ascii="Times New Roman" w:eastAsia="Times New Roman" w:hAnsi="Times New Roman"/>
        </w:rPr>
        <w:t xml:space="preserve">AST &gt;3xULN, or in patients with </w:t>
      </w:r>
      <w:r w:rsidRPr="00BA4B04" w:rsidDel="00010719">
        <w:rPr>
          <w:rFonts w:ascii="Times New Roman" w:eastAsia="Times New Roman" w:hAnsi="Times New Roman"/>
        </w:rPr>
        <w:t>moderate or severe hepatic impairment</w:t>
      </w:r>
      <w:r w:rsidRPr="00BA4B04">
        <w:rPr>
          <w:rFonts w:ascii="Times New Roman" w:eastAsia="Times New Roman" w:hAnsi="Times New Roman"/>
        </w:rPr>
        <w:t xml:space="preserve"> (</w:t>
      </w:r>
      <w:r w:rsidRPr="00BA4B04" w:rsidDel="00010719">
        <w:rPr>
          <w:rFonts w:ascii="Times New Roman" w:eastAsia="Times New Roman" w:hAnsi="Times New Roman"/>
        </w:rPr>
        <w:t>bilirubin &gt;1.5×ULN</w:t>
      </w:r>
      <w:r w:rsidRPr="00BA4B04">
        <w:rPr>
          <w:rFonts w:ascii="Times New Roman" w:eastAsia="Times New Roman" w:hAnsi="Times New Roman"/>
        </w:rPr>
        <w:t>).</w:t>
      </w:r>
    </w:p>
    <w:p w14:paraId="703E7215"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Use in renal impairment</w:t>
      </w:r>
    </w:p>
    <w:p w14:paraId="26AB8831"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ZEPZELCA has not been studied in patients with severe renal impairment (CL</w:t>
      </w:r>
      <w:r w:rsidRPr="00BA4B04">
        <w:rPr>
          <w:rFonts w:ascii="Times New Roman" w:eastAsia="Times New Roman" w:hAnsi="Times New Roman"/>
          <w:vertAlign w:val="subscript"/>
        </w:rPr>
        <w:t>CR</w:t>
      </w:r>
      <w:r w:rsidRPr="00BA4B04">
        <w:rPr>
          <w:rFonts w:ascii="Times New Roman" w:eastAsia="Times New Roman" w:hAnsi="Times New Roman"/>
        </w:rPr>
        <w:t xml:space="preserve"> &lt;30 mL/min) or end-stage renal disease.</w:t>
      </w:r>
    </w:p>
    <w:p w14:paraId="1D947D52"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 xml:space="preserve">Embryo-fetal toxicity </w:t>
      </w:r>
      <w:bookmarkEnd w:id="97"/>
      <w:bookmarkEnd w:id="98"/>
    </w:p>
    <w:p w14:paraId="64986B22"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color w:val="000000"/>
          <w:lang w:val="en-US"/>
        </w:rPr>
        <w:t xml:space="preserve">Based on animal data and its mechanism of action, </w:t>
      </w:r>
      <w:r w:rsidRPr="00BA4B04">
        <w:rPr>
          <w:rFonts w:ascii="Times New Roman" w:eastAsia="Times New Roman" w:hAnsi="Times New Roman"/>
        </w:rPr>
        <w:t>ZEPZELCA can cause fetal harm when administered during pregnancy [see</w:t>
      </w:r>
      <w:r w:rsidRPr="00BA4B04">
        <w:rPr>
          <w:rFonts w:ascii="Times New Roman" w:eastAsia="Times New Roman" w:hAnsi="Times New Roman"/>
          <w:i/>
          <w:iCs/>
        </w:rPr>
        <w:t xml:space="preserve"> 4.6 Fertility, </w:t>
      </w:r>
      <w:proofErr w:type="gramStart"/>
      <w:r w:rsidRPr="00BA4B04">
        <w:rPr>
          <w:rFonts w:ascii="Times New Roman" w:eastAsia="Times New Roman" w:hAnsi="Times New Roman"/>
          <w:i/>
          <w:iCs/>
        </w:rPr>
        <w:t>pregnancy</w:t>
      </w:r>
      <w:proofErr w:type="gramEnd"/>
      <w:r w:rsidRPr="00BA4B04">
        <w:rPr>
          <w:rFonts w:ascii="Times New Roman" w:eastAsia="Times New Roman" w:hAnsi="Times New Roman"/>
          <w:i/>
          <w:iCs/>
        </w:rPr>
        <w:t xml:space="preserve"> and lactation</w:t>
      </w:r>
      <w:r w:rsidRPr="00BA4B04">
        <w:rPr>
          <w:rFonts w:ascii="Times New Roman" w:eastAsia="Times New Roman" w:hAnsi="Times New Roman"/>
        </w:rPr>
        <w:t xml:space="preserve">].  </w:t>
      </w:r>
    </w:p>
    <w:p w14:paraId="4652E7F8"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Test to verify the pregnancy status of females of reproductive potential prior to initiating ZEPZELCA. Advise patients who are pregnant of the potential risk to the fetus. Advise female patients of reproductive potential to use effective contraception during treatment with ZEPZELCA and for 6 months after the last dose. Advise male patients with female partners of reproductive potential to use effective contraception during treatment with ZEPZELCA and for 4 months after the last dose.</w:t>
      </w:r>
    </w:p>
    <w:p w14:paraId="7599EF28"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 xml:space="preserve">Use in the elderly </w:t>
      </w:r>
    </w:p>
    <w:p w14:paraId="2D78B81C" w14:textId="77777777" w:rsidR="00BA4B04" w:rsidRPr="00BA4B04" w:rsidRDefault="00BA4B04" w:rsidP="00BA4B04">
      <w:pPr>
        <w:autoSpaceDE w:val="0"/>
        <w:autoSpaceDN w:val="0"/>
        <w:adjustRightInd w:val="0"/>
        <w:spacing w:before="0" w:line="278" w:lineRule="atLeast"/>
        <w:rPr>
          <w:rFonts w:ascii="Times New Roman" w:eastAsia="Calibri" w:hAnsi="Times New Roman"/>
          <w:color w:val="000000"/>
          <w:sz w:val="23"/>
          <w:szCs w:val="23"/>
        </w:rPr>
      </w:pPr>
      <w:r w:rsidRPr="00BA4B04">
        <w:rPr>
          <w:rFonts w:ascii="Times New Roman" w:eastAsia="Calibri" w:hAnsi="Times New Roman"/>
          <w:color w:val="000000"/>
          <w:sz w:val="23"/>
          <w:szCs w:val="23"/>
        </w:rPr>
        <w:t xml:space="preserve">Of the 105 patients with SCLC who received ZEPZELCA in clinical studies, 35% were ≥65 years of age, and 9% were ≥75 years of age. No overall difference in effectiveness was observed between patients who were ≥65 years of age compared to those who were &lt;65 years of age. </w:t>
      </w:r>
    </w:p>
    <w:p w14:paraId="0B3BD747"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color w:val="000000"/>
          <w:sz w:val="23"/>
          <w:szCs w:val="23"/>
          <w:lang w:val="en-US"/>
        </w:rPr>
        <w:t xml:space="preserve">There was a higher incidence of serious adverse reactions in patients who were ≥65 years of age compared to those who were &lt;65 years of age (49% vs. 26%, respectively). The serious adverse reactions most frequently reported in patients ≥65 years of age were related to myelosuppression and consisted of febrile neutropenia (11%), neutropenia (11%), thrombocytopenia (8%), and </w:t>
      </w:r>
      <w:proofErr w:type="spellStart"/>
      <w:r w:rsidRPr="00BA4B04">
        <w:rPr>
          <w:rFonts w:ascii="Times New Roman" w:eastAsia="Times New Roman" w:hAnsi="Times New Roman"/>
          <w:color w:val="000000"/>
          <w:sz w:val="23"/>
          <w:szCs w:val="23"/>
          <w:lang w:val="en-US"/>
        </w:rPr>
        <w:t>anaemia</w:t>
      </w:r>
      <w:proofErr w:type="spellEnd"/>
      <w:r w:rsidRPr="00BA4B04">
        <w:rPr>
          <w:rFonts w:ascii="Times New Roman" w:eastAsia="Times New Roman" w:hAnsi="Times New Roman"/>
          <w:color w:val="000000"/>
          <w:sz w:val="23"/>
          <w:szCs w:val="23"/>
          <w:lang w:val="en-US"/>
        </w:rPr>
        <w:t xml:space="preserve"> (8%) [see </w:t>
      </w:r>
      <w:r w:rsidRPr="00BA4B04">
        <w:rPr>
          <w:rFonts w:ascii="Times New Roman" w:eastAsia="Times New Roman" w:hAnsi="Times New Roman"/>
          <w:i/>
          <w:iCs/>
          <w:color w:val="000000"/>
          <w:sz w:val="23"/>
          <w:szCs w:val="23"/>
          <w:lang w:val="en-US"/>
        </w:rPr>
        <w:t>4.8 Adverse effects (undesirable effects)</w:t>
      </w:r>
      <w:r w:rsidRPr="00BA4B04">
        <w:rPr>
          <w:rFonts w:ascii="Times New Roman" w:eastAsia="Times New Roman" w:hAnsi="Times New Roman"/>
          <w:color w:val="000000"/>
          <w:sz w:val="23"/>
          <w:szCs w:val="23"/>
          <w:lang w:val="en-US"/>
        </w:rPr>
        <w:t xml:space="preserve">]. </w:t>
      </w:r>
    </w:p>
    <w:p w14:paraId="11BE6EC0"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lastRenderedPageBreak/>
        <w:t>Paediatric use</w:t>
      </w:r>
    </w:p>
    <w:p w14:paraId="51AB78D1" w14:textId="77777777" w:rsidR="00BA4B04" w:rsidRPr="00BA4B04" w:rsidRDefault="00BA4B04" w:rsidP="00BA4B04">
      <w:pPr>
        <w:spacing w:line="23" w:lineRule="atLeast"/>
        <w:rPr>
          <w:rFonts w:ascii="Times New Roman" w:eastAsia="Times New Roman" w:hAnsi="Times New Roman"/>
        </w:rPr>
      </w:pPr>
      <w:bookmarkStart w:id="99" w:name="_SP_QA_2012_07_11_15_51_23_0026"/>
      <w:r w:rsidRPr="00BA4B04">
        <w:rPr>
          <w:rFonts w:ascii="Times New Roman" w:eastAsia="Times New Roman" w:hAnsi="Times New Roman"/>
        </w:rPr>
        <w:t>The safety and effectiveness of ZEPZELCA in paediatric patients have not been established.</w:t>
      </w:r>
      <w:bookmarkEnd w:id="99"/>
    </w:p>
    <w:p w14:paraId="3A46C530"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highlight w:val="yellow"/>
        </w:rPr>
      </w:pPr>
      <w:r w:rsidRPr="00BA4B04">
        <w:rPr>
          <w:rFonts w:ascii="Times New Roman" w:eastAsia="Times New Roman" w:hAnsi="Times New Roman"/>
          <w:b/>
          <w:bCs/>
        </w:rPr>
        <w:t>Effects on laboratory tests</w:t>
      </w:r>
    </w:p>
    <w:p w14:paraId="4807A56B"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 xml:space="preserve">See </w:t>
      </w:r>
      <w:r w:rsidRPr="00BA4B04">
        <w:rPr>
          <w:rFonts w:ascii="Times New Roman" w:eastAsia="Calibri" w:hAnsi="Times New Roman"/>
          <w:i/>
          <w:iCs/>
        </w:rPr>
        <w:t>4.8 Adverse Effects (undesirable effects)</w:t>
      </w:r>
      <w:r w:rsidRPr="00BA4B04">
        <w:rPr>
          <w:rFonts w:ascii="Times New Roman" w:eastAsia="Calibri" w:hAnsi="Times New Roman"/>
        </w:rPr>
        <w:t>.</w:t>
      </w:r>
    </w:p>
    <w:p w14:paraId="6861D1AF" w14:textId="77777777" w:rsidR="00BA4B04" w:rsidRPr="00BA4B04" w:rsidRDefault="00BA4B04" w:rsidP="00BA4B04">
      <w:pPr>
        <w:keepNext/>
        <w:keepLines/>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Interactions with other medicines and other forms of interactions</w:t>
      </w:r>
    </w:p>
    <w:p w14:paraId="0BB62249" w14:textId="77777777" w:rsidR="00BA4B04" w:rsidRPr="00BA4B04" w:rsidRDefault="00BA4B04" w:rsidP="00BA4B04">
      <w:pPr>
        <w:keepNext/>
        <w:keepLines/>
        <w:spacing w:before="200" w:after="0" w:line="276" w:lineRule="auto"/>
        <w:outlineLvl w:val="2"/>
        <w:rPr>
          <w:rFonts w:eastAsia="Times New Roman"/>
          <w:b/>
          <w:bCs/>
        </w:rPr>
      </w:pPr>
      <w:r w:rsidRPr="00BA4B04">
        <w:rPr>
          <w:rFonts w:eastAsia="Times New Roman"/>
          <w:b/>
          <w:bCs/>
        </w:rPr>
        <w:t>Strong and moderate CYP3A inhibitors</w:t>
      </w:r>
    </w:p>
    <w:p w14:paraId="654DF9B9"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Coadministration with a strong or a moderate CYP3A inhibitor is expected to increase lurbinectedin systemic exposure [see </w:t>
      </w:r>
      <w:r w:rsidRPr="00BA4B04">
        <w:rPr>
          <w:rFonts w:ascii="Times New Roman" w:eastAsia="Times New Roman" w:hAnsi="Times New Roman"/>
          <w:i/>
          <w:iCs/>
        </w:rPr>
        <w:t>5.2 Pharmacokinetic properties</w:t>
      </w:r>
      <w:r w:rsidRPr="00BA4B04">
        <w:rPr>
          <w:rFonts w:ascii="Times New Roman" w:eastAsia="Times New Roman" w:hAnsi="Times New Roman"/>
        </w:rPr>
        <w:t xml:space="preserve">] and may increase the incidence and severity of adverse reactions to ZEPZELCA. </w:t>
      </w:r>
    </w:p>
    <w:p w14:paraId="7B7218AD" w14:textId="77777777" w:rsidR="00BA4B04" w:rsidRPr="00BA4B04" w:rsidRDefault="00BA4B04" w:rsidP="00BA4B04">
      <w:pPr>
        <w:spacing w:line="23" w:lineRule="atLeast"/>
        <w:rPr>
          <w:rFonts w:ascii="Times New Roman" w:eastAsia="Times New Roman" w:hAnsi="Times New Roman"/>
          <w:sz w:val="24"/>
          <w:szCs w:val="20"/>
          <w:lang w:val="en-US"/>
        </w:rPr>
      </w:pPr>
      <w:r w:rsidRPr="00BA4B04">
        <w:rPr>
          <w:rFonts w:ascii="Times New Roman" w:eastAsia="Times New Roman" w:hAnsi="Times New Roman"/>
        </w:rPr>
        <w:t>Avoid coadministration of ZEPZELCA with strong CYP3A inhibitors (</w:t>
      </w:r>
      <w:proofErr w:type="gramStart"/>
      <w:r w:rsidRPr="00BA4B04">
        <w:rPr>
          <w:rFonts w:ascii="Times New Roman" w:eastAsia="Times New Roman" w:hAnsi="Times New Roman"/>
        </w:rPr>
        <w:t>e.g.</w:t>
      </w:r>
      <w:proofErr w:type="gramEnd"/>
      <w:r w:rsidRPr="00BA4B04">
        <w:rPr>
          <w:rFonts w:ascii="Times New Roman" w:eastAsia="Times New Roman" w:hAnsi="Times New Roman"/>
        </w:rPr>
        <w:t xml:space="preserve"> itraconazole, ketoconazole, </w:t>
      </w:r>
      <w:proofErr w:type="spellStart"/>
      <w:r w:rsidRPr="00BA4B04">
        <w:rPr>
          <w:rFonts w:ascii="Times New Roman" w:eastAsia="Times New Roman" w:hAnsi="Times New Roman"/>
        </w:rPr>
        <w:t>posaconazole</w:t>
      </w:r>
      <w:proofErr w:type="spellEnd"/>
      <w:r w:rsidRPr="00BA4B04">
        <w:rPr>
          <w:rFonts w:ascii="Times New Roman" w:eastAsia="Times New Roman" w:hAnsi="Times New Roman"/>
        </w:rPr>
        <w:t xml:space="preserve">, voriconazole, or grapefruit) or moderate CYP3A inhibitors (e.g. </w:t>
      </w:r>
      <w:proofErr w:type="spellStart"/>
      <w:r w:rsidRPr="00BA4B04">
        <w:rPr>
          <w:rFonts w:ascii="Times New Roman" w:eastAsia="Times New Roman" w:hAnsi="Times New Roman"/>
        </w:rPr>
        <w:t>aprepitant</w:t>
      </w:r>
      <w:proofErr w:type="spellEnd"/>
      <w:r w:rsidRPr="00BA4B04">
        <w:rPr>
          <w:rFonts w:ascii="Times New Roman" w:eastAsia="Times New Roman" w:hAnsi="Times New Roman"/>
        </w:rPr>
        <w:t xml:space="preserve">, ciprofloxacin, diltiazem, erythromycin, fluconazole, fluvoxamine, imatinib, or verapamil). For moderate CYP3A4 inhibitors, if coadministration with ZEPZELCA cannot be avoided, consider dose reduction of ZEPZELCA, based on individual tolerability as clinically indicated [see </w:t>
      </w:r>
      <w:r w:rsidRPr="00BA4B04">
        <w:rPr>
          <w:rFonts w:ascii="Times New Roman" w:eastAsia="Times New Roman" w:hAnsi="Times New Roman"/>
          <w:i/>
          <w:iCs/>
        </w:rPr>
        <w:t>4.2 Dose and method of administration</w:t>
      </w:r>
      <w:r w:rsidRPr="00BA4B04">
        <w:rPr>
          <w:rFonts w:ascii="Times New Roman" w:eastAsia="Times New Roman" w:hAnsi="Times New Roman"/>
        </w:rPr>
        <w:t>].</w:t>
      </w:r>
    </w:p>
    <w:p w14:paraId="6329A952" w14:textId="77777777" w:rsidR="00BA4B04" w:rsidRPr="00BA4B04" w:rsidRDefault="00BA4B04" w:rsidP="00BA4B04">
      <w:pPr>
        <w:keepNext/>
        <w:keepLines/>
        <w:spacing w:before="200" w:after="0" w:line="276" w:lineRule="auto"/>
        <w:outlineLvl w:val="2"/>
        <w:rPr>
          <w:rFonts w:eastAsia="Times New Roman"/>
          <w:b/>
          <w:bCs/>
        </w:rPr>
      </w:pPr>
      <w:r w:rsidRPr="00BA4B04">
        <w:rPr>
          <w:rFonts w:eastAsia="Times New Roman"/>
          <w:b/>
          <w:bCs/>
        </w:rPr>
        <w:t>Strong and moderate CYP3A inducers</w:t>
      </w:r>
    </w:p>
    <w:p w14:paraId="50518E06" w14:textId="77777777" w:rsidR="00BA4B04" w:rsidRPr="00BA4B04" w:rsidRDefault="00BA4B04" w:rsidP="00BA4B04">
      <w:pPr>
        <w:spacing w:after="200" w:line="23" w:lineRule="atLeast"/>
        <w:rPr>
          <w:rFonts w:ascii="Times New Roman" w:eastAsia="Times New Roman" w:hAnsi="Times New Roman"/>
        </w:rPr>
      </w:pPr>
      <w:r w:rsidRPr="00BA4B04">
        <w:rPr>
          <w:rFonts w:ascii="Times New Roman" w:eastAsia="Times New Roman" w:hAnsi="Times New Roman"/>
        </w:rPr>
        <w:t xml:space="preserve">Coadministration with a strong CYP3A inducer is expected to decrease lurbinectedin systemic exposure [see </w:t>
      </w:r>
      <w:r w:rsidRPr="00BA4B04">
        <w:rPr>
          <w:rFonts w:ascii="Times New Roman" w:eastAsia="Times New Roman" w:hAnsi="Times New Roman"/>
          <w:i/>
          <w:iCs/>
        </w:rPr>
        <w:t>5.2 Pharmacokinetic properties</w:t>
      </w:r>
      <w:r w:rsidRPr="00BA4B04">
        <w:rPr>
          <w:rFonts w:ascii="Times New Roman" w:eastAsia="Times New Roman" w:hAnsi="Times New Roman"/>
        </w:rPr>
        <w:t>] and may reduce ZEPZELCA efficacy. Avoid coadministration of ZEPZELCA with strong CYP3A inducers (</w:t>
      </w:r>
      <w:proofErr w:type="gramStart"/>
      <w:r w:rsidRPr="00BA4B04">
        <w:rPr>
          <w:rFonts w:ascii="Times New Roman" w:eastAsia="Times New Roman" w:hAnsi="Times New Roman"/>
        </w:rPr>
        <w:t>e.g.</w:t>
      </w:r>
      <w:proofErr w:type="gramEnd"/>
      <w:r w:rsidRPr="00BA4B04">
        <w:rPr>
          <w:rFonts w:ascii="Times New Roman" w:eastAsia="Times New Roman" w:hAnsi="Times New Roman"/>
        </w:rPr>
        <w:t xml:space="preserve"> carbamazepine, phenytoin, rifampicin, or St. John’s wort) or moderate CYP3A inducers (e.g. </w:t>
      </w:r>
      <w:proofErr w:type="spellStart"/>
      <w:r w:rsidRPr="00BA4B04">
        <w:rPr>
          <w:rFonts w:ascii="Times New Roman" w:eastAsia="Times New Roman" w:hAnsi="Times New Roman"/>
        </w:rPr>
        <w:t>bosentan</w:t>
      </w:r>
      <w:proofErr w:type="spellEnd"/>
      <w:r w:rsidRPr="00BA4B04">
        <w:rPr>
          <w:rFonts w:ascii="Times New Roman" w:eastAsia="Times New Roman" w:hAnsi="Times New Roman"/>
        </w:rPr>
        <w:t>, phenobarbital, or primidone).</w:t>
      </w:r>
    </w:p>
    <w:p w14:paraId="63C250D9"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Fertility, pregnancy and lactation </w:t>
      </w:r>
    </w:p>
    <w:p w14:paraId="30A4786A"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Effects on fertility</w:t>
      </w:r>
    </w:p>
    <w:p w14:paraId="30AC3D58"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ZEPZELCA can cause </w:t>
      </w:r>
      <w:proofErr w:type="spellStart"/>
      <w:r w:rsidRPr="00BA4B04">
        <w:rPr>
          <w:rFonts w:ascii="Times New Roman" w:eastAsia="Times New Roman" w:hAnsi="Times New Roman"/>
        </w:rPr>
        <w:t>embryolethality</w:t>
      </w:r>
      <w:proofErr w:type="spellEnd"/>
      <w:r w:rsidRPr="00BA4B04">
        <w:rPr>
          <w:rFonts w:ascii="Times New Roman" w:eastAsia="Times New Roman" w:hAnsi="Times New Roman"/>
        </w:rPr>
        <w:t xml:space="preserve"> at doses lower than the human dose of 3.2 mg/m</w:t>
      </w:r>
      <w:r w:rsidRPr="00BA4B04">
        <w:rPr>
          <w:rFonts w:ascii="Times New Roman" w:eastAsia="Times New Roman" w:hAnsi="Times New Roman"/>
          <w:vertAlign w:val="superscript"/>
        </w:rPr>
        <w:t xml:space="preserve">2 </w:t>
      </w:r>
      <w:r w:rsidRPr="00BA4B04">
        <w:rPr>
          <w:rFonts w:ascii="Times New Roman" w:eastAsia="Times New Roman" w:hAnsi="Times New Roman"/>
          <w:iCs/>
        </w:rPr>
        <w:t>[</w:t>
      </w:r>
      <w:r w:rsidRPr="00BA4B04">
        <w:rPr>
          <w:rFonts w:ascii="Times New Roman" w:eastAsia="Times New Roman" w:hAnsi="Times New Roman"/>
        </w:rPr>
        <w:t xml:space="preserve">see </w:t>
      </w:r>
      <w:r w:rsidRPr="00BA4B04">
        <w:rPr>
          <w:rFonts w:ascii="Times New Roman" w:eastAsia="Times New Roman" w:hAnsi="Times New Roman"/>
          <w:i/>
          <w:iCs/>
        </w:rPr>
        <w:t xml:space="preserve">4.6 Fertility, </w:t>
      </w:r>
      <w:proofErr w:type="gramStart"/>
      <w:r w:rsidRPr="00BA4B04">
        <w:rPr>
          <w:rFonts w:ascii="Times New Roman" w:eastAsia="Times New Roman" w:hAnsi="Times New Roman"/>
          <w:i/>
          <w:iCs/>
        </w:rPr>
        <w:t>pregnancy</w:t>
      </w:r>
      <w:proofErr w:type="gramEnd"/>
      <w:r w:rsidRPr="00BA4B04">
        <w:rPr>
          <w:rFonts w:ascii="Times New Roman" w:eastAsia="Times New Roman" w:hAnsi="Times New Roman"/>
          <w:i/>
          <w:iCs/>
        </w:rPr>
        <w:t xml:space="preserve"> and lactation - Use in pregnancy</w:t>
      </w:r>
      <w:r w:rsidRPr="00BA4B04">
        <w:rPr>
          <w:rFonts w:ascii="Times New Roman" w:eastAsia="Times New Roman" w:hAnsi="Times New Roman"/>
          <w:iCs/>
        </w:rPr>
        <w:t>]</w:t>
      </w:r>
      <w:r w:rsidRPr="00BA4B04">
        <w:rPr>
          <w:rFonts w:ascii="Times New Roman" w:eastAsia="Times New Roman" w:hAnsi="Times New Roman"/>
        </w:rPr>
        <w:t>.</w:t>
      </w:r>
    </w:p>
    <w:p w14:paraId="5ABA33B5" w14:textId="77777777" w:rsidR="00BA4B04" w:rsidRPr="00BA4B04" w:rsidRDefault="00BA4B04" w:rsidP="00BA4B04">
      <w:pPr>
        <w:spacing w:line="23" w:lineRule="atLeast"/>
        <w:rPr>
          <w:rFonts w:ascii="Times New Roman" w:eastAsia="Times New Roman" w:hAnsi="Times New Roman"/>
          <w:sz w:val="24"/>
          <w:szCs w:val="20"/>
          <w:lang w:val="en-US"/>
        </w:rPr>
      </w:pPr>
      <w:r w:rsidRPr="00BA4B04">
        <w:rPr>
          <w:rFonts w:ascii="Times New Roman" w:eastAsia="Times New Roman" w:hAnsi="Times New Roman"/>
        </w:rPr>
        <w:t>No dedicated fertility studies were conducted in animal species. Testicular atrophy and hypospermia were observed in rats and dogs at doses below the recommended clinical dose.</w:t>
      </w:r>
    </w:p>
    <w:p w14:paraId="345E7F52" w14:textId="77777777" w:rsidR="00BA4B04" w:rsidRPr="00BA4B04" w:rsidRDefault="00BA4B04" w:rsidP="007A4C05">
      <w:pPr>
        <w:keepNext/>
        <w:numPr>
          <w:ilvl w:val="0"/>
          <w:numId w:val="8"/>
        </w:numPr>
        <w:tabs>
          <w:tab w:val="left" w:pos="1080"/>
        </w:tabs>
        <w:spacing w:before="240" w:after="0" w:line="23" w:lineRule="atLeast"/>
        <w:ind w:left="1080" w:hanging="1080"/>
        <w:outlineLvl w:val="4"/>
        <w:rPr>
          <w:rFonts w:ascii="Times New Roman" w:eastAsia="Times New Roman" w:hAnsi="Times New Roman"/>
          <w:bCs/>
          <w:u w:val="single"/>
        </w:rPr>
      </w:pPr>
      <w:bookmarkStart w:id="100" w:name="_SP_QA_2012_07_11_15_51_23_0025"/>
      <w:r w:rsidRPr="00BA4B04">
        <w:rPr>
          <w:rFonts w:ascii="Times New Roman" w:eastAsia="Times New Roman" w:hAnsi="Times New Roman"/>
          <w:bCs/>
          <w:u w:val="single"/>
        </w:rPr>
        <w:t xml:space="preserve">Pregnancy Testing </w:t>
      </w:r>
    </w:p>
    <w:p w14:paraId="28473B17"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Verify the pregnancy status of females of reproductive potential prior to initiating </w:t>
      </w:r>
      <w:r w:rsidRPr="00BA4B04">
        <w:rPr>
          <w:rFonts w:ascii="Times New Roman" w:eastAsia="Times New Roman" w:hAnsi="Times New Roman"/>
          <w:bCs/>
        </w:rPr>
        <w:t>ZEPZELCA</w:t>
      </w:r>
      <w:r w:rsidRPr="00BA4B04">
        <w:rPr>
          <w:rFonts w:ascii="Times New Roman" w:eastAsia="Times New Roman" w:hAnsi="Times New Roman"/>
        </w:rPr>
        <w:t>.</w:t>
      </w:r>
    </w:p>
    <w:p w14:paraId="4FB2B413" w14:textId="77777777" w:rsidR="00BA4B04" w:rsidRPr="00BA4B04" w:rsidRDefault="00BA4B04" w:rsidP="007A4C05">
      <w:pPr>
        <w:keepNext/>
        <w:numPr>
          <w:ilvl w:val="0"/>
          <w:numId w:val="8"/>
        </w:numPr>
        <w:tabs>
          <w:tab w:val="left" w:pos="1080"/>
        </w:tabs>
        <w:spacing w:before="240" w:after="0" w:line="23" w:lineRule="atLeast"/>
        <w:ind w:left="1080" w:hanging="1080"/>
        <w:outlineLvl w:val="4"/>
        <w:rPr>
          <w:rFonts w:ascii="Times New Roman" w:eastAsia="Times New Roman" w:hAnsi="Times New Roman"/>
          <w:bCs/>
          <w:u w:val="single"/>
        </w:rPr>
      </w:pPr>
      <w:r w:rsidRPr="00BA4B04">
        <w:rPr>
          <w:rFonts w:ascii="Times New Roman" w:eastAsia="Times New Roman" w:hAnsi="Times New Roman"/>
          <w:bCs/>
          <w:u w:val="single"/>
        </w:rPr>
        <w:t>Contraception</w:t>
      </w:r>
    </w:p>
    <w:p w14:paraId="15B32B20" w14:textId="77777777" w:rsidR="00BA4B04" w:rsidRPr="00BA4B04" w:rsidRDefault="00BA4B04" w:rsidP="00BA4B04">
      <w:pPr>
        <w:spacing w:line="23" w:lineRule="atLeast"/>
        <w:rPr>
          <w:rFonts w:ascii="Times New Roman" w:eastAsia="Times New Roman" w:hAnsi="Times New Roman"/>
          <w:i/>
          <w:iCs/>
        </w:rPr>
      </w:pPr>
      <w:r w:rsidRPr="00BA4B04">
        <w:rPr>
          <w:rFonts w:ascii="Times New Roman" w:eastAsia="Times New Roman" w:hAnsi="Times New Roman"/>
          <w:i/>
          <w:iCs/>
        </w:rPr>
        <w:t>Females</w:t>
      </w:r>
    </w:p>
    <w:p w14:paraId="158A2586" w14:textId="77777777" w:rsidR="00BA4B04" w:rsidRPr="00BA4B04" w:rsidRDefault="00BA4B04" w:rsidP="00BA4B04">
      <w:pPr>
        <w:spacing w:line="23" w:lineRule="atLeast"/>
        <w:rPr>
          <w:rFonts w:ascii="Times New Roman" w:eastAsia="Times New Roman" w:hAnsi="Times New Roman"/>
          <w:bCs/>
        </w:rPr>
      </w:pPr>
      <w:r w:rsidRPr="00BA4B04">
        <w:rPr>
          <w:rFonts w:ascii="Times New Roman" w:eastAsia="Times New Roman" w:hAnsi="Times New Roman"/>
        </w:rPr>
        <w:t xml:space="preserve">Advise female patients of reproductive potential to use effective contraception during and for 6 months after the use of </w:t>
      </w:r>
      <w:r w:rsidRPr="00BA4B04">
        <w:rPr>
          <w:rFonts w:ascii="Times New Roman" w:eastAsia="Times New Roman" w:hAnsi="Times New Roman"/>
          <w:bCs/>
        </w:rPr>
        <w:t>ZEPZELCA.</w:t>
      </w:r>
    </w:p>
    <w:p w14:paraId="6FCE3050" w14:textId="77777777" w:rsidR="00BA4B04" w:rsidRPr="00BA4B04" w:rsidRDefault="00BA4B04" w:rsidP="00BA4B04">
      <w:pPr>
        <w:spacing w:line="23" w:lineRule="atLeast"/>
        <w:rPr>
          <w:rFonts w:ascii="Times New Roman" w:eastAsia="Times New Roman" w:hAnsi="Times New Roman"/>
          <w:i/>
          <w:iCs/>
        </w:rPr>
      </w:pPr>
      <w:r w:rsidRPr="00BA4B04">
        <w:rPr>
          <w:rFonts w:ascii="Times New Roman" w:eastAsia="Times New Roman" w:hAnsi="Times New Roman"/>
          <w:i/>
          <w:iCs/>
        </w:rPr>
        <w:t>Males</w:t>
      </w:r>
    </w:p>
    <w:p w14:paraId="54205476"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Advise males with a female sexual partner of reproductive potential to use effective contraception during and for 4 months after the use of </w:t>
      </w:r>
      <w:r w:rsidRPr="00BA4B04">
        <w:rPr>
          <w:rFonts w:ascii="Times New Roman" w:eastAsia="Times New Roman" w:hAnsi="Times New Roman"/>
          <w:bCs/>
        </w:rPr>
        <w:t>ZEPZELCA</w:t>
      </w:r>
      <w:r w:rsidRPr="00BA4B04">
        <w:rPr>
          <w:rFonts w:ascii="Times New Roman" w:eastAsia="Times New Roman" w:hAnsi="Times New Roman"/>
        </w:rPr>
        <w:t>.</w:t>
      </w:r>
    </w:p>
    <w:p w14:paraId="7755262E" w14:textId="77777777" w:rsidR="00BA4B04" w:rsidRPr="00BA4B04" w:rsidRDefault="00BA4B04" w:rsidP="00BA4B04">
      <w:pPr>
        <w:spacing w:line="23" w:lineRule="atLeast"/>
        <w:rPr>
          <w:rFonts w:ascii="Times New Roman" w:eastAsia="Times New Roman" w:hAnsi="Times New Roman"/>
        </w:rPr>
      </w:pPr>
    </w:p>
    <w:bookmarkEnd w:id="100"/>
    <w:p w14:paraId="18A6A175"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lastRenderedPageBreak/>
        <w:t>Use in pregnancy – Pregnancy Category D</w:t>
      </w:r>
    </w:p>
    <w:p w14:paraId="4B8CCAF6"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Based on animal data and its mechanism of action </w:t>
      </w:r>
      <w:r w:rsidRPr="00BA4B04">
        <w:rPr>
          <w:rFonts w:ascii="Times New Roman" w:eastAsia="Times New Roman" w:hAnsi="Times New Roman"/>
          <w:iCs/>
        </w:rPr>
        <w:t>[see</w:t>
      </w:r>
      <w:r w:rsidRPr="00BA4B04">
        <w:rPr>
          <w:rFonts w:ascii="Times New Roman" w:eastAsia="Times New Roman" w:hAnsi="Times New Roman"/>
          <w:i/>
        </w:rPr>
        <w:t xml:space="preserve"> 5.1 Pharmacodynamic properties</w:t>
      </w:r>
      <w:r w:rsidRPr="00BA4B04">
        <w:rPr>
          <w:rFonts w:ascii="Times New Roman" w:eastAsia="Times New Roman" w:hAnsi="Times New Roman"/>
          <w:iCs/>
        </w:rPr>
        <w:t>],</w:t>
      </w:r>
      <w:r w:rsidRPr="00BA4B04">
        <w:rPr>
          <w:rFonts w:ascii="Times New Roman" w:eastAsia="Times New Roman" w:hAnsi="Times New Roman"/>
        </w:rPr>
        <w:t xml:space="preserve"> lurbinectedin can cause fetal harm when administered during pregnancy.</w:t>
      </w:r>
      <w:r w:rsidRPr="00BA4B04">
        <w:rPr>
          <w:rFonts w:ascii="Times New Roman" w:eastAsia="Times New Roman" w:hAnsi="Times New Roman"/>
          <w:sz w:val="24"/>
          <w:szCs w:val="20"/>
          <w:lang w:val="en-US"/>
        </w:rPr>
        <w:t xml:space="preserve"> </w:t>
      </w:r>
      <w:r w:rsidRPr="00BA4B04">
        <w:rPr>
          <w:rFonts w:ascii="Times New Roman" w:eastAsia="Times New Roman" w:hAnsi="Times New Roman"/>
        </w:rPr>
        <w:t>There are no available clinical data to inform the risk of ZEPZELCA use during human pregnancy. Intravenous administration of a single lurbinectedin dose (approximately 0.2 times the 3.2 mg/m</w:t>
      </w:r>
      <w:r w:rsidRPr="00BA4B04">
        <w:rPr>
          <w:rFonts w:ascii="Times New Roman" w:eastAsia="Times New Roman" w:hAnsi="Times New Roman"/>
          <w:vertAlign w:val="superscript"/>
        </w:rPr>
        <w:t>2</w:t>
      </w:r>
      <w:r w:rsidRPr="00BA4B04">
        <w:rPr>
          <w:rFonts w:ascii="Times New Roman" w:eastAsia="Times New Roman" w:hAnsi="Times New Roman"/>
        </w:rPr>
        <w:t xml:space="preserve"> clinical dose) to pregnant rats during the period of organogenesis caused 100% </w:t>
      </w:r>
      <w:proofErr w:type="spellStart"/>
      <w:r w:rsidRPr="00BA4B04">
        <w:rPr>
          <w:rFonts w:ascii="Times New Roman" w:eastAsia="Times New Roman" w:hAnsi="Times New Roman"/>
        </w:rPr>
        <w:t>embryolethality</w:t>
      </w:r>
      <w:proofErr w:type="spellEnd"/>
      <w:r w:rsidRPr="00BA4B04">
        <w:rPr>
          <w:rFonts w:ascii="Times New Roman" w:eastAsia="Times New Roman" w:hAnsi="Times New Roman"/>
        </w:rPr>
        <w:t>.</w:t>
      </w:r>
    </w:p>
    <w:p w14:paraId="735327D0"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Advise patients who are pregnant and females of reproductive potential of the potential risk to a fetus.</w:t>
      </w:r>
    </w:p>
    <w:p w14:paraId="582B5EB5" w14:textId="77777777" w:rsidR="00BA4B04" w:rsidRPr="00BA4B04" w:rsidRDefault="00BA4B04" w:rsidP="00BA4B04">
      <w:pPr>
        <w:keepNext/>
        <w:keepLines/>
        <w:spacing w:before="200" w:after="0" w:line="276" w:lineRule="auto"/>
        <w:outlineLvl w:val="2"/>
        <w:rPr>
          <w:rFonts w:eastAsia="Times New Roman"/>
          <w:b/>
          <w:bCs/>
        </w:rPr>
      </w:pPr>
      <w:r w:rsidRPr="00BA4B04">
        <w:rPr>
          <w:rFonts w:eastAsia="Times New Roman"/>
          <w:b/>
          <w:bCs/>
        </w:rPr>
        <w:t xml:space="preserve">Use in lactation </w:t>
      </w:r>
    </w:p>
    <w:p w14:paraId="12DD213F" w14:textId="77777777" w:rsidR="00BA4B04" w:rsidRPr="00BA4B04" w:rsidRDefault="00BA4B04" w:rsidP="00BA4B04">
      <w:pPr>
        <w:spacing w:after="200" w:line="23" w:lineRule="atLeast"/>
        <w:rPr>
          <w:rFonts w:ascii="Times New Roman" w:eastAsia="Times New Roman" w:hAnsi="Times New Roman"/>
        </w:rPr>
      </w:pPr>
      <w:r w:rsidRPr="00BA4B04">
        <w:rPr>
          <w:rFonts w:ascii="Times New Roman" w:eastAsia="Times New Roman" w:hAnsi="Times New Roman"/>
        </w:rPr>
        <w:t xml:space="preserve">There are no data on the presence of lurbinectedin in human milk, its effects on a breastfed child, or its effects on milk production. Because of the potential for serious adverse reactions from </w:t>
      </w:r>
      <w:r w:rsidRPr="00BA4B04">
        <w:rPr>
          <w:rFonts w:ascii="Times New Roman" w:eastAsia="Times New Roman" w:hAnsi="Times New Roman"/>
          <w:bCs/>
        </w:rPr>
        <w:t>ZEPZELCA</w:t>
      </w:r>
      <w:r w:rsidRPr="00BA4B04">
        <w:rPr>
          <w:rFonts w:ascii="Times New Roman" w:eastAsia="Times New Roman" w:hAnsi="Times New Roman"/>
          <w:bCs/>
          <w:vertAlign w:val="superscript"/>
        </w:rPr>
        <w:t xml:space="preserve"> </w:t>
      </w:r>
      <w:r w:rsidRPr="00BA4B04">
        <w:rPr>
          <w:rFonts w:ascii="Times New Roman" w:eastAsia="Times New Roman" w:hAnsi="Times New Roman"/>
        </w:rPr>
        <w:t xml:space="preserve">in breastfed children, advise patients not to breastfeed during treatment with </w:t>
      </w:r>
      <w:r w:rsidRPr="00BA4B04">
        <w:rPr>
          <w:rFonts w:ascii="Times New Roman" w:eastAsia="Times New Roman" w:hAnsi="Times New Roman"/>
          <w:bCs/>
        </w:rPr>
        <w:t>ZEPZELCA and for 2 weeks after the final dose</w:t>
      </w:r>
      <w:r w:rsidRPr="00BA4B04">
        <w:rPr>
          <w:rFonts w:ascii="Times New Roman" w:eastAsia="Times New Roman" w:hAnsi="Times New Roman"/>
        </w:rPr>
        <w:t>.</w:t>
      </w:r>
    </w:p>
    <w:p w14:paraId="4851190C"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Effects on ability to drive and use machines </w:t>
      </w:r>
    </w:p>
    <w:p w14:paraId="6A3AACCF"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The effects of lurbinectedin on a person's ability to drive and use machines have not been formally assessed.</w:t>
      </w:r>
    </w:p>
    <w:p w14:paraId="68047E07" w14:textId="77777777" w:rsidR="00BA4B04" w:rsidRPr="00BA4B04" w:rsidRDefault="00BA4B04" w:rsidP="00BA4B04">
      <w:pPr>
        <w:keepNext/>
        <w:keepLines/>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Adverse effects (undesirable effects)</w:t>
      </w:r>
    </w:p>
    <w:p w14:paraId="0F63C3EA" w14:textId="77777777" w:rsidR="00BA4B04" w:rsidRPr="00BA4B04" w:rsidRDefault="00BA4B04" w:rsidP="00BA4B04">
      <w:pPr>
        <w:autoSpaceDE w:val="0"/>
        <w:autoSpaceDN w:val="0"/>
        <w:adjustRightInd w:val="0"/>
        <w:spacing w:before="0" w:after="0" w:line="240" w:lineRule="auto"/>
        <w:rPr>
          <w:rFonts w:ascii="Times New Roman" w:eastAsia="Calibri" w:hAnsi="Times New Roman"/>
          <w:i/>
          <w:iCs/>
          <w:sz w:val="23"/>
          <w:szCs w:val="23"/>
        </w:rPr>
      </w:pPr>
      <w:r w:rsidRPr="00BA4B04">
        <w:rPr>
          <w:rFonts w:ascii="Times New Roman" w:eastAsia="Calibri" w:hAnsi="Times New Roman"/>
          <w:i/>
          <w:iCs/>
          <w:sz w:val="23"/>
          <w:szCs w:val="23"/>
        </w:rPr>
        <w:t xml:space="preserve">The following clinically significant adverse reactions are described in detail in other sections of the prescribing information: </w:t>
      </w:r>
    </w:p>
    <w:p w14:paraId="015F94AB" w14:textId="77777777" w:rsidR="00BA4B04" w:rsidRPr="00BA4B04" w:rsidRDefault="00BA4B04" w:rsidP="00BA4B04">
      <w:pPr>
        <w:autoSpaceDE w:val="0"/>
        <w:autoSpaceDN w:val="0"/>
        <w:adjustRightInd w:val="0"/>
        <w:spacing w:before="0" w:after="0" w:line="240" w:lineRule="auto"/>
        <w:rPr>
          <w:rFonts w:ascii="Times New Roman" w:eastAsia="Calibri" w:hAnsi="Times New Roman"/>
          <w:i/>
          <w:iCs/>
          <w:sz w:val="23"/>
          <w:szCs w:val="23"/>
        </w:rPr>
      </w:pPr>
      <w:r w:rsidRPr="00BA4B04">
        <w:rPr>
          <w:rFonts w:ascii="Times New Roman" w:eastAsia="Calibri" w:hAnsi="Times New Roman"/>
          <w:i/>
          <w:iCs/>
          <w:sz w:val="23"/>
          <w:szCs w:val="23"/>
        </w:rPr>
        <w:t xml:space="preserve">• Myelosuppression [see Special Warnings and Precautions (4.4)] </w:t>
      </w:r>
    </w:p>
    <w:p w14:paraId="4AD7217D" w14:textId="77777777" w:rsidR="00BA4B04" w:rsidRPr="00BA4B04" w:rsidRDefault="00BA4B04" w:rsidP="00BA4B04">
      <w:pPr>
        <w:autoSpaceDE w:val="0"/>
        <w:autoSpaceDN w:val="0"/>
        <w:adjustRightInd w:val="0"/>
        <w:spacing w:before="0" w:line="276" w:lineRule="atLeast"/>
        <w:ind w:right="192"/>
        <w:rPr>
          <w:rFonts w:ascii="Times New Roman" w:eastAsia="Calibri" w:hAnsi="Times New Roman"/>
          <w:i/>
          <w:iCs/>
          <w:sz w:val="23"/>
          <w:szCs w:val="23"/>
        </w:rPr>
      </w:pPr>
      <w:r w:rsidRPr="00BA4B04">
        <w:rPr>
          <w:rFonts w:ascii="Times New Roman" w:eastAsia="Calibri" w:hAnsi="Times New Roman"/>
          <w:i/>
          <w:iCs/>
          <w:sz w:val="23"/>
          <w:szCs w:val="23"/>
        </w:rPr>
        <w:t xml:space="preserve">• Hepatotoxicity [see Special Warnings and Precautions (4.4)] </w:t>
      </w:r>
    </w:p>
    <w:p w14:paraId="3A2C892F" w14:textId="77777777" w:rsidR="00BA4B04" w:rsidRPr="00BA4B04" w:rsidRDefault="00BA4B04" w:rsidP="00BA4B04">
      <w:pPr>
        <w:autoSpaceDE w:val="0"/>
        <w:autoSpaceDN w:val="0"/>
        <w:adjustRightInd w:val="0"/>
        <w:spacing w:before="0" w:line="276" w:lineRule="atLeast"/>
        <w:ind w:right="192"/>
        <w:rPr>
          <w:rFonts w:ascii="Times New Roman" w:eastAsia="Calibri" w:hAnsi="Times New Roman"/>
          <w:color w:val="000000"/>
        </w:rPr>
      </w:pPr>
      <w:r w:rsidRPr="00BA4B04">
        <w:rPr>
          <w:rFonts w:ascii="Times New Roman" w:eastAsia="Calibri" w:hAnsi="Times New Roman"/>
          <w:color w:val="000000"/>
        </w:rPr>
        <w:t xml:space="preserve">Because clinical trials are conducted under widely varying conditions, adverse reaction rates observed in the clinical trials of a drug cannot be directly compared to rates in the clinical trials of another drug and may not reflect the rates observed in practice. </w:t>
      </w:r>
    </w:p>
    <w:p w14:paraId="5997AE08" w14:textId="77777777" w:rsidR="00BA4B04" w:rsidRPr="00BA4B04" w:rsidRDefault="00BA4B04" w:rsidP="00BA4B04">
      <w:pPr>
        <w:spacing w:before="0" w:after="200" w:line="240" w:lineRule="auto"/>
        <w:rPr>
          <w:rFonts w:ascii="Times New Roman" w:eastAsia="Calibri" w:hAnsi="Times New Roman"/>
          <w:color w:val="000000"/>
        </w:rPr>
      </w:pPr>
      <w:r w:rsidRPr="00BA4B04">
        <w:rPr>
          <w:rFonts w:ascii="Times New Roman" w:eastAsia="Calibri" w:hAnsi="Times New Roman"/>
          <w:color w:val="000000"/>
        </w:rPr>
        <w:t xml:space="preserve">The pooled safety population described in </w:t>
      </w:r>
      <w:r w:rsidRPr="00BA4B04">
        <w:rPr>
          <w:rFonts w:ascii="Times New Roman" w:eastAsia="Calibri" w:hAnsi="Times New Roman"/>
          <w:i/>
          <w:iCs/>
          <w:color w:val="000000"/>
        </w:rPr>
        <w:t>4.4 Special warnings and precautions for use</w:t>
      </w:r>
      <w:r w:rsidRPr="00BA4B04">
        <w:rPr>
          <w:rFonts w:ascii="Times New Roman" w:eastAsia="Calibri" w:hAnsi="Times New Roman"/>
          <w:color w:val="000000"/>
        </w:rPr>
        <w:t xml:space="preserve"> reflects exposure to ZEPZELCA as a single agent at a dose of 3.2 mg/m</w:t>
      </w:r>
      <w:r w:rsidRPr="00BA4B04">
        <w:rPr>
          <w:rFonts w:ascii="Times New Roman" w:eastAsia="Calibri" w:hAnsi="Times New Roman"/>
          <w:color w:val="000000"/>
          <w:position w:val="9"/>
          <w:vertAlign w:val="superscript"/>
        </w:rPr>
        <w:t xml:space="preserve">2 </w:t>
      </w:r>
      <w:r w:rsidRPr="00BA4B04">
        <w:rPr>
          <w:rFonts w:ascii="Times New Roman" w:eastAsia="Calibri" w:hAnsi="Times New Roman"/>
          <w:color w:val="000000"/>
        </w:rPr>
        <w:t xml:space="preserve">intravenously every 21 days in 554 patients with advanced solid tumours. Among 554 patients who received ZEPZELCA, including 105 patients with small cell lung cancer (SCLC) in PM1183-B-005-14 (Study B-005), 24% were exposed for 6 months or longer and 5% were exposed for greater than one year. </w:t>
      </w:r>
    </w:p>
    <w:p w14:paraId="2AFC6091" w14:textId="77777777" w:rsidR="00BA4B04" w:rsidRPr="00BA4B04" w:rsidRDefault="00BA4B04" w:rsidP="00BA4B04">
      <w:pPr>
        <w:spacing w:before="0" w:after="200" w:line="240" w:lineRule="auto"/>
        <w:rPr>
          <w:rFonts w:ascii="Times New Roman" w:eastAsia="Calibri" w:hAnsi="Times New Roman"/>
          <w:color w:val="000000"/>
          <w:u w:val="single"/>
        </w:rPr>
      </w:pPr>
      <w:r w:rsidRPr="00BA4B04">
        <w:rPr>
          <w:rFonts w:ascii="Times New Roman" w:eastAsia="Calibri" w:hAnsi="Times New Roman"/>
          <w:color w:val="000000"/>
          <w:u w:val="single"/>
        </w:rPr>
        <w:t>Small Cell Lung Cancer (SCLC)</w:t>
      </w:r>
    </w:p>
    <w:p w14:paraId="2F117797" w14:textId="77777777" w:rsidR="00BA4B04" w:rsidRPr="00BA4B04" w:rsidRDefault="00BA4B04" w:rsidP="00BA4B04">
      <w:pPr>
        <w:spacing w:before="0" w:after="200" w:line="240" w:lineRule="auto"/>
        <w:rPr>
          <w:rFonts w:ascii="Times New Roman" w:eastAsia="Calibri" w:hAnsi="Times New Roman"/>
          <w:color w:val="000000"/>
        </w:rPr>
      </w:pPr>
      <w:r w:rsidRPr="00BA4B04">
        <w:rPr>
          <w:rFonts w:ascii="Times New Roman" w:eastAsia="Calibri" w:hAnsi="Times New Roman"/>
          <w:color w:val="000000"/>
        </w:rPr>
        <w:t xml:space="preserve">The safety of ZEPZELCA was evaluated in a cohort of 105 patients with previously treated SCLC in Study B-005 [see </w:t>
      </w:r>
      <w:r w:rsidRPr="00BA4B04">
        <w:rPr>
          <w:rFonts w:ascii="Times New Roman" w:eastAsia="Calibri" w:hAnsi="Times New Roman"/>
          <w:i/>
          <w:iCs/>
          <w:color w:val="000000"/>
        </w:rPr>
        <w:t>5.1 Pharmacodynamic properties- Clinical studies</w:t>
      </w:r>
      <w:r w:rsidRPr="00BA4B04">
        <w:rPr>
          <w:rFonts w:ascii="Times New Roman" w:eastAsia="Calibri" w:hAnsi="Times New Roman"/>
          <w:color w:val="000000"/>
        </w:rPr>
        <w:t>]. Patients received ZEPZELCA 3.2 mg/m</w:t>
      </w:r>
      <w:r w:rsidRPr="00BA4B04">
        <w:rPr>
          <w:rFonts w:ascii="Times New Roman" w:eastAsia="Calibri" w:hAnsi="Times New Roman"/>
          <w:color w:val="000000"/>
          <w:vertAlign w:val="superscript"/>
        </w:rPr>
        <w:t>2</w:t>
      </w:r>
      <w:r w:rsidRPr="00BA4B04">
        <w:rPr>
          <w:rFonts w:ascii="Times New Roman" w:eastAsia="Calibri" w:hAnsi="Times New Roman"/>
          <w:color w:val="000000"/>
        </w:rPr>
        <w:t xml:space="preserve"> intravenously every 21 days. All patients in this study received a pre-specified anti-emetic regimen consisting of a corticosteroid and serotonin antagonist. Patients could receive G-CSF for secondary prophylaxis (i.e., after patients had a first adverse event of leukopenia), but not primary prophylaxis (</w:t>
      </w:r>
      <w:proofErr w:type="gramStart"/>
      <w:r w:rsidRPr="00BA4B04">
        <w:rPr>
          <w:rFonts w:ascii="Times New Roman" w:eastAsia="Calibri" w:hAnsi="Times New Roman"/>
          <w:color w:val="000000"/>
        </w:rPr>
        <w:t>i.e.</w:t>
      </w:r>
      <w:proofErr w:type="gramEnd"/>
      <w:r w:rsidRPr="00BA4B04">
        <w:rPr>
          <w:rFonts w:ascii="Times New Roman" w:eastAsia="Calibri" w:hAnsi="Times New Roman"/>
          <w:color w:val="000000"/>
        </w:rPr>
        <w:t xml:space="preserve"> prior to any occurrence of leukopenia). Among patients who received ZEPZELCA, 29% were exposed for 6 months or longer and 6% were exposed for greater than one year.</w:t>
      </w:r>
    </w:p>
    <w:p w14:paraId="4C259852" w14:textId="77777777" w:rsidR="00BA4B04" w:rsidRPr="00BA4B04" w:rsidRDefault="00BA4B04" w:rsidP="00BA4B04">
      <w:pPr>
        <w:spacing w:before="0" w:after="200" w:line="240" w:lineRule="auto"/>
        <w:rPr>
          <w:rFonts w:ascii="Times New Roman" w:eastAsia="Calibri" w:hAnsi="Times New Roman"/>
          <w:color w:val="000000"/>
        </w:rPr>
      </w:pPr>
      <w:r w:rsidRPr="00BA4B04">
        <w:rPr>
          <w:rFonts w:ascii="Times New Roman" w:eastAsia="Calibri" w:hAnsi="Times New Roman"/>
          <w:color w:val="000000"/>
        </w:rPr>
        <w:t>Serious adverse reactions occurred in 34% of patients who received ZEPZELCA. Serious adverse reactions in ≥3% of patients included pneumonia, febrile neutropenia, neutropenia, respiratory tract infection, anaemia, dyspnoea, and thrombocytopenia.</w:t>
      </w:r>
    </w:p>
    <w:p w14:paraId="59517208" w14:textId="77777777" w:rsidR="00BA4B04" w:rsidRPr="00BA4B04" w:rsidRDefault="00BA4B04" w:rsidP="00BA4B04">
      <w:pPr>
        <w:spacing w:before="0" w:after="200" w:line="240" w:lineRule="auto"/>
        <w:rPr>
          <w:rFonts w:ascii="Times New Roman" w:eastAsia="Calibri" w:hAnsi="Times New Roman"/>
          <w:color w:val="000000"/>
        </w:rPr>
      </w:pPr>
      <w:r w:rsidRPr="00BA4B04">
        <w:rPr>
          <w:rFonts w:ascii="Times New Roman" w:eastAsia="Calibri" w:hAnsi="Times New Roman"/>
          <w:color w:val="000000"/>
        </w:rPr>
        <w:lastRenderedPageBreak/>
        <w:t>Permanent discontinuation due to an adverse reaction occurred in two patients (1.9%) who received ZEPZELCA. Adverse reactions resulting in permanent discontinuation in ≥1% of patients who received ZEPZELCA, which included peripheral neuropathy and myelosuppression.</w:t>
      </w:r>
    </w:p>
    <w:p w14:paraId="24907A7E" w14:textId="77777777" w:rsidR="00BA4B04" w:rsidRPr="00BA4B04" w:rsidRDefault="00BA4B04" w:rsidP="00BA4B04">
      <w:pPr>
        <w:spacing w:before="0" w:after="200" w:line="240" w:lineRule="auto"/>
        <w:rPr>
          <w:rFonts w:ascii="Times New Roman" w:eastAsia="Calibri" w:hAnsi="Times New Roman"/>
          <w:color w:val="000000"/>
        </w:rPr>
      </w:pPr>
      <w:r w:rsidRPr="00BA4B04">
        <w:rPr>
          <w:rFonts w:ascii="Times New Roman" w:eastAsia="Calibri" w:hAnsi="Times New Roman"/>
          <w:color w:val="000000"/>
        </w:rPr>
        <w:t xml:space="preserve">Dosage interruptions due to an adverse reaction occurred in 30.5% of patients who received ZEPZELCA. Adverse reactions requiring dosage interruption in ≥3% of patients who received ZEPZELCA included neutropenia, and </w:t>
      </w:r>
      <w:proofErr w:type="spellStart"/>
      <w:r w:rsidRPr="00BA4B04">
        <w:rPr>
          <w:rFonts w:ascii="Times New Roman" w:eastAsia="Calibri" w:hAnsi="Times New Roman"/>
          <w:color w:val="000000"/>
        </w:rPr>
        <w:t>hypoalbuminaemia</w:t>
      </w:r>
      <w:proofErr w:type="spellEnd"/>
      <w:r w:rsidRPr="00BA4B04">
        <w:rPr>
          <w:rFonts w:ascii="Times New Roman" w:eastAsia="Calibri" w:hAnsi="Times New Roman"/>
          <w:color w:val="000000"/>
        </w:rPr>
        <w:t>.</w:t>
      </w:r>
    </w:p>
    <w:p w14:paraId="55B80897" w14:textId="77777777" w:rsidR="00BA4B04" w:rsidRPr="00BA4B04" w:rsidRDefault="00BA4B04" w:rsidP="00BA4B04">
      <w:pPr>
        <w:spacing w:before="0" w:after="200" w:line="240" w:lineRule="auto"/>
        <w:rPr>
          <w:rFonts w:ascii="Times New Roman" w:eastAsia="Calibri" w:hAnsi="Times New Roman"/>
          <w:color w:val="000000"/>
        </w:rPr>
      </w:pPr>
      <w:r w:rsidRPr="00BA4B04">
        <w:rPr>
          <w:rFonts w:ascii="Times New Roman" w:eastAsia="Calibri" w:hAnsi="Times New Roman"/>
          <w:color w:val="000000"/>
        </w:rPr>
        <w:t xml:space="preserve">Dose reductions due to an adverse reaction occurred in 25% of patients who received ZEPZELCA. Adverse reactions requiring dosage reductions in ≥3% of patients who received ZEPZELCA included neutropenia, febrile </w:t>
      </w:r>
      <w:proofErr w:type="gramStart"/>
      <w:r w:rsidRPr="00BA4B04">
        <w:rPr>
          <w:rFonts w:ascii="Times New Roman" w:eastAsia="Calibri" w:hAnsi="Times New Roman"/>
          <w:color w:val="000000"/>
        </w:rPr>
        <w:t>neutropenia</w:t>
      </w:r>
      <w:proofErr w:type="gramEnd"/>
      <w:r w:rsidRPr="00BA4B04">
        <w:rPr>
          <w:rFonts w:ascii="Times New Roman" w:eastAsia="Calibri" w:hAnsi="Times New Roman"/>
          <w:color w:val="000000"/>
        </w:rPr>
        <w:t xml:space="preserve"> and fatigue.</w:t>
      </w:r>
    </w:p>
    <w:p w14:paraId="102E7A60" w14:textId="77777777" w:rsidR="00BA4B04" w:rsidRPr="00BA4B04" w:rsidRDefault="00BA4B04" w:rsidP="00BA4B04">
      <w:pPr>
        <w:spacing w:before="0" w:after="200" w:line="240" w:lineRule="auto"/>
        <w:rPr>
          <w:rFonts w:ascii="Times New Roman" w:eastAsia="Calibri" w:hAnsi="Times New Roman"/>
          <w:color w:val="000000"/>
        </w:rPr>
      </w:pPr>
      <w:r w:rsidRPr="00BA4B04">
        <w:rPr>
          <w:rFonts w:ascii="Times New Roman" w:eastAsia="Calibri" w:hAnsi="Times New Roman"/>
          <w:color w:val="000000"/>
        </w:rPr>
        <w:t>The most common adverse reactions, including laboratory abnormalities, (≥20%) were leukopenia, lymphopenia, fatigue, anaemia, neutropenia, increased creatinine, increased alanine aminotransferase, increased glucose, thrombocytopenia, nausea, decreased appetite, musculoskeletal pain, decreased albumin, constipation, dyspnoea, decreased sodium, increased aspartate aminotransferase, vomiting, cough, decreased magnesium and diarrhoea.</w:t>
      </w:r>
    </w:p>
    <w:p w14:paraId="62196F78" w14:textId="77777777" w:rsidR="00BA4B04" w:rsidRPr="00BA4B04" w:rsidRDefault="00BA4B04" w:rsidP="00BA4B04">
      <w:pPr>
        <w:widowControl w:val="0"/>
        <w:autoSpaceDE w:val="0"/>
        <w:autoSpaceDN w:val="0"/>
        <w:spacing w:before="0" w:after="0" w:line="240" w:lineRule="auto"/>
        <w:rPr>
          <w:rFonts w:ascii="Times New Roman" w:eastAsia="Times New Roman" w:hAnsi="Times New Roman"/>
          <w:lang w:val="en-US"/>
        </w:rPr>
      </w:pPr>
      <w:r w:rsidRPr="00BA4B04">
        <w:rPr>
          <w:rFonts w:ascii="Times New Roman" w:eastAsia="Times New Roman" w:hAnsi="Times New Roman"/>
          <w:color w:val="000000"/>
          <w:lang w:val="en-US"/>
        </w:rPr>
        <w:t xml:space="preserve">The most common adverse reactions, and selected laboratory abnormalities that occurred in the SCLC cohort of Study B-005 are </w:t>
      </w:r>
      <w:proofErr w:type="spellStart"/>
      <w:r w:rsidRPr="00BA4B04">
        <w:rPr>
          <w:rFonts w:ascii="Times New Roman" w:eastAsia="Times New Roman" w:hAnsi="Times New Roman"/>
          <w:color w:val="000000"/>
          <w:lang w:val="en-US"/>
        </w:rPr>
        <w:t>summarised</w:t>
      </w:r>
      <w:proofErr w:type="spellEnd"/>
      <w:r w:rsidRPr="00BA4B04">
        <w:rPr>
          <w:rFonts w:ascii="Times New Roman" w:eastAsia="Times New Roman" w:hAnsi="Times New Roman"/>
          <w:color w:val="000000"/>
          <w:lang w:val="en-US"/>
        </w:rPr>
        <w:t xml:space="preserve"> in </w:t>
      </w:r>
      <w:r w:rsidRPr="00BA4B04">
        <w:rPr>
          <w:rFonts w:ascii="Times New Roman" w:eastAsia="Times New Roman" w:hAnsi="Times New Roman"/>
          <w:color w:val="0432FF"/>
          <w:lang w:val="en-US"/>
        </w:rPr>
        <w:fldChar w:fldCharType="begin"/>
      </w:r>
      <w:r w:rsidRPr="00BA4B04">
        <w:rPr>
          <w:rFonts w:ascii="Times New Roman" w:eastAsia="Times New Roman" w:hAnsi="Times New Roman"/>
          <w:color w:val="0432FF"/>
          <w:lang w:val="en-US"/>
        </w:rPr>
        <w:instrText xml:space="preserve"> REF _Ref80265415 \h  \* MERGEFORMAT </w:instrText>
      </w:r>
      <w:r w:rsidRPr="00BA4B04">
        <w:rPr>
          <w:rFonts w:ascii="Times New Roman" w:eastAsia="Times New Roman" w:hAnsi="Times New Roman"/>
          <w:color w:val="0432FF"/>
          <w:lang w:val="en-US"/>
        </w:rPr>
      </w:r>
      <w:r w:rsidRPr="00BA4B04">
        <w:rPr>
          <w:rFonts w:ascii="Times New Roman" w:eastAsia="Times New Roman" w:hAnsi="Times New Roman"/>
          <w:color w:val="0432FF"/>
          <w:lang w:val="en-US"/>
        </w:rPr>
        <w:fldChar w:fldCharType="separate"/>
      </w:r>
      <w:r w:rsidRPr="00BA4B04">
        <w:rPr>
          <w:rFonts w:ascii="Times New Roman" w:eastAsia="Times New Roman" w:hAnsi="Times New Roman"/>
          <w:color w:val="0432FF"/>
          <w:lang w:val="en-US"/>
        </w:rPr>
        <w:t>Table 3</w:t>
      </w:r>
      <w:r w:rsidRPr="00BA4B04">
        <w:rPr>
          <w:rFonts w:ascii="Times New Roman" w:eastAsia="Times New Roman" w:hAnsi="Times New Roman"/>
          <w:color w:val="0432FF"/>
          <w:lang w:val="en-US"/>
        </w:rPr>
        <w:fldChar w:fldCharType="end"/>
      </w:r>
      <w:r w:rsidRPr="00BA4B04">
        <w:rPr>
          <w:rFonts w:ascii="Times New Roman" w:eastAsia="Times New Roman" w:hAnsi="Times New Roman"/>
          <w:color w:val="000000"/>
          <w:sz w:val="24"/>
          <w:szCs w:val="24"/>
          <w:lang w:val="en-US"/>
        </w:rPr>
        <w:t xml:space="preserve"> </w:t>
      </w:r>
      <w:r w:rsidRPr="00BA4B04">
        <w:rPr>
          <w:rFonts w:ascii="Times New Roman" w:eastAsia="Times New Roman" w:hAnsi="Times New Roman"/>
          <w:color w:val="000000"/>
          <w:lang w:val="en-US"/>
        </w:rPr>
        <w:t xml:space="preserve">and </w:t>
      </w:r>
      <w:r w:rsidRPr="00BA4B04">
        <w:rPr>
          <w:rFonts w:ascii="Times New Roman" w:eastAsia="Times New Roman" w:hAnsi="Times New Roman"/>
          <w:color w:val="0432FF"/>
          <w:lang w:val="en-US"/>
        </w:rPr>
        <w:fldChar w:fldCharType="begin"/>
      </w:r>
      <w:r w:rsidRPr="00BA4B04">
        <w:rPr>
          <w:rFonts w:ascii="Times New Roman" w:eastAsia="Times New Roman" w:hAnsi="Times New Roman"/>
          <w:color w:val="0432FF"/>
          <w:lang w:val="en-US"/>
        </w:rPr>
        <w:instrText xml:space="preserve"> REF _Ref80265837 \h  \* MERGEFORMAT </w:instrText>
      </w:r>
      <w:r w:rsidRPr="00BA4B04">
        <w:rPr>
          <w:rFonts w:ascii="Times New Roman" w:eastAsia="Times New Roman" w:hAnsi="Times New Roman"/>
          <w:color w:val="0432FF"/>
          <w:lang w:val="en-US"/>
        </w:rPr>
      </w:r>
      <w:r w:rsidRPr="00BA4B04">
        <w:rPr>
          <w:rFonts w:ascii="Times New Roman" w:eastAsia="Times New Roman" w:hAnsi="Times New Roman"/>
          <w:color w:val="0432FF"/>
          <w:lang w:val="en-US"/>
        </w:rPr>
        <w:fldChar w:fldCharType="separate"/>
      </w:r>
      <w:r w:rsidRPr="00BA4B04">
        <w:rPr>
          <w:rFonts w:ascii="Times New Roman" w:eastAsia="Times New Roman" w:hAnsi="Times New Roman"/>
          <w:color w:val="0432FF"/>
          <w:lang w:val="en-US"/>
        </w:rPr>
        <w:t>Table 4</w:t>
      </w:r>
      <w:r w:rsidRPr="00BA4B04">
        <w:rPr>
          <w:rFonts w:ascii="Times New Roman" w:eastAsia="Times New Roman" w:hAnsi="Times New Roman"/>
          <w:color w:val="0432FF"/>
          <w:lang w:val="en-US"/>
        </w:rPr>
        <w:fldChar w:fldCharType="end"/>
      </w:r>
      <w:r w:rsidRPr="00BA4B04">
        <w:rPr>
          <w:rFonts w:ascii="Times New Roman" w:eastAsia="Times New Roman" w:hAnsi="Times New Roman"/>
          <w:lang w:val="en-US"/>
        </w:rPr>
        <w:t>, respectively.</w:t>
      </w:r>
    </w:p>
    <w:p w14:paraId="04D62A16" w14:textId="77777777" w:rsidR="00BA4B04" w:rsidRPr="00BA4B04" w:rsidRDefault="00BA4B04" w:rsidP="00BA4B04">
      <w:pPr>
        <w:spacing w:before="0" w:after="200" w:line="240" w:lineRule="auto"/>
        <w:rPr>
          <w:rFonts w:ascii="Times New Roman" w:eastAsia="Calibri" w:hAnsi="Times New Roman"/>
          <w:color w:val="000000"/>
        </w:rPr>
      </w:pPr>
    </w:p>
    <w:p w14:paraId="27193927" w14:textId="77777777" w:rsidR="00BA4B04" w:rsidRPr="00BA4B04" w:rsidRDefault="00BA4B04" w:rsidP="00BA4B04">
      <w:pPr>
        <w:keepNext/>
        <w:spacing w:line="280" w:lineRule="atLeast"/>
        <w:ind w:left="1418" w:hanging="1418"/>
        <w:rPr>
          <w:rFonts w:ascii="Times New Roman" w:eastAsia="Times New Roman" w:hAnsi="Times New Roman"/>
          <w:b/>
          <w:bCs/>
          <w:sz w:val="24"/>
          <w:szCs w:val="24"/>
          <w:lang w:val="en-US"/>
        </w:rPr>
      </w:pPr>
      <w:bookmarkStart w:id="101" w:name="_Ref80265415"/>
      <w:r w:rsidRPr="00BA4B04">
        <w:rPr>
          <w:rFonts w:ascii="Times New Roman" w:eastAsia="Times New Roman" w:hAnsi="Times New Roman"/>
          <w:b/>
          <w:bCs/>
          <w:sz w:val="24"/>
          <w:szCs w:val="24"/>
          <w:lang w:val="en-US"/>
        </w:rPr>
        <w:lastRenderedPageBreak/>
        <w:t xml:space="preserve">Table </w:t>
      </w:r>
      <w:r w:rsidRPr="00BA4B04">
        <w:rPr>
          <w:rFonts w:ascii="Times New Roman" w:eastAsia="Times New Roman" w:hAnsi="Times New Roman"/>
          <w:b/>
          <w:bCs/>
          <w:sz w:val="24"/>
          <w:szCs w:val="24"/>
          <w:lang w:val="en-US"/>
        </w:rPr>
        <w:fldChar w:fldCharType="begin"/>
      </w:r>
      <w:r w:rsidRPr="00BA4B04">
        <w:rPr>
          <w:rFonts w:ascii="Times New Roman" w:eastAsia="Times New Roman" w:hAnsi="Times New Roman"/>
          <w:b/>
          <w:bCs/>
          <w:sz w:val="24"/>
          <w:szCs w:val="24"/>
          <w:lang w:val="en-US"/>
        </w:rPr>
        <w:instrText xml:space="preserve"> SEQ Table \* ARABIC </w:instrText>
      </w:r>
      <w:r w:rsidRPr="00BA4B04">
        <w:rPr>
          <w:rFonts w:ascii="Times New Roman" w:eastAsia="Times New Roman" w:hAnsi="Times New Roman"/>
          <w:b/>
          <w:bCs/>
          <w:sz w:val="24"/>
          <w:szCs w:val="24"/>
          <w:lang w:val="en-US"/>
        </w:rPr>
        <w:fldChar w:fldCharType="separate"/>
      </w:r>
      <w:r w:rsidRPr="00BA4B04">
        <w:rPr>
          <w:rFonts w:ascii="Times New Roman" w:eastAsia="Times New Roman" w:hAnsi="Times New Roman"/>
          <w:b/>
          <w:bCs/>
          <w:noProof/>
          <w:sz w:val="24"/>
          <w:szCs w:val="24"/>
          <w:lang w:val="en-US"/>
        </w:rPr>
        <w:t>3</w:t>
      </w:r>
      <w:r w:rsidRPr="00BA4B04">
        <w:rPr>
          <w:rFonts w:ascii="Times New Roman" w:eastAsia="Times New Roman" w:hAnsi="Times New Roman"/>
          <w:b/>
          <w:bCs/>
          <w:sz w:val="24"/>
          <w:szCs w:val="24"/>
          <w:lang w:val="en-US"/>
        </w:rPr>
        <w:fldChar w:fldCharType="end"/>
      </w:r>
      <w:bookmarkEnd w:id="101"/>
      <w:r w:rsidRPr="00BA4B04">
        <w:rPr>
          <w:rFonts w:ascii="Times New Roman" w:eastAsia="Times New Roman" w:hAnsi="Times New Roman"/>
          <w:b/>
          <w:bCs/>
          <w:sz w:val="24"/>
          <w:szCs w:val="24"/>
          <w:lang w:val="en-US"/>
        </w:rPr>
        <w:t>:</w:t>
      </w:r>
      <w:r w:rsidRPr="00BA4B04">
        <w:rPr>
          <w:rFonts w:ascii="Times New Roman" w:eastAsia="Times New Roman" w:hAnsi="Times New Roman"/>
          <w:b/>
          <w:bCs/>
          <w:sz w:val="24"/>
          <w:szCs w:val="24"/>
          <w:lang w:val="en-US"/>
        </w:rPr>
        <w:tab/>
      </w:r>
      <w:r w:rsidRPr="00BA4B04">
        <w:rPr>
          <w:rFonts w:ascii="Times New Roman" w:eastAsia="Times New Roman" w:hAnsi="Times New Roman"/>
          <w:b/>
          <w:bCs/>
          <w:sz w:val="24"/>
          <w:szCs w:val="24"/>
          <w:lang w:val="en-US"/>
        </w:rPr>
        <w:tab/>
        <w:t>Adverse reactions that occurred in at least 10% of patients with SCLC who received ZEPZELCA in Study B-005</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5"/>
        <w:gridCol w:w="1999"/>
        <w:gridCol w:w="2000"/>
      </w:tblGrid>
      <w:tr w:rsidR="00BA4B04" w:rsidRPr="00BA4B04" w14:paraId="2F0AAE7C" w14:textId="77777777" w:rsidTr="00130E1B">
        <w:trPr>
          <w:trHeight w:val="628"/>
        </w:trPr>
        <w:tc>
          <w:tcPr>
            <w:tcW w:w="5215" w:type="dxa"/>
            <w:vMerge w:val="restart"/>
            <w:tcBorders>
              <w:top w:val="single" w:sz="4" w:space="0" w:color="000000"/>
              <w:left w:val="single" w:sz="4" w:space="0" w:color="000000"/>
              <w:bottom w:val="single" w:sz="4" w:space="0" w:color="000000"/>
              <w:right w:val="single" w:sz="4" w:space="0" w:color="000000"/>
            </w:tcBorders>
          </w:tcPr>
          <w:p w14:paraId="0DFEA23B" w14:textId="77777777" w:rsidR="00BA4B04" w:rsidRPr="00BA4B04" w:rsidRDefault="00BA4B04" w:rsidP="00BA4B04">
            <w:pPr>
              <w:keepNext/>
              <w:keepLines/>
              <w:widowControl w:val="0"/>
              <w:autoSpaceDE w:val="0"/>
              <w:autoSpaceDN w:val="0"/>
              <w:spacing w:before="0" w:after="0" w:line="240" w:lineRule="auto"/>
              <w:rPr>
                <w:rFonts w:ascii="Times New Roman" w:eastAsia="Arial" w:hAnsi="Arial" w:cs="Arial"/>
                <w:b/>
                <w:sz w:val="20"/>
                <w:szCs w:val="20"/>
                <w:lang w:val="en-US"/>
              </w:rPr>
            </w:pPr>
          </w:p>
          <w:p w14:paraId="7CA27C6F" w14:textId="77777777" w:rsidR="00BA4B04" w:rsidRPr="00BA4B04" w:rsidRDefault="00BA4B04" w:rsidP="00BA4B04">
            <w:pPr>
              <w:keepNext/>
              <w:keepLines/>
              <w:widowControl w:val="0"/>
              <w:autoSpaceDE w:val="0"/>
              <w:autoSpaceDN w:val="0"/>
              <w:spacing w:before="0" w:after="0" w:line="240" w:lineRule="auto"/>
              <w:ind w:left="107"/>
              <w:rPr>
                <w:rFonts w:ascii="Times New Roman" w:eastAsia="Arial" w:hAnsi="Arial" w:cs="Arial"/>
                <w:b/>
                <w:sz w:val="20"/>
                <w:szCs w:val="20"/>
                <w:lang w:val="en-US"/>
              </w:rPr>
            </w:pPr>
            <w:r w:rsidRPr="00BA4B04">
              <w:rPr>
                <w:rFonts w:ascii="Times New Roman" w:eastAsia="Arial" w:hAnsi="Arial" w:cs="Arial"/>
                <w:b/>
                <w:sz w:val="20"/>
                <w:szCs w:val="20"/>
                <w:lang w:val="en-US"/>
              </w:rPr>
              <w:t>Adverse reaction</w:t>
            </w:r>
          </w:p>
        </w:tc>
        <w:tc>
          <w:tcPr>
            <w:tcW w:w="3999" w:type="dxa"/>
            <w:gridSpan w:val="2"/>
            <w:tcBorders>
              <w:top w:val="single" w:sz="4" w:space="0" w:color="000000"/>
              <w:left w:val="single" w:sz="4" w:space="0" w:color="000000"/>
              <w:bottom w:val="single" w:sz="4" w:space="0" w:color="000000"/>
              <w:right w:val="single" w:sz="4" w:space="0" w:color="000000"/>
            </w:tcBorders>
            <w:hideMark/>
          </w:tcPr>
          <w:p w14:paraId="008CA7B6" w14:textId="77777777" w:rsidR="00BA4B04" w:rsidRPr="00BA4B04" w:rsidRDefault="00BA4B04" w:rsidP="00BA4B04">
            <w:pPr>
              <w:keepNext/>
              <w:keepLines/>
              <w:widowControl w:val="0"/>
              <w:autoSpaceDE w:val="0"/>
              <w:autoSpaceDN w:val="0"/>
              <w:spacing w:before="0" w:after="0" w:line="240" w:lineRule="auto"/>
              <w:ind w:left="1434" w:right="1398"/>
              <w:jc w:val="center"/>
              <w:rPr>
                <w:rFonts w:ascii="Times New Roman" w:eastAsia="Arial" w:hAnsi="Arial" w:cs="Arial"/>
                <w:b/>
                <w:sz w:val="20"/>
                <w:szCs w:val="20"/>
                <w:lang w:val="en-US"/>
              </w:rPr>
            </w:pPr>
            <w:r w:rsidRPr="00BA4B04">
              <w:rPr>
                <w:rFonts w:ascii="Times New Roman" w:eastAsia="Arial" w:hAnsi="Arial" w:cs="Arial"/>
                <w:b/>
                <w:sz w:val="20"/>
                <w:szCs w:val="20"/>
                <w:lang w:val="en-US"/>
              </w:rPr>
              <w:t>ZEPZELCA</w:t>
            </w:r>
            <w:r w:rsidRPr="00BA4B04">
              <w:rPr>
                <w:rFonts w:ascii="Times New Roman" w:eastAsia="Arial" w:hAnsi="Arial" w:cs="Arial"/>
                <w:b/>
                <w:spacing w:val="-57"/>
                <w:sz w:val="20"/>
                <w:szCs w:val="20"/>
                <w:lang w:val="en-US"/>
              </w:rPr>
              <w:t xml:space="preserve"> </w:t>
            </w:r>
            <w:r w:rsidRPr="00BA4B04">
              <w:rPr>
                <w:rFonts w:ascii="Times New Roman" w:eastAsia="Arial" w:hAnsi="Arial" w:cs="Arial"/>
                <w:b/>
                <w:sz w:val="20"/>
                <w:szCs w:val="20"/>
                <w:lang w:val="en-US"/>
              </w:rPr>
              <w:t>(n=105)</w:t>
            </w:r>
          </w:p>
        </w:tc>
      </w:tr>
      <w:tr w:rsidR="00BA4B04" w:rsidRPr="00BA4B04" w14:paraId="7966D1A6" w14:textId="77777777" w:rsidTr="00130E1B">
        <w:trPr>
          <w:trHeight w:val="534"/>
        </w:trPr>
        <w:tc>
          <w:tcPr>
            <w:tcW w:w="5215" w:type="dxa"/>
            <w:vMerge/>
            <w:tcBorders>
              <w:top w:val="single" w:sz="4" w:space="0" w:color="000000"/>
              <w:left w:val="single" w:sz="4" w:space="0" w:color="000000"/>
              <w:bottom w:val="single" w:sz="4" w:space="0" w:color="000000"/>
              <w:right w:val="single" w:sz="4" w:space="0" w:color="000000"/>
            </w:tcBorders>
            <w:vAlign w:val="center"/>
            <w:hideMark/>
          </w:tcPr>
          <w:p w14:paraId="47D49BD2" w14:textId="77777777" w:rsidR="00BA4B04" w:rsidRPr="00BA4B04" w:rsidRDefault="00BA4B04" w:rsidP="00BA4B04">
            <w:pPr>
              <w:keepNext/>
              <w:keepLines/>
              <w:spacing w:before="0" w:after="200" w:line="276" w:lineRule="auto"/>
              <w:rPr>
                <w:rFonts w:ascii="Times New Roman" w:eastAsia="Arial" w:hAnsi="Arial" w:cs="Arial"/>
                <w:b/>
                <w:sz w:val="20"/>
                <w:szCs w:val="20"/>
                <w:lang w:val="en-US"/>
              </w:rPr>
            </w:pPr>
          </w:p>
        </w:tc>
        <w:tc>
          <w:tcPr>
            <w:tcW w:w="1999" w:type="dxa"/>
            <w:tcBorders>
              <w:top w:val="single" w:sz="4" w:space="0" w:color="000000"/>
              <w:left w:val="single" w:sz="4" w:space="0" w:color="000000"/>
              <w:bottom w:val="single" w:sz="4" w:space="0" w:color="000000"/>
              <w:right w:val="single" w:sz="4" w:space="0" w:color="000000"/>
            </w:tcBorders>
            <w:hideMark/>
          </w:tcPr>
          <w:p w14:paraId="426AA549" w14:textId="77777777" w:rsidR="00BA4B04" w:rsidRPr="00BA4B04" w:rsidRDefault="00BA4B04" w:rsidP="00BA4B04">
            <w:pPr>
              <w:keepNext/>
              <w:keepLines/>
              <w:widowControl w:val="0"/>
              <w:autoSpaceDE w:val="0"/>
              <w:autoSpaceDN w:val="0"/>
              <w:spacing w:before="0" w:after="0" w:line="240" w:lineRule="auto"/>
              <w:ind w:left="179" w:right="171"/>
              <w:jc w:val="center"/>
              <w:rPr>
                <w:rFonts w:ascii="Times New Roman" w:eastAsia="Arial" w:hAnsi="Arial" w:cs="Arial"/>
                <w:b/>
                <w:sz w:val="20"/>
                <w:szCs w:val="20"/>
                <w:lang w:val="en-US"/>
              </w:rPr>
            </w:pPr>
            <w:r w:rsidRPr="00BA4B04">
              <w:rPr>
                <w:rFonts w:ascii="Times New Roman" w:eastAsia="Arial" w:hAnsi="Arial" w:cs="Arial"/>
                <w:b/>
                <w:sz w:val="20"/>
                <w:szCs w:val="20"/>
                <w:lang w:val="en-US"/>
              </w:rPr>
              <w:t>All</w:t>
            </w:r>
            <w:r w:rsidRPr="00BA4B04">
              <w:rPr>
                <w:rFonts w:ascii="Times New Roman" w:eastAsia="Arial" w:hAnsi="Arial" w:cs="Arial"/>
                <w:b/>
                <w:spacing w:val="-3"/>
                <w:sz w:val="20"/>
                <w:szCs w:val="20"/>
                <w:lang w:val="en-US"/>
              </w:rPr>
              <w:t xml:space="preserve"> </w:t>
            </w:r>
            <w:proofErr w:type="spellStart"/>
            <w:proofErr w:type="gramStart"/>
            <w:r w:rsidRPr="00BA4B04">
              <w:rPr>
                <w:rFonts w:ascii="Times New Roman" w:eastAsia="Arial" w:hAnsi="Arial" w:cs="Arial"/>
                <w:b/>
                <w:sz w:val="20"/>
                <w:szCs w:val="20"/>
                <w:lang w:val="en-US"/>
              </w:rPr>
              <w:t>Grades</w:t>
            </w:r>
            <w:r w:rsidRPr="00BA4B04">
              <w:rPr>
                <w:rFonts w:ascii="Times New Roman" w:eastAsia="Arial" w:hAnsi="Arial" w:cs="Arial"/>
                <w:sz w:val="20"/>
                <w:szCs w:val="20"/>
                <w:vertAlign w:val="superscript"/>
                <w:lang w:val="en-US"/>
              </w:rPr>
              <w:t>a,b</w:t>
            </w:r>
            <w:proofErr w:type="spellEnd"/>
            <w:proofErr w:type="gramEnd"/>
            <w:r w:rsidRPr="00BA4B04">
              <w:rPr>
                <w:rFonts w:ascii="Times New Roman" w:eastAsia="Arial" w:hAnsi="Arial" w:cs="Arial"/>
                <w:spacing w:val="-2"/>
                <w:sz w:val="20"/>
                <w:szCs w:val="20"/>
                <w:lang w:val="en-US"/>
              </w:rPr>
              <w:t xml:space="preserve"> </w:t>
            </w:r>
            <w:r w:rsidRPr="00BA4B04">
              <w:rPr>
                <w:rFonts w:ascii="Times New Roman" w:eastAsia="Arial" w:hAnsi="Arial" w:cs="Arial"/>
                <w:b/>
                <w:sz w:val="20"/>
                <w:szCs w:val="20"/>
                <w:lang w:val="en-US"/>
              </w:rPr>
              <w:t>(%)</w:t>
            </w:r>
          </w:p>
        </w:tc>
        <w:tc>
          <w:tcPr>
            <w:tcW w:w="2000" w:type="dxa"/>
            <w:tcBorders>
              <w:top w:val="single" w:sz="4" w:space="0" w:color="000000"/>
              <w:left w:val="single" w:sz="4" w:space="0" w:color="000000"/>
              <w:bottom w:val="single" w:sz="4" w:space="0" w:color="000000"/>
              <w:right w:val="single" w:sz="4" w:space="0" w:color="000000"/>
            </w:tcBorders>
            <w:hideMark/>
          </w:tcPr>
          <w:p w14:paraId="1053C986" w14:textId="77777777" w:rsidR="00BA4B04" w:rsidRPr="00BA4B04" w:rsidRDefault="00BA4B04" w:rsidP="00BA4B04">
            <w:pPr>
              <w:keepNext/>
              <w:keepLines/>
              <w:widowControl w:val="0"/>
              <w:autoSpaceDE w:val="0"/>
              <w:autoSpaceDN w:val="0"/>
              <w:spacing w:before="0" w:after="0" w:line="240" w:lineRule="auto"/>
              <w:ind w:left="178" w:right="149"/>
              <w:jc w:val="center"/>
              <w:rPr>
                <w:rFonts w:ascii="Times New Roman" w:eastAsia="Arial" w:hAnsi="Arial" w:cs="Arial"/>
                <w:b/>
                <w:sz w:val="20"/>
                <w:szCs w:val="20"/>
                <w:lang w:val="en-US"/>
              </w:rPr>
            </w:pPr>
            <w:r w:rsidRPr="00BA4B04">
              <w:rPr>
                <w:rFonts w:ascii="Times New Roman" w:eastAsia="Arial" w:hAnsi="Arial" w:cs="Arial"/>
                <w:b/>
                <w:spacing w:val="-1"/>
                <w:sz w:val="20"/>
                <w:szCs w:val="20"/>
                <w:lang w:val="en-US"/>
              </w:rPr>
              <w:t>Grades</w:t>
            </w:r>
            <w:r w:rsidRPr="00BA4B04">
              <w:rPr>
                <w:rFonts w:ascii="Times New Roman" w:eastAsia="Arial" w:hAnsi="Arial" w:cs="Arial"/>
                <w:b/>
                <w:spacing w:val="1"/>
                <w:sz w:val="20"/>
                <w:szCs w:val="20"/>
                <w:lang w:val="en-US"/>
              </w:rPr>
              <w:t xml:space="preserve"> </w:t>
            </w:r>
            <w:r w:rsidRPr="00BA4B04">
              <w:rPr>
                <w:rFonts w:ascii="Times New Roman" w:eastAsia="Arial" w:hAnsi="Arial" w:cs="Arial"/>
                <w:b/>
                <w:sz w:val="20"/>
                <w:szCs w:val="20"/>
                <w:lang w:val="en-US"/>
              </w:rPr>
              <w:t>3-4</w:t>
            </w:r>
            <w:r w:rsidRPr="00BA4B04">
              <w:rPr>
                <w:rFonts w:ascii="Times New Roman" w:eastAsia="Arial" w:hAnsi="Arial" w:cs="Arial"/>
                <w:b/>
                <w:spacing w:val="-22"/>
                <w:sz w:val="20"/>
                <w:szCs w:val="20"/>
                <w:lang w:val="en-US"/>
              </w:rPr>
              <w:t xml:space="preserve"> </w:t>
            </w:r>
            <w:r w:rsidRPr="00BA4B04">
              <w:rPr>
                <w:rFonts w:ascii="Times New Roman" w:eastAsia="Arial" w:hAnsi="Arial" w:cs="Arial"/>
                <w:b/>
                <w:sz w:val="20"/>
                <w:szCs w:val="20"/>
                <w:lang w:val="en-US"/>
              </w:rPr>
              <w:t>(%)</w:t>
            </w:r>
          </w:p>
        </w:tc>
      </w:tr>
      <w:tr w:rsidR="00BA4B04" w:rsidRPr="00BA4B04" w14:paraId="3E5AFADF" w14:textId="77777777" w:rsidTr="00130E1B">
        <w:trPr>
          <w:trHeight w:val="276"/>
        </w:trPr>
        <w:tc>
          <w:tcPr>
            <w:tcW w:w="9214" w:type="dxa"/>
            <w:gridSpan w:val="3"/>
            <w:tcBorders>
              <w:top w:val="single" w:sz="4" w:space="0" w:color="000000"/>
              <w:left w:val="single" w:sz="4" w:space="0" w:color="000000"/>
              <w:bottom w:val="single" w:sz="4" w:space="0" w:color="000000"/>
              <w:right w:val="single" w:sz="4" w:space="0" w:color="000000"/>
            </w:tcBorders>
            <w:hideMark/>
          </w:tcPr>
          <w:p w14:paraId="7885C171" w14:textId="77777777" w:rsidR="00BA4B04" w:rsidRPr="00BA4B04" w:rsidRDefault="00BA4B04" w:rsidP="00BA4B04">
            <w:pPr>
              <w:keepNext/>
              <w:keepLines/>
              <w:widowControl w:val="0"/>
              <w:autoSpaceDE w:val="0"/>
              <w:autoSpaceDN w:val="0"/>
              <w:spacing w:before="0" w:after="0" w:line="240" w:lineRule="auto"/>
              <w:rPr>
                <w:rFonts w:ascii="Times New Roman" w:eastAsia="Arial" w:hAnsi="Arial" w:cs="Arial"/>
                <w:sz w:val="20"/>
                <w:szCs w:val="20"/>
                <w:lang w:val="en-US"/>
              </w:rPr>
            </w:pPr>
            <w:r w:rsidRPr="00BA4B04">
              <w:rPr>
                <w:rFonts w:ascii="Times New Roman" w:eastAsia="Arial" w:hAnsi="Arial" w:cs="Arial"/>
                <w:b/>
                <w:sz w:val="20"/>
                <w:szCs w:val="20"/>
                <w:lang w:val="en-US"/>
              </w:rPr>
              <w:t>General</w:t>
            </w:r>
            <w:r w:rsidRPr="00BA4B04">
              <w:rPr>
                <w:rFonts w:ascii="Times New Roman" w:eastAsia="Arial" w:hAnsi="Arial" w:cs="Arial"/>
                <w:b/>
                <w:spacing w:val="-2"/>
                <w:sz w:val="20"/>
                <w:szCs w:val="20"/>
                <w:lang w:val="en-US"/>
              </w:rPr>
              <w:t xml:space="preserve"> </w:t>
            </w:r>
            <w:r w:rsidRPr="00BA4B04">
              <w:rPr>
                <w:rFonts w:ascii="Times New Roman" w:eastAsia="Arial" w:hAnsi="Arial" w:cs="Arial"/>
                <w:b/>
                <w:sz w:val="20"/>
                <w:szCs w:val="20"/>
                <w:lang w:val="en-US"/>
              </w:rPr>
              <w:t>disorders</w:t>
            </w:r>
          </w:p>
        </w:tc>
      </w:tr>
      <w:tr w:rsidR="00BA4B04" w:rsidRPr="00BA4B04" w14:paraId="6CC0996F"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4357095D"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Fatigue</w:t>
            </w:r>
          </w:p>
        </w:tc>
        <w:tc>
          <w:tcPr>
            <w:tcW w:w="1999" w:type="dxa"/>
            <w:tcBorders>
              <w:top w:val="single" w:sz="4" w:space="0" w:color="000000"/>
              <w:left w:val="single" w:sz="4" w:space="0" w:color="000000"/>
              <w:bottom w:val="single" w:sz="4" w:space="0" w:color="000000"/>
              <w:right w:val="single" w:sz="4" w:space="0" w:color="000000"/>
            </w:tcBorders>
            <w:hideMark/>
          </w:tcPr>
          <w:p w14:paraId="7D0F1224"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77</w:t>
            </w:r>
          </w:p>
        </w:tc>
        <w:tc>
          <w:tcPr>
            <w:tcW w:w="2000" w:type="dxa"/>
            <w:tcBorders>
              <w:top w:val="single" w:sz="4" w:space="0" w:color="000000"/>
              <w:left w:val="single" w:sz="4" w:space="0" w:color="000000"/>
              <w:bottom w:val="single" w:sz="4" w:space="0" w:color="000000"/>
              <w:right w:val="single" w:sz="4" w:space="0" w:color="000000"/>
            </w:tcBorders>
            <w:hideMark/>
          </w:tcPr>
          <w:p w14:paraId="4637FBB8" w14:textId="77777777" w:rsidR="00BA4B04" w:rsidRPr="00BA4B04" w:rsidRDefault="00BA4B04" w:rsidP="00BA4B04">
            <w:pPr>
              <w:keepNext/>
              <w:keepLines/>
              <w:widowControl w:val="0"/>
              <w:autoSpaceDE w:val="0"/>
              <w:autoSpaceDN w:val="0"/>
              <w:spacing w:before="0" w:after="0" w:line="255" w:lineRule="exact"/>
              <w:ind w:left="178" w:right="168"/>
              <w:jc w:val="center"/>
              <w:rPr>
                <w:rFonts w:ascii="Times New Roman" w:eastAsia="Arial" w:hAnsi="Arial" w:cs="Arial"/>
                <w:sz w:val="20"/>
                <w:szCs w:val="20"/>
                <w:lang w:val="en-US"/>
              </w:rPr>
            </w:pPr>
            <w:r w:rsidRPr="00BA4B04">
              <w:rPr>
                <w:rFonts w:ascii="Times New Roman" w:eastAsia="Arial" w:hAnsi="Arial" w:cs="Arial"/>
                <w:sz w:val="20"/>
                <w:szCs w:val="20"/>
                <w:lang w:val="en-US"/>
              </w:rPr>
              <w:t>12</w:t>
            </w:r>
          </w:p>
        </w:tc>
      </w:tr>
      <w:tr w:rsidR="00BA4B04" w:rsidRPr="00BA4B04" w14:paraId="56BD947F"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33CB1E20"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Pyrexia</w:t>
            </w:r>
          </w:p>
        </w:tc>
        <w:tc>
          <w:tcPr>
            <w:tcW w:w="1999" w:type="dxa"/>
            <w:tcBorders>
              <w:top w:val="single" w:sz="4" w:space="0" w:color="000000"/>
              <w:left w:val="single" w:sz="4" w:space="0" w:color="000000"/>
              <w:bottom w:val="single" w:sz="4" w:space="0" w:color="000000"/>
              <w:right w:val="single" w:sz="4" w:space="0" w:color="000000"/>
            </w:tcBorders>
            <w:hideMark/>
          </w:tcPr>
          <w:p w14:paraId="124F938F"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13</w:t>
            </w:r>
          </w:p>
        </w:tc>
        <w:tc>
          <w:tcPr>
            <w:tcW w:w="2000" w:type="dxa"/>
            <w:tcBorders>
              <w:top w:val="single" w:sz="4" w:space="0" w:color="000000"/>
              <w:left w:val="single" w:sz="4" w:space="0" w:color="000000"/>
              <w:bottom w:val="single" w:sz="4" w:space="0" w:color="000000"/>
              <w:right w:val="single" w:sz="4" w:space="0" w:color="000000"/>
            </w:tcBorders>
            <w:hideMark/>
          </w:tcPr>
          <w:p w14:paraId="11DC97F0"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0</w:t>
            </w:r>
          </w:p>
        </w:tc>
      </w:tr>
      <w:tr w:rsidR="00BA4B04" w:rsidRPr="00BA4B04" w14:paraId="4C7C678C"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41F6C2D3" w14:textId="77777777" w:rsidR="00BA4B04" w:rsidRPr="00BA4B04" w:rsidRDefault="00BA4B04" w:rsidP="00BA4B04">
            <w:pPr>
              <w:keepNext/>
              <w:keepLines/>
              <w:widowControl w:val="0"/>
              <w:autoSpaceDE w:val="0"/>
              <w:autoSpaceDN w:val="0"/>
              <w:spacing w:before="1"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Chest pain</w:t>
            </w:r>
          </w:p>
        </w:tc>
        <w:tc>
          <w:tcPr>
            <w:tcW w:w="1999" w:type="dxa"/>
            <w:tcBorders>
              <w:top w:val="single" w:sz="4" w:space="0" w:color="000000"/>
              <w:left w:val="single" w:sz="4" w:space="0" w:color="000000"/>
              <w:bottom w:val="single" w:sz="4" w:space="0" w:color="000000"/>
              <w:right w:val="single" w:sz="4" w:space="0" w:color="000000"/>
            </w:tcBorders>
            <w:hideMark/>
          </w:tcPr>
          <w:p w14:paraId="329CE7B4" w14:textId="77777777" w:rsidR="00BA4B04" w:rsidRPr="00BA4B04" w:rsidRDefault="00BA4B04" w:rsidP="00BA4B04">
            <w:pPr>
              <w:keepNext/>
              <w:keepLines/>
              <w:widowControl w:val="0"/>
              <w:autoSpaceDE w:val="0"/>
              <w:autoSpaceDN w:val="0"/>
              <w:spacing w:before="1"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10</w:t>
            </w:r>
          </w:p>
        </w:tc>
        <w:tc>
          <w:tcPr>
            <w:tcW w:w="2000" w:type="dxa"/>
            <w:tcBorders>
              <w:top w:val="single" w:sz="4" w:space="0" w:color="000000"/>
              <w:left w:val="single" w:sz="4" w:space="0" w:color="000000"/>
              <w:bottom w:val="single" w:sz="4" w:space="0" w:color="000000"/>
              <w:right w:val="single" w:sz="4" w:space="0" w:color="000000"/>
            </w:tcBorders>
            <w:hideMark/>
          </w:tcPr>
          <w:p w14:paraId="4871B011" w14:textId="77777777" w:rsidR="00BA4B04" w:rsidRPr="00BA4B04" w:rsidRDefault="00BA4B04" w:rsidP="00BA4B04">
            <w:pPr>
              <w:keepNext/>
              <w:keepLines/>
              <w:widowControl w:val="0"/>
              <w:autoSpaceDE w:val="0"/>
              <w:autoSpaceDN w:val="0"/>
              <w:spacing w:before="1"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0</w:t>
            </w:r>
          </w:p>
        </w:tc>
      </w:tr>
      <w:tr w:rsidR="00BA4B04" w:rsidRPr="00BA4B04" w14:paraId="3C4DD46E" w14:textId="77777777" w:rsidTr="00130E1B">
        <w:trPr>
          <w:trHeight w:val="275"/>
        </w:trPr>
        <w:tc>
          <w:tcPr>
            <w:tcW w:w="9214" w:type="dxa"/>
            <w:gridSpan w:val="3"/>
            <w:tcBorders>
              <w:top w:val="single" w:sz="4" w:space="0" w:color="000000"/>
              <w:left w:val="single" w:sz="4" w:space="0" w:color="000000"/>
              <w:bottom w:val="single" w:sz="4" w:space="0" w:color="000000"/>
              <w:right w:val="single" w:sz="4" w:space="0" w:color="000000"/>
            </w:tcBorders>
            <w:hideMark/>
          </w:tcPr>
          <w:p w14:paraId="5B9D4ADD" w14:textId="77777777" w:rsidR="00BA4B04" w:rsidRPr="00BA4B04" w:rsidRDefault="00BA4B04" w:rsidP="00BA4B04">
            <w:pPr>
              <w:keepNext/>
              <w:keepLines/>
              <w:widowControl w:val="0"/>
              <w:autoSpaceDE w:val="0"/>
              <w:autoSpaceDN w:val="0"/>
              <w:spacing w:before="0" w:after="0" w:line="240" w:lineRule="auto"/>
              <w:rPr>
                <w:rFonts w:ascii="Times New Roman" w:eastAsia="Arial" w:hAnsi="Arial" w:cs="Arial"/>
                <w:sz w:val="20"/>
                <w:szCs w:val="20"/>
                <w:lang w:val="en-US"/>
              </w:rPr>
            </w:pPr>
            <w:r w:rsidRPr="00BA4B04">
              <w:rPr>
                <w:rFonts w:ascii="Times New Roman" w:eastAsia="Arial" w:hAnsi="Arial" w:cs="Arial"/>
                <w:b/>
                <w:sz w:val="20"/>
                <w:szCs w:val="20"/>
                <w:lang w:val="en-US"/>
              </w:rPr>
              <w:t>Gastrointestinal</w:t>
            </w:r>
            <w:r w:rsidRPr="00BA4B04">
              <w:rPr>
                <w:rFonts w:ascii="Times New Roman" w:eastAsia="Arial" w:hAnsi="Arial" w:cs="Arial"/>
                <w:b/>
                <w:spacing w:val="-3"/>
                <w:sz w:val="20"/>
                <w:szCs w:val="20"/>
                <w:lang w:val="en-US"/>
              </w:rPr>
              <w:t xml:space="preserve"> </w:t>
            </w:r>
            <w:r w:rsidRPr="00BA4B04">
              <w:rPr>
                <w:rFonts w:ascii="Times New Roman" w:eastAsia="Arial" w:hAnsi="Arial" w:cs="Arial"/>
                <w:b/>
                <w:sz w:val="20"/>
                <w:szCs w:val="20"/>
                <w:lang w:val="en-US"/>
              </w:rPr>
              <w:t>disorders</w:t>
            </w:r>
          </w:p>
        </w:tc>
      </w:tr>
      <w:tr w:rsidR="00BA4B04" w:rsidRPr="00BA4B04" w14:paraId="0AE652C8"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10DB5921"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Nausea</w:t>
            </w:r>
          </w:p>
        </w:tc>
        <w:tc>
          <w:tcPr>
            <w:tcW w:w="1999" w:type="dxa"/>
            <w:tcBorders>
              <w:top w:val="single" w:sz="4" w:space="0" w:color="000000"/>
              <w:left w:val="single" w:sz="4" w:space="0" w:color="000000"/>
              <w:bottom w:val="single" w:sz="4" w:space="0" w:color="000000"/>
              <w:right w:val="single" w:sz="4" w:space="0" w:color="000000"/>
            </w:tcBorders>
            <w:hideMark/>
          </w:tcPr>
          <w:p w14:paraId="49F7004F"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37</w:t>
            </w:r>
          </w:p>
        </w:tc>
        <w:tc>
          <w:tcPr>
            <w:tcW w:w="2000" w:type="dxa"/>
            <w:tcBorders>
              <w:top w:val="single" w:sz="4" w:space="0" w:color="000000"/>
              <w:left w:val="single" w:sz="4" w:space="0" w:color="000000"/>
              <w:bottom w:val="single" w:sz="4" w:space="0" w:color="000000"/>
              <w:right w:val="single" w:sz="4" w:space="0" w:color="000000"/>
            </w:tcBorders>
            <w:hideMark/>
          </w:tcPr>
          <w:p w14:paraId="23D3AED1"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0</w:t>
            </w:r>
          </w:p>
        </w:tc>
      </w:tr>
      <w:tr w:rsidR="00BA4B04" w:rsidRPr="00BA4B04" w14:paraId="0497B9EB"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410287BE"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Constipation</w:t>
            </w:r>
          </w:p>
        </w:tc>
        <w:tc>
          <w:tcPr>
            <w:tcW w:w="1999" w:type="dxa"/>
            <w:tcBorders>
              <w:top w:val="single" w:sz="4" w:space="0" w:color="000000"/>
              <w:left w:val="single" w:sz="4" w:space="0" w:color="000000"/>
              <w:bottom w:val="single" w:sz="4" w:space="0" w:color="000000"/>
              <w:right w:val="single" w:sz="4" w:space="0" w:color="000000"/>
            </w:tcBorders>
            <w:hideMark/>
          </w:tcPr>
          <w:p w14:paraId="191E49A2"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31</w:t>
            </w:r>
          </w:p>
        </w:tc>
        <w:tc>
          <w:tcPr>
            <w:tcW w:w="2000" w:type="dxa"/>
            <w:tcBorders>
              <w:top w:val="single" w:sz="4" w:space="0" w:color="000000"/>
              <w:left w:val="single" w:sz="4" w:space="0" w:color="000000"/>
              <w:bottom w:val="single" w:sz="4" w:space="0" w:color="000000"/>
              <w:right w:val="single" w:sz="4" w:space="0" w:color="000000"/>
            </w:tcBorders>
            <w:hideMark/>
          </w:tcPr>
          <w:p w14:paraId="39FB9BE0"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0</w:t>
            </w:r>
          </w:p>
        </w:tc>
      </w:tr>
      <w:tr w:rsidR="00BA4B04" w:rsidRPr="00BA4B04" w14:paraId="5BFC191F"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4BC4222B" w14:textId="77777777" w:rsidR="00BA4B04" w:rsidRPr="00BA4B04" w:rsidRDefault="00BA4B04" w:rsidP="00BA4B04">
            <w:pPr>
              <w:keepNext/>
              <w:keepLines/>
              <w:widowControl w:val="0"/>
              <w:autoSpaceDE w:val="0"/>
              <w:autoSpaceDN w:val="0"/>
              <w:spacing w:before="1"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Vomiting</w:t>
            </w:r>
          </w:p>
        </w:tc>
        <w:tc>
          <w:tcPr>
            <w:tcW w:w="1999" w:type="dxa"/>
            <w:tcBorders>
              <w:top w:val="single" w:sz="4" w:space="0" w:color="000000"/>
              <w:left w:val="single" w:sz="4" w:space="0" w:color="000000"/>
              <w:bottom w:val="single" w:sz="4" w:space="0" w:color="000000"/>
              <w:right w:val="single" w:sz="4" w:space="0" w:color="000000"/>
            </w:tcBorders>
            <w:hideMark/>
          </w:tcPr>
          <w:p w14:paraId="3E5FB57F" w14:textId="77777777" w:rsidR="00BA4B04" w:rsidRPr="00BA4B04" w:rsidRDefault="00BA4B04" w:rsidP="00BA4B04">
            <w:pPr>
              <w:keepNext/>
              <w:keepLines/>
              <w:widowControl w:val="0"/>
              <w:autoSpaceDE w:val="0"/>
              <w:autoSpaceDN w:val="0"/>
              <w:spacing w:before="1"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22</w:t>
            </w:r>
          </w:p>
        </w:tc>
        <w:tc>
          <w:tcPr>
            <w:tcW w:w="2000" w:type="dxa"/>
            <w:tcBorders>
              <w:top w:val="single" w:sz="4" w:space="0" w:color="000000"/>
              <w:left w:val="single" w:sz="4" w:space="0" w:color="000000"/>
              <w:bottom w:val="single" w:sz="4" w:space="0" w:color="000000"/>
              <w:right w:val="single" w:sz="4" w:space="0" w:color="000000"/>
            </w:tcBorders>
            <w:hideMark/>
          </w:tcPr>
          <w:p w14:paraId="78C295DC" w14:textId="77777777" w:rsidR="00BA4B04" w:rsidRPr="00BA4B04" w:rsidRDefault="00BA4B04" w:rsidP="00BA4B04">
            <w:pPr>
              <w:keepNext/>
              <w:keepLines/>
              <w:widowControl w:val="0"/>
              <w:autoSpaceDE w:val="0"/>
              <w:autoSpaceDN w:val="0"/>
              <w:spacing w:before="1"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0</w:t>
            </w:r>
          </w:p>
        </w:tc>
      </w:tr>
      <w:tr w:rsidR="00BA4B04" w:rsidRPr="00BA4B04" w14:paraId="5E92C1C4"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715CB25E"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proofErr w:type="spellStart"/>
            <w:r w:rsidRPr="00BA4B04">
              <w:rPr>
                <w:rFonts w:ascii="Times New Roman" w:eastAsia="Arial" w:hAnsi="Arial" w:cs="Arial"/>
                <w:sz w:val="20"/>
                <w:szCs w:val="20"/>
                <w:lang w:val="en-US"/>
              </w:rPr>
              <w:t>Diarrhoea</w:t>
            </w:r>
            <w:proofErr w:type="spellEnd"/>
          </w:p>
        </w:tc>
        <w:tc>
          <w:tcPr>
            <w:tcW w:w="1999" w:type="dxa"/>
            <w:tcBorders>
              <w:top w:val="single" w:sz="4" w:space="0" w:color="000000"/>
              <w:left w:val="single" w:sz="4" w:space="0" w:color="000000"/>
              <w:bottom w:val="single" w:sz="4" w:space="0" w:color="000000"/>
              <w:right w:val="single" w:sz="4" w:space="0" w:color="000000"/>
            </w:tcBorders>
            <w:hideMark/>
          </w:tcPr>
          <w:p w14:paraId="0C33C6DF"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20</w:t>
            </w:r>
          </w:p>
        </w:tc>
        <w:tc>
          <w:tcPr>
            <w:tcW w:w="2000" w:type="dxa"/>
            <w:tcBorders>
              <w:top w:val="single" w:sz="4" w:space="0" w:color="000000"/>
              <w:left w:val="single" w:sz="4" w:space="0" w:color="000000"/>
              <w:bottom w:val="single" w:sz="4" w:space="0" w:color="000000"/>
              <w:right w:val="single" w:sz="4" w:space="0" w:color="000000"/>
            </w:tcBorders>
            <w:hideMark/>
          </w:tcPr>
          <w:p w14:paraId="39612344"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4</w:t>
            </w:r>
          </w:p>
        </w:tc>
      </w:tr>
      <w:tr w:rsidR="00BA4B04" w:rsidRPr="00BA4B04" w14:paraId="74C5C448"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3F2062C8"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Abdominal</w:t>
            </w:r>
            <w:r w:rsidRPr="00BA4B04">
              <w:rPr>
                <w:rFonts w:ascii="Times New Roman" w:eastAsia="Arial" w:hAnsi="Arial" w:cs="Arial"/>
                <w:spacing w:val="-2"/>
                <w:sz w:val="20"/>
                <w:szCs w:val="20"/>
                <w:lang w:val="en-US"/>
              </w:rPr>
              <w:t xml:space="preserve"> </w:t>
            </w:r>
            <w:proofErr w:type="spellStart"/>
            <w:r w:rsidRPr="00BA4B04">
              <w:rPr>
                <w:rFonts w:ascii="Times New Roman" w:eastAsia="Arial" w:hAnsi="Arial" w:cs="Arial"/>
                <w:sz w:val="20"/>
                <w:szCs w:val="20"/>
                <w:lang w:val="en-US"/>
              </w:rPr>
              <w:t>pain</w:t>
            </w:r>
            <w:r w:rsidRPr="00BA4B04">
              <w:rPr>
                <w:rFonts w:ascii="Times New Roman" w:eastAsia="Arial" w:hAnsi="Arial" w:cs="Arial"/>
                <w:sz w:val="20"/>
                <w:szCs w:val="20"/>
                <w:vertAlign w:val="superscript"/>
                <w:lang w:val="en-US"/>
              </w:rPr>
              <w:t>c</w:t>
            </w:r>
            <w:proofErr w:type="spellEnd"/>
          </w:p>
        </w:tc>
        <w:tc>
          <w:tcPr>
            <w:tcW w:w="1999" w:type="dxa"/>
            <w:tcBorders>
              <w:top w:val="single" w:sz="4" w:space="0" w:color="000000"/>
              <w:left w:val="single" w:sz="4" w:space="0" w:color="000000"/>
              <w:bottom w:val="single" w:sz="4" w:space="0" w:color="000000"/>
              <w:right w:val="single" w:sz="4" w:space="0" w:color="000000"/>
            </w:tcBorders>
            <w:hideMark/>
          </w:tcPr>
          <w:p w14:paraId="587A5FAE"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11</w:t>
            </w:r>
          </w:p>
        </w:tc>
        <w:tc>
          <w:tcPr>
            <w:tcW w:w="2000" w:type="dxa"/>
            <w:tcBorders>
              <w:top w:val="single" w:sz="4" w:space="0" w:color="000000"/>
              <w:left w:val="single" w:sz="4" w:space="0" w:color="000000"/>
              <w:bottom w:val="single" w:sz="4" w:space="0" w:color="000000"/>
              <w:right w:val="single" w:sz="4" w:space="0" w:color="000000"/>
            </w:tcBorders>
            <w:hideMark/>
          </w:tcPr>
          <w:p w14:paraId="69B58BEC"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1</w:t>
            </w:r>
          </w:p>
        </w:tc>
      </w:tr>
      <w:tr w:rsidR="00BA4B04" w:rsidRPr="00BA4B04" w14:paraId="67DE1F5B" w14:textId="77777777" w:rsidTr="00130E1B">
        <w:trPr>
          <w:trHeight w:val="293"/>
        </w:trPr>
        <w:tc>
          <w:tcPr>
            <w:tcW w:w="9214" w:type="dxa"/>
            <w:gridSpan w:val="3"/>
            <w:tcBorders>
              <w:top w:val="single" w:sz="4" w:space="0" w:color="000000"/>
              <w:left w:val="single" w:sz="4" w:space="0" w:color="000000"/>
              <w:bottom w:val="single" w:sz="4" w:space="0" w:color="000000"/>
              <w:right w:val="single" w:sz="4" w:space="0" w:color="000000"/>
            </w:tcBorders>
            <w:hideMark/>
          </w:tcPr>
          <w:p w14:paraId="6207FF68" w14:textId="77777777" w:rsidR="00BA4B04" w:rsidRPr="00BA4B04" w:rsidRDefault="00BA4B04" w:rsidP="00BA4B04">
            <w:pPr>
              <w:keepNext/>
              <w:keepLines/>
              <w:widowControl w:val="0"/>
              <w:autoSpaceDE w:val="0"/>
              <w:autoSpaceDN w:val="0"/>
              <w:spacing w:before="0" w:after="0" w:line="240" w:lineRule="auto"/>
              <w:rPr>
                <w:rFonts w:ascii="Times New Roman" w:eastAsia="Arial" w:hAnsi="Arial" w:cs="Arial"/>
                <w:sz w:val="20"/>
                <w:szCs w:val="20"/>
                <w:lang w:val="en-US"/>
              </w:rPr>
            </w:pPr>
            <w:r w:rsidRPr="00BA4B04">
              <w:rPr>
                <w:rFonts w:ascii="Times New Roman" w:eastAsia="Arial" w:hAnsi="Arial" w:cs="Arial"/>
                <w:b/>
                <w:sz w:val="20"/>
                <w:szCs w:val="20"/>
                <w:lang w:val="en-US"/>
              </w:rPr>
              <w:t>Musculoskeletal</w:t>
            </w:r>
            <w:r w:rsidRPr="00BA4B04">
              <w:rPr>
                <w:rFonts w:ascii="Times New Roman" w:eastAsia="Arial" w:hAnsi="Arial" w:cs="Arial"/>
                <w:b/>
                <w:spacing w:val="-2"/>
                <w:sz w:val="20"/>
                <w:szCs w:val="20"/>
                <w:lang w:val="en-US"/>
              </w:rPr>
              <w:t xml:space="preserve"> </w:t>
            </w:r>
            <w:r w:rsidRPr="00BA4B04">
              <w:rPr>
                <w:rFonts w:ascii="Times New Roman" w:eastAsia="Arial" w:hAnsi="Arial" w:cs="Arial"/>
                <w:b/>
                <w:sz w:val="20"/>
                <w:szCs w:val="20"/>
                <w:lang w:val="en-US"/>
              </w:rPr>
              <w:t>and</w:t>
            </w:r>
            <w:r w:rsidRPr="00BA4B04">
              <w:rPr>
                <w:rFonts w:ascii="Times New Roman" w:eastAsia="Arial" w:hAnsi="Arial" w:cs="Arial"/>
                <w:b/>
                <w:spacing w:val="-2"/>
                <w:sz w:val="20"/>
                <w:szCs w:val="20"/>
                <w:lang w:val="en-US"/>
              </w:rPr>
              <w:t xml:space="preserve"> </w:t>
            </w:r>
            <w:r w:rsidRPr="00BA4B04">
              <w:rPr>
                <w:rFonts w:ascii="Times New Roman" w:eastAsia="Arial" w:hAnsi="Arial" w:cs="Arial"/>
                <w:b/>
                <w:sz w:val="20"/>
                <w:szCs w:val="20"/>
                <w:lang w:val="en-US"/>
              </w:rPr>
              <w:t>connective</w:t>
            </w:r>
            <w:r w:rsidRPr="00BA4B04">
              <w:rPr>
                <w:rFonts w:ascii="Times New Roman" w:eastAsia="Arial" w:hAnsi="Arial" w:cs="Arial"/>
                <w:b/>
                <w:spacing w:val="-2"/>
                <w:sz w:val="20"/>
                <w:szCs w:val="20"/>
                <w:lang w:val="en-US"/>
              </w:rPr>
              <w:t xml:space="preserve"> </w:t>
            </w:r>
            <w:r w:rsidRPr="00BA4B04">
              <w:rPr>
                <w:rFonts w:ascii="Times New Roman" w:eastAsia="Arial" w:hAnsi="Arial" w:cs="Arial"/>
                <w:b/>
                <w:sz w:val="20"/>
                <w:szCs w:val="20"/>
                <w:lang w:val="en-US"/>
              </w:rPr>
              <w:t>tissue</w:t>
            </w:r>
            <w:r w:rsidRPr="00BA4B04">
              <w:rPr>
                <w:rFonts w:ascii="Times New Roman" w:eastAsia="Arial" w:hAnsi="Arial" w:cs="Arial"/>
                <w:b/>
                <w:spacing w:val="-1"/>
                <w:sz w:val="20"/>
                <w:szCs w:val="20"/>
                <w:lang w:val="en-US"/>
              </w:rPr>
              <w:t xml:space="preserve"> </w:t>
            </w:r>
            <w:r w:rsidRPr="00BA4B04">
              <w:rPr>
                <w:rFonts w:ascii="Times New Roman" w:eastAsia="Arial" w:hAnsi="Arial" w:cs="Arial"/>
                <w:b/>
                <w:sz w:val="20"/>
                <w:szCs w:val="20"/>
                <w:lang w:val="en-US"/>
              </w:rPr>
              <w:t>disorders</w:t>
            </w:r>
          </w:p>
        </w:tc>
      </w:tr>
      <w:tr w:rsidR="00BA4B04" w:rsidRPr="00BA4B04" w14:paraId="384E803D"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4F65D973"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Musculoskeletal</w:t>
            </w:r>
            <w:r w:rsidRPr="00BA4B04">
              <w:rPr>
                <w:rFonts w:ascii="Times New Roman" w:eastAsia="Arial" w:hAnsi="Arial" w:cs="Arial"/>
                <w:spacing w:val="-1"/>
                <w:sz w:val="20"/>
                <w:szCs w:val="20"/>
                <w:lang w:val="en-US"/>
              </w:rPr>
              <w:t xml:space="preserve"> </w:t>
            </w:r>
            <w:proofErr w:type="spellStart"/>
            <w:r w:rsidRPr="00BA4B04">
              <w:rPr>
                <w:rFonts w:ascii="Times New Roman" w:eastAsia="Arial" w:hAnsi="Arial" w:cs="Arial"/>
                <w:sz w:val="20"/>
                <w:szCs w:val="20"/>
                <w:lang w:val="en-US"/>
              </w:rPr>
              <w:t>pain</w:t>
            </w:r>
            <w:r w:rsidRPr="00BA4B04">
              <w:rPr>
                <w:rFonts w:ascii="Times New Roman" w:eastAsia="Arial" w:hAnsi="Arial" w:cs="Arial"/>
                <w:sz w:val="20"/>
                <w:szCs w:val="20"/>
                <w:vertAlign w:val="superscript"/>
                <w:lang w:val="en-US"/>
              </w:rPr>
              <w:t>d</w:t>
            </w:r>
            <w:proofErr w:type="spellEnd"/>
          </w:p>
        </w:tc>
        <w:tc>
          <w:tcPr>
            <w:tcW w:w="1999" w:type="dxa"/>
            <w:tcBorders>
              <w:top w:val="single" w:sz="4" w:space="0" w:color="000000"/>
              <w:left w:val="single" w:sz="4" w:space="0" w:color="000000"/>
              <w:bottom w:val="single" w:sz="4" w:space="0" w:color="000000"/>
              <w:right w:val="single" w:sz="4" w:space="0" w:color="000000"/>
            </w:tcBorders>
            <w:hideMark/>
          </w:tcPr>
          <w:p w14:paraId="1153E021"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33</w:t>
            </w:r>
          </w:p>
        </w:tc>
        <w:tc>
          <w:tcPr>
            <w:tcW w:w="2000" w:type="dxa"/>
            <w:tcBorders>
              <w:top w:val="single" w:sz="4" w:space="0" w:color="000000"/>
              <w:left w:val="single" w:sz="4" w:space="0" w:color="000000"/>
              <w:bottom w:val="single" w:sz="4" w:space="0" w:color="000000"/>
              <w:right w:val="single" w:sz="4" w:space="0" w:color="000000"/>
            </w:tcBorders>
            <w:hideMark/>
          </w:tcPr>
          <w:p w14:paraId="59CA132D"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4</w:t>
            </w:r>
          </w:p>
        </w:tc>
      </w:tr>
      <w:tr w:rsidR="00BA4B04" w:rsidRPr="00BA4B04" w14:paraId="5C06A407" w14:textId="77777777" w:rsidTr="00130E1B">
        <w:trPr>
          <w:trHeight w:val="275"/>
        </w:trPr>
        <w:tc>
          <w:tcPr>
            <w:tcW w:w="9214" w:type="dxa"/>
            <w:gridSpan w:val="3"/>
            <w:tcBorders>
              <w:top w:val="single" w:sz="4" w:space="0" w:color="000000"/>
              <w:left w:val="single" w:sz="4" w:space="0" w:color="000000"/>
              <w:bottom w:val="single" w:sz="4" w:space="0" w:color="000000"/>
              <w:right w:val="single" w:sz="4" w:space="0" w:color="000000"/>
            </w:tcBorders>
            <w:hideMark/>
          </w:tcPr>
          <w:p w14:paraId="369A644D" w14:textId="77777777" w:rsidR="00BA4B04" w:rsidRPr="00BA4B04" w:rsidRDefault="00BA4B04" w:rsidP="00BA4B04">
            <w:pPr>
              <w:keepNext/>
              <w:keepLines/>
              <w:widowControl w:val="0"/>
              <w:autoSpaceDE w:val="0"/>
              <w:autoSpaceDN w:val="0"/>
              <w:spacing w:before="0" w:after="0" w:line="240" w:lineRule="auto"/>
              <w:rPr>
                <w:rFonts w:ascii="Times New Roman" w:eastAsia="Arial" w:hAnsi="Arial" w:cs="Arial"/>
                <w:sz w:val="20"/>
                <w:szCs w:val="20"/>
                <w:lang w:val="en-US"/>
              </w:rPr>
            </w:pPr>
            <w:r w:rsidRPr="00BA4B04">
              <w:rPr>
                <w:rFonts w:ascii="Times New Roman" w:eastAsia="Arial" w:hAnsi="Arial" w:cs="Arial"/>
                <w:b/>
                <w:sz w:val="20"/>
                <w:szCs w:val="20"/>
                <w:lang w:val="en-US"/>
              </w:rPr>
              <w:t>Metabolism</w:t>
            </w:r>
            <w:r w:rsidRPr="00BA4B04">
              <w:rPr>
                <w:rFonts w:ascii="Times New Roman" w:eastAsia="Arial" w:hAnsi="Arial" w:cs="Arial"/>
                <w:b/>
                <w:spacing w:val="-5"/>
                <w:sz w:val="20"/>
                <w:szCs w:val="20"/>
                <w:lang w:val="en-US"/>
              </w:rPr>
              <w:t xml:space="preserve"> </w:t>
            </w:r>
            <w:r w:rsidRPr="00BA4B04">
              <w:rPr>
                <w:rFonts w:ascii="Times New Roman" w:eastAsia="Arial" w:hAnsi="Arial" w:cs="Arial"/>
                <w:b/>
                <w:sz w:val="20"/>
                <w:szCs w:val="20"/>
                <w:lang w:val="en-US"/>
              </w:rPr>
              <w:t>and</w:t>
            </w:r>
            <w:r w:rsidRPr="00BA4B04">
              <w:rPr>
                <w:rFonts w:ascii="Times New Roman" w:eastAsia="Arial" w:hAnsi="Arial" w:cs="Arial"/>
                <w:b/>
                <w:spacing w:val="-5"/>
                <w:sz w:val="20"/>
                <w:szCs w:val="20"/>
                <w:lang w:val="en-US"/>
              </w:rPr>
              <w:t xml:space="preserve"> </w:t>
            </w:r>
            <w:r w:rsidRPr="00BA4B04">
              <w:rPr>
                <w:rFonts w:ascii="Times New Roman" w:eastAsia="Arial" w:hAnsi="Arial" w:cs="Arial"/>
                <w:b/>
                <w:sz w:val="20"/>
                <w:szCs w:val="20"/>
                <w:lang w:val="en-US"/>
              </w:rPr>
              <w:t>nutrition</w:t>
            </w:r>
            <w:r w:rsidRPr="00BA4B04">
              <w:rPr>
                <w:rFonts w:ascii="Times New Roman" w:eastAsia="Arial" w:hAnsi="Arial" w:cs="Arial"/>
                <w:b/>
                <w:spacing w:val="-6"/>
                <w:sz w:val="20"/>
                <w:szCs w:val="20"/>
                <w:lang w:val="en-US"/>
              </w:rPr>
              <w:t xml:space="preserve"> </w:t>
            </w:r>
            <w:r w:rsidRPr="00BA4B04">
              <w:rPr>
                <w:rFonts w:ascii="Times New Roman" w:eastAsia="Arial" w:hAnsi="Arial" w:cs="Arial"/>
                <w:b/>
                <w:sz w:val="20"/>
                <w:szCs w:val="20"/>
                <w:lang w:val="en-US"/>
              </w:rPr>
              <w:t>disorders</w:t>
            </w:r>
          </w:p>
        </w:tc>
      </w:tr>
      <w:tr w:rsidR="00BA4B04" w:rsidRPr="00BA4B04" w14:paraId="01E6F619"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05CF9A61" w14:textId="77777777" w:rsidR="00BA4B04" w:rsidRPr="00BA4B04" w:rsidRDefault="00BA4B04" w:rsidP="00BA4B04">
            <w:pPr>
              <w:keepNext/>
              <w:keepLines/>
              <w:widowControl w:val="0"/>
              <w:autoSpaceDE w:val="0"/>
              <w:autoSpaceDN w:val="0"/>
              <w:spacing w:before="1"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Decreased</w:t>
            </w:r>
            <w:r w:rsidRPr="00BA4B04">
              <w:rPr>
                <w:rFonts w:ascii="Times New Roman" w:eastAsia="Arial" w:hAnsi="Arial" w:cs="Arial"/>
                <w:spacing w:val="-2"/>
                <w:sz w:val="20"/>
                <w:szCs w:val="20"/>
                <w:lang w:val="en-US"/>
              </w:rPr>
              <w:t xml:space="preserve"> </w:t>
            </w:r>
            <w:r w:rsidRPr="00BA4B04">
              <w:rPr>
                <w:rFonts w:ascii="Times New Roman" w:eastAsia="Arial" w:hAnsi="Arial" w:cs="Arial"/>
                <w:sz w:val="20"/>
                <w:szCs w:val="20"/>
                <w:lang w:val="en-US"/>
              </w:rPr>
              <w:t>appetite</w:t>
            </w:r>
          </w:p>
        </w:tc>
        <w:tc>
          <w:tcPr>
            <w:tcW w:w="1999" w:type="dxa"/>
            <w:tcBorders>
              <w:top w:val="single" w:sz="4" w:space="0" w:color="000000"/>
              <w:left w:val="single" w:sz="4" w:space="0" w:color="000000"/>
              <w:bottom w:val="single" w:sz="4" w:space="0" w:color="000000"/>
              <w:right w:val="single" w:sz="4" w:space="0" w:color="000000"/>
            </w:tcBorders>
            <w:hideMark/>
          </w:tcPr>
          <w:p w14:paraId="08623C0E" w14:textId="77777777" w:rsidR="00BA4B04" w:rsidRPr="00BA4B04" w:rsidRDefault="00BA4B04" w:rsidP="00BA4B04">
            <w:pPr>
              <w:keepNext/>
              <w:keepLines/>
              <w:widowControl w:val="0"/>
              <w:autoSpaceDE w:val="0"/>
              <w:autoSpaceDN w:val="0"/>
              <w:spacing w:before="1"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33</w:t>
            </w:r>
          </w:p>
        </w:tc>
        <w:tc>
          <w:tcPr>
            <w:tcW w:w="2000" w:type="dxa"/>
            <w:tcBorders>
              <w:top w:val="single" w:sz="4" w:space="0" w:color="000000"/>
              <w:left w:val="single" w:sz="4" w:space="0" w:color="000000"/>
              <w:bottom w:val="single" w:sz="4" w:space="0" w:color="000000"/>
              <w:right w:val="single" w:sz="4" w:space="0" w:color="000000"/>
            </w:tcBorders>
            <w:hideMark/>
          </w:tcPr>
          <w:p w14:paraId="3BA69D22" w14:textId="77777777" w:rsidR="00BA4B04" w:rsidRPr="00BA4B04" w:rsidRDefault="00BA4B04" w:rsidP="00BA4B04">
            <w:pPr>
              <w:keepNext/>
              <w:keepLines/>
              <w:widowControl w:val="0"/>
              <w:autoSpaceDE w:val="0"/>
              <w:autoSpaceDN w:val="0"/>
              <w:spacing w:before="1"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1</w:t>
            </w:r>
          </w:p>
        </w:tc>
      </w:tr>
      <w:tr w:rsidR="00BA4B04" w:rsidRPr="00BA4B04" w14:paraId="6F7DD2C8" w14:textId="77777777" w:rsidTr="00130E1B">
        <w:trPr>
          <w:trHeight w:val="275"/>
        </w:trPr>
        <w:tc>
          <w:tcPr>
            <w:tcW w:w="9214" w:type="dxa"/>
            <w:gridSpan w:val="3"/>
            <w:tcBorders>
              <w:top w:val="single" w:sz="4" w:space="0" w:color="000000"/>
              <w:left w:val="single" w:sz="4" w:space="0" w:color="000000"/>
              <w:bottom w:val="single" w:sz="4" w:space="0" w:color="000000"/>
              <w:right w:val="single" w:sz="4" w:space="0" w:color="000000"/>
            </w:tcBorders>
            <w:hideMark/>
          </w:tcPr>
          <w:p w14:paraId="147BE145" w14:textId="77777777" w:rsidR="00BA4B04" w:rsidRPr="00BA4B04" w:rsidRDefault="00BA4B04" w:rsidP="00BA4B04">
            <w:pPr>
              <w:keepNext/>
              <w:keepLines/>
              <w:widowControl w:val="0"/>
              <w:autoSpaceDE w:val="0"/>
              <w:autoSpaceDN w:val="0"/>
              <w:spacing w:before="0" w:after="0" w:line="240" w:lineRule="auto"/>
              <w:rPr>
                <w:rFonts w:ascii="Times New Roman" w:eastAsia="Arial" w:hAnsi="Arial" w:cs="Arial"/>
                <w:sz w:val="20"/>
                <w:szCs w:val="20"/>
                <w:lang w:val="en-US"/>
              </w:rPr>
            </w:pPr>
            <w:r w:rsidRPr="00BA4B04">
              <w:rPr>
                <w:rFonts w:ascii="Times New Roman" w:eastAsia="Arial" w:hAnsi="Arial" w:cs="Arial"/>
                <w:b/>
                <w:sz w:val="20"/>
                <w:szCs w:val="20"/>
                <w:lang w:val="en-US"/>
              </w:rPr>
              <w:t>Respiratory,</w:t>
            </w:r>
            <w:r w:rsidRPr="00BA4B04">
              <w:rPr>
                <w:rFonts w:ascii="Times New Roman" w:eastAsia="Arial" w:hAnsi="Arial" w:cs="Arial"/>
                <w:b/>
                <w:spacing w:val="-5"/>
                <w:sz w:val="20"/>
                <w:szCs w:val="20"/>
                <w:lang w:val="en-US"/>
              </w:rPr>
              <w:t xml:space="preserve"> </w:t>
            </w:r>
            <w:proofErr w:type="gramStart"/>
            <w:r w:rsidRPr="00BA4B04">
              <w:rPr>
                <w:rFonts w:ascii="Times New Roman" w:eastAsia="Arial" w:hAnsi="Arial" w:cs="Arial"/>
                <w:b/>
                <w:sz w:val="20"/>
                <w:szCs w:val="20"/>
                <w:lang w:val="en-US"/>
              </w:rPr>
              <w:t>thoracic</w:t>
            </w:r>
            <w:proofErr w:type="gramEnd"/>
            <w:r w:rsidRPr="00BA4B04">
              <w:rPr>
                <w:rFonts w:ascii="Times New Roman" w:eastAsia="Arial" w:hAnsi="Arial" w:cs="Arial"/>
                <w:b/>
                <w:spacing w:val="-4"/>
                <w:sz w:val="20"/>
                <w:szCs w:val="20"/>
                <w:lang w:val="en-US"/>
              </w:rPr>
              <w:t xml:space="preserve"> </w:t>
            </w:r>
            <w:r w:rsidRPr="00BA4B04">
              <w:rPr>
                <w:rFonts w:ascii="Times New Roman" w:eastAsia="Arial" w:hAnsi="Arial" w:cs="Arial"/>
                <w:b/>
                <w:sz w:val="20"/>
                <w:szCs w:val="20"/>
                <w:lang w:val="en-US"/>
              </w:rPr>
              <w:t>and</w:t>
            </w:r>
            <w:r w:rsidRPr="00BA4B04">
              <w:rPr>
                <w:rFonts w:ascii="Times New Roman" w:eastAsia="Arial" w:hAnsi="Arial" w:cs="Arial"/>
                <w:b/>
                <w:spacing w:val="-4"/>
                <w:sz w:val="20"/>
                <w:szCs w:val="20"/>
                <w:lang w:val="en-US"/>
              </w:rPr>
              <w:t xml:space="preserve"> </w:t>
            </w:r>
            <w:r w:rsidRPr="00BA4B04">
              <w:rPr>
                <w:rFonts w:ascii="Times New Roman" w:eastAsia="Arial" w:hAnsi="Arial" w:cs="Arial"/>
                <w:b/>
                <w:sz w:val="20"/>
                <w:szCs w:val="20"/>
                <w:lang w:val="en-US"/>
              </w:rPr>
              <w:t>mediastinal</w:t>
            </w:r>
            <w:r w:rsidRPr="00BA4B04">
              <w:rPr>
                <w:rFonts w:ascii="Times New Roman" w:eastAsia="Arial" w:hAnsi="Arial" w:cs="Arial"/>
                <w:b/>
                <w:spacing w:val="-3"/>
                <w:sz w:val="20"/>
                <w:szCs w:val="20"/>
                <w:lang w:val="en-US"/>
              </w:rPr>
              <w:t xml:space="preserve"> </w:t>
            </w:r>
            <w:r w:rsidRPr="00BA4B04">
              <w:rPr>
                <w:rFonts w:ascii="Times New Roman" w:eastAsia="Arial" w:hAnsi="Arial" w:cs="Arial"/>
                <w:b/>
                <w:sz w:val="20"/>
                <w:szCs w:val="20"/>
                <w:lang w:val="en-US"/>
              </w:rPr>
              <w:t>disorders</w:t>
            </w:r>
          </w:p>
        </w:tc>
      </w:tr>
      <w:tr w:rsidR="00BA4B04" w:rsidRPr="00BA4B04" w14:paraId="4535EDD1"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490C34C6"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proofErr w:type="spellStart"/>
            <w:r w:rsidRPr="00BA4B04">
              <w:rPr>
                <w:rFonts w:ascii="Times New Roman" w:eastAsia="Arial" w:hAnsi="Arial" w:cs="Arial"/>
                <w:sz w:val="20"/>
                <w:szCs w:val="20"/>
                <w:lang w:val="en-US"/>
              </w:rPr>
              <w:t>Dyspnoea</w:t>
            </w:r>
            <w:proofErr w:type="spellEnd"/>
          </w:p>
        </w:tc>
        <w:tc>
          <w:tcPr>
            <w:tcW w:w="1999" w:type="dxa"/>
            <w:tcBorders>
              <w:top w:val="single" w:sz="4" w:space="0" w:color="000000"/>
              <w:left w:val="single" w:sz="4" w:space="0" w:color="000000"/>
              <w:bottom w:val="single" w:sz="4" w:space="0" w:color="000000"/>
              <w:right w:val="single" w:sz="4" w:space="0" w:color="000000"/>
            </w:tcBorders>
            <w:hideMark/>
          </w:tcPr>
          <w:p w14:paraId="74515BFB"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31</w:t>
            </w:r>
          </w:p>
        </w:tc>
        <w:tc>
          <w:tcPr>
            <w:tcW w:w="2000" w:type="dxa"/>
            <w:tcBorders>
              <w:top w:val="single" w:sz="4" w:space="0" w:color="000000"/>
              <w:left w:val="single" w:sz="4" w:space="0" w:color="000000"/>
              <w:bottom w:val="single" w:sz="4" w:space="0" w:color="000000"/>
              <w:right w:val="single" w:sz="4" w:space="0" w:color="000000"/>
            </w:tcBorders>
            <w:hideMark/>
          </w:tcPr>
          <w:p w14:paraId="70429408"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6</w:t>
            </w:r>
          </w:p>
        </w:tc>
      </w:tr>
      <w:tr w:rsidR="00BA4B04" w:rsidRPr="00BA4B04" w14:paraId="36B34F01"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40F14EF5" w14:textId="77777777" w:rsidR="00BA4B04" w:rsidRPr="00BA4B04" w:rsidRDefault="00BA4B04" w:rsidP="00BA4B04">
            <w:pPr>
              <w:keepNext/>
              <w:keepLines/>
              <w:widowControl w:val="0"/>
              <w:autoSpaceDE w:val="0"/>
              <w:autoSpaceDN w:val="0"/>
              <w:spacing w:before="1" w:after="0" w:line="255" w:lineRule="exact"/>
              <w:ind w:left="107"/>
              <w:rPr>
                <w:rFonts w:ascii="Times New Roman" w:eastAsia="Arial" w:hAnsi="Arial" w:cs="Arial"/>
                <w:sz w:val="20"/>
                <w:szCs w:val="20"/>
                <w:lang w:val="en-US"/>
              </w:rPr>
            </w:pPr>
            <w:proofErr w:type="spellStart"/>
            <w:r w:rsidRPr="00BA4B04">
              <w:rPr>
                <w:rFonts w:ascii="Times New Roman" w:eastAsia="Arial" w:hAnsi="Arial" w:cs="Arial"/>
                <w:sz w:val="20"/>
                <w:szCs w:val="20"/>
                <w:lang w:val="en-US"/>
              </w:rPr>
              <w:t>Cough</w:t>
            </w:r>
            <w:r w:rsidRPr="00BA4B04">
              <w:rPr>
                <w:rFonts w:ascii="Times New Roman" w:eastAsia="Arial" w:hAnsi="Arial" w:cs="Arial"/>
                <w:sz w:val="20"/>
                <w:szCs w:val="20"/>
                <w:vertAlign w:val="superscript"/>
                <w:lang w:val="en-US"/>
              </w:rPr>
              <w:t>e</w:t>
            </w:r>
            <w:proofErr w:type="spellEnd"/>
          </w:p>
        </w:tc>
        <w:tc>
          <w:tcPr>
            <w:tcW w:w="1999" w:type="dxa"/>
            <w:tcBorders>
              <w:top w:val="single" w:sz="4" w:space="0" w:color="000000"/>
              <w:left w:val="single" w:sz="4" w:space="0" w:color="000000"/>
              <w:bottom w:val="single" w:sz="4" w:space="0" w:color="000000"/>
              <w:right w:val="single" w:sz="4" w:space="0" w:color="000000"/>
            </w:tcBorders>
            <w:hideMark/>
          </w:tcPr>
          <w:p w14:paraId="046ED34A" w14:textId="77777777" w:rsidR="00BA4B04" w:rsidRPr="00BA4B04" w:rsidRDefault="00BA4B04" w:rsidP="00BA4B04">
            <w:pPr>
              <w:keepNext/>
              <w:keepLines/>
              <w:widowControl w:val="0"/>
              <w:autoSpaceDE w:val="0"/>
              <w:autoSpaceDN w:val="0"/>
              <w:spacing w:before="1"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20</w:t>
            </w:r>
          </w:p>
        </w:tc>
        <w:tc>
          <w:tcPr>
            <w:tcW w:w="2000" w:type="dxa"/>
            <w:tcBorders>
              <w:top w:val="single" w:sz="4" w:space="0" w:color="000000"/>
              <w:left w:val="single" w:sz="4" w:space="0" w:color="000000"/>
              <w:bottom w:val="single" w:sz="4" w:space="0" w:color="000000"/>
              <w:right w:val="single" w:sz="4" w:space="0" w:color="000000"/>
            </w:tcBorders>
            <w:hideMark/>
          </w:tcPr>
          <w:p w14:paraId="2AAC7FE5" w14:textId="77777777" w:rsidR="00BA4B04" w:rsidRPr="00BA4B04" w:rsidRDefault="00BA4B04" w:rsidP="00BA4B04">
            <w:pPr>
              <w:keepNext/>
              <w:keepLines/>
              <w:widowControl w:val="0"/>
              <w:autoSpaceDE w:val="0"/>
              <w:autoSpaceDN w:val="0"/>
              <w:spacing w:before="1"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0</w:t>
            </w:r>
          </w:p>
        </w:tc>
      </w:tr>
      <w:tr w:rsidR="00BA4B04" w:rsidRPr="00BA4B04" w14:paraId="22C419BC" w14:textId="77777777" w:rsidTr="00130E1B">
        <w:trPr>
          <w:trHeight w:val="275"/>
        </w:trPr>
        <w:tc>
          <w:tcPr>
            <w:tcW w:w="9214" w:type="dxa"/>
            <w:gridSpan w:val="3"/>
            <w:tcBorders>
              <w:top w:val="single" w:sz="4" w:space="0" w:color="000000"/>
              <w:left w:val="single" w:sz="4" w:space="0" w:color="000000"/>
              <w:bottom w:val="single" w:sz="4" w:space="0" w:color="000000"/>
              <w:right w:val="single" w:sz="4" w:space="0" w:color="000000"/>
            </w:tcBorders>
            <w:hideMark/>
          </w:tcPr>
          <w:p w14:paraId="17EAB8E6" w14:textId="77777777" w:rsidR="00BA4B04" w:rsidRPr="00BA4B04" w:rsidRDefault="00BA4B04" w:rsidP="00BA4B04">
            <w:pPr>
              <w:keepNext/>
              <w:keepLines/>
              <w:widowControl w:val="0"/>
              <w:autoSpaceDE w:val="0"/>
              <w:autoSpaceDN w:val="0"/>
              <w:spacing w:before="0" w:after="0" w:line="240" w:lineRule="auto"/>
              <w:rPr>
                <w:rFonts w:ascii="Times New Roman" w:eastAsia="Arial" w:hAnsi="Arial" w:cs="Arial"/>
                <w:sz w:val="20"/>
                <w:szCs w:val="20"/>
                <w:lang w:val="en-US"/>
              </w:rPr>
            </w:pPr>
            <w:r w:rsidRPr="00BA4B04">
              <w:rPr>
                <w:rFonts w:ascii="Times New Roman" w:eastAsia="Arial" w:hAnsi="Arial" w:cs="Arial"/>
                <w:b/>
                <w:sz w:val="20"/>
                <w:szCs w:val="20"/>
                <w:lang w:val="en-US"/>
              </w:rPr>
              <w:t>Infections</w:t>
            </w:r>
            <w:r w:rsidRPr="00BA4B04">
              <w:rPr>
                <w:rFonts w:ascii="Times New Roman" w:eastAsia="Arial" w:hAnsi="Arial" w:cs="Arial"/>
                <w:b/>
                <w:spacing w:val="-5"/>
                <w:sz w:val="20"/>
                <w:szCs w:val="20"/>
                <w:lang w:val="en-US"/>
              </w:rPr>
              <w:t xml:space="preserve"> </w:t>
            </w:r>
            <w:r w:rsidRPr="00BA4B04">
              <w:rPr>
                <w:rFonts w:ascii="Times New Roman" w:eastAsia="Arial" w:hAnsi="Arial" w:cs="Arial"/>
                <w:b/>
                <w:sz w:val="20"/>
                <w:szCs w:val="20"/>
                <w:lang w:val="en-US"/>
              </w:rPr>
              <w:t>and</w:t>
            </w:r>
            <w:r w:rsidRPr="00BA4B04">
              <w:rPr>
                <w:rFonts w:ascii="Times New Roman" w:eastAsia="Arial" w:hAnsi="Arial" w:cs="Arial"/>
                <w:b/>
                <w:spacing w:val="-4"/>
                <w:sz w:val="20"/>
                <w:szCs w:val="20"/>
                <w:lang w:val="en-US"/>
              </w:rPr>
              <w:t xml:space="preserve"> </w:t>
            </w:r>
            <w:r w:rsidRPr="00BA4B04">
              <w:rPr>
                <w:rFonts w:ascii="Times New Roman" w:eastAsia="Arial" w:hAnsi="Arial" w:cs="Arial"/>
                <w:b/>
                <w:sz w:val="20"/>
                <w:szCs w:val="20"/>
                <w:lang w:val="en-US"/>
              </w:rPr>
              <w:t>infestations</w:t>
            </w:r>
          </w:p>
        </w:tc>
      </w:tr>
      <w:tr w:rsidR="00BA4B04" w:rsidRPr="00BA4B04" w14:paraId="5CF1E909"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581C1464"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Respiratory</w:t>
            </w:r>
            <w:r w:rsidRPr="00BA4B04">
              <w:rPr>
                <w:rFonts w:ascii="Times New Roman" w:eastAsia="Arial" w:hAnsi="Arial" w:cs="Arial"/>
                <w:spacing w:val="-3"/>
                <w:sz w:val="20"/>
                <w:szCs w:val="20"/>
                <w:lang w:val="en-US"/>
              </w:rPr>
              <w:t xml:space="preserve"> </w:t>
            </w:r>
            <w:r w:rsidRPr="00BA4B04">
              <w:rPr>
                <w:rFonts w:ascii="Times New Roman" w:eastAsia="Arial" w:hAnsi="Arial" w:cs="Arial"/>
                <w:sz w:val="20"/>
                <w:szCs w:val="20"/>
                <w:lang w:val="en-US"/>
              </w:rPr>
              <w:t>tract</w:t>
            </w:r>
            <w:r w:rsidRPr="00BA4B04">
              <w:rPr>
                <w:rFonts w:ascii="Times New Roman" w:eastAsia="Arial" w:hAnsi="Arial" w:cs="Arial"/>
                <w:spacing w:val="-3"/>
                <w:sz w:val="20"/>
                <w:szCs w:val="20"/>
                <w:lang w:val="en-US"/>
              </w:rPr>
              <w:t xml:space="preserve"> </w:t>
            </w:r>
            <w:proofErr w:type="spellStart"/>
            <w:r w:rsidRPr="00BA4B04">
              <w:rPr>
                <w:rFonts w:ascii="Times New Roman" w:eastAsia="Arial" w:hAnsi="Arial" w:cs="Arial"/>
                <w:sz w:val="20"/>
                <w:szCs w:val="20"/>
                <w:lang w:val="en-US"/>
              </w:rPr>
              <w:t>infection</w:t>
            </w:r>
            <w:r w:rsidRPr="00BA4B04">
              <w:rPr>
                <w:rFonts w:ascii="Times New Roman" w:eastAsia="Arial" w:hAnsi="Arial" w:cs="Arial"/>
                <w:sz w:val="20"/>
                <w:szCs w:val="20"/>
                <w:vertAlign w:val="superscript"/>
                <w:lang w:val="en-US"/>
              </w:rPr>
              <w:t>f</w:t>
            </w:r>
            <w:proofErr w:type="spellEnd"/>
          </w:p>
        </w:tc>
        <w:tc>
          <w:tcPr>
            <w:tcW w:w="1999" w:type="dxa"/>
            <w:tcBorders>
              <w:top w:val="single" w:sz="4" w:space="0" w:color="000000"/>
              <w:left w:val="single" w:sz="4" w:space="0" w:color="000000"/>
              <w:bottom w:val="single" w:sz="4" w:space="0" w:color="000000"/>
              <w:right w:val="single" w:sz="4" w:space="0" w:color="000000"/>
            </w:tcBorders>
            <w:hideMark/>
          </w:tcPr>
          <w:p w14:paraId="48472B07"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18</w:t>
            </w:r>
          </w:p>
        </w:tc>
        <w:tc>
          <w:tcPr>
            <w:tcW w:w="2000" w:type="dxa"/>
            <w:tcBorders>
              <w:top w:val="single" w:sz="4" w:space="0" w:color="000000"/>
              <w:left w:val="single" w:sz="4" w:space="0" w:color="000000"/>
              <w:bottom w:val="single" w:sz="4" w:space="0" w:color="000000"/>
              <w:right w:val="single" w:sz="4" w:space="0" w:color="000000"/>
            </w:tcBorders>
            <w:hideMark/>
          </w:tcPr>
          <w:p w14:paraId="6D4A7831"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5</w:t>
            </w:r>
          </w:p>
        </w:tc>
      </w:tr>
      <w:tr w:rsidR="00BA4B04" w:rsidRPr="00BA4B04" w14:paraId="103409AE"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4785D436" w14:textId="77777777" w:rsidR="00BA4B04" w:rsidRPr="00BA4B04" w:rsidRDefault="00BA4B04" w:rsidP="00BA4B04">
            <w:pPr>
              <w:keepNext/>
              <w:keepLines/>
              <w:widowControl w:val="0"/>
              <w:autoSpaceDE w:val="0"/>
              <w:autoSpaceDN w:val="0"/>
              <w:spacing w:before="1" w:after="0" w:line="255" w:lineRule="exact"/>
              <w:ind w:left="107"/>
              <w:rPr>
                <w:rFonts w:ascii="Times New Roman" w:eastAsia="Arial" w:hAnsi="Arial" w:cs="Arial"/>
                <w:sz w:val="20"/>
                <w:szCs w:val="20"/>
                <w:lang w:val="en-US"/>
              </w:rPr>
            </w:pPr>
            <w:proofErr w:type="spellStart"/>
            <w:r w:rsidRPr="00BA4B04">
              <w:rPr>
                <w:rFonts w:ascii="Times New Roman" w:eastAsia="Arial" w:hAnsi="Arial" w:cs="Arial"/>
                <w:sz w:val="20"/>
                <w:szCs w:val="20"/>
                <w:lang w:val="en-US"/>
              </w:rPr>
              <w:t>Pneumonia</w:t>
            </w:r>
            <w:r w:rsidRPr="00BA4B04">
              <w:rPr>
                <w:rFonts w:ascii="Times New Roman" w:eastAsia="Arial" w:hAnsi="Arial" w:cs="Arial"/>
                <w:sz w:val="20"/>
                <w:szCs w:val="20"/>
                <w:vertAlign w:val="superscript"/>
                <w:lang w:val="en-US"/>
              </w:rPr>
              <w:t>g</w:t>
            </w:r>
            <w:proofErr w:type="spellEnd"/>
          </w:p>
        </w:tc>
        <w:tc>
          <w:tcPr>
            <w:tcW w:w="1999" w:type="dxa"/>
            <w:tcBorders>
              <w:top w:val="single" w:sz="4" w:space="0" w:color="000000"/>
              <w:left w:val="single" w:sz="4" w:space="0" w:color="000000"/>
              <w:bottom w:val="single" w:sz="4" w:space="0" w:color="000000"/>
              <w:right w:val="single" w:sz="4" w:space="0" w:color="000000"/>
            </w:tcBorders>
            <w:hideMark/>
          </w:tcPr>
          <w:p w14:paraId="742B0291" w14:textId="77777777" w:rsidR="00BA4B04" w:rsidRPr="00BA4B04" w:rsidRDefault="00BA4B04" w:rsidP="00BA4B04">
            <w:pPr>
              <w:keepNext/>
              <w:keepLines/>
              <w:widowControl w:val="0"/>
              <w:autoSpaceDE w:val="0"/>
              <w:autoSpaceDN w:val="0"/>
              <w:spacing w:before="1"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10</w:t>
            </w:r>
          </w:p>
        </w:tc>
        <w:tc>
          <w:tcPr>
            <w:tcW w:w="2000" w:type="dxa"/>
            <w:tcBorders>
              <w:top w:val="single" w:sz="4" w:space="0" w:color="000000"/>
              <w:left w:val="single" w:sz="4" w:space="0" w:color="000000"/>
              <w:bottom w:val="single" w:sz="4" w:space="0" w:color="000000"/>
              <w:right w:val="single" w:sz="4" w:space="0" w:color="000000"/>
            </w:tcBorders>
            <w:hideMark/>
          </w:tcPr>
          <w:p w14:paraId="310E648C" w14:textId="77777777" w:rsidR="00BA4B04" w:rsidRPr="00BA4B04" w:rsidRDefault="00BA4B04" w:rsidP="00BA4B04">
            <w:pPr>
              <w:keepNext/>
              <w:keepLines/>
              <w:widowControl w:val="0"/>
              <w:autoSpaceDE w:val="0"/>
              <w:autoSpaceDN w:val="0"/>
              <w:spacing w:before="1"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7</w:t>
            </w:r>
          </w:p>
        </w:tc>
      </w:tr>
      <w:tr w:rsidR="00BA4B04" w:rsidRPr="00BA4B04" w14:paraId="178269AF" w14:textId="77777777" w:rsidTr="00130E1B">
        <w:trPr>
          <w:trHeight w:val="275"/>
        </w:trPr>
        <w:tc>
          <w:tcPr>
            <w:tcW w:w="9214" w:type="dxa"/>
            <w:gridSpan w:val="3"/>
            <w:tcBorders>
              <w:top w:val="single" w:sz="4" w:space="0" w:color="000000"/>
              <w:left w:val="single" w:sz="4" w:space="0" w:color="000000"/>
              <w:bottom w:val="single" w:sz="4" w:space="0" w:color="000000"/>
              <w:right w:val="single" w:sz="4" w:space="0" w:color="000000"/>
            </w:tcBorders>
            <w:hideMark/>
          </w:tcPr>
          <w:p w14:paraId="3764223E" w14:textId="77777777" w:rsidR="00BA4B04" w:rsidRPr="00BA4B04" w:rsidRDefault="00BA4B04" w:rsidP="00BA4B04">
            <w:pPr>
              <w:keepNext/>
              <w:keepLines/>
              <w:widowControl w:val="0"/>
              <w:autoSpaceDE w:val="0"/>
              <w:autoSpaceDN w:val="0"/>
              <w:spacing w:before="0" w:after="0" w:line="240" w:lineRule="auto"/>
              <w:rPr>
                <w:rFonts w:ascii="Times New Roman" w:eastAsia="Arial" w:hAnsi="Arial" w:cs="Arial"/>
                <w:sz w:val="20"/>
                <w:szCs w:val="20"/>
                <w:lang w:val="en-US"/>
              </w:rPr>
            </w:pPr>
            <w:r w:rsidRPr="00BA4B04">
              <w:rPr>
                <w:rFonts w:ascii="Times New Roman" w:eastAsia="Arial" w:hAnsi="Arial" w:cs="Arial"/>
                <w:b/>
                <w:sz w:val="20"/>
                <w:szCs w:val="20"/>
                <w:lang w:val="en-US"/>
              </w:rPr>
              <w:t>Nervous</w:t>
            </w:r>
            <w:r w:rsidRPr="00BA4B04">
              <w:rPr>
                <w:rFonts w:ascii="Times New Roman" w:eastAsia="Arial" w:hAnsi="Arial" w:cs="Arial"/>
                <w:b/>
                <w:spacing w:val="-1"/>
                <w:sz w:val="20"/>
                <w:szCs w:val="20"/>
                <w:lang w:val="en-US"/>
              </w:rPr>
              <w:t xml:space="preserve"> </w:t>
            </w:r>
            <w:r w:rsidRPr="00BA4B04">
              <w:rPr>
                <w:rFonts w:ascii="Times New Roman" w:eastAsia="Arial" w:hAnsi="Arial" w:cs="Arial"/>
                <w:b/>
                <w:sz w:val="20"/>
                <w:szCs w:val="20"/>
                <w:lang w:val="en-US"/>
              </w:rPr>
              <w:t>system</w:t>
            </w:r>
            <w:r w:rsidRPr="00BA4B04">
              <w:rPr>
                <w:rFonts w:ascii="Times New Roman" w:eastAsia="Arial" w:hAnsi="Arial" w:cs="Arial"/>
                <w:b/>
                <w:spacing w:val="-1"/>
                <w:sz w:val="20"/>
                <w:szCs w:val="20"/>
                <w:lang w:val="en-US"/>
              </w:rPr>
              <w:t xml:space="preserve"> </w:t>
            </w:r>
            <w:r w:rsidRPr="00BA4B04">
              <w:rPr>
                <w:rFonts w:ascii="Times New Roman" w:eastAsia="Arial" w:hAnsi="Arial" w:cs="Arial"/>
                <w:b/>
                <w:sz w:val="20"/>
                <w:szCs w:val="20"/>
                <w:lang w:val="en-US"/>
              </w:rPr>
              <w:t>disorders</w:t>
            </w:r>
          </w:p>
        </w:tc>
      </w:tr>
      <w:tr w:rsidR="00BA4B04" w:rsidRPr="00BA4B04" w14:paraId="5F6CBD3E"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011D2B28"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Peripheral</w:t>
            </w:r>
            <w:r w:rsidRPr="00BA4B04">
              <w:rPr>
                <w:rFonts w:ascii="Times New Roman" w:eastAsia="Arial" w:hAnsi="Arial" w:cs="Arial"/>
                <w:spacing w:val="-2"/>
                <w:sz w:val="20"/>
                <w:szCs w:val="20"/>
                <w:lang w:val="en-US"/>
              </w:rPr>
              <w:t xml:space="preserve"> </w:t>
            </w:r>
            <w:proofErr w:type="spellStart"/>
            <w:r w:rsidRPr="00BA4B04">
              <w:rPr>
                <w:rFonts w:ascii="Times New Roman" w:eastAsia="Arial" w:hAnsi="Arial" w:cs="Arial"/>
                <w:sz w:val="20"/>
                <w:szCs w:val="20"/>
                <w:lang w:val="en-US"/>
              </w:rPr>
              <w:t>neuropathy</w:t>
            </w:r>
            <w:r w:rsidRPr="00BA4B04">
              <w:rPr>
                <w:rFonts w:ascii="Times New Roman" w:eastAsia="Arial" w:hAnsi="Arial" w:cs="Arial"/>
                <w:sz w:val="20"/>
                <w:szCs w:val="20"/>
                <w:vertAlign w:val="superscript"/>
                <w:lang w:val="en-US"/>
              </w:rPr>
              <w:t>h</w:t>
            </w:r>
            <w:proofErr w:type="spellEnd"/>
          </w:p>
        </w:tc>
        <w:tc>
          <w:tcPr>
            <w:tcW w:w="1999" w:type="dxa"/>
            <w:tcBorders>
              <w:top w:val="single" w:sz="4" w:space="0" w:color="000000"/>
              <w:left w:val="single" w:sz="4" w:space="0" w:color="000000"/>
              <w:bottom w:val="single" w:sz="4" w:space="0" w:color="000000"/>
              <w:right w:val="single" w:sz="4" w:space="0" w:color="000000"/>
            </w:tcBorders>
            <w:hideMark/>
          </w:tcPr>
          <w:p w14:paraId="570D4312"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11</w:t>
            </w:r>
          </w:p>
        </w:tc>
        <w:tc>
          <w:tcPr>
            <w:tcW w:w="2000" w:type="dxa"/>
            <w:tcBorders>
              <w:top w:val="single" w:sz="4" w:space="0" w:color="000000"/>
              <w:left w:val="single" w:sz="4" w:space="0" w:color="000000"/>
              <w:bottom w:val="single" w:sz="4" w:space="0" w:color="000000"/>
              <w:right w:val="single" w:sz="4" w:space="0" w:color="000000"/>
            </w:tcBorders>
            <w:hideMark/>
          </w:tcPr>
          <w:p w14:paraId="32D2E375"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1</w:t>
            </w:r>
          </w:p>
        </w:tc>
      </w:tr>
      <w:tr w:rsidR="00BA4B04" w:rsidRPr="00BA4B04" w14:paraId="3508AC3E"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69A4E723" w14:textId="77777777" w:rsidR="00BA4B04" w:rsidRPr="00BA4B04" w:rsidRDefault="00BA4B04" w:rsidP="00BA4B04">
            <w:pPr>
              <w:keepNext/>
              <w:keepLines/>
              <w:widowControl w:val="0"/>
              <w:autoSpaceDE w:val="0"/>
              <w:autoSpaceDN w:val="0"/>
              <w:spacing w:before="1" w:after="0" w:line="255" w:lineRule="exact"/>
              <w:ind w:left="107"/>
              <w:rPr>
                <w:rFonts w:ascii="Times New Roman" w:eastAsia="Arial" w:hAnsi="Arial" w:cs="Arial"/>
                <w:sz w:val="20"/>
                <w:szCs w:val="20"/>
                <w:lang w:val="en-US"/>
              </w:rPr>
            </w:pPr>
            <w:r w:rsidRPr="00BA4B04">
              <w:rPr>
                <w:rFonts w:ascii="Times New Roman" w:eastAsia="Arial" w:hAnsi="Arial" w:cs="Arial"/>
                <w:sz w:val="20"/>
                <w:szCs w:val="20"/>
                <w:lang w:val="en-US"/>
              </w:rPr>
              <w:t>Headache</w:t>
            </w:r>
          </w:p>
        </w:tc>
        <w:tc>
          <w:tcPr>
            <w:tcW w:w="1999" w:type="dxa"/>
            <w:tcBorders>
              <w:top w:val="single" w:sz="4" w:space="0" w:color="000000"/>
              <w:left w:val="single" w:sz="4" w:space="0" w:color="000000"/>
              <w:bottom w:val="single" w:sz="4" w:space="0" w:color="000000"/>
              <w:right w:val="single" w:sz="4" w:space="0" w:color="000000"/>
            </w:tcBorders>
            <w:hideMark/>
          </w:tcPr>
          <w:p w14:paraId="76440DF7" w14:textId="77777777" w:rsidR="00BA4B04" w:rsidRPr="00BA4B04" w:rsidRDefault="00BA4B04" w:rsidP="00BA4B04">
            <w:pPr>
              <w:keepNext/>
              <w:keepLines/>
              <w:widowControl w:val="0"/>
              <w:autoSpaceDE w:val="0"/>
              <w:autoSpaceDN w:val="0"/>
              <w:spacing w:before="1" w:after="0" w:line="255" w:lineRule="exact"/>
              <w:ind w:left="179" w:right="169"/>
              <w:jc w:val="center"/>
              <w:rPr>
                <w:rFonts w:ascii="Times New Roman" w:eastAsia="Arial" w:hAnsi="Arial" w:cs="Arial"/>
                <w:sz w:val="20"/>
                <w:szCs w:val="20"/>
                <w:lang w:val="en-US"/>
              </w:rPr>
            </w:pPr>
            <w:r w:rsidRPr="00BA4B04">
              <w:rPr>
                <w:rFonts w:ascii="Times New Roman" w:eastAsia="Arial" w:hAnsi="Arial" w:cs="Arial"/>
                <w:sz w:val="20"/>
                <w:szCs w:val="20"/>
                <w:lang w:val="en-US"/>
              </w:rPr>
              <w:t>10</w:t>
            </w:r>
          </w:p>
        </w:tc>
        <w:tc>
          <w:tcPr>
            <w:tcW w:w="2000" w:type="dxa"/>
            <w:tcBorders>
              <w:top w:val="single" w:sz="4" w:space="0" w:color="000000"/>
              <w:left w:val="single" w:sz="4" w:space="0" w:color="000000"/>
              <w:bottom w:val="single" w:sz="4" w:space="0" w:color="000000"/>
              <w:right w:val="single" w:sz="4" w:space="0" w:color="000000"/>
            </w:tcBorders>
            <w:hideMark/>
          </w:tcPr>
          <w:p w14:paraId="2BD8BE48" w14:textId="77777777" w:rsidR="00BA4B04" w:rsidRPr="00BA4B04" w:rsidRDefault="00BA4B04" w:rsidP="00BA4B04">
            <w:pPr>
              <w:keepNext/>
              <w:keepLines/>
              <w:widowControl w:val="0"/>
              <w:autoSpaceDE w:val="0"/>
              <w:autoSpaceDN w:val="0"/>
              <w:spacing w:before="1" w:after="0" w:line="255" w:lineRule="exact"/>
              <w:ind w:left="10"/>
              <w:jc w:val="center"/>
              <w:rPr>
                <w:rFonts w:ascii="Times New Roman" w:eastAsia="Arial" w:hAnsi="Arial" w:cs="Arial"/>
                <w:sz w:val="20"/>
                <w:szCs w:val="20"/>
                <w:lang w:val="en-US"/>
              </w:rPr>
            </w:pPr>
            <w:r w:rsidRPr="00BA4B04">
              <w:rPr>
                <w:rFonts w:ascii="Times New Roman" w:eastAsia="Arial" w:hAnsi="Arial" w:cs="Arial"/>
                <w:sz w:val="20"/>
                <w:szCs w:val="20"/>
                <w:lang w:val="en-US"/>
              </w:rPr>
              <w:t>1</w:t>
            </w:r>
          </w:p>
        </w:tc>
      </w:tr>
    </w:tbl>
    <w:p w14:paraId="28C4A96E" w14:textId="77777777" w:rsidR="00BA4B04" w:rsidRPr="00BA4B04" w:rsidRDefault="00BA4B04" w:rsidP="00BA4B04">
      <w:pPr>
        <w:keepNext/>
        <w:keepLines/>
        <w:widowControl w:val="0"/>
        <w:autoSpaceDE w:val="0"/>
        <w:autoSpaceDN w:val="0"/>
        <w:spacing w:before="0" w:after="0" w:line="240" w:lineRule="auto"/>
        <w:rPr>
          <w:rFonts w:ascii="Times New Roman" w:eastAsia="Times New Roman" w:hAnsi="Times New Roman"/>
          <w:sz w:val="18"/>
          <w:szCs w:val="18"/>
          <w:lang w:val="en-US"/>
        </w:rPr>
      </w:pPr>
      <w:r w:rsidRPr="00BA4B04">
        <w:rPr>
          <w:rFonts w:ascii="Times New Roman" w:eastAsia="Times New Roman" w:hAnsi="Times New Roman"/>
          <w:sz w:val="18"/>
          <w:szCs w:val="18"/>
          <w:vertAlign w:val="superscript"/>
          <w:lang w:val="en-US"/>
        </w:rPr>
        <w:t>a</w:t>
      </w:r>
      <w:r w:rsidRPr="00BA4B04">
        <w:rPr>
          <w:rFonts w:ascii="Times New Roman" w:eastAsia="Times New Roman" w:hAnsi="Times New Roman"/>
          <w:sz w:val="18"/>
          <w:szCs w:val="18"/>
          <w:lang w:val="en-US"/>
        </w:rPr>
        <w:t xml:space="preserve"> Graded per NCI CTCAE 4.0.</w:t>
      </w:r>
    </w:p>
    <w:p w14:paraId="1BA4B1D0" w14:textId="77777777" w:rsidR="00BA4B04" w:rsidRPr="00BA4B04" w:rsidRDefault="00BA4B04" w:rsidP="00BA4B04">
      <w:pPr>
        <w:keepNext/>
        <w:keepLines/>
        <w:widowControl w:val="0"/>
        <w:autoSpaceDE w:val="0"/>
        <w:autoSpaceDN w:val="0"/>
        <w:spacing w:before="0" w:after="0" w:line="240" w:lineRule="auto"/>
        <w:rPr>
          <w:rFonts w:ascii="Times New Roman" w:eastAsia="Times New Roman" w:hAnsi="Times New Roman"/>
          <w:sz w:val="18"/>
          <w:szCs w:val="18"/>
          <w:lang w:val="en-US"/>
        </w:rPr>
      </w:pPr>
      <w:r w:rsidRPr="00BA4B04">
        <w:rPr>
          <w:rFonts w:ascii="Times New Roman" w:eastAsia="Times New Roman" w:hAnsi="Times New Roman"/>
          <w:sz w:val="18"/>
          <w:szCs w:val="18"/>
          <w:vertAlign w:val="superscript"/>
          <w:lang w:val="en-US"/>
        </w:rPr>
        <w:t>b</w:t>
      </w:r>
      <w:r w:rsidRPr="00BA4B04">
        <w:rPr>
          <w:rFonts w:ascii="Times New Roman" w:eastAsia="Times New Roman" w:hAnsi="Times New Roman"/>
          <w:sz w:val="18"/>
          <w:szCs w:val="18"/>
          <w:lang w:val="en-US"/>
        </w:rPr>
        <w:t xml:space="preserve"> No grade 5 adverse reactions were reported.</w:t>
      </w:r>
    </w:p>
    <w:p w14:paraId="18462BAB" w14:textId="77777777" w:rsidR="00BA4B04" w:rsidRPr="00BA4B04" w:rsidRDefault="00BA4B04" w:rsidP="00BA4B04">
      <w:pPr>
        <w:keepNext/>
        <w:keepLines/>
        <w:widowControl w:val="0"/>
        <w:autoSpaceDE w:val="0"/>
        <w:autoSpaceDN w:val="0"/>
        <w:spacing w:before="0" w:after="0" w:line="240" w:lineRule="auto"/>
        <w:rPr>
          <w:rFonts w:ascii="Times New Roman" w:eastAsia="Times New Roman" w:hAnsi="Times New Roman"/>
          <w:sz w:val="18"/>
          <w:szCs w:val="18"/>
          <w:lang w:val="en-US"/>
        </w:rPr>
      </w:pPr>
      <w:r w:rsidRPr="00BA4B04">
        <w:rPr>
          <w:rFonts w:ascii="Times New Roman" w:eastAsia="Times New Roman" w:hAnsi="Times New Roman"/>
          <w:sz w:val="18"/>
          <w:szCs w:val="18"/>
          <w:vertAlign w:val="superscript"/>
          <w:lang w:val="en-US"/>
        </w:rPr>
        <w:t>c</w:t>
      </w:r>
      <w:r w:rsidRPr="00BA4B04">
        <w:rPr>
          <w:rFonts w:ascii="Times New Roman" w:eastAsia="Times New Roman" w:hAnsi="Times New Roman"/>
          <w:sz w:val="18"/>
          <w:szCs w:val="18"/>
          <w:lang w:val="en-US"/>
        </w:rPr>
        <w:t xml:space="preserve"> Includes abdominal pain, abdominal pain upper and abdominal discomfort.</w:t>
      </w:r>
    </w:p>
    <w:p w14:paraId="5705EDF3" w14:textId="77777777" w:rsidR="00BA4B04" w:rsidRPr="00BA4B04" w:rsidRDefault="00BA4B04" w:rsidP="00BA4B04">
      <w:pPr>
        <w:keepNext/>
        <w:keepLines/>
        <w:widowControl w:val="0"/>
        <w:autoSpaceDE w:val="0"/>
        <w:autoSpaceDN w:val="0"/>
        <w:spacing w:before="0" w:after="0" w:line="240" w:lineRule="auto"/>
        <w:rPr>
          <w:rFonts w:ascii="Times New Roman" w:eastAsia="Times New Roman" w:hAnsi="Times New Roman"/>
          <w:sz w:val="18"/>
          <w:szCs w:val="18"/>
          <w:lang w:val="en-US"/>
        </w:rPr>
      </w:pPr>
      <w:r w:rsidRPr="00BA4B04">
        <w:rPr>
          <w:rFonts w:ascii="Times New Roman" w:eastAsia="Times New Roman" w:hAnsi="Times New Roman"/>
          <w:sz w:val="18"/>
          <w:szCs w:val="18"/>
          <w:vertAlign w:val="superscript"/>
          <w:lang w:val="en-US"/>
        </w:rPr>
        <w:t>d</w:t>
      </w:r>
      <w:r w:rsidRPr="00BA4B04">
        <w:rPr>
          <w:rFonts w:ascii="Times New Roman" w:eastAsia="Times New Roman" w:hAnsi="Times New Roman"/>
          <w:sz w:val="18"/>
          <w:szCs w:val="18"/>
          <w:lang w:val="en-US"/>
        </w:rPr>
        <w:t xml:space="preserve"> Includes musculoskeletal pain, back pain, arthralgia, pain in extremity, musculoskeletal chest pain, neck pain, bone pain and myalgia.</w:t>
      </w:r>
    </w:p>
    <w:p w14:paraId="19867146" w14:textId="77777777" w:rsidR="00BA4B04" w:rsidRPr="00BA4B04" w:rsidRDefault="00BA4B04" w:rsidP="00BA4B04">
      <w:pPr>
        <w:keepNext/>
        <w:keepLines/>
        <w:widowControl w:val="0"/>
        <w:autoSpaceDE w:val="0"/>
        <w:autoSpaceDN w:val="0"/>
        <w:spacing w:before="0" w:after="0" w:line="240" w:lineRule="auto"/>
        <w:rPr>
          <w:rFonts w:ascii="Times New Roman" w:eastAsia="Times New Roman" w:hAnsi="Times New Roman"/>
          <w:sz w:val="18"/>
          <w:szCs w:val="18"/>
          <w:lang w:val="en-US"/>
        </w:rPr>
      </w:pPr>
      <w:r w:rsidRPr="00BA4B04">
        <w:rPr>
          <w:rFonts w:ascii="Times New Roman" w:eastAsia="Times New Roman" w:hAnsi="Times New Roman"/>
          <w:sz w:val="18"/>
          <w:szCs w:val="18"/>
          <w:vertAlign w:val="superscript"/>
          <w:lang w:val="en-US"/>
        </w:rPr>
        <w:t>e</w:t>
      </w:r>
      <w:r w:rsidRPr="00BA4B04">
        <w:rPr>
          <w:rFonts w:ascii="Times New Roman" w:eastAsia="Times New Roman" w:hAnsi="Times New Roman"/>
          <w:sz w:val="18"/>
          <w:szCs w:val="18"/>
          <w:lang w:val="en-US"/>
        </w:rPr>
        <w:t xml:space="preserve"> Includes cough and productive cough.</w:t>
      </w:r>
    </w:p>
    <w:p w14:paraId="55B456C8" w14:textId="77777777" w:rsidR="00BA4B04" w:rsidRPr="00BA4B04" w:rsidRDefault="00BA4B04" w:rsidP="00BA4B04">
      <w:pPr>
        <w:keepNext/>
        <w:keepLines/>
        <w:widowControl w:val="0"/>
        <w:autoSpaceDE w:val="0"/>
        <w:autoSpaceDN w:val="0"/>
        <w:spacing w:before="0" w:after="0" w:line="240" w:lineRule="auto"/>
        <w:rPr>
          <w:rFonts w:ascii="Times New Roman" w:eastAsia="Times New Roman" w:hAnsi="Times New Roman"/>
          <w:sz w:val="18"/>
          <w:szCs w:val="18"/>
          <w:lang w:val="en-US"/>
        </w:rPr>
      </w:pPr>
      <w:r w:rsidRPr="00BA4B04">
        <w:rPr>
          <w:rFonts w:ascii="Times New Roman" w:eastAsia="Times New Roman" w:hAnsi="Times New Roman"/>
          <w:sz w:val="18"/>
          <w:szCs w:val="18"/>
          <w:vertAlign w:val="superscript"/>
          <w:lang w:val="en-US"/>
        </w:rPr>
        <w:t>f</w:t>
      </w:r>
      <w:r w:rsidRPr="00BA4B04">
        <w:rPr>
          <w:rFonts w:ascii="Times New Roman" w:eastAsia="Times New Roman" w:hAnsi="Times New Roman"/>
          <w:sz w:val="18"/>
          <w:szCs w:val="18"/>
          <w:lang w:val="en-US"/>
        </w:rPr>
        <w:t xml:space="preserve"> Includes upper respiratory tract infection, viral upper respiratory tract infection, respiratory tract infection and bronchitis.</w:t>
      </w:r>
    </w:p>
    <w:p w14:paraId="02721405" w14:textId="77777777" w:rsidR="00BA4B04" w:rsidRPr="00BA4B04" w:rsidRDefault="00BA4B04" w:rsidP="00BA4B04">
      <w:pPr>
        <w:keepNext/>
        <w:keepLines/>
        <w:widowControl w:val="0"/>
        <w:autoSpaceDE w:val="0"/>
        <w:autoSpaceDN w:val="0"/>
        <w:spacing w:before="0" w:after="0" w:line="240" w:lineRule="auto"/>
        <w:rPr>
          <w:rFonts w:ascii="Times New Roman" w:eastAsia="Times New Roman" w:hAnsi="Times New Roman"/>
          <w:sz w:val="18"/>
          <w:szCs w:val="18"/>
          <w:lang w:val="en-US"/>
        </w:rPr>
      </w:pPr>
      <w:r w:rsidRPr="00BA4B04">
        <w:rPr>
          <w:rFonts w:ascii="Times New Roman" w:eastAsia="Times New Roman" w:hAnsi="Times New Roman"/>
          <w:sz w:val="18"/>
          <w:szCs w:val="18"/>
          <w:vertAlign w:val="superscript"/>
          <w:lang w:val="en-US"/>
        </w:rPr>
        <w:t>g</w:t>
      </w:r>
      <w:r w:rsidRPr="00BA4B04">
        <w:rPr>
          <w:rFonts w:ascii="Times New Roman" w:eastAsia="Times New Roman" w:hAnsi="Times New Roman"/>
          <w:sz w:val="18"/>
          <w:szCs w:val="18"/>
          <w:lang w:val="en-US"/>
        </w:rPr>
        <w:t xml:space="preserve"> Includes pneumonia and lung infection.</w:t>
      </w:r>
    </w:p>
    <w:p w14:paraId="6D76C3BA" w14:textId="77777777" w:rsidR="00BA4B04" w:rsidRPr="00BA4B04" w:rsidRDefault="00BA4B04" w:rsidP="00BA4B04">
      <w:pPr>
        <w:keepNext/>
        <w:keepLines/>
        <w:widowControl w:val="0"/>
        <w:autoSpaceDE w:val="0"/>
        <w:autoSpaceDN w:val="0"/>
        <w:spacing w:before="0" w:after="0" w:line="240" w:lineRule="auto"/>
        <w:rPr>
          <w:rFonts w:ascii="Times New Roman" w:eastAsia="Times New Roman" w:hAnsi="Times New Roman"/>
          <w:sz w:val="18"/>
          <w:szCs w:val="18"/>
          <w:lang w:val="en-US"/>
        </w:rPr>
      </w:pPr>
      <w:r w:rsidRPr="00BA4B04">
        <w:rPr>
          <w:rFonts w:ascii="Times New Roman" w:eastAsia="Times New Roman" w:hAnsi="Times New Roman"/>
          <w:sz w:val="18"/>
          <w:szCs w:val="18"/>
          <w:vertAlign w:val="superscript"/>
          <w:lang w:val="en-US"/>
        </w:rPr>
        <w:t>h</w:t>
      </w:r>
      <w:r w:rsidRPr="00BA4B04">
        <w:rPr>
          <w:rFonts w:ascii="Times New Roman" w:eastAsia="Times New Roman" w:hAnsi="Times New Roman"/>
          <w:sz w:val="18"/>
          <w:szCs w:val="18"/>
          <w:lang w:val="en-US"/>
        </w:rPr>
        <w:t xml:space="preserve"> Includes neuropathy peripheral, neuralgia, </w:t>
      </w:r>
      <w:proofErr w:type="spellStart"/>
      <w:r w:rsidRPr="00BA4B04">
        <w:rPr>
          <w:rFonts w:ascii="Times New Roman" w:eastAsia="Times New Roman" w:hAnsi="Times New Roman"/>
          <w:sz w:val="18"/>
          <w:szCs w:val="18"/>
          <w:lang w:val="en-US"/>
        </w:rPr>
        <w:t>paraesthesia</w:t>
      </w:r>
      <w:proofErr w:type="spellEnd"/>
      <w:r w:rsidRPr="00BA4B04">
        <w:rPr>
          <w:rFonts w:ascii="Times New Roman" w:eastAsia="Times New Roman" w:hAnsi="Times New Roman"/>
          <w:sz w:val="18"/>
          <w:szCs w:val="18"/>
          <w:lang w:val="en-US"/>
        </w:rPr>
        <w:t xml:space="preserve">, peripheral sensory neuropathy, </w:t>
      </w:r>
      <w:proofErr w:type="spellStart"/>
      <w:r w:rsidRPr="00BA4B04">
        <w:rPr>
          <w:rFonts w:ascii="Times New Roman" w:eastAsia="Times New Roman" w:hAnsi="Times New Roman"/>
          <w:sz w:val="18"/>
          <w:szCs w:val="18"/>
          <w:lang w:val="en-US"/>
        </w:rPr>
        <w:t>hypoaesthesia</w:t>
      </w:r>
      <w:proofErr w:type="spellEnd"/>
      <w:r w:rsidRPr="00BA4B04">
        <w:rPr>
          <w:rFonts w:ascii="Times New Roman" w:eastAsia="Times New Roman" w:hAnsi="Times New Roman"/>
          <w:sz w:val="18"/>
          <w:szCs w:val="18"/>
          <w:lang w:val="en-US"/>
        </w:rPr>
        <w:t xml:space="preserve">, and </w:t>
      </w:r>
      <w:proofErr w:type="spellStart"/>
      <w:r w:rsidRPr="00BA4B04">
        <w:rPr>
          <w:rFonts w:ascii="Times New Roman" w:eastAsia="Times New Roman" w:hAnsi="Times New Roman"/>
          <w:sz w:val="18"/>
          <w:szCs w:val="18"/>
          <w:lang w:val="en-US"/>
        </w:rPr>
        <w:t>hyperaesthesia</w:t>
      </w:r>
      <w:proofErr w:type="spellEnd"/>
      <w:r w:rsidRPr="00BA4B04">
        <w:rPr>
          <w:rFonts w:ascii="Times New Roman" w:eastAsia="Times New Roman" w:hAnsi="Times New Roman"/>
          <w:sz w:val="18"/>
          <w:szCs w:val="18"/>
          <w:lang w:val="en-US"/>
        </w:rPr>
        <w:t>.</w:t>
      </w:r>
    </w:p>
    <w:p w14:paraId="003FB475" w14:textId="77777777" w:rsidR="00BA4B04" w:rsidRPr="00BA4B04" w:rsidRDefault="00BA4B04" w:rsidP="00BA4B04">
      <w:pPr>
        <w:widowControl w:val="0"/>
        <w:autoSpaceDE w:val="0"/>
        <w:autoSpaceDN w:val="0"/>
        <w:spacing w:before="0" w:after="0" w:line="240" w:lineRule="auto"/>
        <w:rPr>
          <w:rFonts w:ascii="Times New Roman" w:eastAsia="Times New Roman" w:hAnsi="Times New Roman"/>
          <w:sz w:val="24"/>
          <w:szCs w:val="24"/>
          <w:lang w:val="en-US"/>
        </w:rPr>
      </w:pPr>
    </w:p>
    <w:p w14:paraId="26FA96B1" w14:textId="77777777" w:rsidR="00BA4B04" w:rsidRPr="00BA4B04" w:rsidRDefault="00BA4B04" w:rsidP="00BA4B04">
      <w:pPr>
        <w:widowControl w:val="0"/>
        <w:autoSpaceDE w:val="0"/>
        <w:autoSpaceDN w:val="0"/>
        <w:spacing w:before="0" w:after="0" w:line="240" w:lineRule="auto"/>
        <w:rPr>
          <w:rFonts w:ascii="Times New Roman" w:eastAsia="Times New Roman" w:hAnsi="Times New Roman"/>
          <w:lang w:val="en-US"/>
        </w:rPr>
      </w:pPr>
      <w:r w:rsidRPr="00BA4B04">
        <w:rPr>
          <w:rFonts w:ascii="Times New Roman" w:eastAsia="Times New Roman" w:hAnsi="Times New Roman"/>
          <w:lang w:val="en-US"/>
        </w:rPr>
        <w:t>Clinically relevant adverse reactions in &lt;10% of patients who received ZEPZELCA included dysgeusia, febrile neutropenia and pneumonitis.</w:t>
      </w:r>
    </w:p>
    <w:p w14:paraId="7673C1E4" w14:textId="77777777" w:rsidR="00BA4B04" w:rsidRPr="00BA4B04" w:rsidRDefault="00BA4B04" w:rsidP="00BA4B04">
      <w:pPr>
        <w:widowControl w:val="0"/>
        <w:autoSpaceDE w:val="0"/>
        <w:autoSpaceDN w:val="0"/>
        <w:spacing w:before="0" w:after="0" w:line="240" w:lineRule="auto"/>
        <w:rPr>
          <w:rFonts w:ascii="Times New Roman" w:eastAsia="Times New Roman" w:hAnsi="Times New Roman"/>
          <w:sz w:val="24"/>
          <w:szCs w:val="24"/>
          <w:lang w:val="en-US"/>
        </w:rPr>
      </w:pPr>
    </w:p>
    <w:p w14:paraId="51E23BE4" w14:textId="77777777" w:rsidR="00BA4B04" w:rsidRPr="00BA4B04" w:rsidRDefault="00BA4B04" w:rsidP="00BA4B04">
      <w:pPr>
        <w:keepNext/>
        <w:keepLines/>
        <w:spacing w:line="280" w:lineRule="atLeast"/>
        <w:ind w:left="1440" w:hanging="1440"/>
        <w:rPr>
          <w:rFonts w:ascii="Times New Roman" w:eastAsia="Times New Roman" w:hAnsi="Times New Roman"/>
          <w:b/>
          <w:bCs/>
          <w:sz w:val="24"/>
          <w:szCs w:val="24"/>
          <w:lang w:val="en-US"/>
        </w:rPr>
      </w:pPr>
      <w:bookmarkStart w:id="102" w:name="_Ref80265837"/>
      <w:r w:rsidRPr="00BA4B04">
        <w:rPr>
          <w:rFonts w:ascii="Times New Roman" w:eastAsia="Times New Roman" w:hAnsi="Times New Roman"/>
          <w:b/>
          <w:bCs/>
          <w:sz w:val="24"/>
          <w:szCs w:val="24"/>
          <w:lang w:val="en-US"/>
        </w:rPr>
        <w:lastRenderedPageBreak/>
        <w:t xml:space="preserve">Table </w:t>
      </w:r>
      <w:r w:rsidRPr="00BA4B04">
        <w:rPr>
          <w:rFonts w:ascii="Times New Roman" w:eastAsia="Times New Roman" w:hAnsi="Times New Roman"/>
          <w:b/>
          <w:bCs/>
          <w:sz w:val="24"/>
          <w:szCs w:val="24"/>
          <w:lang w:val="en-US"/>
        </w:rPr>
        <w:fldChar w:fldCharType="begin"/>
      </w:r>
      <w:r w:rsidRPr="00BA4B04">
        <w:rPr>
          <w:rFonts w:ascii="Times New Roman" w:eastAsia="Times New Roman" w:hAnsi="Times New Roman"/>
          <w:b/>
          <w:bCs/>
          <w:sz w:val="24"/>
          <w:szCs w:val="24"/>
          <w:lang w:val="en-US"/>
        </w:rPr>
        <w:instrText xml:space="preserve"> SEQ Table \* ARABIC </w:instrText>
      </w:r>
      <w:r w:rsidRPr="00BA4B04">
        <w:rPr>
          <w:rFonts w:ascii="Times New Roman" w:eastAsia="Times New Roman" w:hAnsi="Times New Roman"/>
          <w:b/>
          <w:bCs/>
          <w:sz w:val="24"/>
          <w:szCs w:val="24"/>
          <w:lang w:val="en-US"/>
        </w:rPr>
        <w:fldChar w:fldCharType="separate"/>
      </w:r>
      <w:r w:rsidRPr="00BA4B04">
        <w:rPr>
          <w:rFonts w:ascii="Times New Roman" w:eastAsia="Times New Roman" w:hAnsi="Times New Roman"/>
          <w:b/>
          <w:bCs/>
          <w:noProof/>
          <w:sz w:val="24"/>
          <w:szCs w:val="24"/>
          <w:lang w:val="en-US"/>
        </w:rPr>
        <w:t>4</w:t>
      </w:r>
      <w:r w:rsidRPr="00BA4B04">
        <w:rPr>
          <w:rFonts w:ascii="Times New Roman" w:eastAsia="Times New Roman" w:hAnsi="Times New Roman"/>
          <w:b/>
          <w:bCs/>
          <w:sz w:val="24"/>
          <w:szCs w:val="24"/>
          <w:lang w:val="en-US"/>
        </w:rPr>
        <w:fldChar w:fldCharType="end"/>
      </w:r>
      <w:bookmarkEnd w:id="102"/>
      <w:r w:rsidRPr="00BA4B04">
        <w:rPr>
          <w:rFonts w:ascii="Times New Roman" w:eastAsia="Times New Roman" w:hAnsi="Times New Roman"/>
          <w:b/>
          <w:bCs/>
          <w:sz w:val="24"/>
          <w:szCs w:val="24"/>
          <w:lang w:val="en-US"/>
        </w:rPr>
        <w:t>:</w:t>
      </w:r>
      <w:r w:rsidRPr="00BA4B04">
        <w:rPr>
          <w:rFonts w:ascii="Times New Roman" w:eastAsia="Times New Roman" w:hAnsi="Times New Roman"/>
          <w:b/>
          <w:bCs/>
          <w:sz w:val="24"/>
          <w:szCs w:val="24"/>
          <w:lang w:val="en-US"/>
        </w:rPr>
        <w:tab/>
      </w:r>
      <w:r w:rsidRPr="00BA4B04">
        <w:rPr>
          <w:rFonts w:ascii="Times New Roman" w:eastAsia="Times New Roman" w:hAnsi="Times New Roman"/>
          <w:b/>
          <w:bCs/>
          <w:sz w:val="20"/>
          <w:szCs w:val="20"/>
          <w:lang w:val="en-US"/>
        </w:rPr>
        <w:t>Selected laboratory abnormalities that worsened from baseline in at least 20% of patients with</w:t>
      </w:r>
      <w:r w:rsidRPr="00BA4B04">
        <w:rPr>
          <w:rFonts w:ascii="Times New Roman" w:eastAsia="Times New Roman" w:hAnsi="Times New Roman"/>
          <w:b/>
          <w:bCs/>
          <w:spacing w:val="-1"/>
          <w:sz w:val="20"/>
          <w:szCs w:val="20"/>
          <w:lang w:val="en-US"/>
        </w:rPr>
        <w:t xml:space="preserve"> </w:t>
      </w:r>
      <w:r w:rsidRPr="00BA4B04">
        <w:rPr>
          <w:rFonts w:ascii="Times New Roman" w:eastAsia="Times New Roman" w:hAnsi="Times New Roman"/>
          <w:b/>
          <w:bCs/>
          <w:sz w:val="20"/>
          <w:szCs w:val="20"/>
          <w:lang w:val="en-US"/>
        </w:rPr>
        <w:t>SCLC who</w:t>
      </w:r>
      <w:r w:rsidRPr="00BA4B04">
        <w:rPr>
          <w:rFonts w:ascii="Times New Roman" w:eastAsia="Times New Roman" w:hAnsi="Times New Roman"/>
          <w:b/>
          <w:bCs/>
          <w:spacing w:val="-1"/>
          <w:sz w:val="20"/>
          <w:szCs w:val="20"/>
          <w:lang w:val="en-US"/>
        </w:rPr>
        <w:t xml:space="preserve"> r</w:t>
      </w:r>
      <w:r w:rsidRPr="00BA4B04">
        <w:rPr>
          <w:rFonts w:ascii="Times New Roman" w:eastAsia="Times New Roman" w:hAnsi="Times New Roman"/>
          <w:b/>
          <w:bCs/>
          <w:sz w:val="20"/>
          <w:szCs w:val="20"/>
          <w:lang w:val="en-US"/>
        </w:rPr>
        <w:t>eceived ZEPZELCA</w:t>
      </w:r>
      <w:r w:rsidRPr="00BA4B04">
        <w:rPr>
          <w:rFonts w:ascii="Times New Roman" w:eastAsia="Times New Roman" w:hAnsi="Times New Roman"/>
          <w:b/>
          <w:bCs/>
          <w:spacing w:val="-1"/>
          <w:sz w:val="20"/>
          <w:szCs w:val="20"/>
          <w:lang w:val="en-US"/>
        </w:rPr>
        <w:t xml:space="preserve"> </w:t>
      </w:r>
      <w:r w:rsidRPr="00BA4B04">
        <w:rPr>
          <w:rFonts w:ascii="Times New Roman" w:eastAsia="Times New Roman" w:hAnsi="Times New Roman"/>
          <w:b/>
          <w:bCs/>
          <w:sz w:val="20"/>
          <w:szCs w:val="20"/>
          <w:lang w:val="en-US"/>
        </w:rPr>
        <w:t>in Study B-005</w:t>
      </w:r>
    </w:p>
    <w:tbl>
      <w:tblPr>
        <w:tblW w:w="922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5"/>
        <w:gridCol w:w="2003"/>
        <w:gridCol w:w="2003"/>
      </w:tblGrid>
      <w:tr w:rsidR="00BA4B04" w:rsidRPr="00BA4B04" w14:paraId="36DF3AE9" w14:textId="77777777" w:rsidTr="00130E1B">
        <w:trPr>
          <w:trHeight w:val="553"/>
        </w:trPr>
        <w:tc>
          <w:tcPr>
            <w:tcW w:w="5215" w:type="dxa"/>
            <w:vMerge w:val="restart"/>
            <w:tcBorders>
              <w:top w:val="single" w:sz="4" w:space="0" w:color="000000"/>
              <w:left w:val="single" w:sz="4" w:space="0" w:color="000000"/>
              <w:bottom w:val="single" w:sz="4" w:space="0" w:color="000000"/>
              <w:right w:val="single" w:sz="4" w:space="0" w:color="000000"/>
            </w:tcBorders>
          </w:tcPr>
          <w:p w14:paraId="6F20819A" w14:textId="77777777" w:rsidR="00BA4B04" w:rsidRPr="00BA4B04" w:rsidRDefault="00BA4B04" w:rsidP="00BA4B04">
            <w:pPr>
              <w:keepNext/>
              <w:keepLines/>
              <w:widowControl w:val="0"/>
              <w:autoSpaceDE w:val="0"/>
              <w:autoSpaceDN w:val="0"/>
              <w:spacing w:before="0" w:after="0" w:line="240" w:lineRule="auto"/>
              <w:rPr>
                <w:rFonts w:ascii="Times New Roman" w:eastAsia="Arial" w:hAnsi="Times New Roman"/>
                <w:b/>
                <w:sz w:val="20"/>
                <w:szCs w:val="20"/>
                <w:lang w:val="en-US"/>
              </w:rPr>
            </w:pPr>
          </w:p>
          <w:p w14:paraId="4D18E0BD" w14:textId="77777777" w:rsidR="00BA4B04" w:rsidRPr="00BA4B04" w:rsidRDefault="00BA4B04" w:rsidP="00BA4B04">
            <w:pPr>
              <w:keepNext/>
              <w:keepLines/>
              <w:widowControl w:val="0"/>
              <w:autoSpaceDE w:val="0"/>
              <w:autoSpaceDN w:val="0"/>
              <w:spacing w:before="0" w:after="0" w:line="240" w:lineRule="auto"/>
              <w:rPr>
                <w:rFonts w:ascii="Times New Roman" w:eastAsia="Arial" w:hAnsi="Times New Roman"/>
                <w:b/>
                <w:sz w:val="20"/>
                <w:szCs w:val="20"/>
                <w:lang w:val="en-US"/>
              </w:rPr>
            </w:pPr>
          </w:p>
          <w:p w14:paraId="4E728CCC" w14:textId="77777777" w:rsidR="00BA4B04" w:rsidRPr="00BA4B04" w:rsidRDefault="00BA4B04" w:rsidP="00BA4B04">
            <w:pPr>
              <w:keepNext/>
              <w:keepLines/>
              <w:widowControl w:val="0"/>
              <w:autoSpaceDE w:val="0"/>
              <w:autoSpaceDN w:val="0"/>
              <w:spacing w:before="0" w:after="0" w:line="240" w:lineRule="auto"/>
              <w:ind w:left="107"/>
              <w:rPr>
                <w:rFonts w:ascii="Times New Roman" w:eastAsia="Arial" w:hAnsi="Times New Roman"/>
                <w:b/>
                <w:sz w:val="20"/>
                <w:szCs w:val="20"/>
                <w:lang w:val="en-US"/>
              </w:rPr>
            </w:pPr>
            <w:r w:rsidRPr="00BA4B04">
              <w:rPr>
                <w:rFonts w:ascii="Times New Roman" w:eastAsia="Arial" w:hAnsi="Times New Roman"/>
                <w:b/>
                <w:sz w:val="20"/>
                <w:szCs w:val="20"/>
                <w:lang w:val="en-US"/>
              </w:rPr>
              <w:t>Laboratory</w:t>
            </w:r>
            <w:r w:rsidRPr="00BA4B04">
              <w:rPr>
                <w:rFonts w:ascii="Times New Roman" w:eastAsia="Arial" w:hAnsi="Times New Roman"/>
                <w:b/>
                <w:spacing w:val="-5"/>
                <w:sz w:val="20"/>
                <w:szCs w:val="20"/>
                <w:lang w:val="en-US"/>
              </w:rPr>
              <w:t xml:space="preserve"> </w:t>
            </w:r>
            <w:r w:rsidRPr="00BA4B04">
              <w:rPr>
                <w:rFonts w:ascii="Times New Roman" w:eastAsia="Arial" w:hAnsi="Times New Roman"/>
                <w:b/>
                <w:sz w:val="20"/>
                <w:szCs w:val="20"/>
                <w:lang w:val="en-US"/>
              </w:rPr>
              <w:t>abnormality</w:t>
            </w:r>
          </w:p>
        </w:tc>
        <w:tc>
          <w:tcPr>
            <w:tcW w:w="4006" w:type="dxa"/>
            <w:gridSpan w:val="2"/>
            <w:tcBorders>
              <w:top w:val="single" w:sz="4" w:space="0" w:color="000000"/>
              <w:left w:val="single" w:sz="4" w:space="0" w:color="000000"/>
              <w:bottom w:val="single" w:sz="4" w:space="0" w:color="000000"/>
              <w:right w:val="single" w:sz="4" w:space="0" w:color="000000"/>
            </w:tcBorders>
            <w:hideMark/>
          </w:tcPr>
          <w:p w14:paraId="1B905BA8" w14:textId="77777777" w:rsidR="00BA4B04" w:rsidRPr="00BA4B04" w:rsidRDefault="00BA4B04" w:rsidP="00BA4B04">
            <w:pPr>
              <w:keepNext/>
              <w:keepLines/>
              <w:widowControl w:val="0"/>
              <w:autoSpaceDE w:val="0"/>
              <w:autoSpaceDN w:val="0"/>
              <w:spacing w:before="0" w:after="0" w:line="240" w:lineRule="auto"/>
              <w:jc w:val="center"/>
              <w:rPr>
                <w:rFonts w:ascii="Times New Roman" w:eastAsia="Arial" w:hAnsi="Times New Roman"/>
                <w:b/>
                <w:spacing w:val="-57"/>
                <w:sz w:val="20"/>
                <w:szCs w:val="20"/>
                <w:lang w:val="en-US"/>
              </w:rPr>
            </w:pPr>
            <w:proofErr w:type="spellStart"/>
            <w:r w:rsidRPr="00BA4B04">
              <w:rPr>
                <w:rFonts w:ascii="Times New Roman" w:eastAsia="Arial" w:hAnsi="Times New Roman"/>
                <w:b/>
                <w:spacing w:val="-1"/>
                <w:sz w:val="20"/>
                <w:szCs w:val="20"/>
                <w:lang w:val="en-US"/>
              </w:rPr>
              <w:t>ZEPZELCA</w:t>
            </w:r>
            <w:r w:rsidRPr="00BA4B04">
              <w:rPr>
                <w:rFonts w:ascii="Times New Roman" w:eastAsia="Arial" w:hAnsi="Times New Roman"/>
                <w:b/>
                <w:spacing w:val="-1"/>
                <w:sz w:val="20"/>
                <w:szCs w:val="20"/>
                <w:vertAlign w:val="superscript"/>
                <w:lang w:val="en-US"/>
              </w:rPr>
              <w:t>a</w:t>
            </w:r>
            <w:proofErr w:type="spellEnd"/>
            <w:r w:rsidRPr="00BA4B04">
              <w:rPr>
                <w:rFonts w:ascii="Times New Roman" w:eastAsia="Arial" w:hAnsi="Times New Roman"/>
                <w:b/>
                <w:spacing w:val="-57"/>
                <w:sz w:val="20"/>
                <w:szCs w:val="20"/>
                <w:lang w:val="en-US"/>
              </w:rPr>
              <w:t xml:space="preserve"> </w:t>
            </w:r>
          </w:p>
          <w:p w14:paraId="0C1904F1" w14:textId="77777777" w:rsidR="00BA4B04" w:rsidRPr="00BA4B04" w:rsidRDefault="00BA4B04" w:rsidP="00BA4B04">
            <w:pPr>
              <w:keepNext/>
              <w:keepLines/>
              <w:widowControl w:val="0"/>
              <w:autoSpaceDE w:val="0"/>
              <w:autoSpaceDN w:val="0"/>
              <w:spacing w:before="0" w:after="0" w:line="240" w:lineRule="auto"/>
              <w:jc w:val="center"/>
              <w:rPr>
                <w:rFonts w:ascii="Times New Roman" w:eastAsia="Arial" w:hAnsi="Times New Roman"/>
                <w:b/>
                <w:sz w:val="20"/>
                <w:szCs w:val="20"/>
                <w:lang w:val="en-US"/>
              </w:rPr>
            </w:pPr>
            <w:r w:rsidRPr="00BA4B04">
              <w:rPr>
                <w:rFonts w:ascii="Times New Roman" w:eastAsia="Arial" w:hAnsi="Times New Roman"/>
                <w:b/>
                <w:sz w:val="20"/>
                <w:szCs w:val="20"/>
                <w:lang w:val="en-US"/>
              </w:rPr>
              <w:t>(n=105)</w:t>
            </w:r>
          </w:p>
        </w:tc>
      </w:tr>
      <w:tr w:rsidR="00BA4B04" w:rsidRPr="00BA4B04" w14:paraId="0EEFE79A" w14:textId="77777777" w:rsidTr="00130E1B">
        <w:trPr>
          <w:trHeight w:val="376"/>
        </w:trPr>
        <w:tc>
          <w:tcPr>
            <w:tcW w:w="5215" w:type="dxa"/>
            <w:vMerge/>
            <w:tcBorders>
              <w:top w:val="single" w:sz="4" w:space="0" w:color="000000"/>
              <w:left w:val="single" w:sz="4" w:space="0" w:color="000000"/>
              <w:bottom w:val="single" w:sz="4" w:space="0" w:color="000000"/>
              <w:right w:val="single" w:sz="4" w:space="0" w:color="000000"/>
            </w:tcBorders>
            <w:vAlign w:val="center"/>
            <w:hideMark/>
          </w:tcPr>
          <w:p w14:paraId="2CE3E0AD" w14:textId="77777777" w:rsidR="00BA4B04" w:rsidRPr="00BA4B04" w:rsidRDefault="00BA4B04" w:rsidP="00BA4B04">
            <w:pPr>
              <w:keepNext/>
              <w:keepLines/>
              <w:spacing w:before="0" w:after="200" w:line="276" w:lineRule="auto"/>
              <w:rPr>
                <w:rFonts w:ascii="Times New Roman" w:eastAsia="Arial" w:hAnsi="Times New Roman"/>
                <w:b/>
                <w:sz w:val="20"/>
                <w:szCs w:val="20"/>
                <w:lang w:val="en-US"/>
              </w:rPr>
            </w:pPr>
          </w:p>
        </w:tc>
        <w:tc>
          <w:tcPr>
            <w:tcW w:w="2003" w:type="dxa"/>
            <w:tcBorders>
              <w:top w:val="single" w:sz="4" w:space="0" w:color="000000"/>
              <w:left w:val="single" w:sz="4" w:space="0" w:color="000000"/>
              <w:bottom w:val="single" w:sz="4" w:space="0" w:color="000000"/>
              <w:right w:val="single" w:sz="4" w:space="0" w:color="000000"/>
            </w:tcBorders>
            <w:hideMark/>
          </w:tcPr>
          <w:p w14:paraId="3D2F1322" w14:textId="77777777" w:rsidR="00BA4B04" w:rsidRPr="00BA4B04" w:rsidRDefault="00BA4B04" w:rsidP="00BA4B04">
            <w:pPr>
              <w:keepNext/>
              <w:keepLines/>
              <w:widowControl w:val="0"/>
              <w:autoSpaceDE w:val="0"/>
              <w:autoSpaceDN w:val="0"/>
              <w:spacing w:before="50" w:after="0" w:line="240" w:lineRule="auto"/>
              <w:jc w:val="center"/>
              <w:rPr>
                <w:rFonts w:ascii="Times New Roman" w:eastAsia="Arial" w:hAnsi="Times New Roman"/>
                <w:b/>
                <w:sz w:val="20"/>
                <w:szCs w:val="20"/>
                <w:lang w:val="en-US"/>
              </w:rPr>
            </w:pPr>
            <w:r w:rsidRPr="00BA4B04">
              <w:rPr>
                <w:rFonts w:ascii="Times New Roman" w:eastAsia="Arial" w:hAnsi="Times New Roman"/>
                <w:b/>
                <w:sz w:val="20"/>
                <w:szCs w:val="20"/>
                <w:lang w:val="en-US"/>
              </w:rPr>
              <w:t>All</w:t>
            </w:r>
            <w:r w:rsidRPr="00BA4B04">
              <w:rPr>
                <w:rFonts w:ascii="Times New Roman" w:eastAsia="Arial" w:hAnsi="Times New Roman"/>
                <w:b/>
                <w:spacing w:val="-2"/>
                <w:sz w:val="20"/>
                <w:szCs w:val="20"/>
                <w:lang w:val="en-US"/>
              </w:rPr>
              <w:t xml:space="preserve"> </w:t>
            </w:r>
            <w:proofErr w:type="spellStart"/>
            <w:r w:rsidRPr="00BA4B04">
              <w:rPr>
                <w:rFonts w:ascii="Times New Roman" w:eastAsia="Arial" w:hAnsi="Times New Roman"/>
                <w:b/>
                <w:sz w:val="20"/>
                <w:szCs w:val="20"/>
                <w:lang w:val="en-US"/>
              </w:rPr>
              <w:t>Grades</w:t>
            </w:r>
            <w:r w:rsidRPr="00BA4B04">
              <w:rPr>
                <w:rFonts w:ascii="Times New Roman" w:eastAsia="Arial" w:hAnsi="Times New Roman"/>
                <w:b/>
                <w:sz w:val="20"/>
                <w:szCs w:val="20"/>
                <w:vertAlign w:val="superscript"/>
                <w:lang w:val="en-US"/>
              </w:rPr>
              <w:t>b</w:t>
            </w:r>
            <w:proofErr w:type="spellEnd"/>
            <w:r w:rsidRPr="00BA4B04">
              <w:rPr>
                <w:rFonts w:ascii="Times New Roman" w:eastAsia="Arial" w:hAnsi="Times New Roman"/>
                <w:b/>
                <w:spacing w:val="-3"/>
                <w:sz w:val="20"/>
                <w:szCs w:val="20"/>
                <w:lang w:val="en-US"/>
              </w:rPr>
              <w:t xml:space="preserve"> </w:t>
            </w:r>
            <w:r w:rsidRPr="00BA4B04">
              <w:rPr>
                <w:rFonts w:ascii="Times New Roman" w:eastAsia="Arial" w:hAnsi="Times New Roman"/>
                <w:b/>
                <w:sz w:val="20"/>
                <w:szCs w:val="20"/>
                <w:lang w:val="en-US"/>
              </w:rPr>
              <w:t>(%)</w:t>
            </w:r>
          </w:p>
        </w:tc>
        <w:tc>
          <w:tcPr>
            <w:tcW w:w="2003" w:type="dxa"/>
            <w:tcBorders>
              <w:top w:val="single" w:sz="4" w:space="0" w:color="000000"/>
              <w:left w:val="single" w:sz="4" w:space="0" w:color="000000"/>
              <w:bottom w:val="single" w:sz="4" w:space="0" w:color="000000"/>
              <w:right w:val="single" w:sz="4" w:space="0" w:color="000000"/>
            </w:tcBorders>
            <w:hideMark/>
          </w:tcPr>
          <w:p w14:paraId="51FDC15D" w14:textId="77777777" w:rsidR="00BA4B04" w:rsidRPr="00BA4B04" w:rsidRDefault="00BA4B04" w:rsidP="00BA4B04">
            <w:pPr>
              <w:keepNext/>
              <w:keepLines/>
              <w:widowControl w:val="0"/>
              <w:autoSpaceDE w:val="0"/>
              <w:autoSpaceDN w:val="0"/>
              <w:spacing w:before="50" w:after="0" w:line="240" w:lineRule="auto"/>
              <w:jc w:val="center"/>
              <w:rPr>
                <w:rFonts w:ascii="Times New Roman" w:eastAsia="Arial" w:hAnsi="Times New Roman"/>
                <w:b/>
                <w:sz w:val="20"/>
                <w:szCs w:val="20"/>
                <w:lang w:val="en-US"/>
              </w:rPr>
            </w:pPr>
            <w:r w:rsidRPr="00BA4B04">
              <w:rPr>
                <w:rFonts w:ascii="Times New Roman" w:eastAsia="Arial" w:hAnsi="Times New Roman"/>
                <w:b/>
                <w:sz w:val="20"/>
                <w:szCs w:val="20"/>
                <w:lang w:val="en-US"/>
              </w:rPr>
              <w:t>Grades</w:t>
            </w:r>
            <w:r w:rsidRPr="00BA4B04">
              <w:rPr>
                <w:rFonts w:ascii="Times New Roman" w:eastAsia="Arial" w:hAnsi="Times New Roman"/>
                <w:b/>
                <w:spacing w:val="-2"/>
                <w:sz w:val="20"/>
                <w:szCs w:val="20"/>
                <w:lang w:val="en-US"/>
              </w:rPr>
              <w:t xml:space="preserve"> </w:t>
            </w:r>
            <w:r w:rsidRPr="00BA4B04">
              <w:rPr>
                <w:rFonts w:ascii="Times New Roman" w:eastAsia="Arial" w:hAnsi="Times New Roman"/>
                <w:b/>
                <w:sz w:val="20"/>
                <w:szCs w:val="20"/>
                <w:lang w:val="en-US"/>
              </w:rPr>
              <w:t>3-4</w:t>
            </w:r>
            <w:r w:rsidRPr="00BA4B04">
              <w:rPr>
                <w:rFonts w:ascii="Times New Roman" w:eastAsia="Arial" w:hAnsi="Times New Roman"/>
                <w:b/>
                <w:spacing w:val="-2"/>
                <w:sz w:val="20"/>
                <w:szCs w:val="20"/>
                <w:lang w:val="en-US"/>
              </w:rPr>
              <w:t xml:space="preserve"> </w:t>
            </w:r>
            <w:r w:rsidRPr="00BA4B04">
              <w:rPr>
                <w:rFonts w:ascii="Times New Roman" w:eastAsia="Arial" w:hAnsi="Times New Roman"/>
                <w:b/>
                <w:sz w:val="20"/>
                <w:szCs w:val="20"/>
                <w:lang w:val="en-US"/>
              </w:rPr>
              <w:t>(%)</w:t>
            </w:r>
          </w:p>
        </w:tc>
      </w:tr>
      <w:tr w:rsidR="00BA4B04" w:rsidRPr="00BA4B04" w14:paraId="5224E732"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2494B81E" w14:textId="77777777" w:rsidR="00BA4B04" w:rsidRPr="00BA4B04" w:rsidRDefault="00BA4B04" w:rsidP="00BA4B04">
            <w:pPr>
              <w:keepNext/>
              <w:keepLines/>
              <w:widowControl w:val="0"/>
              <w:autoSpaceDE w:val="0"/>
              <w:autoSpaceDN w:val="0"/>
              <w:spacing w:before="1" w:after="0" w:line="255" w:lineRule="exact"/>
              <w:ind w:left="107"/>
              <w:rPr>
                <w:rFonts w:ascii="Times New Roman" w:eastAsia="Arial" w:hAnsi="Times New Roman"/>
                <w:b/>
                <w:sz w:val="20"/>
                <w:szCs w:val="20"/>
                <w:lang w:val="en-US"/>
              </w:rPr>
            </w:pPr>
            <w:r w:rsidRPr="00BA4B04">
              <w:rPr>
                <w:rFonts w:ascii="Times New Roman" w:eastAsia="Arial" w:hAnsi="Times New Roman"/>
                <w:b/>
                <w:sz w:val="20"/>
                <w:szCs w:val="20"/>
                <w:lang w:val="en-US"/>
              </w:rPr>
              <w:t>Haematology</w:t>
            </w:r>
          </w:p>
        </w:tc>
        <w:tc>
          <w:tcPr>
            <w:tcW w:w="2003" w:type="dxa"/>
            <w:tcBorders>
              <w:top w:val="single" w:sz="4" w:space="0" w:color="000000"/>
              <w:left w:val="single" w:sz="4" w:space="0" w:color="000000"/>
              <w:bottom w:val="single" w:sz="4" w:space="0" w:color="000000"/>
              <w:right w:val="single" w:sz="4" w:space="0" w:color="000000"/>
            </w:tcBorders>
          </w:tcPr>
          <w:p w14:paraId="78682113" w14:textId="77777777" w:rsidR="00BA4B04" w:rsidRPr="00BA4B04" w:rsidRDefault="00BA4B04" w:rsidP="00BA4B04">
            <w:pPr>
              <w:keepNext/>
              <w:keepLines/>
              <w:widowControl w:val="0"/>
              <w:autoSpaceDE w:val="0"/>
              <w:autoSpaceDN w:val="0"/>
              <w:spacing w:before="0" w:after="0" w:line="240" w:lineRule="auto"/>
              <w:rPr>
                <w:rFonts w:ascii="Times New Roman" w:eastAsia="Arial" w:hAnsi="Times New Roman"/>
                <w:sz w:val="20"/>
                <w:szCs w:val="20"/>
                <w:lang w:val="en-US"/>
              </w:rPr>
            </w:pPr>
          </w:p>
        </w:tc>
        <w:tc>
          <w:tcPr>
            <w:tcW w:w="2003" w:type="dxa"/>
            <w:tcBorders>
              <w:top w:val="single" w:sz="4" w:space="0" w:color="000000"/>
              <w:left w:val="single" w:sz="4" w:space="0" w:color="000000"/>
              <w:bottom w:val="single" w:sz="4" w:space="0" w:color="000000"/>
              <w:right w:val="single" w:sz="4" w:space="0" w:color="000000"/>
            </w:tcBorders>
          </w:tcPr>
          <w:p w14:paraId="4DC9CF5C" w14:textId="77777777" w:rsidR="00BA4B04" w:rsidRPr="00BA4B04" w:rsidRDefault="00BA4B04" w:rsidP="00BA4B04">
            <w:pPr>
              <w:keepNext/>
              <w:keepLines/>
              <w:widowControl w:val="0"/>
              <w:autoSpaceDE w:val="0"/>
              <w:autoSpaceDN w:val="0"/>
              <w:spacing w:before="0" w:after="0" w:line="240" w:lineRule="auto"/>
              <w:rPr>
                <w:rFonts w:ascii="Times New Roman" w:eastAsia="Arial" w:hAnsi="Times New Roman"/>
                <w:sz w:val="20"/>
                <w:szCs w:val="20"/>
                <w:lang w:val="en-US"/>
              </w:rPr>
            </w:pPr>
          </w:p>
        </w:tc>
      </w:tr>
      <w:tr w:rsidR="00BA4B04" w:rsidRPr="00BA4B04" w14:paraId="0E7D31AA"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6CC63CC8"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Decreased</w:t>
            </w:r>
            <w:r w:rsidRPr="00BA4B04">
              <w:rPr>
                <w:rFonts w:ascii="Times New Roman" w:eastAsia="Arial" w:hAnsi="Times New Roman"/>
                <w:spacing w:val="-7"/>
                <w:sz w:val="20"/>
                <w:szCs w:val="20"/>
                <w:lang w:val="en-US"/>
              </w:rPr>
              <w:t xml:space="preserve"> </w:t>
            </w:r>
            <w:r w:rsidRPr="00BA4B04">
              <w:rPr>
                <w:rFonts w:ascii="Times New Roman" w:eastAsia="Arial" w:hAnsi="Times New Roman"/>
                <w:sz w:val="20"/>
                <w:szCs w:val="20"/>
                <w:lang w:val="en-US"/>
              </w:rPr>
              <w:t>leukocytes</w:t>
            </w:r>
          </w:p>
        </w:tc>
        <w:tc>
          <w:tcPr>
            <w:tcW w:w="2003" w:type="dxa"/>
            <w:tcBorders>
              <w:top w:val="single" w:sz="4" w:space="0" w:color="000000"/>
              <w:left w:val="single" w:sz="4" w:space="0" w:color="000000"/>
              <w:bottom w:val="single" w:sz="4" w:space="0" w:color="000000"/>
              <w:right w:val="single" w:sz="4" w:space="0" w:color="000000"/>
            </w:tcBorders>
            <w:hideMark/>
          </w:tcPr>
          <w:p w14:paraId="0C16B9C6" w14:textId="77777777" w:rsidR="00BA4B04" w:rsidRPr="00BA4B04" w:rsidRDefault="00BA4B04" w:rsidP="00BA4B04">
            <w:pPr>
              <w:keepNext/>
              <w:keepLines/>
              <w:widowControl w:val="0"/>
              <w:autoSpaceDE w:val="0"/>
              <w:autoSpaceDN w:val="0"/>
              <w:spacing w:before="0" w:after="0" w:line="255" w:lineRule="exact"/>
              <w:ind w:left="179" w:right="170"/>
              <w:jc w:val="center"/>
              <w:rPr>
                <w:rFonts w:ascii="Times New Roman" w:eastAsia="Arial" w:hAnsi="Times New Roman"/>
                <w:sz w:val="20"/>
                <w:szCs w:val="20"/>
                <w:lang w:val="en-US"/>
              </w:rPr>
            </w:pPr>
            <w:r w:rsidRPr="00BA4B04">
              <w:rPr>
                <w:rFonts w:ascii="Times New Roman" w:eastAsia="Arial" w:hAnsi="Times New Roman"/>
                <w:sz w:val="20"/>
                <w:szCs w:val="20"/>
                <w:lang w:val="en-US"/>
              </w:rPr>
              <w:t>79</w:t>
            </w:r>
          </w:p>
        </w:tc>
        <w:tc>
          <w:tcPr>
            <w:tcW w:w="2003" w:type="dxa"/>
            <w:tcBorders>
              <w:top w:val="single" w:sz="4" w:space="0" w:color="000000"/>
              <w:left w:val="single" w:sz="4" w:space="0" w:color="000000"/>
              <w:bottom w:val="single" w:sz="4" w:space="0" w:color="000000"/>
              <w:right w:val="single" w:sz="4" w:space="0" w:color="000000"/>
            </w:tcBorders>
            <w:hideMark/>
          </w:tcPr>
          <w:p w14:paraId="5EE190CF" w14:textId="77777777" w:rsidR="00BA4B04" w:rsidRPr="00BA4B04" w:rsidRDefault="00BA4B04" w:rsidP="00BA4B04">
            <w:pPr>
              <w:keepNext/>
              <w:keepLines/>
              <w:widowControl w:val="0"/>
              <w:autoSpaceDE w:val="0"/>
              <w:autoSpaceDN w:val="0"/>
              <w:spacing w:before="0" w:after="0" w:line="255" w:lineRule="exact"/>
              <w:ind w:left="177"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29</w:t>
            </w:r>
          </w:p>
        </w:tc>
      </w:tr>
      <w:tr w:rsidR="00BA4B04" w:rsidRPr="00BA4B04" w14:paraId="10B22DDB"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73E6FFC7"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Decreased</w:t>
            </w:r>
            <w:r w:rsidRPr="00BA4B04">
              <w:rPr>
                <w:rFonts w:ascii="Times New Roman" w:eastAsia="Arial" w:hAnsi="Times New Roman"/>
                <w:spacing w:val="-4"/>
                <w:sz w:val="20"/>
                <w:szCs w:val="20"/>
                <w:lang w:val="en-US"/>
              </w:rPr>
              <w:t xml:space="preserve"> </w:t>
            </w:r>
            <w:r w:rsidRPr="00BA4B04">
              <w:rPr>
                <w:rFonts w:ascii="Times New Roman" w:eastAsia="Arial" w:hAnsi="Times New Roman"/>
                <w:sz w:val="20"/>
                <w:szCs w:val="20"/>
                <w:lang w:val="en-US"/>
              </w:rPr>
              <w:t>lymphocytes</w:t>
            </w:r>
          </w:p>
        </w:tc>
        <w:tc>
          <w:tcPr>
            <w:tcW w:w="2003" w:type="dxa"/>
            <w:tcBorders>
              <w:top w:val="single" w:sz="4" w:space="0" w:color="000000"/>
              <w:left w:val="single" w:sz="4" w:space="0" w:color="000000"/>
              <w:bottom w:val="single" w:sz="4" w:space="0" w:color="000000"/>
              <w:right w:val="single" w:sz="4" w:space="0" w:color="000000"/>
            </w:tcBorders>
            <w:hideMark/>
          </w:tcPr>
          <w:p w14:paraId="7FEF57E5" w14:textId="77777777" w:rsidR="00BA4B04" w:rsidRPr="00BA4B04" w:rsidRDefault="00BA4B04" w:rsidP="00BA4B04">
            <w:pPr>
              <w:keepNext/>
              <w:keepLines/>
              <w:widowControl w:val="0"/>
              <w:autoSpaceDE w:val="0"/>
              <w:autoSpaceDN w:val="0"/>
              <w:spacing w:before="0" w:after="0" w:line="255" w:lineRule="exact"/>
              <w:ind w:left="179" w:right="170"/>
              <w:jc w:val="center"/>
              <w:rPr>
                <w:rFonts w:ascii="Times New Roman" w:eastAsia="Arial" w:hAnsi="Times New Roman"/>
                <w:sz w:val="20"/>
                <w:szCs w:val="20"/>
                <w:lang w:val="en-US"/>
              </w:rPr>
            </w:pPr>
            <w:r w:rsidRPr="00BA4B04">
              <w:rPr>
                <w:rFonts w:ascii="Times New Roman" w:eastAsia="Arial" w:hAnsi="Times New Roman"/>
                <w:sz w:val="20"/>
                <w:szCs w:val="20"/>
                <w:lang w:val="en-US"/>
              </w:rPr>
              <w:t>79</w:t>
            </w:r>
          </w:p>
        </w:tc>
        <w:tc>
          <w:tcPr>
            <w:tcW w:w="2003" w:type="dxa"/>
            <w:tcBorders>
              <w:top w:val="single" w:sz="4" w:space="0" w:color="000000"/>
              <w:left w:val="single" w:sz="4" w:space="0" w:color="000000"/>
              <w:bottom w:val="single" w:sz="4" w:space="0" w:color="000000"/>
              <w:right w:val="single" w:sz="4" w:space="0" w:color="000000"/>
            </w:tcBorders>
            <w:hideMark/>
          </w:tcPr>
          <w:p w14:paraId="1C0BEDE5" w14:textId="77777777" w:rsidR="00BA4B04" w:rsidRPr="00BA4B04" w:rsidRDefault="00BA4B04" w:rsidP="00BA4B04">
            <w:pPr>
              <w:keepNext/>
              <w:keepLines/>
              <w:widowControl w:val="0"/>
              <w:autoSpaceDE w:val="0"/>
              <w:autoSpaceDN w:val="0"/>
              <w:spacing w:before="0" w:after="0" w:line="255" w:lineRule="exact"/>
              <w:ind w:left="177"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43</w:t>
            </w:r>
          </w:p>
        </w:tc>
      </w:tr>
      <w:tr w:rsidR="00BA4B04" w:rsidRPr="00BA4B04" w14:paraId="16440C02"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1E95DEDC" w14:textId="77777777" w:rsidR="00BA4B04" w:rsidRPr="00BA4B04" w:rsidRDefault="00BA4B04" w:rsidP="00BA4B04">
            <w:pPr>
              <w:keepNext/>
              <w:keepLines/>
              <w:widowControl w:val="0"/>
              <w:autoSpaceDE w:val="0"/>
              <w:autoSpaceDN w:val="0"/>
              <w:spacing w:before="1"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Decreased</w:t>
            </w:r>
            <w:r w:rsidRPr="00BA4B04">
              <w:rPr>
                <w:rFonts w:ascii="Times New Roman" w:eastAsia="Arial" w:hAnsi="Times New Roman"/>
                <w:spacing w:val="-2"/>
                <w:sz w:val="20"/>
                <w:szCs w:val="20"/>
                <w:lang w:val="en-US"/>
              </w:rPr>
              <w:t xml:space="preserve"> </w:t>
            </w:r>
            <w:proofErr w:type="spellStart"/>
            <w:r w:rsidRPr="00BA4B04">
              <w:rPr>
                <w:rFonts w:ascii="Times New Roman" w:eastAsia="Arial" w:hAnsi="Times New Roman"/>
                <w:sz w:val="20"/>
                <w:szCs w:val="20"/>
                <w:lang w:val="en-US"/>
              </w:rPr>
              <w:t>haemoglobin</w:t>
            </w:r>
            <w:proofErr w:type="spellEnd"/>
          </w:p>
        </w:tc>
        <w:tc>
          <w:tcPr>
            <w:tcW w:w="2003" w:type="dxa"/>
            <w:tcBorders>
              <w:top w:val="single" w:sz="4" w:space="0" w:color="000000"/>
              <w:left w:val="single" w:sz="4" w:space="0" w:color="000000"/>
              <w:bottom w:val="single" w:sz="4" w:space="0" w:color="000000"/>
              <w:right w:val="single" w:sz="4" w:space="0" w:color="000000"/>
            </w:tcBorders>
            <w:hideMark/>
          </w:tcPr>
          <w:p w14:paraId="76936F84" w14:textId="77777777" w:rsidR="00BA4B04" w:rsidRPr="00BA4B04" w:rsidRDefault="00BA4B04" w:rsidP="00BA4B04">
            <w:pPr>
              <w:keepNext/>
              <w:keepLines/>
              <w:widowControl w:val="0"/>
              <w:autoSpaceDE w:val="0"/>
              <w:autoSpaceDN w:val="0"/>
              <w:spacing w:before="1" w:after="0" w:line="255" w:lineRule="exact"/>
              <w:ind w:left="179"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74</w:t>
            </w:r>
          </w:p>
        </w:tc>
        <w:tc>
          <w:tcPr>
            <w:tcW w:w="2003" w:type="dxa"/>
            <w:tcBorders>
              <w:top w:val="single" w:sz="4" w:space="0" w:color="000000"/>
              <w:left w:val="single" w:sz="4" w:space="0" w:color="000000"/>
              <w:bottom w:val="single" w:sz="4" w:space="0" w:color="000000"/>
              <w:right w:val="single" w:sz="4" w:space="0" w:color="000000"/>
            </w:tcBorders>
            <w:hideMark/>
          </w:tcPr>
          <w:p w14:paraId="112A13BE" w14:textId="77777777" w:rsidR="00BA4B04" w:rsidRPr="00BA4B04" w:rsidRDefault="00BA4B04" w:rsidP="00BA4B04">
            <w:pPr>
              <w:keepNext/>
              <w:keepLines/>
              <w:widowControl w:val="0"/>
              <w:autoSpaceDE w:val="0"/>
              <w:autoSpaceDN w:val="0"/>
              <w:spacing w:before="1" w:after="0" w:line="255" w:lineRule="exact"/>
              <w:ind w:left="178" w:right="168"/>
              <w:jc w:val="center"/>
              <w:rPr>
                <w:rFonts w:ascii="Times New Roman" w:eastAsia="Arial" w:hAnsi="Times New Roman"/>
                <w:sz w:val="20"/>
                <w:szCs w:val="20"/>
                <w:lang w:val="en-US"/>
              </w:rPr>
            </w:pPr>
            <w:r w:rsidRPr="00BA4B04">
              <w:rPr>
                <w:rFonts w:ascii="Times New Roman" w:eastAsia="Arial" w:hAnsi="Times New Roman"/>
                <w:sz w:val="20"/>
                <w:szCs w:val="20"/>
                <w:lang w:val="en-US"/>
              </w:rPr>
              <w:t>10</w:t>
            </w:r>
          </w:p>
        </w:tc>
      </w:tr>
      <w:tr w:rsidR="00BA4B04" w:rsidRPr="00BA4B04" w14:paraId="4AEC994C"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4B8D741B"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Decreased</w:t>
            </w:r>
            <w:r w:rsidRPr="00BA4B04">
              <w:rPr>
                <w:rFonts w:ascii="Times New Roman" w:eastAsia="Arial" w:hAnsi="Times New Roman"/>
                <w:spacing w:val="-5"/>
                <w:sz w:val="20"/>
                <w:szCs w:val="20"/>
                <w:lang w:val="en-US"/>
              </w:rPr>
              <w:t xml:space="preserve"> </w:t>
            </w:r>
            <w:r w:rsidRPr="00BA4B04">
              <w:rPr>
                <w:rFonts w:ascii="Times New Roman" w:eastAsia="Arial" w:hAnsi="Times New Roman"/>
                <w:sz w:val="20"/>
                <w:szCs w:val="20"/>
                <w:lang w:val="en-US"/>
              </w:rPr>
              <w:t>neutrophils</w:t>
            </w:r>
          </w:p>
        </w:tc>
        <w:tc>
          <w:tcPr>
            <w:tcW w:w="2003" w:type="dxa"/>
            <w:tcBorders>
              <w:top w:val="single" w:sz="4" w:space="0" w:color="000000"/>
              <w:left w:val="single" w:sz="4" w:space="0" w:color="000000"/>
              <w:bottom w:val="single" w:sz="4" w:space="0" w:color="000000"/>
              <w:right w:val="single" w:sz="4" w:space="0" w:color="000000"/>
            </w:tcBorders>
            <w:hideMark/>
          </w:tcPr>
          <w:p w14:paraId="0CABFF50"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71</w:t>
            </w:r>
          </w:p>
        </w:tc>
        <w:tc>
          <w:tcPr>
            <w:tcW w:w="2003" w:type="dxa"/>
            <w:tcBorders>
              <w:top w:val="single" w:sz="4" w:space="0" w:color="000000"/>
              <w:left w:val="single" w:sz="4" w:space="0" w:color="000000"/>
              <w:bottom w:val="single" w:sz="4" w:space="0" w:color="000000"/>
              <w:right w:val="single" w:sz="4" w:space="0" w:color="000000"/>
            </w:tcBorders>
            <w:hideMark/>
          </w:tcPr>
          <w:p w14:paraId="3D6E48D3" w14:textId="77777777" w:rsidR="00BA4B04" w:rsidRPr="00BA4B04" w:rsidRDefault="00BA4B04" w:rsidP="00BA4B04">
            <w:pPr>
              <w:keepNext/>
              <w:keepLines/>
              <w:widowControl w:val="0"/>
              <w:autoSpaceDE w:val="0"/>
              <w:autoSpaceDN w:val="0"/>
              <w:spacing w:before="0" w:after="0" w:line="255" w:lineRule="exact"/>
              <w:ind w:left="178" w:right="168"/>
              <w:jc w:val="center"/>
              <w:rPr>
                <w:rFonts w:ascii="Times New Roman" w:eastAsia="Arial" w:hAnsi="Times New Roman"/>
                <w:sz w:val="20"/>
                <w:szCs w:val="20"/>
                <w:lang w:val="en-US"/>
              </w:rPr>
            </w:pPr>
            <w:r w:rsidRPr="00BA4B04">
              <w:rPr>
                <w:rFonts w:ascii="Times New Roman" w:eastAsia="Arial" w:hAnsi="Times New Roman"/>
                <w:sz w:val="20"/>
                <w:szCs w:val="20"/>
                <w:lang w:val="en-US"/>
              </w:rPr>
              <w:t>46</w:t>
            </w:r>
          </w:p>
        </w:tc>
      </w:tr>
      <w:tr w:rsidR="00BA4B04" w:rsidRPr="00BA4B04" w14:paraId="22882404"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71C1DFDC"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Decreased</w:t>
            </w:r>
            <w:r w:rsidRPr="00BA4B04">
              <w:rPr>
                <w:rFonts w:ascii="Times New Roman" w:eastAsia="Arial" w:hAnsi="Times New Roman"/>
                <w:spacing w:val="-1"/>
                <w:sz w:val="20"/>
                <w:szCs w:val="20"/>
                <w:lang w:val="en-US"/>
              </w:rPr>
              <w:t xml:space="preserve"> </w:t>
            </w:r>
            <w:r w:rsidRPr="00BA4B04">
              <w:rPr>
                <w:rFonts w:ascii="Times New Roman" w:eastAsia="Arial" w:hAnsi="Times New Roman"/>
                <w:sz w:val="20"/>
                <w:szCs w:val="20"/>
                <w:lang w:val="en-US"/>
              </w:rPr>
              <w:t>platelets</w:t>
            </w:r>
          </w:p>
        </w:tc>
        <w:tc>
          <w:tcPr>
            <w:tcW w:w="2003" w:type="dxa"/>
            <w:tcBorders>
              <w:top w:val="single" w:sz="4" w:space="0" w:color="000000"/>
              <w:left w:val="single" w:sz="4" w:space="0" w:color="000000"/>
              <w:bottom w:val="single" w:sz="4" w:space="0" w:color="000000"/>
              <w:right w:val="single" w:sz="4" w:space="0" w:color="000000"/>
            </w:tcBorders>
            <w:hideMark/>
          </w:tcPr>
          <w:p w14:paraId="35B5E04D"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37</w:t>
            </w:r>
          </w:p>
        </w:tc>
        <w:tc>
          <w:tcPr>
            <w:tcW w:w="2003" w:type="dxa"/>
            <w:tcBorders>
              <w:top w:val="single" w:sz="4" w:space="0" w:color="000000"/>
              <w:left w:val="single" w:sz="4" w:space="0" w:color="000000"/>
              <w:bottom w:val="single" w:sz="4" w:space="0" w:color="000000"/>
              <w:right w:val="single" w:sz="4" w:space="0" w:color="000000"/>
            </w:tcBorders>
            <w:hideMark/>
          </w:tcPr>
          <w:p w14:paraId="1D6ABAAC"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Times New Roman"/>
                <w:sz w:val="20"/>
                <w:szCs w:val="20"/>
                <w:lang w:val="en-US"/>
              </w:rPr>
            </w:pPr>
            <w:r w:rsidRPr="00BA4B04">
              <w:rPr>
                <w:rFonts w:ascii="Times New Roman" w:eastAsia="Arial" w:hAnsi="Times New Roman"/>
                <w:sz w:val="20"/>
                <w:szCs w:val="20"/>
                <w:lang w:val="en-US"/>
              </w:rPr>
              <w:t>7</w:t>
            </w:r>
          </w:p>
        </w:tc>
      </w:tr>
      <w:tr w:rsidR="00BA4B04" w:rsidRPr="00BA4B04" w14:paraId="67A419FB" w14:textId="77777777" w:rsidTr="00130E1B">
        <w:trPr>
          <w:trHeight w:val="293"/>
        </w:trPr>
        <w:tc>
          <w:tcPr>
            <w:tcW w:w="5215" w:type="dxa"/>
            <w:tcBorders>
              <w:top w:val="single" w:sz="4" w:space="0" w:color="000000"/>
              <w:left w:val="single" w:sz="4" w:space="0" w:color="000000"/>
              <w:bottom w:val="single" w:sz="4" w:space="0" w:color="000000"/>
              <w:right w:val="single" w:sz="4" w:space="0" w:color="000000"/>
            </w:tcBorders>
            <w:hideMark/>
          </w:tcPr>
          <w:p w14:paraId="5BDA6486" w14:textId="77777777" w:rsidR="00BA4B04" w:rsidRPr="00BA4B04" w:rsidRDefault="00BA4B04" w:rsidP="00BA4B04">
            <w:pPr>
              <w:keepNext/>
              <w:keepLines/>
              <w:widowControl w:val="0"/>
              <w:autoSpaceDE w:val="0"/>
              <w:autoSpaceDN w:val="0"/>
              <w:spacing w:before="1" w:after="0" w:line="272" w:lineRule="exact"/>
              <w:ind w:left="107"/>
              <w:rPr>
                <w:rFonts w:ascii="Times New Roman" w:eastAsia="Arial" w:hAnsi="Times New Roman"/>
                <w:b/>
                <w:sz w:val="20"/>
                <w:szCs w:val="20"/>
                <w:lang w:val="en-US"/>
              </w:rPr>
            </w:pPr>
            <w:r w:rsidRPr="00BA4B04">
              <w:rPr>
                <w:rFonts w:ascii="Times New Roman" w:eastAsia="Arial" w:hAnsi="Times New Roman"/>
                <w:b/>
                <w:sz w:val="20"/>
                <w:szCs w:val="20"/>
                <w:lang w:val="en-US"/>
              </w:rPr>
              <w:t>Chemistry</w:t>
            </w:r>
          </w:p>
        </w:tc>
        <w:tc>
          <w:tcPr>
            <w:tcW w:w="2003" w:type="dxa"/>
            <w:tcBorders>
              <w:top w:val="single" w:sz="4" w:space="0" w:color="000000"/>
              <w:left w:val="single" w:sz="4" w:space="0" w:color="000000"/>
              <w:bottom w:val="single" w:sz="4" w:space="0" w:color="000000"/>
              <w:right w:val="single" w:sz="4" w:space="0" w:color="000000"/>
            </w:tcBorders>
          </w:tcPr>
          <w:p w14:paraId="644F55EC" w14:textId="77777777" w:rsidR="00BA4B04" w:rsidRPr="00BA4B04" w:rsidRDefault="00BA4B04" w:rsidP="00BA4B04">
            <w:pPr>
              <w:keepNext/>
              <w:keepLines/>
              <w:widowControl w:val="0"/>
              <w:autoSpaceDE w:val="0"/>
              <w:autoSpaceDN w:val="0"/>
              <w:spacing w:before="0" w:after="0" w:line="240" w:lineRule="auto"/>
              <w:rPr>
                <w:rFonts w:ascii="Times New Roman" w:eastAsia="Arial" w:hAnsi="Times New Roman"/>
                <w:sz w:val="20"/>
                <w:szCs w:val="20"/>
                <w:lang w:val="en-US"/>
              </w:rPr>
            </w:pPr>
          </w:p>
        </w:tc>
        <w:tc>
          <w:tcPr>
            <w:tcW w:w="2003" w:type="dxa"/>
            <w:tcBorders>
              <w:top w:val="single" w:sz="4" w:space="0" w:color="000000"/>
              <w:left w:val="single" w:sz="4" w:space="0" w:color="000000"/>
              <w:bottom w:val="single" w:sz="4" w:space="0" w:color="000000"/>
              <w:right w:val="single" w:sz="4" w:space="0" w:color="000000"/>
            </w:tcBorders>
          </w:tcPr>
          <w:p w14:paraId="52A0387E" w14:textId="77777777" w:rsidR="00BA4B04" w:rsidRPr="00BA4B04" w:rsidRDefault="00BA4B04" w:rsidP="00BA4B04">
            <w:pPr>
              <w:keepNext/>
              <w:keepLines/>
              <w:widowControl w:val="0"/>
              <w:autoSpaceDE w:val="0"/>
              <w:autoSpaceDN w:val="0"/>
              <w:spacing w:before="0" w:after="0" w:line="240" w:lineRule="auto"/>
              <w:rPr>
                <w:rFonts w:ascii="Times New Roman" w:eastAsia="Arial" w:hAnsi="Times New Roman"/>
                <w:sz w:val="20"/>
                <w:szCs w:val="20"/>
                <w:lang w:val="en-US"/>
              </w:rPr>
            </w:pPr>
          </w:p>
        </w:tc>
      </w:tr>
      <w:tr w:rsidR="00BA4B04" w:rsidRPr="00BA4B04" w14:paraId="6EB3FF3C"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1D8594B7"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Increased</w:t>
            </w:r>
            <w:r w:rsidRPr="00BA4B04">
              <w:rPr>
                <w:rFonts w:ascii="Times New Roman" w:eastAsia="Arial" w:hAnsi="Times New Roman"/>
                <w:spacing w:val="-3"/>
                <w:sz w:val="20"/>
                <w:szCs w:val="20"/>
                <w:lang w:val="en-US"/>
              </w:rPr>
              <w:t xml:space="preserve"> </w:t>
            </w:r>
            <w:r w:rsidRPr="00BA4B04">
              <w:rPr>
                <w:rFonts w:ascii="Times New Roman" w:eastAsia="Arial" w:hAnsi="Times New Roman"/>
                <w:sz w:val="20"/>
                <w:szCs w:val="20"/>
                <w:lang w:val="en-US"/>
              </w:rPr>
              <w:t>creatinine</w:t>
            </w:r>
          </w:p>
        </w:tc>
        <w:tc>
          <w:tcPr>
            <w:tcW w:w="2003" w:type="dxa"/>
            <w:tcBorders>
              <w:top w:val="single" w:sz="4" w:space="0" w:color="000000"/>
              <w:left w:val="single" w:sz="4" w:space="0" w:color="000000"/>
              <w:bottom w:val="single" w:sz="4" w:space="0" w:color="000000"/>
              <w:right w:val="single" w:sz="4" w:space="0" w:color="000000"/>
            </w:tcBorders>
            <w:hideMark/>
          </w:tcPr>
          <w:p w14:paraId="28A704DA"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69</w:t>
            </w:r>
          </w:p>
        </w:tc>
        <w:tc>
          <w:tcPr>
            <w:tcW w:w="2003" w:type="dxa"/>
            <w:tcBorders>
              <w:top w:val="single" w:sz="4" w:space="0" w:color="000000"/>
              <w:left w:val="single" w:sz="4" w:space="0" w:color="000000"/>
              <w:bottom w:val="single" w:sz="4" w:space="0" w:color="000000"/>
              <w:right w:val="single" w:sz="4" w:space="0" w:color="000000"/>
            </w:tcBorders>
            <w:hideMark/>
          </w:tcPr>
          <w:p w14:paraId="2A71E6E7"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Times New Roman"/>
                <w:sz w:val="20"/>
                <w:szCs w:val="20"/>
                <w:lang w:val="en-US"/>
              </w:rPr>
            </w:pPr>
            <w:r w:rsidRPr="00BA4B04">
              <w:rPr>
                <w:rFonts w:ascii="Times New Roman" w:eastAsia="Arial" w:hAnsi="Times New Roman"/>
                <w:sz w:val="20"/>
                <w:szCs w:val="20"/>
                <w:lang w:val="en-US"/>
              </w:rPr>
              <w:t>0</w:t>
            </w:r>
          </w:p>
        </w:tc>
      </w:tr>
      <w:tr w:rsidR="00BA4B04" w:rsidRPr="00BA4B04" w14:paraId="667B48DE"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0A53A067"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Increased</w:t>
            </w:r>
            <w:r w:rsidRPr="00BA4B04">
              <w:rPr>
                <w:rFonts w:ascii="Times New Roman" w:eastAsia="Arial" w:hAnsi="Times New Roman"/>
                <w:spacing w:val="-1"/>
                <w:sz w:val="20"/>
                <w:szCs w:val="20"/>
                <w:lang w:val="en-US"/>
              </w:rPr>
              <w:t xml:space="preserve"> </w:t>
            </w:r>
            <w:r w:rsidRPr="00BA4B04">
              <w:rPr>
                <w:rFonts w:ascii="Times New Roman" w:eastAsia="Arial" w:hAnsi="Times New Roman"/>
                <w:sz w:val="20"/>
                <w:szCs w:val="20"/>
                <w:lang w:val="en-US"/>
              </w:rPr>
              <w:t>alanine</w:t>
            </w:r>
            <w:r w:rsidRPr="00BA4B04">
              <w:rPr>
                <w:rFonts w:ascii="Times New Roman" w:eastAsia="Arial" w:hAnsi="Times New Roman"/>
                <w:spacing w:val="-1"/>
                <w:sz w:val="20"/>
                <w:szCs w:val="20"/>
                <w:lang w:val="en-US"/>
              </w:rPr>
              <w:t xml:space="preserve"> </w:t>
            </w:r>
            <w:r w:rsidRPr="00BA4B04">
              <w:rPr>
                <w:rFonts w:ascii="Times New Roman" w:eastAsia="Arial" w:hAnsi="Times New Roman"/>
                <w:sz w:val="20"/>
                <w:szCs w:val="20"/>
                <w:lang w:val="en-US"/>
              </w:rPr>
              <w:t>aminotransferase</w:t>
            </w:r>
          </w:p>
        </w:tc>
        <w:tc>
          <w:tcPr>
            <w:tcW w:w="2003" w:type="dxa"/>
            <w:tcBorders>
              <w:top w:val="single" w:sz="4" w:space="0" w:color="000000"/>
              <w:left w:val="single" w:sz="4" w:space="0" w:color="000000"/>
              <w:bottom w:val="single" w:sz="4" w:space="0" w:color="000000"/>
              <w:right w:val="single" w:sz="4" w:space="0" w:color="000000"/>
            </w:tcBorders>
            <w:hideMark/>
          </w:tcPr>
          <w:p w14:paraId="453D4FC8"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66</w:t>
            </w:r>
          </w:p>
        </w:tc>
        <w:tc>
          <w:tcPr>
            <w:tcW w:w="2003" w:type="dxa"/>
            <w:tcBorders>
              <w:top w:val="single" w:sz="4" w:space="0" w:color="000000"/>
              <w:left w:val="single" w:sz="4" w:space="0" w:color="000000"/>
              <w:bottom w:val="single" w:sz="4" w:space="0" w:color="000000"/>
              <w:right w:val="single" w:sz="4" w:space="0" w:color="000000"/>
            </w:tcBorders>
            <w:hideMark/>
          </w:tcPr>
          <w:p w14:paraId="5C2A869E"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Times New Roman"/>
                <w:sz w:val="20"/>
                <w:szCs w:val="20"/>
                <w:lang w:val="en-US"/>
              </w:rPr>
            </w:pPr>
            <w:r w:rsidRPr="00BA4B04">
              <w:rPr>
                <w:rFonts w:ascii="Times New Roman" w:eastAsia="Arial" w:hAnsi="Times New Roman"/>
                <w:sz w:val="20"/>
                <w:szCs w:val="20"/>
                <w:lang w:val="en-US"/>
              </w:rPr>
              <w:t>4</w:t>
            </w:r>
          </w:p>
        </w:tc>
      </w:tr>
      <w:tr w:rsidR="00BA4B04" w:rsidRPr="00BA4B04" w14:paraId="2412BB2D"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22A754F3" w14:textId="77777777" w:rsidR="00BA4B04" w:rsidRPr="00BA4B04" w:rsidRDefault="00BA4B04" w:rsidP="00BA4B04">
            <w:pPr>
              <w:keepNext/>
              <w:keepLines/>
              <w:widowControl w:val="0"/>
              <w:autoSpaceDE w:val="0"/>
              <w:autoSpaceDN w:val="0"/>
              <w:spacing w:before="1"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Increased</w:t>
            </w:r>
            <w:r w:rsidRPr="00BA4B04">
              <w:rPr>
                <w:rFonts w:ascii="Times New Roman" w:eastAsia="Arial" w:hAnsi="Times New Roman"/>
                <w:spacing w:val="-1"/>
                <w:sz w:val="20"/>
                <w:szCs w:val="20"/>
                <w:lang w:val="en-US"/>
              </w:rPr>
              <w:t xml:space="preserve"> </w:t>
            </w:r>
            <w:r w:rsidRPr="00BA4B04">
              <w:rPr>
                <w:rFonts w:ascii="Times New Roman" w:eastAsia="Arial" w:hAnsi="Times New Roman"/>
                <w:sz w:val="20"/>
                <w:szCs w:val="20"/>
                <w:lang w:val="en-US"/>
              </w:rPr>
              <w:t>glucose</w:t>
            </w:r>
          </w:p>
        </w:tc>
        <w:tc>
          <w:tcPr>
            <w:tcW w:w="2003" w:type="dxa"/>
            <w:tcBorders>
              <w:top w:val="single" w:sz="4" w:space="0" w:color="000000"/>
              <w:left w:val="single" w:sz="4" w:space="0" w:color="000000"/>
              <w:bottom w:val="single" w:sz="4" w:space="0" w:color="000000"/>
              <w:right w:val="single" w:sz="4" w:space="0" w:color="000000"/>
            </w:tcBorders>
            <w:hideMark/>
          </w:tcPr>
          <w:p w14:paraId="0872C220" w14:textId="77777777" w:rsidR="00BA4B04" w:rsidRPr="00BA4B04" w:rsidRDefault="00BA4B04" w:rsidP="00BA4B04">
            <w:pPr>
              <w:keepNext/>
              <w:keepLines/>
              <w:widowControl w:val="0"/>
              <w:autoSpaceDE w:val="0"/>
              <w:autoSpaceDN w:val="0"/>
              <w:spacing w:before="1" w:after="0" w:line="255" w:lineRule="exact"/>
              <w:ind w:left="179"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52</w:t>
            </w:r>
          </w:p>
        </w:tc>
        <w:tc>
          <w:tcPr>
            <w:tcW w:w="2003" w:type="dxa"/>
            <w:tcBorders>
              <w:top w:val="single" w:sz="4" w:space="0" w:color="000000"/>
              <w:left w:val="single" w:sz="4" w:space="0" w:color="000000"/>
              <w:bottom w:val="single" w:sz="4" w:space="0" w:color="000000"/>
              <w:right w:val="single" w:sz="4" w:space="0" w:color="000000"/>
            </w:tcBorders>
            <w:hideMark/>
          </w:tcPr>
          <w:p w14:paraId="358E02EB" w14:textId="77777777" w:rsidR="00BA4B04" w:rsidRPr="00BA4B04" w:rsidRDefault="00BA4B04" w:rsidP="00BA4B04">
            <w:pPr>
              <w:keepNext/>
              <w:keepLines/>
              <w:widowControl w:val="0"/>
              <w:autoSpaceDE w:val="0"/>
              <w:autoSpaceDN w:val="0"/>
              <w:spacing w:before="1" w:after="0" w:line="255" w:lineRule="exact"/>
              <w:ind w:left="10"/>
              <w:jc w:val="center"/>
              <w:rPr>
                <w:rFonts w:ascii="Times New Roman" w:eastAsia="Arial" w:hAnsi="Times New Roman"/>
                <w:sz w:val="20"/>
                <w:szCs w:val="20"/>
                <w:lang w:val="en-US"/>
              </w:rPr>
            </w:pPr>
            <w:r w:rsidRPr="00BA4B04">
              <w:rPr>
                <w:rFonts w:ascii="Times New Roman" w:eastAsia="Arial" w:hAnsi="Times New Roman"/>
                <w:sz w:val="20"/>
                <w:szCs w:val="20"/>
                <w:lang w:val="en-US"/>
              </w:rPr>
              <w:t>5</w:t>
            </w:r>
          </w:p>
        </w:tc>
      </w:tr>
      <w:tr w:rsidR="00BA4B04" w:rsidRPr="00BA4B04" w14:paraId="2ABDC6B1"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7DA383F6"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Decreased</w:t>
            </w:r>
            <w:r w:rsidRPr="00BA4B04">
              <w:rPr>
                <w:rFonts w:ascii="Times New Roman" w:eastAsia="Arial" w:hAnsi="Times New Roman"/>
                <w:spacing w:val="-3"/>
                <w:sz w:val="20"/>
                <w:szCs w:val="20"/>
                <w:lang w:val="en-US"/>
              </w:rPr>
              <w:t xml:space="preserve"> </w:t>
            </w:r>
            <w:r w:rsidRPr="00BA4B04">
              <w:rPr>
                <w:rFonts w:ascii="Times New Roman" w:eastAsia="Arial" w:hAnsi="Times New Roman"/>
                <w:sz w:val="20"/>
                <w:szCs w:val="20"/>
                <w:lang w:val="en-US"/>
              </w:rPr>
              <w:t>albumin</w:t>
            </w:r>
          </w:p>
        </w:tc>
        <w:tc>
          <w:tcPr>
            <w:tcW w:w="2003" w:type="dxa"/>
            <w:tcBorders>
              <w:top w:val="single" w:sz="4" w:space="0" w:color="000000"/>
              <w:left w:val="single" w:sz="4" w:space="0" w:color="000000"/>
              <w:bottom w:val="single" w:sz="4" w:space="0" w:color="000000"/>
              <w:right w:val="single" w:sz="4" w:space="0" w:color="000000"/>
            </w:tcBorders>
            <w:hideMark/>
          </w:tcPr>
          <w:p w14:paraId="050A73AD"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32</w:t>
            </w:r>
          </w:p>
        </w:tc>
        <w:tc>
          <w:tcPr>
            <w:tcW w:w="2003" w:type="dxa"/>
            <w:tcBorders>
              <w:top w:val="single" w:sz="4" w:space="0" w:color="000000"/>
              <w:left w:val="single" w:sz="4" w:space="0" w:color="000000"/>
              <w:bottom w:val="single" w:sz="4" w:space="0" w:color="000000"/>
              <w:right w:val="single" w:sz="4" w:space="0" w:color="000000"/>
            </w:tcBorders>
            <w:hideMark/>
          </w:tcPr>
          <w:p w14:paraId="7D045856"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Times New Roman"/>
                <w:sz w:val="20"/>
                <w:szCs w:val="20"/>
                <w:lang w:val="en-US"/>
              </w:rPr>
            </w:pPr>
            <w:r w:rsidRPr="00BA4B04">
              <w:rPr>
                <w:rFonts w:ascii="Times New Roman" w:eastAsia="Arial" w:hAnsi="Times New Roman"/>
                <w:sz w:val="20"/>
                <w:szCs w:val="20"/>
                <w:lang w:val="en-US"/>
              </w:rPr>
              <w:t>1</w:t>
            </w:r>
          </w:p>
        </w:tc>
      </w:tr>
      <w:tr w:rsidR="00BA4B04" w:rsidRPr="00BA4B04" w14:paraId="1A6EEBF7"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4D7C3A0F" w14:textId="77777777" w:rsidR="00BA4B04" w:rsidRPr="00BA4B04" w:rsidRDefault="00BA4B04" w:rsidP="00BA4B04">
            <w:pPr>
              <w:keepNext/>
              <w:keepLines/>
              <w:widowControl w:val="0"/>
              <w:autoSpaceDE w:val="0"/>
              <w:autoSpaceDN w:val="0"/>
              <w:spacing w:before="0" w:after="0" w:line="255" w:lineRule="exact"/>
              <w:ind w:left="108"/>
              <w:rPr>
                <w:rFonts w:ascii="Times New Roman" w:eastAsia="Arial" w:hAnsi="Times New Roman"/>
                <w:sz w:val="20"/>
                <w:szCs w:val="20"/>
                <w:lang w:val="en-US"/>
              </w:rPr>
            </w:pPr>
            <w:r w:rsidRPr="00BA4B04">
              <w:rPr>
                <w:rFonts w:ascii="Times New Roman" w:eastAsia="Arial" w:hAnsi="Times New Roman"/>
                <w:sz w:val="20"/>
                <w:szCs w:val="20"/>
                <w:lang w:val="en-US"/>
              </w:rPr>
              <w:t>Decreased</w:t>
            </w:r>
            <w:r w:rsidRPr="00BA4B04">
              <w:rPr>
                <w:rFonts w:ascii="Times New Roman" w:eastAsia="Arial" w:hAnsi="Times New Roman"/>
                <w:spacing w:val="-7"/>
                <w:sz w:val="20"/>
                <w:szCs w:val="20"/>
                <w:lang w:val="en-US"/>
              </w:rPr>
              <w:t xml:space="preserve"> </w:t>
            </w:r>
            <w:r w:rsidRPr="00BA4B04">
              <w:rPr>
                <w:rFonts w:ascii="Times New Roman" w:eastAsia="Arial" w:hAnsi="Times New Roman"/>
                <w:sz w:val="20"/>
                <w:szCs w:val="20"/>
                <w:lang w:val="en-US"/>
              </w:rPr>
              <w:t>sodium</w:t>
            </w:r>
          </w:p>
        </w:tc>
        <w:tc>
          <w:tcPr>
            <w:tcW w:w="2003" w:type="dxa"/>
            <w:tcBorders>
              <w:top w:val="single" w:sz="4" w:space="0" w:color="000000"/>
              <w:left w:val="single" w:sz="4" w:space="0" w:color="000000"/>
              <w:bottom w:val="single" w:sz="4" w:space="0" w:color="000000"/>
              <w:right w:val="single" w:sz="4" w:space="0" w:color="000000"/>
            </w:tcBorders>
            <w:hideMark/>
          </w:tcPr>
          <w:p w14:paraId="31CC2F69" w14:textId="77777777" w:rsidR="00BA4B04" w:rsidRPr="00BA4B04" w:rsidRDefault="00BA4B04" w:rsidP="00BA4B04">
            <w:pPr>
              <w:keepNext/>
              <w:keepLines/>
              <w:widowControl w:val="0"/>
              <w:autoSpaceDE w:val="0"/>
              <w:autoSpaceDN w:val="0"/>
              <w:spacing w:before="0" w:after="0" w:line="255" w:lineRule="exact"/>
              <w:ind w:left="179" w:right="168"/>
              <w:jc w:val="center"/>
              <w:rPr>
                <w:rFonts w:ascii="Times New Roman" w:eastAsia="Arial" w:hAnsi="Times New Roman"/>
                <w:sz w:val="20"/>
                <w:szCs w:val="20"/>
                <w:lang w:val="en-US"/>
              </w:rPr>
            </w:pPr>
            <w:r w:rsidRPr="00BA4B04">
              <w:rPr>
                <w:rFonts w:ascii="Times New Roman" w:eastAsia="Arial" w:hAnsi="Times New Roman"/>
                <w:sz w:val="20"/>
                <w:szCs w:val="20"/>
                <w:lang w:val="en-US"/>
              </w:rPr>
              <w:t>31</w:t>
            </w:r>
          </w:p>
        </w:tc>
        <w:tc>
          <w:tcPr>
            <w:tcW w:w="2003" w:type="dxa"/>
            <w:tcBorders>
              <w:top w:val="single" w:sz="4" w:space="0" w:color="000000"/>
              <w:left w:val="single" w:sz="4" w:space="0" w:color="000000"/>
              <w:bottom w:val="single" w:sz="4" w:space="0" w:color="000000"/>
              <w:right w:val="single" w:sz="4" w:space="0" w:color="000000"/>
            </w:tcBorders>
            <w:hideMark/>
          </w:tcPr>
          <w:p w14:paraId="0143A072"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Times New Roman"/>
                <w:sz w:val="20"/>
                <w:szCs w:val="20"/>
                <w:lang w:val="en-US"/>
              </w:rPr>
            </w:pPr>
            <w:r w:rsidRPr="00BA4B04">
              <w:rPr>
                <w:rFonts w:ascii="Times New Roman" w:eastAsia="Arial" w:hAnsi="Times New Roman"/>
                <w:sz w:val="20"/>
                <w:szCs w:val="20"/>
                <w:lang w:val="en-US"/>
              </w:rPr>
              <w:t>7</w:t>
            </w:r>
          </w:p>
        </w:tc>
      </w:tr>
      <w:tr w:rsidR="00BA4B04" w:rsidRPr="00BA4B04" w14:paraId="720F2938" w14:textId="77777777" w:rsidTr="00130E1B">
        <w:trPr>
          <w:trHeight w:val="276"/>
        </w:trPr>
        <w:tc>
          <w:tcPr>
            <w:tcW w:w="5215" w:type="dxa"/>
            <w:tcBorders>
              <w:top w:val="single" w:sz="4" w:space="0" w:color="000000"/>
              <w:left w:val="single" w:sz="4" w:space="0" w:color="000000"/>
              <w:bottom w:val="single" w:sz="4" w:space="0" w:color="000000"/>
              <w:right w:val="single" w:sz="4" w:space="0" w:color="000000"/>
            </w:tcBorders>
            <w:hideMark/>
          </w:tcPr>
          <w:p w14:paraId="2C5F1F33" w14:textId="77777777" w:rsidR="00BA4B04" w:rsidRPr="00BA4B04" w:rsidRDefault="00BA4B04" w:rsidP="00BA4B04">
            <w:pPr>
              <w:keepNext/>
              <w:keepLines/>
              <w:widowControl w:val="0"/>
              <w:autoSpaceDE w:val="0"/>
              <w:autoSpaceDN w:val="0"/>
              <w:spacing w:before="1" w:after="0" w:line="255" w:lineRule="exact"/>
              <w:ind w:left="108"/>
              <w:rPr>
                <w:rFonts w:ascii="Times New Roman" w:eastAsia="Arial" w:hAnsi="Times New Roman"/>
                <w:sz w:val="20"/>
                <w:szCs w:val="20"/>
                <w:lang w:val="en-US"/>
              </w:rPr>
            </w:pPr>
            <w:r w:rsidRPr="00BA4B04">
              <w:rPr>
                <w:rFonts w:ascii="Times New Roman" w:eastAsia="Arial" w:hAnsi="Times New Roman"/>
                <w:sz w:val="20"/>
                <w:szCs w:val="20"/>
                <w:lang w:val="en-US"/>
              </w:rPr>
              <w:t>Increased</w:t>
            </w:r>
            <w:r w:rsidRPr="00BA4B04">
              <w:rPr>
                <w:rFonts w:ascii="Times New Roman" w:eastAsia="Arial" w:hAnsi="Times New Roman"/>
                <w:spacing w:val="-1"/>
                <w:sz w:val="20"/>
                <w:szCs w:val="20"/>
                <w:lang w:val="en-US"/>
              </w:rPr>
              <w:t xml:space="preserve"> </w:t>
            </w:r>
            <w:r w:rsidRPr="00BA4B04">
              <w:rPr>
                <w:rFonts w:ascii="Times New Roman" w:eastAsia="Arial" w:hAnsi="Times New Roman"/>
                <w:sz w:val="20"/>
                <w:szCs w:val="20"/>
                <w:lang w:val="en-US"/>
              </w:rPr>
              <w:t>aspartate</w:t>
            </w:r>
            <w:r w:rsidRPr="00BA4B04">
              <w:rPr>
                <w:rFonts w:ascii="Times New Roman" w:eastAsia="Arial" w:hAnsi="Times New Roman"/>
                <w:spacing w:val="-1"/>
                <w:sz w:val="20"/>
                <w:szCs w:val="20"/>
                <w:lang w:val="en-US"/>
              </w:rPr>
              <w:t xml:space="preserve"> </w:t>
            </w:r>
            <w:r w:rsidRPr="00BA4B04">
              <w:rPr>
                <w:rFonts w:ascii="Times New Roman" w:eastAsia="Arial" w:hAnsi="Times New Roman"/>
                <w:sz w:val="20"/>
                <w:szCs w:val="20"/>
                <w:lang w:val="en-US"/>
              </w:rPr>
              <w:t>aminotransferase</w:t>
            </w:r>
          </w:p>
        </w:tc>
        <w:tc>
          <w:tcPr>
            <w:tcW w:w="2003" w:type="dxa"/>
            <w:tcBorders>
              <w:top w:val="single" w:sz="4" w:space="0" w:color="000000"/>
              <w:left w:val="single" w:sz="4" w:space="0" w:color="000000"/>
              <w:bottom w:val="single" w:sz="4" w:space="0" w:color="000000"/>
              <w:right w:val="single" w:sz="4" w:space="0" w:color="000000"/>
            </w:tcBorders>
            <w:hideMark/>
          </w:tcPr>
          <w:p w14:paraId="583CBCE8" w14:textId="77777777" w:rsidR="00BA4B04" w:rsidRPr="00BA4B04" w:rsidRDefault="00BA4B04" w:rsidP="00BA4B04">
            <w:pPr>
              <w:keepNext/>
              <w:keepLines/>
              <w:widowControl w:val="0"/>
              <w:autoSpaceDE w:val="0"/>
              <w:autoSpaceDN w:val="0"/>
              <w:spacing w:before="1" w:after="0" w:line="255" w:lineRule="exact"/>
              <w:ind w:left="179" w:right="168"/>
              <w:jc w:val="center"/>
              <w:rPr>
                <w:rFonts w:ascii="Times New Roman" w:eastAsia="Arial" w:hAnsi="Times New Roman"/>
                <w:sz w:val="20"/>
                <w:szCs w:val="20"/>
                <w:lang w:val="en-US"/>
              </w:rPr>
            </w:pPr>
            <w:r w:rsidRPr="00BA4B04">
              <w:rPr>
                <w:rFonts w:ascii="Times New Roman" w:eastAsia="Arial" w:hAnsi="Times New Roman"/>
                <w:sz w:val="20"/>
                <w:szCs w:val="20"/>
                <w:lang w:val="en-US"/>
              </w:rPr>
              <w:t>26</w:t>
            </w:r>
          </w:p>
        </w:tc>
        <w:tc>
          <w:tcPr>
            <w:tcW w:w="2003" w:type="dxa"/>
            <w:tcBorders>
              <w:top w:val="single" w:sz="4" w:space="0" w:color="000000"/>
              <w:left w:val="single" w:sz="4" w:space="0" w:color="000000"/>
              <w:bottom w:val="single" w:sz="4" w:space="0" w:color="000000"/>
              <w:right w:val="single" w:sz="4" w:space="0" w:color="000000"/>
            </w:tcBorders>
            <w:hideMark/>
          </w:tcPr>
          <w:p w14:paraId="2D27FC84" w14:textId="77777777" w:rsidR="00BA4B04" w:rsidRPr="00BA4B04" w:rsidRDefault="00BA4B04" w:rsidP="00BA4B04">
            <w:pPr>
              <w:keepNext/>
              <w:keepLines/>
              <w:widowControl w:val="0"/>
              <w:autoSpaceDE w:val="0"/>
              <w:autoSpaceDN w:val="0"/>
              <w:spacing w:before="1" w:after="0" w:line="255" w:lineRule="exact"/>
              <w:ind w:left="11"/>
              <w:jc w:val="center"/>
              <w:rPr>
                <w:rFonts w:ascii="Times New Roman" w:eastAsia="Arial" w:hAnsi="Times New Roman"/>
                <w:sz w:val="20"/>
                <w:szCs w:val="20"/>
                <w:lang w:val="en-US"/>
              </w:rPr>
            </w:pPr>
            <w:r w:rsidRPr="00BA4B04">
              <w:rPr>
                <w:rFonts w:ascii="Times New Roman" w:eastAsia="Arial" w:hAnsi="Times New Roman"/>
                <w:sz w:val="20"/>
                <w:szCs w:val="20"/>
                <w:lang w:val="en-US"/>
              </w:rPr>
              <w:t>2</w:t>
            </w:r>
          </w:p>
        </w:tc>
      </w:tr>
      <w:tr w:rsidR="00BA4B04" w:rsidRPr="00BA4B04" w14:paraId="5AF876CF" w14:textId="77777777" w:rsidTr="00130E1B">
        <w:trPr>
          <w:trHeight w:val="275"/>
        </w:trPr>
        <w:tc>
          <w:tcPr>
            <w:tcW w:w="5215" w:type="dxa"/>
            <w:tcBorders>
              <w:top w:val="single" w:sz="4" w:space="0" w:color="000000"/>
              <w:left w:val="single" w:sz="4" w:space="0" w:color="000000"/>
              <w:bottom w:val="single" w:sz="4" w:space="0" w:color="000000"/>
              <w:right w:val="single" w:sz="4" w:space="0" w:color="000000"/>
            </w:tcBorders>
            <w:hideMark/>
          </w:tcPr>
          <w:p w14:paraId="4AAD3E4E" w14:textId="77777777" w:rsidR="00BA4B04" w:rsidRPr="00BA4B04" w:rsidRDefault="00BA4B04" w:rsidP="00BA4B04">
            <w:pPr>
              <w:keepNext/>
              <w:keepLines/>
              <w:widowControl w:val="0"/>
              <w:autoSpaceDE w:val="0"/>
              <w:autoSpaceDN w:val="0"/>
              <w:spacing w:before="0" w:after="0" w:line="255" w:lineRule="exact"/>
              <w:ind w:left="107"/>
              <w:rPr>
                <w:rFonts w:ascii="Times New Roman" w:eastAsia="Arial" w:hAnsi="Times New Roman"/>
                <w:sz w:val="20"/>
                <w:szCs w:val="20"/>
                <w:lang w:val="en-US"/>
              </w:rPr>
            </w:pPr>
            <w:r w:rsidRPr="00BA4B04">
              <w:rPr>
                <w:rFonts w:ascii="Times New Roman" w:eastAsia="Arial" w:hAnsi="Times New Roman"/>
                <w:sz w:val="20"/>
                <w:szCs w:val="20"/>
                <w:lang w:val="en-US"/>
              </w:rPr>
              <w:t>Decreased</w:t>
            </w:r>
            <w:r w:rsidRPr="00BA4B04">
              <w:rPr>
                <w:rFonts w:ascii="Times New Roman" w:eastAsia="Arial" w:hAnsi="Times New Roman"/>
                <w:spacing w:val="-3"/>
                <w:sz w:val="20"/>
                <w:szCs w:val="20"/>
                <w:lang w:val="en-US"/>
              </w:rPr>
              <w:t xml:space="preserve"> </w:t>
            </w:r>
            <w:r w:rsidRPr="00BA4B04">
              <w:rPr>
                <w:rFonts w:ascii="Times New Roman" w:eastAsia="Arial" w:hAnsi="Times New Roman"/>
                <w:sz w:val="20"/>
                <w:szCs w:val="20"/>
                <w:lang w:val="en-US"/>
              </w:rPr>
              <w:t>magnesium</w:t>
            </w:r>
          </w:p>
        </w:tc>
        <w:tc>
          <w:tcPr>
            <w:tcW w:w="2003" w:type="dxa"/>
            <w:tcBorders>
              <w:top w:val="single" w:sz="4" w:space="0" w:color="000000"/>
              <w:left w:val="single" w:sz="4" w:space="0" w:color="000000"/>
              <w:bottom w:val="single" w:sz="4" w:space="0" w:color="000000"/>
              <w:right w:val="single" w:sz="4" w:space="0" w:color="000000"/>
            </w:tcBorders>
            <w:hideMark/>
          </w:tcPr>
          <w:p w14:paraId="733C2501" w14:textId="77777777" w:rsidR="00BA4B04" w:rsidRPr="00BA4B04" w:rsidRDefault="00BA4B04" w:rsidP="00BA4B04">
            <w:pPr>
              <w:keepNext/>
              <w:keepLines/>
              <w:widowControl w:val="0"/>
              <w:autoSpaceDE w:val="0"/>
              <w:autoSpaceDN w:val="0"/>
              <w:spacing w:before="0" w:after="0" w:line="255" w:lineRule="exact"/>
              <w:ind w:left="179" w:right="169"/>
              <w:jc w:val="center"/>
              <w:rPr>
                <w:rFonts w:ascii="Times New Roman" w:eastAsia="Arial" w:hAnsi="Times New Roman"/>
                <w:sz w:val="20"/>
                <w:szCs w:val="20"/>
                <w:lang w:val="en-US"/>
              </w:rPr>
            </w:pPr>
            <w:r w:rsidRPr="00BA4B04">
              <w:rPr>
                <w:rFonts w:ascii="Times New Roman" w:eastAsia="Arial" w:hAnsi="Times New Roman"/>
                <w:sz w:val="20"/>
                <w:szCs w:val="20"/>
                <w:lang w:val="en-US"/>
              </w:rPr>
              <w:t>22</w:t>
            </w:r>
          </w:p>
        </w:tc>
        <w:tc>
          <w:tcPr>
            <w:tcW w:w="2003" w:type="dxa"/>
            <w:tcBorders>
              <w:top w:val="single" w:sz="4" w:space="0" w:color="000000"/>
              <w:left w:val="single" w:sz="4" w:space="0" w:color="000000"/>
              <w:bottom w:val="single" w:sz="4" w:space="0" w:color="000000"/>
              <w:right w:val="single" w:sz="4" w:space="0" w:color="000000"/>
            </w:tcBorders>
            <w:hideMark/>
          </w:tcPr>
          <w:p w14:paraId="65647C11" w14:textId="77777777" w:rsidR="00BA4B04" w:rsidRPr="00BA4B04" w:rsidRDefault="00BA4B04" w:rsidP="00BA4B04">
            <w:pPr>
              <w:keepNext/>
              <w:keepLines/>
              <w:widowControl w:val="0"/>
              <w:autoSpaceDE w:val="0"/>
              <w:autoSpaceDN w:val="0"/>
              <w:spacing w:before="0" w:after="0" w:line="255" w:lineRule="exact"/>
              <w:ind w:left="10"/>
              <w:jc w:val="center"/>
              <w:rPr>
                <w:rFonts w:ascii="Times New Roman" w:eastAsia="Arial" w:hAnsi="Times New Roman"/>
                <w:sz w:val="20"/>
                <w:szCs w:val="20"/>
                <w:lang w:val="en-US"/>
              </w:rPr>
            </w:pPr>
            <w:r w:rsidRPr="00BA4B04">
              <w:rPr>
                <w:rFonts w:ascii="Times New Roman" w:eastAsia="Arial" w:hAnsi="Times New Roman"/>
                <w:sz w:val="20"/>
                <w:szCs w:val="20"/>
                <w:lang w:val="en-US"/>
              </w:rPr>
              <w:t>0</w:t>
            </w:r>
          </w:p>
        </w:tc>
      </w:tr>
    </w:tbl>
    <w:p w14:paraId="08F2CCDA" w14:textId="77777777" w:rsidR="00BA4B04" w:rsidRPr="00BA4B04" w:rsidRDefault="00BA4B04" w:rsidP="00BA4B04">
      <w:pPr>
        <w:keepNext/>
        <w:keepLines/>
        <w:spacing w:before="9" w:after="0" w:line="240" w:lineRule="auto"/>
        <w:ind w:left="90" w:right="896" w:hanging="90"/>
        <w:rPr>
          <w:rFonts w:ascii="Times New Roman" w:eastAsia="Times New Roman" w:hAnsi="Times New Roman"/>
          <w:sz w:val="18"/>
          <w:szCs w:val="18"/>
          <w:lang w:val="en-US"/>
        </w:rPr>
      </w:pPr>
      <w:proofErr w:type="spellStart"/>
      <w:r w:rsidRPr="00BA4B04">
        <w:rPr>
          <w:rFonts w:ascii="Times New Roman" w:eastAsia="Calibri" w:hAnsi="Times New Roman"/>
          <w:spacing w:val="-1"/>
          <w:sz w:val="18"/>
          <w:szCs w:val="18"/>
          <w:vertAlign w:val="superscript"/>
        </w:rPr>
        <w:t>a</w:t>
      </w:r>
      <w:proofErr w:type="spellEnd"/>
      <w:r w:rsidRPr="00BA4B04">
        <w:rPr>
          <w:rFonts w:ascii="Times New Roman" w:eastAsia="Calibri" w:hAnsi="Times New Roman"/>
          <w:spacing w:val="-1"/>
          <w:sz w:val="18"/>
          <w:szCs w:val="18"/>
        </w:rPr>
        <w:t xml:space="preserve"> </w:t>
      </w:r>
      <w:proofErr w:type="gramStart"/>
      <w:r w:rsidRPr="00BA4B04">
        <w:rPr>
          <w:rFonts w:ascii="Times New Roman" w:eastAsia="Calibri" w:hAnsi="Times New Roman"/>
          <w:spacing w:val="-1"/>
          <w:sz w:val="18"/>
          <w:szCs w:val="18"/>
        </w:rPr>
        <w:t>The</w:t>
      </w:r>
      <w:proofErr w:type="gramEnd"/>
      <w:r w:rsidRPr="00BA4B04">
        <w:rPr>
          <w:rFonts w:ascii="Times New Roman" w:eastAsia="Calibri" w:hAnsi="Times New Roman"/>
          <w:spacing w:val="-1"/>
          <w:sz w:val="18"/>
          <w:szCs w:val="18"/>
        </w:rPr>
        <w:t xml:space="preserve"> denominator used to calculate </w:t>
      </w:r>
      <w:r w:rsidRPr="00BA4B04">
        <w:rPr>
          <w:rFonts w:ascii="Times New Roman" w:eastAsia="Calibri" w:hAnsi="Times New Roman"/>
          <w:sz w:val="18"/>
          <w:szCs w:val="18"/>
        </w:rPr>
        <w:t>the rate varied from 95 to 105 based on the number of patients with a baseline</w:t>
      </w:r>
      <w:r w:rsidRPr="00BA4B04">
        <w:rPr>
          <w:rFonts w:ascii="Times New Roman" w:eastAsia="Calibri" w:hAnsi="Times New Roman"/>
          <w:spacing w:val="-47"/>
          <w:sz w:val="18"/>
          <w:szCs w:val="18"/>
        </w:rPr>
        <w:t xml:space="preserve"> </w:t>
      </w:r>
      <w:r w:rsidRPr="00BA4B04">
        <w:rPr>
          <w:rFonts w:ascii="Times New Roman" w:eastAsia="Calibri" w:hAnsi="Times New Roman"/>
          <w:sz w:val="18"/>
          <w:szCs w:val="18"/>
        </w:rPr>
        <w:t>value</w:t>
      </w:r>
      <w:r w:rsidRPr="00BA4B04">
        <w:rPr>
          <w:rFonts w:ascii="Times New Roman" w:eastAsia="Calibri" w:hAnsi="Times New Roman"/>
          <w:spacing w:val="-1"/>
          <w:sz w:val="18"/>
          <w:szCs w:val="18"/>
        </w:rPr>
        <w:t xml:space="preserve"> </w:t>
      </w:r>
      <w:r w:rsidRPr="00BA4B04">
        <w:rPr>
          <w:rFonts w:ascii="Times New Roman" w:eastAsia="Calibri" w:hAnsi="Times New Roman"/>
          <w:sz w:val="18"/>
          <w:szCs w:val="18"/>
        </w:rPr>
        <w:t>and</w:t>
      </w:r>
      <w:r w:rsidRPr="00BA4B04">
        <w:rPr>
          <w:rFonts w:ascii="Times New Roman" w:eastAsia="Calibri" w:hAnsi="Times New Roman"/>
          <w:spacing w:val="1"/>
          <w:sz w:val="18"/>
          <w:szCs w:val="18"/>
        </w:rPr>
        <w:t xml:space="preserve"> </w:t>
      </w:r>
      <w:r w:rsidRPr="00BA4B04">
        <w:rPr>
          <w:rFonts w:ascii="Times New Roman" w:eastAsia="Calibri" w:hAnsi="Times New Roman"/>
          <w:sz w:val="18"/>
          <w:szCs w:val="18"/>
        </w:rPr>
        <w:t>at least one</w:t>
      </w:r>
      <w:r w:rsidRPr="00BA4B04">
        <w:rPr>
          <w:rFonts w:ascii="Times New Roman" w:eastAsia="Calibri" w:hAnsi="Times New Roman"/>
          <w:spacing w:val="-2"/>
          <w:sz w:val="18"/>
          <w:szCs w:val="18"/>
        </w:rPr>
        <w:t xml:space="preserve"> </w:t>
      </w:r>
      <w:r w:rsidRPr="00BA4B04">
        <w:rPr>
          <w:rFonts w:ascii="Times New Roman" w:eastAsia="Calibri" w:hAnsi="Times New Roman"/>
          <w:sz w:val="18"/>
          <w:szCs w:val="18"/>
        </w:rPr>
        <w:t>post-treatment value.</w:t>
      </w:r>
    </w:p>
    <w:p w14:paraId="65A97F04" w14:textId="77777777" w:rsidR="00BA4B04" w:rsidRPr="00BA4B04" w:rsidRDefault="00BA4B04" w:rsidP="00BA4B04">
      <w:pPr>
        <w:keepNext/>
        <w:keepLines/>
        <w:spacing w:before="0" w:after="0" w:line="240" w:lineRule="auto"/>
        <w:rPr>
          <w:rFonts w:ascii="Times New Roman" w:eastAsia="Calibri" w:hAnsi="Times New Roman"/>
          <w:sz w:val="18"/>
          <w:szCs w:val="18"/>
        </w:rPr>
      </w:pPr>
      <w:r w:rsidRPr="00BA4B04">
        <w:rPr>
          <w:rFonts w:ascii="Times New Roman" w:eastAsia="Calibri" w:hAnsi="Times New Roman"/>
          <w:spacing w:val="-1"/>
          <w:sz w:val="18"/>
          <w:szCs w:val="18"/>
          <w:vertAlign w:val="superscript"/>
        </w:rPr>
        <w:t>b</w:t>
      </w:r>
      <w:r w:rsidRPr="00BA4B04">
        <w:rPr>
          <w:rFonts w:ascii="Times New Roman" w:eastAsia="Calibri" w:hAnsi="Times New Roman"/>
          <w:spacing w:val="-18"/>
          <w:sz w:val="18"/>
          <w:szCs w:val="18"/>
        </w:rPr>
        <w:t xml:space="preserve"> </w:t>
      </w:r>
      <w:r w:rsidRPr="00BA4B04">
        <w:rPr>
          <w:rFonts w:ascii="Times New Roman" w:eastAsia="Calibri" w:hAnsi="Times New Roman"/>
          <w:spacing w:val="-1"/>
          <w:sz w:val="18"/>
          <w:szCs w:val="18"/>
        </w:rPr>
        <w:t xml:space="preserve">Graded </w:t>
      </w:r>
      <w:r w:rsidRPr="00BA4B04">
        <w:rPr>
          <w:rFonts w:ascii="Times New Roman" w:eastAsia="Calibri" w:hAnsi="Times New Roman"/>
          <w:sz w:val="18"/>
          <w:szCs w:val="18"/>
        </w:rPr>
        <w:t>per NCI CTCAE 4.0.</w:t>
      </w:r>
    </w:p>
    <w:p w14:paraId="327AA2A8" w14:textId="77777777" w:rsidR="00BA4B04" w:rsidRPr="00BA4B04" w:rsidRDefault="00BA4B04" w:rsidP="00BA4B04">
      <w:pPr>
        <w:spacing w:before="0" w:after="200" w:line="276" w:lineRule="auto"/>
        <w:rPr>
          <w:rFonts w:ascii="Times New Roman" w:eastAsia="Calibri" w:hAnsi="Times New Roman"/>
        </w:rPr>
      </w:pPr>
    </w:p>
    <w:p w14:paraId="25BED795"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Reporting suspected adverse effects</w:t>
      </w:r>
    </w:p>
    <w:p w14:paraId="25612CB9"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26" w:history="1">
        <w:r w:rsidRPr="00BA4B04">
          <w:rPr>
            <w:rFonts w:ascii="Times New Roman" w:eastAsia="Calibri" w:hAnsi="Times New Roman"/>
            <w:color w:val="0000FF"/>
            <w:u w:val="single"/>
          </w:rPr>
          <w:t>www.tga.gov.au/reporting-problems</w:t>
        </w:r>
      </w:hyperlink>
      <w:r w:rsidRPr="00BA4B04">
        <w:rPr>
          <w:rFonts w:ascii="Times New Roman" w:eastAsia="Calibri" w:hAnsi="Times New Roman"/>
        </w:rPr>
        <w:t xml:space="preserve"> and </w:t>
      </w:r>
      <w:hyperlink r:id="rId27" w:history="1">
        <w:r w:rsidRPr="00BA4B04">
          <w:rPr>
            <w:rFonts w:ascii="Times New Roman" w:eastAsia="Calibri" w:hAnsi="Times New Roman"/>
            <w:color w:val="0000FF"/>
            <w:u w:val="single"/>
          </w:rPr>
          <w:t>drugsafety-STA@stbiopharma.com</w:t>
        </w:r>
      </w:hyperlink>
      <w:r w:rsidRPr="00BA4B04">
        <w:rPr>
          <w:rFonts w:ascii="Times New Roman" w:eastAsia="Calibri" w:hAnsi="Times New Roman"/>
        </w:rPr>
        <w:t>.</w:t>
      </w:r>
    </w:p>
    <w:p w14:paraId="1BFD7486" w14:textId="77777777" w:rsidR="00BA4B04" w:rsidRPr="00BA4B04" w:rsidRDefault="00BA4B04" w:rsidP="00BA4B04">
      <w:pPr>
        <w:keepNext/>
        <w:keepLines/>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Overdose </w:t>
      </w:r>
    </w:p>
    <w:p w14:paraId="656BFED0" w14:textId="77777777" w:rsidR="00BA4B04" w:rsidRPr="00BA4B04" w:rsidRDefault="00BA4B04" w:rsidP="00BA4B04">
      <w:pPr>
        <w:spacing w:line="23" w:lineRule="atLeast"/>
        <w:rPr>
          <w:rFonts w:ascii="Times New Roman" w:eastAsia="Times New Roman" w:hAnsi="Times New Roman"/>
        </w:rPr>
      </w:pPr>
      <w:bookmarkStart w:id="103" w:name="_SP_QA_2012_07_11_15_51_23_0032"/>
      <w:r w:rsidRPr="00BA4B04">
        <w:rPr>
          <w:rFonts w:ascii="Times New Roman" w:eastAsia="Times New Roman" w:hAnsi="Times New Roman"/>
        </w:rPr>
        <w:t xml:space="preserve">If an overdose is suspected, monitor the patient closely for myelosuppression and hepatic enzymes and institute supportive care measures as appropriate. </w:t>
      </w:r>
    </w:p>
    <w:p w14:paraId="7B1B4BFF"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Haemodialysis is not expected to enhance the elimination of ZEPZELCA because lurbinectedin is highly bound to plasma proteins (99%), and renal excretion is negligible.</w:t>
      </w:r>
    </w:p>
    <w:p w14:paraId="613F7F0E"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There is no known antidote for overdosage with ZEPZELCA.</w:t>
      </w:r>
      <w:bookmarkEnd w:id="103"/>
    </w:p>
    <w:p w14:paraId="5BFA1B05"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For information on the management of overdose, contact the Poisons Information Centre on 13 11 26 (Australia).</w:t>
      </w:r>
    </w:p>
    <w:p w14:paraId="24EB6DFA" w14:textId="77777777" w:rsidR="00BA4B04" w:rsidRPr="00BA4B04" w:rsidRDefault="00BA4B04" w:rsidP="00C667D2">
      <w:pPr>
        <w:keepNext/>
        <w:keepLines/>
        <w:pageBreakBefore/>
        <w:spacing w:before="0" w:line="276" w:lineRule="auto"/>
        <w:ind w:left="431" w:hanging="431"/>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lastRenderedPageBreak/>
        <w:t>Pharmacological properties</w:t>
      </w:r>
    </w:p>
    <w:p w14:paraId="76E6DD85"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Pharmacodynamic properties </w:t>
      </w:r>
    </w:p>
    <w:p w14:paraId="11CD1F05"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Mechanism of action</w:t>
      </w:r>
    </w:p>
    <w:p w14:paraId="052BC548" w14:textId="77777777" w:rsidR="00BA4B04" w:rsidRPr="00BA4B04" w:rsidRDefault="00BA4B04" w:rsidP="00BA4B04">
      <w:pPr>
        <w:spacing w:line="23" w:lineRule="atLeast"/>
        <w:rPr>
          <w:rFonts w:ascii="Times New Roman" w:eastAsia="Times New Roman" w:hAnsi="Times New Roman"/>
        </w:rPr>
      </w:pPr>
      <w:bookmarkStart w:id="104" w:name="_SP_QA_2012_07_11_15_51_23_0035"/>
      <w:r w:rsidRPr="00BA4B04">
        <w:rPr>
          <w:rFonts w:ascii="Times New Roman" w:eastAsia="Times New Roman" w:hAnsi="Times New Roman"/>
        </w:rPr>
        <w:t>Lurbinectedin is an alkylating drug that binds guanine residues in the minor groove of DNA, forming adducts and resulting in a bending of the DNA helix towards the major groove. Adduct formation triggers a cascade of events that can affect the subsequent activity of DNA binding proteins, including some transcription factors, and DNA repair pathways, resulting in perturbation of the cell cycle and eventual cell death.</w:t>
      </w:r>
    </w:p>
    <w:p w14:paraId="7B3C130D"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Lurbinectedin inhibited human monocyte activity in vitro and reduced macrophage infiltration in implanted tumours in mice.</w:t>
      </w:r>
    </w:p>
    <w:p w14:paraId="4AB3C6E5"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Pharmacodynamics</w:t>
      </w:r>
    </w:p>
    <w:p w14:paraId="6DE20BB1"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Lurbinectedin exposure-response relationships and the pharmacodynamic time-course for efficacy have not been fully characterised.</w:t>
      </w:r>
    </w:p>
    <w:p w14:paraId="13E7709A" w14:textId="77777777" w:rsidR="00BA4B04" w:rsidRPr="00BA4B04" w:rsidRDefault="00BA4B04" w:rsidP="00BA4B04">
      <w:pPr>
        <w:spacing w:line="23" w:lineRule="atLeast"/>
        <w:rPr>
          <w:rFonts w:ascii="Calibri" w:eastAsia="Calibri" w:hAnsi="Calibri"/>
        </w:rPr>
      </w:pPr>
      <w:r w:rsidRPr="00BA4B04">
        <w:rPr>
          <w:rFonts w:ascii="Times New Roman" w:eastAsia="Times New Roman" w:hAnsi="Times New Roman"/>
        </w:rPr>
        <w:t>Increased incidence of Grade 4 neutropenia and Grade ≥ 3 thrombocytopenia were observed with increased lurbinectedin exposure.</w:t>
      </w:r>
    </w:p>
    <w:p w14:paraId="30D77B9E" w14:textId="77777777" w:rsidR="00BA4B04" w:rsidRPr="00BA4B04" w:rsidRDefault="00BA4B04" w:rsidP="00BA4B04">
      <w:pPr>
        <w:spacing w:line="23" w:lineRule="atLeast"/>
        <w:rPr>
          <w:rFonts w:ascii="Times New Roman" w:eastAsia="Times New Roman" w:hAnsi="Times New Roman"/>
          <w:u w:val="single"/>
        </w:rPr>
      </w:pPr>
      <w:bookmarkStart w:id="105" w:name="_SP_QA_2012_07_11_15_51_23_0036"/>
      <w:bookmarkEnd w:id="104"/>
      <w:r w:rsidRPr="00BA4B04">
        <w:rPr>
          <w:rFonts w:ascii="Times New Roman" w:eastAsia="Times New Roman" w:hAnsi="Times New Roman"/>
          <w:u w:val="single"/>
        </w:rPr>
        <w:t>Cardiac electrophysiology</w:t>
      </w:r>
    </w:p>
    <w:p w14:paraId="55AE34AA"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The potential for QT prolongation with lurbinectedin was evaluated in a sub-study of 39 patients with advanced cancer who received lurbinectedin 3.2 mg/m² every 3 weeks in Study B-005. No large mean increase in </w:t>
      </w:r>
      <w:proofErr w:type="spellStart"/>
      <w:r w:rsidRPr="00BA4B04">
        <w:rPr>
          <w:rFonts w:ascii="Times New Roman" w:eastAsia="Times New Roman" w:hAnsi="Times New Roman"/>
        </w:rPr>
        <w:t>QTcF</w:t>
      </w:r>
      <w:proofErr w:type="spellEnd"/>
      <w:r w:rsidRPr="00BA4B04">
        <w:rPr>
          <w:rFonts w:ascii="Times New Roman" w:eastAsia="Times New Roman" w:hAnsi="Times New Roman"/>
        </w:rPr>
        <w:t xml:space="preserve"> (&gt;20 </w:t>
      </w:r>
      <w:proofErr w:type="spellStart"/>
      <w:r w:rsidRPr="00BA4B04">
        <w:rPr>
          <w:rFonts w:ascii="Times New Roman" w:eastAsia="Times New Roman" w:hAnsi="Times New Roman"/>
        </w:rPr>
        <w:t>ms</w:t>
      </w:r>
      <w:proofErr w:type="spellEnd"/>
      <w:r w:rsidRPr="00BA4B04">
        <w:rPr>
          <w:rFonts w:ascii="Times New Roman" w:eastAsia="Times New Roman" w:hAnsi="Times New Roman"/>
        </w:rPr>
        <w:t xml:space="preserve">) was detected. The maximum mean </w:t>
      </w:r>
      <w:proofErr w:type="spellStart"/>
      <w:r w:rsidRPr="00BA4B04">
        <w:rPr>
          <w:rFonts w:ascii="Times New Roman" w:eastAsia="Times New Roman" w:hAnsi="Times New Roman"/>
        </w:rPr>
        <w:t>QTcF</w:t>
      </w:r>
      <w:proofErr w:type="spellEnd"/>
      <w:r w:rsidRPr="00BA4B04">
        <w:rPr>
          <w:rFonts w:ascii="Times New Roman" w:eastAsia="Times New Roman" w:hAnsi="Times New Roman"/>
        </w:rPr>
        <w:t xml:space="preserve"> change from baseline was 5.4 </w:t>
      </w:r>
      <w:proofErr w:type="spellStart"/>
      <w:r w:rsidRPr="00BA4B04">
        <w:rPr>
          <w:rFonts w:ascii="Times New Roman" w:eastAsia="Times New Roman" w:hAnsi="Times New Roman"/>
        </w:rPr>
        <w:t>ms</w:t>
      </w:r>
      <w:proofErr w:type="spellEnd"/>
      <w:r w:rsidRPr="00BA4B04">
        <w:rPr>
          <w:rFonts w:ascii="Times New Roman" w:eastAsia="Times New Roman" w:hAnsi="Times New Roman"/>
        </w:rPr>
        <w:t xml:space="preserve"> (upper bound of 90% CI: 9.6 </w:t>
      </w:r>
      <w:proofErr w:type="spellStart"/>
      <w:r w:rsidRPr="00BA4B04">
        <w:rPr>
          <w:rFonts w:ascii="Times New Roman" w:eastAsia="Times New Roman" w:hAnsi="Times New Roman"/>
        </w:rPr>
        <w:t>ms</w:t>
      </w:r>
      <w:proofErr w:type="spellEnd"/>
      <w:r w:rsidRPr="00BA4B04">
        <w:rPr>
          <w:rFonts w:ascii="Times New Roman" w:eastAsia="Times New Roman" w:hAnsi="Times New Roman"/>
        </w:rPr>
        <w:t>).</w:t>
      </w:r>
    </w:p>
    <w:bookmarkEnd w:id="105"/>
    <w:p w14:paraId="1727368D"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Clinical trials</w:t>
      </w:r>
    </w:p>
    <w:p w14:paraId="56647C10" w14:textId="77777777" w:rsidR="00BA4B04" w:rsidRPr="00BA4B04" w:rsidRDefault="00BA4B04" w:rsidP="00BA4B04">
      <w:pPr>
        <w:keepNext/>
        <w:keepLines/>
        <w:spacing w:before="200" w:after="0" w:line="276" w:lineRule="auto"/>
        <w:outlineLvl w:val="3"/>
        <w:rPr>
          <w:rFonts w:ascii="Times New Roman" w:eastAsia="Times New Roman" w:hAnsi="Times New Roman"/>
          <w:bCs/>
          <w:i/>
          <w:iCs/>
        </w:rPr>
      </w:pPr>
      <w:r w:rsidRPr="00BA4B04">
        <w:rPr>
          <w:rFonts w:ascii="Times New Roman" w:eastAsia="Times New Roman" w:hAnsi="Times New Roman"/>
          <w:bCs/>
          <w:i/>
          <w:iCs/>
        </w:rPr>
        <w:t>Study B-005</w:t>
      </w:r>
    </w:p>
    <w:p w14:paraId="67F85E88"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Study B-005 (PM1183-B-005-14) was an open-label, multicentre, single-arm study evaluating ZEPZELCA as a single agent in patients with advanced or metastatic solid tumours, including a cohort of patients with small cell lung cancer (SCLC) whose disease had progressed on or after platinum-based chemotherapy. Patients received 3.2 mg/m</w:t>
      </w:r>
      <w:r w:rsidRPr="00BA4B04">
        <w:rPr>
          <w:rFonts w:ascii="Times New Roman" w:eastAsia="Times New Roman" w:hAnsi="Times New Roman"/>
          <w:vertAlign w:val="superscript"/>
        </w:rPr>
        <w:t>2</w:t>
      </w:r>
      <w:r w:rsidRPr="00BA4B04">
        <w:rPr>
          <w:rFonts w:ascii="Times New Roman" w:eastAsia="Times New Roman" w:hAnsi="Times New Roman"/>
        </w:rPr>
        <w:t xml:space="preserve"> ZEPZELCA, administered as a 60-minute IV infusion once every 21 days (one cycle). Patients received a median of 4 cycles of ZEPZELCA (range 1 to 24 cycles). The trial excluded patients with central nervous system (CNS) involvement, grade ≥3 dyspnoea, daily intermittent oxygen requirement, hepatitis or cirrhosis, and immunocompromised patients. Tumour assessments were conducted every 6 weeks for the first 18 weeks and every 9 weeks thereafter. The primary efficacy outcome measure was confirmed, investigator-assessed, overall response rate (ORR), using Response Evaluation Criteria in Solid </w:t>
      </w:r>
      <w:proofErr w:type="spellStart"/>
      <w:r w:rsidRPr="00BA4B04">
        <w:rPr>
          <w:rFonts w:ascii="Times New Roman" w:eastAsia="Times New Roman" w:hAnsi="Times New Roman"/>
        </w:rPr>
        <w:t>Tumors</w:t>
      </w:r>
      <w:proofErr w:type="spellEnd"/>
      <w:r w:rsidRPr="00BA4B04">
        <w:rPr>
          <w:rFonts w:ascii="Times New Roman" w:eastAsia="Times New Roman" w:hAnsi="Times New Roman"/>
        </w:rPr>
        <w:t xml:space="preserve"> (RECIST) v1.1. Additional efficacy outcome measures included investigator-assessed duration of response (DOR), as well as ORR and DOR assessed by an Independent Review Committee (IRC). </w:t>
      </w:r>
    </w:p>
    <w:p w14:paraId="3E4F76C0"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A total of 105 patients with SCLC who progressed on or after platinum-based chemotherapy were enrolled. The median age was 60 years (range, 40-83 years) and 35% were at least 65 years old. </w:t>
      </w:r>
      <w:proofErr w:type="gramStart"/>
      <w:r w:rsidRPr="00BA4B04">
        <w:rPr>
          <w:rFonts w:ascii="Times New Roman" w:eastAsia="Times New Roman" w:hAnsi="Times New Roman"/>
        </w:rPr>
        <w:t>The majority of</w:t>
      </w:r>
      <w:proofErr w:type="gramEnd"/>
      <w:r w:rsidRPr="00BA4B04">
        <w:rPr>
          <w:rFonts w:ascii="Times New Roman" w:eastAsia="Times New Roman" w:hAnsi="Times New Roman"/>
        </w:rPr>
        <w:t xml:space="preserve"> patients were male (60%) and white (75%); ethnicity was not reported for 23%. Baseline ECOG performance status was 0 or 1 for 92% of patients, and 92% were current/former smokers. All patients had received at least one line of platinum-based chemotherapy for advanced disease (range 1-2 lines), and prior radiotherapy had been administered to 71% of patients. and prior radiotherapy had been administered to 71% of patients. Eight patients (8%) had prior immunotherapy in addition to platinum-based </w:t>
      </w:r>
      <w:r w:rsidRPr="00BA4B04">
        <w:rPr>
          <w:rFonts w:ascii="Times New Roman" w:eastAsia="Times New Roman" w:hAnsi="Times New Roman"/>
        </w:rPr>
        <w:lastRenderedPageBreak/>
        <w:t xml:space="preserve">chemotherapy. Sixty patients (57%) had platinum-sensitive SCLC, defined as recurrence or progression ≥ 90 days after the last dose of platinum-containing therapy (chemotherapy free interval [CTFI] ≥ 90 days). The remaining 45 patients had platinum-resistant SCLC, defined as recurrence or progression &lt; 90 days after the last dose of platinum-containing therapy (CTFI &lt; 90 days). </w:t>
      </w:r>
    </w:p>
    <w:p w14:paraId="098B7A72"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color w:val="0432FF"/>
          <w:sz w:val="24"/>
          <w:szCs w:val="24"/>
          <w:lang w:val="en-US"/>
        </w:rPr>
        <w:fldChar w:fldCharType="begin"/>
      </w:r>
      <w:r w:rsidRPr="00BA4B04">
        <w:rPr>
          <w:rFonts w:ascii="Times New Roman" w:eastAsia="Times New Roman" w:hAnsi="Times New Roman"/>
          <w:color w:val="0432FF"/>
          <w:sz w:val="24"/>
          <w:szCs w:val="24"/>
          <w:lang w:val="en-US"/>
        </w:rPr>
        <w:instrText xml:space="preserve"> REF _Ref80266071 \h </w:instrText>
      </w:r>
      <w:r w:rsidRPr="00BA4B04">
        <w:rPr>
          <w:rFonts w:ascii="Times New Roman" w:eastAsia="Times New Roman" w:hAnsi="Times New Roman"/>
          <w:color w:val="0432FF"/>
          <w:lang w:val="en-US"/>
        </w:rPr>
        <w:instrText xml:space="preserve"> \* MERGEFORMAT </w:instrText>
      </w:r>
      <w:r w:rsidRPr="00BA4B04">
        <w:rPr>
          <w:rFonts w:ascii="Times New Roman" w:eastAsia="Times New Roman" w:hAnsi="Times New Roman"/>
          <w:color w:val="0432FF"/>
          <w:sz w:val="24"/>
          <w:szCs w:val="24"/>
          <w:lang w:val="en-US"/>
        </w:rPr>
      </w:r>
      <w:r w:rsidRPr="00BA4B04">
        <w:rPr>
          <w:rFonts w:ascii="Times New Roman" w:eastAsia="Times New Roman" w:hAnsi="Times New Roman"/>
          <w:color w:val="0432FF"/>
          <w:sz w:val="24"/>
          <w:szCs w:val="24"/>
          <w:lang w:val="en-US"/>
        </w:rPr>
        <w:fldChar w:fldCharType="separate"/>
      </w:r>
      <w:r w:rsidRPr="00BA4B04">
        <w:rPr>
          <w:rFonts w:ascii="Times New Roman" w:eastAsia="Times New Roman" w:hAnsi="Times New Roman"/>
          <w:color w:val="0432FF"/>
          <w:lang w:val="en-US"/>
        </w:rPr>
        <w:t>Table 5</w:t>
      </w:r>
      <w:r w:rsidRPr="00BA4B04">
        <w:rPr>
          <w:rFonts w:ascii="Times New Roman" w:eastAsia="Times New Roman" w:hAnsi="Times New Roman"/>
          <w:color w:val="0432FF"/>
          <w:sz w:val="24"/>
          <w:szCs w:val="24"/>
          <w:lang w:val="en-US"/>
        </w:rPr>
        <w:fldChar w:fldCharType="end"/>
      </w:r>
      <w:r w:rsidRPr="00BA4B04">
        <w:rPr>
          <w:rFonts w:ascii="Times New Roman" w:eastAsia="Times New Roman" w:hAnsi="Times New Roman"/>
        </w:rPr>
        <w:t xml:space="preserve"> summarises investigator-assessed and IRC- assessed key efficacy measures in all patients and in platinum-resistant and platinum-sensitive subgroups. </w:t>
      </w:r>
    </w:p>
    <w:p w14:paraId="46E520F5" w14:textId="77777777" w:rsidR="00BA4B04" w:rsidRPr="00BA4B04" w:rsidRDefault="00BA4B04" w:rsidP="00BA4B04">
      <w:pPr>
        <w:keepNext/>
        <w:spacing w:line="23" w:lineRule="atLeast"/>
        <w:rPr>
          <w:rFonts w:ascii="Times New Roman" w:eastAsia="Times New Roman" w:hAnsi="Times New Roman"/>
          <w:b/>
          <w:bCs/>
        </w:rPr>
      </w:pPr>
    </w:p>
    <w:p w14:paraId="5F2E4406" w14:textId="77777777" w:rsidR="00BA4B04" w:rsidRPr="00BA4B04" w:rsidRDefault="00BA4B04" w:rsidP="00BA4B04">
      <w:pPr>
        <w:keepNext/>
        <w:keepLines/>
        <w:spacing w:line="280" w:lineRule="atLeast"/>
        <w:ind w:left="1440" w:hanging="1440"/>
        <w:rPr>
          <w:rFonts w:ascii="Times New Roman" w:eastAsia="Times New Roman" w:hAnsi="Times New Roman"/>
          <w:b/>
          <w:bCs/>
          <w:sz w:val="24"/>
          <w:szCs w:val="24"/>
          <w:lang w:val="en-US"/>
        </w:rPr>
      </w:pPr>
      <w:bookmarkStart w:id="106" w:name="_Ref80266071"/>
      <w:r w:rsidRPr="00BA4B04">
        <w:rPr>
          <w:rFonts w:ascii="Times New Roman" w:eastAsia="Times New Roman" w:hAnsi="Times New Roman"/>
          <w:b/>
          <w:bCs/>
          <w:sz w:val="24"/>
          <w:szCs w:val="24"/>
          <w:lang w:val="en-US"/>
        </w:rPr>
        <w:t xml:space="preserve">Table </w:t>
      </w:r>
      <w:r w:rsidRPr="00BA4B04">
        <w:rPr>
          <w:rFonts w:ascii="Times New Roman" w:eastAsia="Times New Roman" w:hAnsi="Times New Roman"/>
          <w:b/>
          <w:bCs/>
          <w:sz w:val="24"/>
          <w:szCs w:val="24"/>
          <w:lang w:val="en-US"/>
        </w:rPr>
        <w:fldChar w:fldCharType="begin"/>
      </w:r>
      <w:r w:rsidRPr="00BA4B04">
        <w:rPr>
          <w:rFonts w:ascii="Times New Roman" w:eastAsia="Times New Roman" w:hAnsi="Times New Roman"/>
          <w:b/>
          <w:bCs/>
          <w:sz w:val="24"/>
          <w:szCs w:val="24"/>
          <w:lang w:val="en-US"/>
        </w:rPr>
        <w:instrText xml:space="preserve"> SEQ Table \* ARABIC </w:instrText>
      </w:r>
      <w:r w:rsidRPr="00BA4B04">
        <w:rPr>
          <w:rFonts w:ascii="Times New Roman" w:eastAsia="Times New Roman" w:hAnsi="Times New Roman"/>
          <w:b/>
          <w:bCs/>
          <w:sz w:val="24"/>
          <w:szCs w:val="24"/>
          <w:lang w:val="en-US"/>
        </w:rPr>
        <w:fldChar w:fldCharType="separate"/>
      </w:r>
      <w:r w:rsidRPr="00BA4B04">
        <w:rPr>
          <w:rFonts w:ascii="Times New Roman" w:eastAsia="Times New Roman" w:hAnsi="Times New Roman"/>
          <w:b/>
          <w:bCs/>
          <w:noProof/>
          <w:sz w:val="24"/>
          <w:szCs w:val="24"/>
          <w:lang w:val="en-US"/>
        </w:rPr>
        <w:t>5</w:t>
      </w:r>
      <w:r w:rsidRPr="00BA4B04">
        <w:rPr>
          <w:rFonts w:ascii="Times New Roman" w:eastAsia="Times New Roman" w:hAnsi="Times New Roman"/>
          <w:b/>
          <w:bCs/>
          <w:sz w:val="24"/>
          <w:szCs w:val="24"/>
          <w:lang w:val="en-US"/>
        </w:rPr>
        <w:fldChar w:fldCharType="end"/>
      </w:r>
      <w:bookmarkEnd w:id="106"/>
      <w:r w:rsidRPr="00BA4B04">
        <w:rPr>
          <w:rFonts w:ascii="Times New Roman" w:eastAsia="Times New Roman" w:hAnsi="Times New Roman"/>
          <w:b/>
          <w:bCs/>
          <w:sz w:val="24"/>
          <w:szCs w:val="24"/>
          <w:lang w:val="en-US"/>
        </w:rPr>
        <w:t>:</w:t>
      </w:r>
      <w:r w:rsidRPr="00BA4B04">
        <w:rPr>
          <w:rFonts w:ascii="Times New Roman" w:eastAsia="Times New Roman" w:hAnsi="Times New Roman"/>
          <w:b/>
          <w:bCs/>
          <w:sz w:val="24"/>
          <w:szCs w:val="24"/>
          <w:lang w:val="en-US"/>
        </w:rPr>
        <w:tab/>
        <w:t>Efficacy results in the SCLC cohort of Study B-005</w:t>
      </w:r>
    </w:p>
    <w:tbl>
      <w:tblPr>
        <w:tblStyle w:val="C-Table"/>
        <w:tblW w:w="5000" w:type="pct"/>
        <w:tblInd w:w="3" w:type="dxa"/>
        <w:tblLook w:val="04A0" w:firstRow="1" w:lastRow="0" w:firstColumn="1" w:lastColumn="0" w:noHBand="0" w:noVBand="1"/>
      </w:tblPr>
      <w:tblGrid>
        <w:gridCol w:w="2976"/>
        <w:gridCol w:w="1839"/>
        <w:gridCol w:w="1838"/>
        <w:gridCol w:w="1838"/>
      </w:tblGrid>
      <w:tr w:rsidR="00BA4B04" w:rsidRPr="00BA4B04" w14:paraId="769523B9" w14:textId="77777777" w:rsidTr="00130E1B">
        <w:trPr>
          <w:cantSplit w:val="0"/>
          <w:tblHeader/>
        </w:trPr>
        <w:tc>
          <w:tcPr>
            <w:tcW w:w="3253" w:type="dxa"/>
            <w:vMerge w:val="restart"/>
            <w:tcBorders>
              <w:left w:val="single" w:sz="4" w:space="0" w:color="auto"/>
            </w:tcBorders>
            <w:vAlign w:val="bottom"/>
          </w:tcPr>
          <w:p w14:paraId="0CF47F09" w14:textId="77777777" w:rsidR="00BA4B04" w:rsidRPr="00BA4B04" w:rsidRDefault="00BA4B04" w:rsidP="007A4C05">
            <w:pPr>
              <w:keepNext/>
              <w:keepLines/>
              <w:numPr>
                <w:ilvl w:val="0"/>
                <w:numId w:val="9"/>
              </w:numPr>
              <w:tabs>
                <w:tab w:val="left" w:pos="540"/>
              </w:tabs>
              <w:spacing w:before="60" w:after="60" w:line="23" w:lineRule="atLeast"/>
              <w:ind w:left="0" w:firstLine="0"/>
              <w:rPr>
                <w:rFonts w:ascii="Times New Roman" w:eastAsia="Times New Roman" w:hAnsi="Times New Roman"/>
                <w:b/>
                <w:bCs/>
                <w:vertAlign w:val="superscript"/>
              </w:rPr>
            </w:pPr>
          </w:p>
        </w:tc>
        <w:tc>
          <w:tcPr>
            <w:tcW w:w="5760" w:type="dxa"/>
            <w:gridSpan w:val="3"/>
          </w:tcPr>
          <w:p w14:paraId="1ABA427B"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b/>
                <w:bCs/>
              </w:rPr>
            </w:pPr>
            <w:r w:rsidRPr="00BA4B04">
              <w:rPr>
                <w:rFonts w:ascii="Times New Roman" w:eastAsia="Times New Roman" w:hAnsi="Times New Roman"/>
                <w:b/>
                <w:bCs/>
              </w:rPr>
              <w:t>ZEPZELCA (n=105)</w:t>
            </w:r>
          </w:p>
        </w:tc>
      </w:tr>
      <w:tr w:rsidR="00BA4B04" w:rsidRPr="00BA4B04" w14:paraId="2A907BF2" w14:textId="77777777" w:rsidTr="00130E1B">
        <w:trPr>
          <w:cantSplit w:val="0"/>
          <w:tblHeader/>
        </w:trPr>
        <w:tc>
          <w:tcPr>
            <w:tcW w:w="3253" w:type="dxa"/>
            <w:vMerge/>
            <w:tcBorders>
              <w:left w:val="single" w:sz="4" w:space="0" w:color="auto"/>
            </w:tcBorders>
            <w:vAlign w:val="center"/>
          </w:tcPr>
          <w:p w14:paraId="52887581" w14:textId="77777777" w:rsidR="00BA4B04" w:rsidRPr="00BA4B04" w:rsidRDefault="00BA4B04" w:rsidP="007A4C05">
            <w:pPr>
              <w:keepNext/>
              <w:keepLines/>
              <w:numPr>
                <w:ilvl w:val="0"/>
                <w:numId w:val="9"/>
              </w:numPr>
              <w:tabs>
                <w:tab w:val="left" w:pos="540"/>
              </w:tabs>
              <w:spacing w:before="60" w:after="60" w:line="23" w:lineRule="atLeast"/>
              <w:ind w:left="0" w:firstLine="0"/>
              <w:rPr>
                <w:rFonts w:ascii="Times New Roman" w:eastAsia="Times New Roman" w:hAnsi="Times New Roman"/>
                <w:b/>
                <w:bCs/>
              </w:rPr>
            </w:pPr>
          </w:p>
        </w:tc>
        <w:tc>
          <w:tcPr>
            <w:tcW w:w="1920" w:type="dxa"/>
            <w:vAlign w:val="bottom"/>
          </w:tcPr>
          <w:p w14:paraId="5810B519"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b/>
                <w:bCs/>
              </w:rPr>
            </w:pPr>
            <w:r w:rsidRPr="00BA4B04">
              <w:rPr>
                <w:rFonts w:ascii="Times New Roman" w:eastAsia="Times New Roman" w:hAnsi="Times New Roman"/>
                <w:b/>
                <w:bCs/>
              </w:rPr>
              <w:t>All SCLC</w:t>
            </w:r>
          </w:p>
          <w:p w14:paraId="140054C1"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b/>
                <w:bCs/>
              </w:rPr>
            </w:pPr>
            <w:r w:rsidRPr="00BA4B04">
              <w:rPr>
                <w:rFonts w:ascii="Times New Roman" w:eastAsia="Times New Roman" w:hAnsi="Times New Roman"/>
                <w:b/>
                <w:bCs/>
              </w:rPr>
              <w:t>(n=105)</w:t>
            </w:r>
          </w:p>
        </w:tc>
        <w:tc>
          <w:tcPr>
            <w:tcW w:w="1920" w:type="dxa"/>
            <w:vAlign w:val="bottom"/>
          </w:tcPr>
          <w:p w14:paraId="6BC02D54" w14:textId="77777777" w:rsidR="00BA4B04" w:rsidRPr="00BA4B04" w:rsidRDefault="00BA4B04" w:rsidP="007A4C05">
            <w:pPr>
              <w:keepNext/>
              <w:keepLines/>
              <w:numPr>
                <w:ilvl w:val="0"/>
                <w:numId w:val="9"/>
              </w:numPr>
              <w:spacing w:before="60" w:after="60" w:line="240" w:lineRule="auto"/>
              <w:ind w:left="0" w:firstLine="0"/>
              <w:jc w:val="center"/>
              <w:rPr>
                <w:rFonts w:ascii="Times New Roman" w:eastAsia="Times New Roman" w:hAnsi="Times New Roman"/>
                <w:b/>
              </w:rPr>
            </w:pPr>
            <w:r w:rsidRPr="00BA4B04">
              <w:rPr>
                <w:rFonts w:ascii="Times New Roman" w:eastAsia="Times New Roman" w:hAnsi="Times New Roman"/>
                <w:b/>
              </w:rPr>
              <w:t>CTFI &lt;90 days</w:t>
            </w:r>
          </w:p>
          <w:p w14:paraId="4697D8B7"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b/>
                <w:bCs/>
              </w:rPr>
            </w:pPr>
            <w:r w:rsidRPr="00BA4B04">
              <w:rPr>
                <w:rFonts w:ascii="Times New Roman" w:eastAsia="Times New Roman" w:hAnsi="Times New Roman"/>
                <w:b/>
                <w:bCs/>
              </w:rPr>
              <w:t>(n=45)</w:t>
            </w:r>
          </w:p>
        </w:tc>
        <w:tc>
          <w:tcPr>
            <w:tcW w:w="1920" w:type="dxa"/>
            <w:vAlign w:val="bottom"/>
          </w:tcPr>
          <w:p w14:paraId="4A61BF38" w14:textId="77777777" w:rsidR="00BA4B04" w:rsidRPr="00BA4B04" w:rsidRDefault="00BA4B04" w:rsidP="007A4C05">
            <w:pPr>
              <w:keepNext/>
              <w:keepLines/>
              <w:numPr>
                <w:ilvl w:val="0"/>
                <w:numId w:val="9"/>
              </w:numPr>
              <w:spacing w:before="60" w:after="60" w:line="240" w:lineRule="auto"/>
              <w:ind w:left="0" w:firstLine="0"/>
              <w:jc w:val="center"/>
              <w:rPr>
                <w:rFonts w:ascii="Times New Roman" w:eastAsia="Times New Roman" w:hAnsi="Times New Roman"/>
                <w:b/>
              </w:rPr>
            </w:pPr>
            <w:r w:rsidRPr="00BA4B04">
              <w:rPr>
                <w:rFonts w:ascii="Times New Roman" w:eastAsia="Times New Roman" w:hAnsi="Times New Roman"/>
                <w:b/>
              </w:rPr>
              <w:t>CTFI ≥90 days</w:t>
            </w:r>
          </w:p>
          <w:p w14:paraId="22F19FE9"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b/>
                <w:bCs/>
              </w:rPr>
            </w:pPr>
            <w:r w:rsidRPr="00BA4B04">
              <w:rPr>
                <w:rFonts w:ascii="Times New Roman" w:eastAsia="Times New Roman" w:hAnsi="Times New Roman"/>
                <w:b/>
                <w:bCs/>
              </w:rPr>
              <w:t>(n=60)</w:t>
            </w:r>
          </w:p>
        </w:tc>
      </w:tr>
      <w:tr w:rsidR="00BA4B04" w:rsidRPr="00BA4B04" w14:paraId="207DC613" w14:textId="77777777" w:rsidTr="00130E1B">
        <w:trPr>
          <w:cantSplit w:val="0"/>
        </w:trPr>
        <w:tc>
          <w:tcPr>
            <w:tcW w:w="9013" w:type="dxa"/>
            <w:gridSpan w:val="4"/>
            <w:vAlign w:val="bottom"/>
          </w:tcPr>
          <w:p w14:paraId="03EFC5A4" w14:textId="77777777" w:rsidR="00BA4B04" w:rsidRPr="00BA4B04" w:rsidRDefault="00BA4B04" w:rsidP="007A4C05">
            <w:pPr>
              <w:keepNext/>
              <w:keepLines/>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b/>
              </w:rPr>
              <w:t>Investigator-assessed responses</w:t>
            </w:r>
          </w:p>
        </w:tc>
      </w:tr>
      <w:tr w:rsidR="00BA4B04" w:rsidRPr="00BA4B04" w14:paraId="642C887E" w14:textId="77777777" w:rsidTr="00130E1B">
        <w:trPr>
          <w:cantSplit w:val="0"/>
        </w:trPr>
        <w:tc>
          <w:tcPr>
            <w:tcW w:w="3253" w:type="dxa"/>
            <w:vAlign w:val="center"/>
          </w:tcPr>
          <w:p w14:paraId="142481CD" w14:textId="77777777" w:rsidR="00BA4B04" w:rsidRPr="00BA4B04" w:rsidRDefault="00BA4B04" w:rsidP="007A4C05">
            <w:pPr>
              <w:keepNext/>
              <w:keepLines/>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ORR (95% CI)</w:t>
            </w:r>
          </w:p>
        </w:tc>
        <w:tc>
          <w:tcPr>
            <w:tcW w:w="1920" w:type="dxa"/>
          </w:tcPr>
          <w:p w14:paraId="5794401B"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35% (26%, 45%)</w:t>
            </w:r>
          </w:p>
        </w:tc>
        <w:tc>
          <w:tcPr>
            <w:tcW w:w="1920" w:type="dxa"/>
          </w:tcPr>
          <w:p w14:paraId="6D6C3335"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22% (11%, 37%)</w:t>
            </w:r>
          </w:p>
        </w:tc>
        <w:tc>
          <w:tcPr>
            <w:tcW w:w="1920" w:type="dxa"/>
          </w:tcPr>
          <w:p w14:paraId="6AF56B91"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45% (32%, 58%)</w:t>
            </w:r>
          </w:p>
        </w:tc>
      </w:tr>
      <w:tr w:rsidR="00BA4B04" w:rsidRPr="00BA4B04" w14:paraId="7D89DB60" w14:textId="77777777" w:rsidTr="00130E1B">
        <w:trPr>
          <w:cantSplit w:val="0"/>
        </w:trPr>
        <w:tc>
          <w:tcPr>
            <w:tcW w:w="3253" w:type="dxa"/>
            <w:vAlign w:val="center"/>
          </w:tcPr>
          <w:p w14:paraId="1B7D3C7E" w14:textId="77777777" w:rsidR="00BA4B04" w:rsidRPr="00BA4B04" w:rsidRDefault="00BA4B04" w:rsidP="007A4C05">
            <w:pPr>
              <w:keepNext/>
              <w:keepLines/>
              <w:numPr>
                <w:ilvl w:val="0"/>
                <w:numId w:val="9"/>
              </w:numPr>
              <w:tabs>
                <w:tab w:val="left" w:pos="540"/>
              </w:tabs>
              <w:spacing w:before="60" w:after="60" w:line="23" w:lineRule="atLeast"/>
              <w:ind w:left="0" w:firstLine="303"/>
              <w:rPr>
                <w:rFonts w:ascii="Times New Roman" w:eastAsia="Times New Roman" w:hAnsi="Times New Roman"/>
              </w:rPr>
            </w:pPr>
            <w:r w:rsidRPr="00BA4B04">
              <w:rPr>
                <w:rFonts w:ascii="Times New Roman" w:eastAsia="Times New Roman" w:hAnsi="Times New Roman"/>
              </w:rPr>
              <w:t>Complete response rate</w:t>
            </w:r>
          </w:p>
        </w:tc>
        <w:tc>
          <w:tcPr>
            <w:tcW w:w="1920" w:type="dxa"/>
          </w:tcPr>
          <w:p w14:paraId="2E8664C6"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0%</w:t>
            </w:r>
          </w:p>
        </w:tc>
        <w:tc>
          <w:tcPr>
            <w:tcW w:w="1920" w:type="dxa"/>
          </w:tcPr>
          <w:p w14:paraId="74D4BFD7"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0%</w:t>
            </w:r>
          </w:p>
        </w:tc>
        <w:tc>
          <w:tcPr>
            <w:tcW w:w="1920" w:type="dxa"/>
          </w:tcPr>
          <w:p w14:paraId="20D098FD"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0%</w:t>
            </w:r>
          </w:p>
        </w:tc>
      </w:tr>
      <w:tr w:rsidR="00BA4B04" w:rsidRPr="00BA4B04" w14:paraId="2182BE94" w14:textId="77777777" w:rsidTr="00130E1B">
        <w:trPr>
          <w:cantSplit w:val="0"/>
        </w:trPr>
        <w:tc>
          <w:tcPr>
            <w:tcW w:w="3253" w:type="dxa"/>
            <w:vAlign w:val="center"/>
          </w:tcPr>
          <w:p w14:paraId="2CB1FE4B" w14:textId="77777777" w:rsidR="00BA4B04" w:rsidRPr="00BA4B04" w:rsidRDefault="00BA4B04" w:rsidP="007A4C05">
            <w:pPr>
              <w:keepNext/>
              <w:keepLines/>
              <w:numPr>
                <w:ilvl w:val="0"/>
                <w:numId w:val="9"/>
              </w:numPr>
              <w:tabs>
                <w:tab w:val="left" w:pos="540"/>
              </w:tabs>
              <w:spacing w:before="60" w:after="60" w:line="23" w:lineRule="atLeast"/>
              <w:ind w:left="0" w:firstLine="303"/>
              <w:rPr>
                <w:rFonts w:ascii="Times New Roman" w:eastAsia="Times New Roman" w:hAnsi="Times New Roman"/>
              </w:rPr>
            </w:pPr>
            <w:r w:rsidRPr="00BA4B04">
              <w:rPr>
                <w:rFonts w:ascii="Times New Roman" w:eastAsia="Times New Roman" w:hAnsi="Times New Roman"/>
              </w:rPr>
              <w:t>Partial response rate</w:t>
            </w:r>
          </w:p>
        </w:tc>
        <w:tc>
          <w:tcPr>
            <w:tcW w:w="1920" w:type="dxa"/>
          </w:tcPr>
          <w:p w14:paraId="43754602"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35%</w:t>
            </w:r>
          </w:p>
        </w:tc>
        <w:tc>
          <w:tcPr>
            <w:tcW w:w="1920" w:type="dxa"/>
          </w:tcPr>
          <w:p w14:paraId="050B8E80"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22%</w:t>
            </w:r>
          </w:p>
        </w:tc>
        <w:tc>
          <w:tcPr>
            <w:tcW w:w="1920" w:type="dxa"/>
          </w:tcPr>
          <w:p w14:paraId="27667AD3"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45%</w:t>
            </w:r>
          </w:p>
        </w:tc>
      </w:tr>
      <w:tr w:rsidR="00BA4B04" w:rsidRPr="00BA4B04" w14:paraId="18466588" w14:textId="77777777" w:rsidTr="00130E1B">
        <w:trPr>
          <w:cantSplit w:val="0"/>
        </w:trPr>
        <w:tc>
          <w:tcPr>
            <w:tcW w:w="3253" w:type="dxa"/>
            <w:vAlign w:val="center"/>
          </w:tcPr>
          <w:p w14:paraId="2FD60A02" w14:textId="77777777" w:rsidR="00BA4B04" w:rsidRPr="00BA4B04" w:rsidRDefault="00BA4B04" w:rsidP="007A4C05">
            <w:pPr>
              <w:keepNext/>
              <w:keepLines/>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Median DOR, months (95% CI)</w:t>
            </w:r>
          </w:p>
        </w:tc>
        <w:tc>
          <w:tcPr>
            <w:tcW w:w="1920" w:type="dxa"/>
          </w:tcPr>
          <w:p w14:paraId="414ACB30"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5.3 (4.1, 6.4)</w:t>
            </w:r>
          </w:p>
        </w:tc>
        <w:tc>
          <w:tcPr>
            <w:tcW w:w="1920" w:type="dxa"/>
          </w:tcPr>
          <w:p w14:paraId="6D61CFD2"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color w:val="000000"/>
              </w:rPr>
              <w:t>4.7</w:t>
            </w:r>
            <w:r w:rsidRPr="00BA4B04">
              <w:rPr>
                <w:rFonts w:ascii="Times New Roman" w:eastAsia="Times New Roman" w:hAnsi="Times New Roman"/>
              </w:rPr>
              <w:t xml:space="preserve"> </w:t>
            </w:r>
            <w:r w:rsidRPr="00BA4B04">
              <w:rPr>
                <w:rFonts w:ascii="Times New Roman" w:eastAsia="Times New Roman" w:hAnsi="Times New Roman"/>
                <w:color w:val="000000"/>
              </w:rPr>
              <w:t>(2.6, 5.6)</w:t>
            </w:r>
          </w:p>
        </w:tc>
        <w:tc>
          <w:tcPr>
            <w:tcW w:w="1920" w:type="dxa"/>
          </w:tcPr>
          <w:p w14:paraId="5C6E8DE5"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color w:val="000000"/>
              </w:rPr>
              <w:t>6.2</w:t>
            </w:r>
            <w:r w:rsidRPr="00BA4B04">
              <w:rPr>
                <w:rFonts w:ascii="Times New Roman" w:eastAsia="Times New Roman" w:hAnsi="Times New Roman"/>
              </w:rPr>
              <w:t xml:space="preserve"> </w:t>
            </w:r>
            <w:r w:rsidRPr="00BA4B04">
              <w:rPr>
                <w:rFonts w:ascii="Times New Roman" w:eastAsia="Times New Roman" w:hAnsi="Times New Roman"/>
                <w:color w:val="000000"/>
              </w:rPr>
              <w:t>(3.5, 7.3)</w:t>
            </w:r>
          </w:p>
        </w:tc>
      </w:tr>
      <w:tr w:rsidR="00BA4B04" w:rsidRPr="00BA4B04" w14:paraId="3569AA8A" w14:textId="77777777" w:rsidTr="00130E1B">
        <w:trPr>
          <w:cantSplit w:val="0"/>
        </w:trPr>
        <w:tc>
          <w:tcPr>
            <w:tcW w:w="3253" w:type="dxa"/>
            <w:vAlign w:val="center"/>
          </w:tcPr>
          <w:p w14:paraId="5FB1D5FD" w14:textId="77777777" w:rsidR="00BA4B04" w:rsidRPr="00BA4B04" w:rsidRDefault="00BA4B04" w:rsidP="007A4C05">
            <w:pPr>
              <w:keepNext/>
              <w:keepLines/>
              <w:numPr>
                <w:ilvl w:val="0"/>
                <w:numId w:val="9"/>
              </w:numPr>
              <w:tabs>
                <w:tab w:val="left" w:pos="540"/>
              </w:tabs>
              <w:spacing w:before="60" w:after="60" w:line="23" w:lineRule="atLeast"/>
              <w:ind w:left="0" w:firstLine="303"/>
              <w:rPr>
                <w:rFonts w:ascii="Times New Roman" w:eastAsia="Times New Roman" w:hAnsi="Times New Roman"/>
              </w:rPr>
            </w:pPr>
            <w:r w:rsidRPr="00BA4B04">
              <w:rPr>
                <w:rFonts w:ascii="Times New Roman" w:eastAsia="Times New Roman" w:hAnsi="Times New Roman"/>
              </w:rPr>
              <w:t>% with DOR ≥6 months*</w:t>
            </w:r>
          </w:p>
        </w:tc>
        <w:tc>
          <w:tcPr>
            <w:tcW w:w="1920" w:type="dxa"/>
          </w:tcPr>
          <w:p w14:paraId="446B44F8"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35%</w:t>
            </w:r>
          </w:p>
        </w:tc>
        <w:tc>
          <w:tcPr>
            <w:tcW w:w="1920" w:type="dxa"/>
          </w:tcPr>
          <w:p w14:paraId="6241B3CF"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10%</w:t>
            </w:r>
          </w:p>
        </w:tc>
        <w:tc>
          <w:tcPr>
            <w:tcW w:w="1920" w:type="dxa"/>
          </w:tcPr>
          <w:p w14:paraId="0D9C049D"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44%</w:t>
            </w:r>
          </w:p>
        </w:tc>
      </w:tr>
      <w:tr w:rsidR="00BA4B04" w:rsidRPr="00BA4B04" w14:paraId="39CE5C86" w14:textId="77777777" w:rsidTr="00130E1B">
        <w:trPr>
          <w:cantSplit w:val="0"/>
        </w:trPr>
        <w:tc>
          <w:tcPr>
            <w:tcW w:w="9013" w:type="dxa"/>
            <w:gridSpan w:val="4"/>
            <w:vAlign w:val="bottom"/>
          </w:tcPr>
          <w:p w14:paraId="31C0501E" w14:textId="77777777" w:rsidR="00BA4B04" w:rsidRPr="00BA4B04" w:rsidRDefault="00BA4B04" w:rsidP="007A4C05">
            <w:pPr>
              <w:keepNext/>
              <w:keepLines/>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b/>
              </w:rPr>
              <w:t>IRC-assessed responses</w:t>
            </w:r>
          </w:p>
        </w:tc>
      </w:tr>
      <w:tr w:rsidR="00BA4B04" w:rsidRPr="00BA4B04" w14:paraId="0AB71E3B" w14:textId="77777777" w:rsidTr="00130E1B">
        <w:trPr>
          <w:cantSplit w:val="0"/>
        </w:trPr>
        <w:tc>
          <w:tcPr>
            <w:tcW w:w="3253" w:type="dxa"/>
            <w:vAlign w:val="center"/>
          </w:tcPr>
          <w:p w14:paraId="3CC0616A" w14:textId="77777777" w:rsidR="00BA4B04" w:rsidRPr="00BA4B04" w:rsidRDefault="00BA4B04" w:rsidP="007A4C05">
            <w:pPr>
              <w:keepNext/>
              <w:keepLines/>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ORR (95% CI)</w:t>
            </w:r>
          </w:p>
        </w:tc>
        <w:tc>
          <w:tcPr>
            <w:tcW w:w="1920" w:type="dxa"/>
          </w:tcPr>
          <w:p w14:paraId="3B65E617"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30% (22%, 40%)</w:t>
            </w:r>
          </w:p>
        </w:tc>
        <w:tc>
          <w:tcPr>
            <w:tcW w:w="1920" w:type="dxa"/>
          </w:tcPr>
          <w:p w14:paraId="4F38DE3D"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13% (5%, 27%)</w:t>
            </w:r>
          </w:p>
        </w:tc>
        <w:tc>
          <w:tcPr>
            <w:tcW w:w="1920" w:type="dxa"/>
          </w:tcPr>
          <w:p w14:paraId="53B2BADA"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43% (31%, 57%)</w:t>
            </w:r>
          </w:p>
        </w:tc>
      </w:tr>
      <w:tr w:rsidR="00BA4B04" w:rsidRPr="00BA4B04" w14:paraId="553DFB5B" w14:textId="77777777" w:rsidTr="00130E1B">
        <w:trPr>
          <w:cantSplit w:val="0"/>
        </w:trPr>
        <w:tc>
          <w:tcPr>
            <w:tcW w:w="3253" w:type="dxa"/>
            <w:vAlign w:val="center"/>
          </w:tcPr>
          <w:p w14:paraId="2E0F7987" w14:textId="77777777" w:rsidR="00BA4B04" w:rsidRPr="00BA4B04" w:rsidRDefault="00BA4B04" w:rsidP="007A4C05">
            <w:pPr>
              <w:keepNext/>
              <w:keepLines/>
              <w:numPr>
                <w:ilvl w:val="0"/>
                <w:numId w:val="9"/>
              </w:numPr>
              <w:tabs>
                <w:tab w:val="left" w:pos="540"/>
              </w:tabs>
              <w:spacing w:before="60" w:after="60" w:line="23" w:lineRule="atLeast"/>
              <w:ind w:left="0" w:firstLine="303"/>
              <w:rPr>
                <w:rFonts w:ascii="Times New Roman" w:eastAsia="Times New Roman" w:hAnsi="Times New Roman"/>
              </w:rPr>
            </w:pPr>
            <w:r w:rsidRPr="00BA4B04">
              <w:rPr>
                <w:rFonts w:ascii="Times New Roman" w:eastAsia="Times New Roman" w:hAnsi="Times New Roman"/>
              </w:rPr>
              <w:t>Complete response rate</w:t>
            </w:r>
          </w:p>
        </w:tc>
        <w:tc>
          <w:tcPr>
            <w:tcW w:w="1920" w:type="dxa"/>
          </w:tcPr>
          <w:p w14:paraId="22B5FD72"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0%</w:t>
            </w:r>
          </w:p>
        </w:tc>
        <w:tc>
          <w:tcPr>
            <w:tcW w:w="1920" w:type="dxa"/>
          </w:tcPr>
          <w:p w14:paraId="3AC8CA3E"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0%</w:t>
            </w:r>
          </w:p>
        </w:tc>
        <w:tc>
          <w:tcPr>
            <w:tcW w:w="1920" w:type="dxa"/>
          </w:tcPr>
          <w:p w14:paraId="44037F78"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0%</w:t>
            </w:r>
          </w:p>
        </w:tc>
      </w:tr>
      <w:tr w:rsidR="00BA4B04" w:rsidRPr="00BA4B04" w14:paraId="5C32A91E" w14:textId="77777777" w:rsidTr="00130E1B">
        <w:trPr>
          <w:cantSplit w:val="0"/>
        </w:trPr>
        <w:tc>
          <w:tcPr>
            <w:tcW w:w="3253" w:type="dxa"/>
            <w:vAlign w:val="center"/>
          </w:tcPr>
          <w:p w14:paraId="45E0A6F4" w14:textId="77777777" w:rsidR="00BA4B04" w:rsidRPr="00BA4B04" w:rsidRDefault="00BA4B04" w:rsidP="007A4C05">
            <w:pPr>
              <w:keepNext/>
              <w:keepLines/>
              <w:numPr>
                <w:ilvl w:val="0"/>
                <w:numId w:val="9"/>
              </w:numPr>
              <w:tabs>
                <w:tab w:val="left" w:pos="540"/>
              </w:tabs>
              <w:spacing w:before="60" w:after="60" w:line="23" w:lineRule="atLeast"/>
              <w:ind w:left="0" w:firstLine="303"/>
              <w:rPr>
                <w:rFonts w:ascii="Times New Roman" w:eastAsia="Times New Roman" w:hAnsi="Times New Roman"/>
              </w:rPr>
            </w:pPr>
            <w:r w:rsidRPr="00BA4B04">
              <w:rPr>
                <w:rFonts w:ascii="Times New Roman" w:eastAsia="Times New Roman" w:hAnsi="Times New Roman"/>
              </w:rPr>
              <w:t>Partial response rate</w:t>
            </w:r>
          </w:p>
        </w:tc>
        <w:tc>
          <w:tcPr>
            <w:tcW w:w="1920" w:type="dxa"/>
          </w:tcPr>
          <w:p w14:paraId="5671B0C3"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30%</w:t>
            </w:r>
          </w:p>
        </w:tc>
        <w:tc>
          <w:tcPr>
            <w:tcW w:w="1920" w:type="dxa"/>
          </w:tcPr>
          <w:p w14:paraId="629705AD"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13%</w:t>
            </w:r>
          </w:p>
        </w:tc>
        <w:tc>
          <w:tcPr>
            <w:tcW w:w="1920" w:type="dxa"/>
          </w:tcPr>
          <w:p w14:paraId="56C199B5"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43%</w:t>
            </w:r>
          </w:p>
        </w:tc>
      </w:tr>
      <w:tr w:rsidR="00BA4B04" w:rsidRPr="00BA4B04" w14:paraId="799A1C9A" w14:textId="77777777" w:rsidTr="00130E1B">
        <w:trPr>
          <w:cantSplit w:val="0"/>
        </w:trPr>
        <w:tc>
          <w:tcPr>
            <w:tcW w:w="3253" w:type="dxa"/>
            <w:vAlign w:val="center"/>
          </w:tcPr>
          <w:p w14:paraId="1E8EC11D" w14:textId="77777777" w:rsidR="00BA4B04" w:rsidRPr="00BA4B04" w:rsidRDefault="00BA4B04" w:rsidP="007A4C05">
            <w:pPr>
              <w:keepNext/>
              <w:keepLines/>
              <w:numPr>
                <w:ilvl w:val="0"/>
                <w:numId w:val="9"/>
              </w:numPr>
              <w:tabs>
                <w:tab w:val="left" w:pos="540"/>
              </w:tabs>
              <w:spacing w:before="60" w:after="60" w:line="23" w:lineRule="atLeast"/>
              <w:ind w:left="0" w:firstLine="0"/>
              <w:rPr>
                <w:rFonts w:ascii="Times New Roman" w:eastAsia="Times New Roman" w:hAnsi="Times New Roman"/>
              </w:rPr>
            </w:pPr>
            <w:r w:rsidRPr="00BA4B04">
              <w:rPr>
                <w:rFonts w:ascii="Times New Roman" w:eastAsia="Times New Roman" w:hAnsi="Times New Roman"/>
              </w:rPr>
              <w:t>Median DOR, months (95% CI)</w:t>
            </w:r>
          </w:p>
        </w:tc>
        <w:tc>
          <w:tcPr>
            <w:tcW w:w="1920" w:type="dxa"/>
          </w:tcPr>
          <w:p w14:paraId="65932783"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5.1 (4.9, 6.4)</w:t>
            </w:r>
          </w:p>
        </w:tc>
        <w:tc>
          <w:tcPr>
            <w:tcW w:w="1920" w:type="dxa"/>
          </w:tcPr>
          <w:p w14:paraId="595FAC59"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4.8 (2.4, 5.3)</w:t>
            </w:r>
          </w:p>
        </w:tc>
        <w:tc>
          <w:tcPr>
            <w:tcW w:w="1920" w:type="dxa"/>
          </w:tcPr>
          <w:p w14:paraId="4663B16A"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5.3 (4.9, 7.0)</w:t>
            </w:r>
          </w:p>
        </w:tc>
      </w:tr>
      <w:tr w:rsidR="00BA4B04" w:rsidRPr="00BA4B04" w14:paraId="354D334D" w14:textId="77777777" w:rsidTr="00130E1B">
        <w:trPr>
          <w:cantSplit w:val="0"/>
        </w:trPr>
        <w:tc>
          <w:tcPr>
            <w:tcW w:w="3253" w:type="dxa"/>
            <w:vAlign w:val="center"/>
          </w:tcPr>
          <w:p w14:paraId="28482BC5" w14:textId="77777777" w:rsidR="00BA4B04" w:rsidRPr="00BA4B04" w:rsidRDefault="00BA4B04" w:rsidP="007A4C05">
            <w:pPr>
              <w:keepNext/>
              <w:keepLines/>
              <w:numPr>
                <w:ilvl w:val="0"/>
                <w:numId w:val="9"/>
              </w:numPr>
              <w:tabs>
                <w:tab w:val="left" w:pos="540"/>
              </w:tabs>
              <w:spacing w:before="60" w:after="60" w:line="23" w:lineRule="atLeast"/>
              <w:ind w:left="0" w:firstLine="303"/>
              <w:rPr>
                <w:rFonts w:ascii="Times New Roman" w:eastAsia="Times New Roman" w:hAnsi="Times New Roman"/>
              </w:rPr>
            </w:pPr>
            <w:r w:rsidRPr="00BA4B04">
              <w:rPr>
                <w:rFonts w:ascii="Times New Roman" w:eastAsia="Times New Roman" w:hAnsi="Times New Roman"/>
              </w:rPr>
              <w:t>% with DOR ≥6 months*</w:t>
            </w:r>
          </w:p>
        </w:tc>
        <w:tc>
          <w:tcPr>
            <w:tcW w:w="1920" w:type="dxa"/>
          </w:tcPr>
          <w:p w14:paraId="73C3E6BA"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25%</w:t>
            </w:r>
          </w:p>
        </w:tc>
        <w:tc>
          <w:tcPr>
            <w:tcW w:w="1920" w:type="dxa"/>
          </w:tcPr>
          <w:p w14:paraId="3D775652"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0%</w:t>
            </w:r>
          </w:p>
        </w:tc>
        <w:tc>
          <w:tcPr>
            <w:tcW w:w="1920" w:type="dxa"/>
          </w:tcPr>
          <w:p w14:paraId="26375F3B" w14:textId="77777777" w:rsidR="00BA4B04" w:rsidRPr="00BA4B04" w:rsidRDefault="00BA4B04" w:rsidP="007A4C05">
            <w:pPr>
              <w:keepNext/>
              <w:keepLines/>
              <w:numPr>
                <w:ilvl w:val="0"/>
                <w:numId w:val="9"/>
              </w:numPr>
              <w:tabs>
                <w:tab w:val="left" w:pos="540"/>
              </w:tabs>
              <w:spacing w:before="60" w:after="60" w:line="23" w:lineRule="atLeast"/>
              <w:ind w:left="0" w:firstLine="0"/>
              <w:jc w:val="center"/>
              <w:rPr>
                <w:rFonts w:ascii="Times New Roman" w:eastAsia="Times New Roman" w:hAnsi="Times New Roman"/>
              </w:rPr>
            </w:pPr>
            <w:r w:rsidRPr="00BA4B04">
              <w:rPr>
                <w:rFonts w:ascii="Times New Roman" w:eastAsia="Times New Roman" w:hAnsi="Times New Roman"/>
              </w:rPr>
              <w:t>31%</w:t>
            </w:r>
          </w:p>
        </w:tc>
      </w:tr>
    </w:tbl>
    <w:p w14:paraId="6DB5D4C8" w14:textId="77777777" w:rsidR="00BA4B04" w:rsidRPr="00BA4B04" w:rsidRDefault="00BA4B04" w:rsidP="00BA4B04">
      <w:pPr>
        <w:keepNext/>
        <w:keepLines/>
        <w:tabs>
          <w:tab w:val="left" w:pos="0"/>
        </w:tabs>
        <w:spacing w:before="0" w:after="0" w:line="23" w:lineRule="atLeast"/>
        <w:rPr>
          <w:rFonts w:ascii="Times New Roman" w:eastAsia="Times New Roman" w:hAnsi="Times New Roman"/>
          <w:sz w:val="16"/>
          <w:szCs w:val="20"/>
        </w:rPr>
      </w:pPr>
      <w:r w:rsidRPr="00BA4B04">
        <w:rPr>
          <w:rFonts w:ascii="Times New Roman" w:eastAsia="Times New Roman" w:hAnsi="Times New Roman"/>
          <w:sz w:val="16"/>
          <w:szCs w:val="20"/>
        </w:rPr>
        <w:t>CI: confidence interval, CTFI: chemotherapy-free interval, DOR: duration of response, IRC: Independent Review Committee, ORR: (confirmed) overall response rate</w:t>
      </w:r>
    </w:p>
    <w:p w14:paraId="73B0E541" w14:textId="77777777" w:rsidR="00BA4B04" w:rsidRPr="00BA4B04" w:rsidRDefault="00BA4B04" w:rsidP="00BA4B04">
      <w:pPr>
        <w:keepNext/>
        <w:keepLines/>
        <w:spacing w:line="23" w:lineRule="atLeast"/>
        <w:ind w:left="1080" w:hanging="1080"/>
        <w:rPr>
          <w:rFonts w:ascii="Times New Roman" w:eastAsia="Times New Roman" w:hAnsi="Times New Roman"/>
          <w:b/>
          <w:bCs/>
        </w:rPr>
      </w:pPr>
      <w:r w:rsidRPr="00BA4B04">
        <w:rPr>
          <w:rFonts w:ascii="Times New Roman" w:eastAsia="Times New Roman" w:hAnsi="Times New Roman"/>
          <w:sz w:val="16"/>
          <w:szCs w:val="20"/>
          <w:lang w:val="en-US"/>
        </w:rPr>
        <w:t>* Based on observed duration of response.</w:t>
      </w:r>
    </w:p>
    <w:p w14:paraId="6457DE54" w14:textId="77777777" w:rsidR="00BA4B04" w:rsidRPr="00BA4B04" w:rsidRDefault="00BA4B04" w:rsidP="00BA4B04">
      <w:pPr>
        <w:spacing w:line="240" w:lineRule="auto"/>
        <w:rPr>
          <w:rFonts w:ascii="Times New Roman" w:eastAsia="Times New Roman" w:hAnsi="Times New Roman"/>
        </w:rPr>
      </w:pPr>
    </w:p>
    <w:p w14:paraId="19F93620" w14:textId="77777777" w:rsidR="00BA4B04" w:rsidRPr="00BA4B04" w:rsidRDefault="00BA4B04" w:rsidP="00BA4B04">
      <w:pPr>
        <w:keepNext/>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Pharmacokinetic properties</w:t>
      </w:r>
    </w:p>
    <w:p w14:paraId="089E3BE6"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After a 3.2 mg/m</w:t>
      </w:r>
      <w:r w:rsidRPr="00BA4B04">
        <w:rPr>
          <w:rFonts w:ascii="Times New Roman" w:eastAsia="Times New Roman" w:hAnsi="Times New Roman"/>
          <w:vertAlign w:val="superscript"/>
        </w:rPr>
        <w:t>2</w:t>
      </w:r>
      <w:r w:rsidRPr="00BA4B04">
        <w:rPr>
          <w:rFonts w:ascii="Times New Roman" w:eastAsia="Times New Roman" w:hAnsi="Times New Roman"/>
        </w:rPr>
        <w:t xml:space="preserve"> lurbinectedin dose administered as a 1-hour IV infusion, geometric means (CV%) of total plasma C</w:t>
      </w:r>
      <w:r w:rsidRPr="00BA4B04">
        <w:rPr>
          <w:rFonts w:ascii="Times New Roman" w:eastAsia="Times New Roman" w:hAnsi="Times New Roman"/>
          <w:vertAlign w:val="subscript"/>
        </w:rPr>
        <w:t>max</w:t>
      </w:r>
      <w:r w:rsidRPr="00BA4B04">
        <w:rPr>
          <w:rFonts w:ascii="Times New Roman" w:eastAsia="Times New Roman" w:hAnsi="Times New Roman"/>
        </w:rPr>
        <w:t xml:space="preserve"> and AUC</w:t>
      </w:r>
      <w:r w:rsidRPr="00BA4B04">
        <w:rPr>
          <w:rFonts w:ascii="Times New Roman" w:eastAsia="Times New Roman" w:hAnsi="Times New Roman"/>
          <w:vertAlign w:val="subscript"/>
        </w:rPr>
        <w:t>0-inf</w:t>
      </w:r>
      <w:r w:rsidRPr="00BA4B04">
        <w:rPr>
          <w:rFonts w:ascii="Times New Roman" w:eastAsia="Times New Roman" w:hAnsi="Times New Roman"/>
        </w:rPr>
        <w:t xml:space="preserve"> were 107 µg/L (79%) and 551 µ</w:t>
      </w:r>
      <w:proofErr w:type="spellStart"/>
      <w:r w:rsidRPr="00BA4B04">
        <w:rPr>
          <w:rFonts w:ascii="Times New Roman" w:eastAsia="Times New Roman" w:hAnsi="Times New Roman"/>
        </w:rPr>
        <w:t>g∙h</w:t>
      </w:r>
      <w:proofErr w:type="spellEnd"/>
      <w:r w:rsidRPr="00BA4B04">
        <w:rPr>
          <w:rFonts w:ascii="Times New Roman" w:eastAsia="Times New Roman" w:hAnsi="Times New Roman"/>
        </w:rPr>
        <w:t>/L (94%), respectively. No accumulation of lurbinectedin in plasma is observed upon repeated administrations every 3 weeks.</w:t>
      </w:r>
    </w:p>
    <w:p w14:paraId="396CAAF7"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Cs/>
        </w:rPr>
      </w:pPr>
      <w:r w:rsidRPr="00BA4B04">
        <w:rPr>
          <w:rFonts w:ascii="Times New Roman" w:eastAsia="Times New Roman" w:hAnsi="Times New Roman"/>
          <w:b/>
          <w:bCs/>
        </w:rPr>
        <w:lastRenderedPageBreak/>
        <w:t>Distribution</w:t>
      </w:r>
    </w:p>
    <w:p w14:paraId="18E7995A"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The volume of distribution (CV%) of lurbinectedin at steady state is 504 L (39%). Plasma protein binding is approximately 99%, to both albumin and α-1-acid glycoprotein.</w:t>
      </w:r>
    </w:p>
    <w:p w14:paraId="07F2E073"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Cs/>
        </w:rPr>
      </w:pPr>
      <w:r w:rsidRPr="00BA4B04">
        <w:rPr>
          <w:rFonts w:ascii="Times New Roman" w:eastAsia="Times New Roman" w:hAnsi="Times New Roman"/>
          <w:b/>
          <w:bCs/>
        </w:rPr>
        <w:t>Metabolism</w:t>
      </w:r>
    </w:p>
    <w:p w14:paraId="0B994B96"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iCs/>
        </w:rPr>
        <w:t>Lurbinectedin</w:t>
      </w:r>
      <w:r w:rsidRPr="00BA4B04">
        <w:rPr>
          <w:rFonts w:ascii="Times New Roman" w:eastAsia="Times New Roman" w:hAnsi="Times New Roman"/>
          <w:i/>
        </w:rPr>
        <w:t xml:space="preserve"> </w:t>
      </w:r>
      <w:r w:rsidRPr="00BA4B04">
        <w:rPr>
          <w:rFonts w:ascii="Times New Roman" w:eastAsia="Times New Roman" w:hAnsi="Times New Roman"/>
          <w:iCs/>
        </w:rPr>
        <w:t xml:space="preserve">is metabolised by CYP3A4 </w:t>
      </w:r>
      <w:r w:rsidRPr="00BA4B04">
        <w:rPr>
          <w:rFonts w:ascii="Times New Roman" w:eastAsia="Times New Roman" w:hAnsi="Times New Roman"/>
          <w:i/>
        </w:rPr>
        <w:t>in vitro.</w:t>
      </w:r>
      <w:r w:rsidRPr="00BA4B04">
        <w:rPr>
          <w:rFonts w:ascii="Times New Roman" w:eastAsia="Times New Roman" w:hAnsi="Times New Roman"/>
        </w:rPr>
        <w:t xml:space="preserve"> </w:t>
      </w:r>
    </w:p>
    <w:p w14:paraId="12F568A0"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Cs/>
        </w:rPr>
      </w:pPr>
      <w:r w:rsidRPr="00BA4B04">
        <w:rPr>
          <w:rFonts w:ascii="Times New Roman" w:eastAsia="Times New Roman" w:hAnsi="Times New Roman"/>
          <w:b/>
          <w:bCs/>
        </w:rPr>
        <w:t>Excretion</w:t>
      </w:r>
    </w:p>
    <w:p w14:paraId="6BBB7F44"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The terminal half-life of lurbinectedin is 51 hours. Total plasma clearance (CV%) of lurbinectedin is 11 L/h (50%). </w:t>
      </w:r>
    </w:p>
    <w:p w14:paraId="130E35F0"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lang w:val="en-US"/>
        </w:rPr>
        <w:t xml:space="preserve">After administration of a single dose of radiolabeled lurbinectedin, </w:t>
      </w:r>
      <w:r w:rsidRPr="00BA4B04">
        <w:rPr>
          <w:rFonts w:ascii="Times New Roman" w:eastAsia="Times New Roman" w:hAnsi="Times New Roman"/>
        </w:rPr>
        <w:t xml:space="preserve">89% of the radioactivity was recovered in faeces (&lt;0.2% unchanged) and 6% was recovered in urine (1% unchanged). </w:t>
      </w:r>
    </w:p>
    <w:p w14:paraId="2337F0C3"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Drug interaction studies</w:t>
      </w:r>
    </w:p>
    <w:p w14:paraId="341C21A3"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Lurbinectedin is metabolised by CYP3A4 </w:t>
      </w:r>
      <w:r w:rsidRPr="00BA4B04">
        <w:rPr>
          <w:rFonts w:ascii="Times New Roman" w:eastAsia="Times New Roman" w:hAnsi="Times New Roman"/>
          <w:i/>
          <w:iCs/>
        </w:rPr>
        <w:t>in vitro</w:t>
      </w:r>
      <w:r w:rsidRPr="00BA4B04">
        <w:rPr>
          <w:rFonts w:ascii="Times New Roman" w:eastAsia="Times New Roman" w:hAnsi="Times New Roman"/>
        </w:rPr>
        <w:t xml:space="preserve">, and interactions with strong and moderate CYP3A inhibitors and inducers are anticipated. Dedicated clinical drug-drug interaction studies with CYP3A modulators have not been completed. </w:t>
      </w:r>
    </w:p>
    <w:p w14:paraId="364337EB"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In a Phase 1 study with lurbinectedin, patients who received </w:t>
      </w:r>
      <w:proofErr w:type="spellStart"/>
      <w:r w:rsidRPr="00BA4B04">
        <w:rPr>
          <w:rFonts w:ascii="Times New Roman" w:eastAsia="Times New Roman" w:hAnsi="Times New Roman"/>
        </w:rPr>
        <w:t>aprepitant</w:t>
      </w:r>
      <w:proofErr w:type="spellEnd"/>
      <w:r w:rsidRPr="00BA4B04">
        <w:rPr>
          <w:rFonts w:ascii="Times New Roman" w:eastAsia="Times New Roman" w:hAnsi="Times New Roman"/>
        </w:rPr>
        <w:t xml:space="preserve"> (a weak-moderate CYP3A4 inhibitor used as an antiemetic) showed a 33% reduction of lurbinectedin plasma clearance when compared with patients who did not receive it.  </w:t>
      </w:r>
    </w:p>
    <w:p w14:paraId="4BC4F3B5" w14:textId="77777777" w:rsidR="00BA4B04" w:rsidRPr="00BA4B04" w:rsidRDefault="00BA4B04" w:rsidP="00BA4B04">
      <w:pPr>
        <w:spacing w:line="23" w:lineRule="atLeast"/>
        <w:rPr>
          <w:rFonts w:ascii="Times New Roman" w:eastAsia="Times New Roman" w:hAnsi="Times New Roman"/>
          <w:u w:val="single"/>
        </w:rPr>
      </w:pPr>
      <w:r w:rsidRPr="00BA4B04">
        <w:rPr>
          <w:rFonts w:ascii="Times New Roman" w:eastAsia="Times New Roman" w:hAnsi="Times New Roman"/>
          <w:u w:val="single"/>
        </w:rPr>
        <w:t>In vitro data</w:t>
      </w:r>
    </w:p>
    <w:p w14:paraId="5DC64F94"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Cytochrome P450 (CYP) enzymes:</w:t>
      </w:r>
    </w:p>
    <w:p w14:paraId="1BE7BF07" w14:textId="77777777" w:rsidR="00BA4B04" w:rsidRPr="00BA4B04" w:rsidRDefault="00BA4B04" w:rsidP="007A4C05">
      <w:pPr>
        <w:numPr>
          <w:ilvl w:val="0"/>
          <w:numId w:val="15"/>
        </w:numPr>
        <w:spacing w:before="0" w:after="200" w:line="23" w:lineRule="atLeast"/>
        <w:rPr>
          <w:rFonts w:ascii="Times New Roman" w:eastAsia="Times New Roman" w:hAnsi="Times New Roman"/>
        </w:rPr>
      </w:pPr>
      <w:bookmarkStart w:id="107" w:name="_Hlk80017614"/>
      <w:r w:rsidRPr="00BA4B04">
        <w:rPr>
          <w:rFonts w:ascii="Times New Roman" w:eastAsia="Times New Roman" w:hAnsi="Times New Roman"/>
        </w:rPr>
        <w:t xml:space="preserve">Lurbinectedin is metabolised by CYP3A4. </w:t>
      </w:r>
    </w:p>
    <w:bookmarkEnd w:id="107"/>
    <w:p w14:paraId="2498365A" w14:textId="77777777" w:rsidR="00BA4B04" w:rsidRPr="00BA4B04" w:rsidRDefault="00BA4B04" w:rsidP="007A4C05">
      <w:pPr>
        <w:numPr>
          <w:ilvl w:val="0"/>
          <w:numId w:val="15"/>
        </w:numPr>
        <w:spacing w:before="0" w:after="200" w:line="23" w:lineRule="atLeast"/>
        <w:rPr>
          <w:rFonts w:ascii="Times New Roman" w:eastAsia="Times New Roman" w:hAnsi="Times New Roman"/>
        </w:rPr>
      </w:pPr>
      <w:r w:rsidRPr="00BA4B04">
        <w:rPr>
          <w:rFonts w:ascii="Times New Roman" w:eastAsia="Times New Roman" w:hAnsi="Times New Roman"/>
        </w:rPr>
        <w:t xml:space="preserve">At clinically relevant concentrations, lurbinectedin is not an inhibitor of CYP1A2, CYP2B6, CYP2C8, CYP2C9, CYP2C19, CYP2D6, CYP2E1, or CYP3A4.  </w:t>
      </w:r>
    </w:p>
    <w:p w14:paraId="7E69E71E" w14:textId="77777777" w:rsidR="00BA4B04" w:rsidRPr="00BA4B04" w:rsidRDefault="00BA4B04" w:rsidP="007A4C05">
      <w:pPr>
        <w:numPr>
          <w:ilvl w:val="0"/>
          <w:numId w:val="15"/>
        </w:numPr>
        <w:spacing w:before="0" w:after="200" w:line="23" w:lineRule="atLeast"/>
        <w:rPr>
          <w:rFonts w:ascii="Times New Roman" w:eastAsia="Times New Roman" w:hAnsi="Times New Roman"/>
        </w:rPr>
      </w:pPr>
      <w:r w:rsidRPr="00BA4B04">
        <w:rPr>
          <w:rFonts w:ascii="Times New Roman" w:eastAsia="Times New Roman" w:hAnsi="Times New Roman"/>
        </w:rPr>
        <w:t>Lurbinectedin is not an inducer of CYP1A2 or CYP3A4.</w:t>
      </w:r>
    </w:p>
    <w:p w14:paraId="3FD47497" w14:textId="77777777" w:rsidR="00BA4B04" w:rsidRPr="00BA4B04" w:rsidRDefault="00BA4B04" w:rsidP="00BA4B04">
      <w:pPr>
        <w:spacing w:line="23" w:lineRule="atLeast"/>
        <w:rPr>
          <w:rFonts w:ascii="Times New Roman" w:eastAsia="Times New Roman" w:hAnsi="Times New Roman"/>
          <w:u w:val="single"/>
        </w:rPr>
      </w:pPr>
      <w:r w:rsidRPr="00BA4B04">
        <w:rPr>
          <w:rFonts w:ascii="Times New Roman" w:eastAsia="Times New Roman" w:hAnsi="Times New Roman"/>
        </w:rPr>
        <w:t>Transporter systems:</w:t>
      </w:r>
      <w:r w:rsidRPr="00BA4B04">
        <w:rPr>
          <w:rFonts w:ascii="Times New Roman" w:eastAsia="Times New Roman" w:hAnsi="Times New Roman"/>
          <w:u w:val="single"/>
        </w:rPr>
        <w:t xml:space="preserve"> </w:t>
      </w:r>
    </w:p>
    <w:p w14:paraId="5489A716" w14:textId="77777777" w:rsidR="00BA4B04" w:rsidRPr="00BA4B04" w:rsidRDefault="00BA4B04" w:rsidP="007A4C05">
      <w:pPr>
        <w:numPr>
          <w:ilvl w:val="0"/>
          <w:numId w:val="16"/>
        </w:numPr>
        <w:spacing w:before="0" w:after="200" w:line="23" w:lineRule="atLeast"/>
        <w:rPr>
          <w:rFonts w:ascii="Times New Roman" w:eastAsia="Times New Roman" w:hAnsi="Times New Roman"/>
        </w:rPr>
      </w:pPr>
      <w:r w:rsidRPr="00BA4B04">
        <w:rPr>
          <w:rFonts w:ascii="Times New Roman" w:eastAsia="Times New Roman" w:hAnsi="Times New Roman"/>
        </w:rPr>
        <w:t>Lurbinectedin is a substrate of MDR1 (P-</w:t>
      </w:r>
      <w:proofErr w:type="spellStart"/>
      <w:r w:rsidRPr="00BA4B04">
        <w:rPr>
          <w:rFonts w:ascii="Times New Roman" w:eastAsia="Times New Roman" w:hAnsi="Times New Roman"/>
        </w:rPr>
        <w:t>gp</w:t>
      </w:r>
      <w:proofErr w:type="spellEnd"/>
      <w:r w:rsidRPr="00BA4B04">
        <w:rPr>
          <w:rFonts w:ascii="Times New Roman" w:eastAsia="Times New Roman" w:hAnsi="Times New Roman"/>
        </w:rPr>
        <w:t xml:space="preserve">), but is not a substrate of OATB1P1, OATP1B3, OCT1, or MATE1. </w:t>
      </w:r>
    </w:p>
    <w:p w14:paraId="3FDBD5DA" w14:textId="77777777" w:rsidR="00BA4B04" w:rsidRPr="00BA4B04" w:rsidRDefault="00BA4B04" w:rsidP="007A4C05">
      <w:pPr>
        <w:numPr>
          <w:ilvl w:val="0"/>
          <w:numId w:val="16"/>
        </w:numPr>
        <w:spacing w:before="0" w:after="200" w:line="23" w:lineRule="atLeast"/>
        <w:rPr>
          <w:rFonts w:ascii="Times New Roman" w:eastAsia="Times New Roman" w:hAnsi="Times New Roman"/>
          <w:sz w:val="24"/>
          <w:szCs w:val="20"/>
          <w:lang w:val="en-US"/>
        </w:rPr>
      </w:pPr>
      <w:r w:rsidRPr="00BA4B04">
        <w:rPr>
          <w:rFonts w:ascii="Times New Roman" w:eastAsia="Times New Roman" w:hAnsi="Times New Roman"/>
        </w:rPr>
        <w:t>Lurbinectedin inhibits MDR1 (P-</w:t>
      </w:r>
      <w:proofErr w:type="spellStart"/>
      <w:r w:rsidRPr="00BA4B04">
        <w:rPr>
          <w:rFonts w:ascii="Times New Roman" w:eastAsia="Times New Roman" w:hAnsi="Times New Roman"/>
        </w:rPr>
        <w:t>gp</w:t>
      </w:r>
      <w:proofErr w:type="spellEnd"/>
      <w:r w:rsidRPr="00BA4B04">
        <w:rPr>
          <w:rFonts w:ascii="Times New Roman" w:eastAsia="Times New Roman" w:hAnsi="Times New Roman"/>
        </w:rPr>
        <w:t>), OATP1B1, OATP1B3, and OCT1 but not BCRP, BSEP, MATE1, OAT1, OAT3, or OCT2.</w:t>
      </w:r>
    </w:p>
    <w:p w14:paraId="6FA7E462" w14:textId="77777777" w:rsidR="00BA4B04" w:rsidRPr="00BA4B04" w:rsidRDefault="00BA4B04" w:rsidP="00BA4B04">
      <w:pPr>
        <w:keepNext/>
        <w:keepLines/>
        <w:spacing w:before="200" w:after="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Pharmacokinetics in specific populations</w:t>
      </w:r>
    </w:p>
    <w:p w14:paraId="16F17BCA"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No clinically significant differences in the pharmacokinetics of lurbinectedin were identified based </w:t>
      </w:r>
      <w:proofErr w:type="gramStart"/>
      <w:r w:rsidRPr="00BA4B04">
        <w:rPr>
          <w:rFonts w:ascii="Times New Roman" w:eastAsia="Times New Roman" w:hAnsi="Times New Roman"/>
        </w:rPr>
        <w:t>on</w:t>
      </w:r>
      <w:r w:rsidRPr="00BA4B04" w:rsidDel="006D5E3C">
        <w:rPr>
          <w:rFonts w:ascii="Times New Roman" w:eastAsia="Times New Roman" w:hAnsi="Times New Roman"/>
        </w:rPr>
        <w:t xml:space="preserve"> </w:t>
      </w:r>
      <w:r w:rsidRPr="00BA4B04">
        <w:rPr>
          <w:rFonts w:ascii="Times New Roman" w:eastAsia="Times New Roman" w:hAnsi="Times New Roman"/>
        </w:rPr>
        <w:t xml:space="preserve"> age</w:t>
      </w:r>
      <w:proofErr w:type="gramEnd"/>
      <w:r w:rsidRPr="00BA4B04">
        <w:rPr>
          <w:rFonts w:ascii="Times New Roman" w:eastAsia="Times New Roman" w:hAnsi="Times New Roman"/>
        </w:rPr>
        <w:t xml:space="preserve"> (range: 18-85 years), sex, body weight (range: 39-154 kg), mild to moderate renal impairment (CL</w:t>
      </w:r>
      <w:r w:rsidRPr="00BA4B04">
        <w:rPr>
          <w:rFonts w:ascii="Times New Roman" w:eastAsia="Times New Roman" w:hAnsi="Times New Roman"/>
          <w:vertAlign w:val="subscript"/>
        </w:rPr>
        <w:t>CR</w:t>
      </w:r>
      <w:r w:rsidRPr="00BA4B04">
        <w:rPr>
          <w:rFonts w:ascii="Times New Roman" w:eastAsia="Times New Roman" w:hAnsi="Times New Roman"/>
        </w:rPr>
        <w:t xml:space="preserve"> 30 to 89 mL/min) or mild hepatic impairment (total bilirubin ≤ULN and AST &gt;ULN, or total bilirubin between 1.0</w:t>
      </w:r>
      <w:r w:rsidRPr="00BA4B04">
        <w:rPr>
          <w:rFonts w:ascii="Times New Roman" w:eastAsia="Times New Roman" w:hAnsi="Times New Roman"/>
        </w:rPr>
        <w:noBreakHyphen/>
        <w:t>1.5×ULN and any AST). The effects of severe renal impairment (</w:t>
      </w:r>
      <w:proofErr w:type="spellStart"/>
      <w:r w:rsidRPr="00BA4B04">
        <w:rPr>
          <w:rFonts w:ascii="Times New Roman" w:eastAsia="Times New Roman" w:hAnsi="Times New Roman"/>
        </w:rPr>
        <w:t>CLcr</w:t>
      </w:r>
      <w:proofErr w:type="spellEnd"/>
      <w:r w:rsidRPr="00BA4B04">
        <w:rPr>
          <w:rFonts w:ascii="Times New Roman" w:eastAsia="Times New Roman" w:hAnsi="Times New Roman"/>
        </w:rPr>
        <w:t xml:space="preserve"> &lt; 30 mL/min) and moderate or severe hepatic impairment (total bilirubin &gt; 1.5 × ULN and any AST) on the pharmacokinetics of lurbinectedin have not been studied.</w:t>
      </w:r>
    </w:p>
    <w:p w14:paraId="5DA2EA8F" w14:textId="77777777" w:rsidR="00C667D2" w:rsidRDefault="00C667D2" w:rsidP="00BA4B04">
      <w:pPr>
        <w:numPr>
          <w:ilvl w:val="1"/>
          <w:numId w:val="0"/>
        </w:numPr>
        <w:spacing w:before="0" w:line="276" w:lineRule="auto"/>
        <w:ind w:left="578" w:hanging="578"/>
        <w:outlineLvl w:val="1"/>
        <w:rPr>
          <w:rFonts w:ascii="Times New Roman" w:eastAsia="Calibri" w:hAnsi="Times New Roman"/>
          <w:b/>
          <w:smallCaps/>
          <w:sz w:val="24"/>
        </w:rPr>
      </w:pPr>
    </w:p>
    <w:p w14:paraId="6F3EF744" w14:textId="77777777" w:rsidR="00C667D2" w:rsidRDefault="00C667D2" w:rsidP="00BA4B04">
      <w:pPr>
        <w:numPr>
          <w:ilvl w:val="1"/>
          <w:numId w:val="0"/>
        </w:numPr>
        <w:spacing w:before="0" w:line="276" w:lineRule="auto"/>
        <w:ind w:left="578" w:hanging="578"/>
        <w:outlineLvl w:val="1"/>
        <w:rPr>
          <w:rFonts w:ascii="Times New Roman" w:eastAsia="Calibri" w:hAnsi="Times New Roman"/>
          <w:b/>
          <w:smallCaps/>
          <w:sz w:val="24"/>
        </w:rPr>
      </w:pPr>
    </w:p>
    <w:p w14:paraId="4926B558" w14:textId="4E0D4C8F"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lastRenderedPageBreak/>
        <w:t>Preclinical safety data</w:t>
      </w:r>
    </w:p>
    <w:p w14:paraId="6D07DD50"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 xml:space="preserve">Genotoxicity </w:t>
      </w:r>
    </w:p>
    <w:p w14:paraId="61C238ED"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 xml:space="preserve">Lurbinectedin is genotoxic to mammalian cells in the presence and absence of metabolic </w:t>
      </w:r>
      <w:proofErr w:type="gramStart"/>
      <w:r w:rsidRPr="00BA4B04">
        <w:rPr>
          <w:rFonts w:ascii="Times New Roman" w:eastAsia="Times New Roman" w:hAnsi="Times New Roman"/>
        </w:rPr>
        <w:t>activation, and</w:t>
      </w:r>
      <w:proofErr w:type="gramEnd"/>
      <w:r w:rsidRPr="00BA4B04">
        <w:rPr>
          <w:rFonts w:ascii="Times New Roman" w:eastAsia="Times New Roman" w:hAnsi="Times New Roman"/>
        </w:rPr>
        <w:t xml:space="preserve"> was positive in the mouse lymphoma cell assay. Lurbinectedin was not mutagenic </w:t>
      </w:r>
      <w:r w:rsidRPr="00BA4B04">
        <w:rPr>
          <w:rFonts w:ascii="Times New Roman" w:eastAsia="Times New Roman" w:hAnsi="Times New Roman"/>
          <w:i/>
          <w:iCs/>
        </w:rPr>
        <w:t>in vitro</w:t>
      </w:r>
      <w:r w:rsidRPr="00BA4B04">
        <w:rPr>
          <w:rFonts w:ascii="Times New Roman" w:eastAsia="Times New Roman" w:hAnsi="Times New Roman"/>
        </w:rPr>
        <w:t xml:space="preserve"> in a bacterial reverse mutation (Ames) assay.</w:t>
      </w:r>
    </w:p>
    <w:p w14:paraId="730EC778"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Carcinogenicity</w:t>
      </w:r>
    </w:p>
    <w:p w14:paraId="19072B9A"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Carcinogenicity testing of lurbinectedin</w:t>
      </w:r>
      <w:r w:rsidRPr="00BA4B04">
        <w:rPr>
          <w:rFonts w:ascii="Times New Roman" w:eastAsia="Calibri" w:hAnsi="Times New Roman"/>
          <w:vertAlign w:val="superscript"/>
        </w:rPr>
        <w:t xml:space="preserve"> </w:t>
      </w:r>
      <w:r w:rsidRPr="00BA4B04">
        <w:rPr>
          <w:rFonts w:ascii="Times New Roman" w:eastAsia="Calibri" w:hAnsi="Times New Roman"/>
        </w:rPr>
        <w:t>has not been performed.</w:t>
      </w:r>
    </w:p>
    <w:p w14:paraId="432060BA" w14:textId="77777777" w:rsidR="00BA4B04" w:rsidRPr="00BA4B04" w:rsidRDefault="00BA4B04" w:rsidP="00BA4B04">
      <w:pPr>
        <w:keepNext/>
        <w:keepLines/>
        <w:spacing w:before="0" w:line="276" w:lineRule="auto"/>
        <w:ind w:left="432" w:hanging="432"/>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t>Pharmaceutical particulars</w:t>
      </w:r>
    </w:p>
    <w:p w14:paraId="4C2B98BC"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List of excipients </w:t>
      </w:r>
    </w:p>
    <w:p w14:paraId="3F8F43FB"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(S)-lactic acid</w:t>
      </w:r>
    </w:p>
    <w:p w14:paraId="762FCC4C"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Sucrose</w:t>
      </w:r>
    </w:p>
    <w:p w14:paraId="22BD70D4"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Sodium Hydroxide</w:t>
      </w:r>
    </w:p>
    <w:p w14:paraId="589E3A2C" w14:textId="77777777" w:rsidR="00BA4B04" w:rsidRPr="00BA4B04" w:rsidRDefault="00BA4B04" w:rsidP="00BA4B04">
      <w:pPr>
        <w:keepNext/>
        <w:keepLines/>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Incompatibilities </w:t>
      </w:r>
    </w:p>
    <w:p w14:paraId="492A9CED"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ZEPZELCA must not be mixed or diluted with other medicinal products except those mentioned in Section 4.2.</w:t>
      </w:r>
    </w:p>
    <w:p w14:paraId="02D2FC01"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Shelf life </w:t>
      </w:r>
    </w:p>
    <w:p w14:paraId="731A65E9" w14:textId="77777777" w:rsidR="00BA4B04" w:rsidRPr="00BA4B04" w:rsidRDefault="00BA4B04" w:rsidP="00BA4B04">
      <w:pPr>
        <w:spacing w:before="0" w:after="200" w:line="240" w:lineRule="auto"/>
        <w:ind w:left="1985" w:hanging="1985"/>
        <w:rPr>
          <w:rFonts w:ascii="Times New Roman" w:eastAsia="Calibri" w:hAnsi="Times New Roman"/>
        </w:rPr>
      </w:pPr>
      <w:r w:rsidRPr="00BA4B04">
        <w:rPr>
          <w:rFonts w:ascii="Times New Roman" w:eastAsia="Calibri" w:hAnsi="Times New Roman"/>
          <w:u w:val="single"/>
        </w:rPr>
        <w:t>Unopened vials:</w:t>
      </w:r>
      <w:r w:rsidRPr="00BA4B04">
        <w:rPr>
          <w:rFonts w:ascii="Times New Roman" w:eastAsia="Calibri" w:hAnsi="Times New Roman"/>
        </w:rPr>
        <w:t xml:space="preserve"> 60 months [see </w:t>
      </w:r>
      <w:r w:rsidRPr="00BA4B04">
        <w:rPr>
          <w:rFonts w:ascii="Times New Roman" w:eastAsia="Calibri" w:hAnsi="Times New Roman"/>
          <w:i/>
          <w:iCs/>
        </w:rPr>
        <w:t>6.4 Special precautions for storage</w:t>
      </w:r>
      <w:r w:rsidRPr="00BA4B04">
        <w:rPr>
          <w:rFonts w:ascii="Times New Roman" w:eastAsia="Calibri" w:hAnsi="Times New Roman"/>
        </w:rPr>
        <w:t>].</w:t>
      </w:r>
    </w:p>
    <w:p w14:paraId="56C49AA6" w14:textId="77777777" w:rsidR="00BA4B04" w:rsidRPr="00BA4B04" w:rsidRDefault="00BA4B04" w:rsidP="00BA4B04">
      <w:pPr>
        <w:spacing w:before="0" w:after="200" w:line="240" w:lineRule="auto"/>
        <w:rPr>
          <w:rFonts w:ascii="Times New Roman" w:eastAsia="Calibri" w:hAnsi="Times New Roman"/>
        </w:rPr>
      </w:pPr>
      <w:r w:rsidRPr="00BA4B04">
        <w:rPr>
          <w:rFonts w:ascii="Times New Roman" w:eastAsia="Calibri" w:hAnsi="Times New Roman"/>
          <w:u w:val="single"/>
        </w:rPr>
        <w:t>After reconstitution or dilution:</w:t>
      </w:r>
      <w:r w:rsidRPr="00BA4B04">
        <w:rPr>
          <w:rFonts w:ascii="Times New Roman" w:eastAsia="Calibri" w:hAnsi="Times New Roman"/>
        </w:rPr>
        <w:t xml:space="preserve"> 24 hours, including infusion time. Use immediately if possible [see </w:t>
      </w:r>
      <w:r w:rsidRPr="00BA4B04">
        <w:rPr>
          <w:rFonts w:ascii="Times New Roman" w:eastAsia="Calibri" w:hAnsi="Times New Roman"/>
          <w:i/>
          <w:iCs/>
        </w:rPr>
        <w:t>6.4 Special precautions for storage</w:t>
      </w:r>
      <w:r w:rsidRPr="00BA4B04">
        <w:rPr>
          <w:rFonts w:ascii="Times New Roman" w:eastAsia="Calibri" w:hAnsi="Times New Roman"/>
        </w:rPr>
        <w:t>].</w:t>
      </w:r>
    </w:p>
    <w:p w14:paraId="4F6DBE93"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Times New Roman" w:hAnsi="Times New Roman"/>
        </w:rPr>
        <w:t>In Australia, information on the shelf life can be found on the public summary of the Australian Register of Therapeutic Goods (ARTG). The expiry date can be found on the packaging</w:t>
      </w:r>
      <w:r w:rsidRPr="00BA4B04">
        <w:rPr>
          <w:rFonts w:ascii="Times New Roman" w:eastAsia="Calibri" w:hAnsi="Times New Roman"/>
        </w:rPr>
        <w:t xml:space="preserve">. </w:t>
      </w:r>
    </w:p>
    <w:p w14:paraId="4034F94D" w14:textId="77777777" w:rsidR="00BA4B04" w:rsidRPr="00BA4B04" w:rsidRDefault="00BA4B04" w:rsidP="00BA4B04">
      <w:pPr>
        <w:keepNext/>
        <w:keepLines/>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Special precautions for storage </w:t>
      </w:r>
    </w:p>
    <w:p w14:paraId="4B4CC807" w14:textId="77777777" w:rsidR="00BA4B04" w:rsidRPr="00BA4B04" w:rsidRDefault="00BA4B04" w:rsidP="00BA4B04">
      <w:pPr>
        <w:spacing w:before="0" w:after="200" w:line="23" w:lineRule="atLeast"/>
        <w:rPr>
          <w:rFonts w:ascii="Times New Roman" w:eastAsia="Times New Roman" w:hAnsi="Times New Roman"/>
          <w:lang w:val="en-US"/>
        </w:rPr>
      </w:pPr>
      <w:r w:rsidRPr="00BA4B04">
        <w:rPr>
          <w:rFonts w:ascii="Times New Roman" w:eastAsia="Times New Roman" w:hAnsi="Times New Roman"/>
          <w:u w:val="single"/>
        </w:rPr>
        <w:t>Unopened vials</w:t>
      </w:r>
      <w:r w:rsidRPr="00BA4B04">
        <w:rPr>
          <w:rFonts w:ascii="Times New Roman" w:eastAsia="Times New Roman" w:hAnsi="Times New Roman"/>
        </w:rPr>
        <w:t xml:space="preserve">: refrigerate (2° to 8°C). </w:t>
      </w:r>
      <w:r w:rsidRPr="00BA4B04">
        <w:rPr>
          <w:rFonts w:ascii="Times New Roman" w:eastAsia="Times New Roman" w:hAnsi="Times New Roman"/>
          <w:lang w:val="en-US"/>
        </w:rPr>
        <w:t>Refrigerate.  Do not freeze.</w:t>
      </w:r>
    </w:p>
    <w:p w14:paraId="5BA29234" w14:textId="77777777" w:rsidR="00BA4B04" w:rsidRPr="00BA4B04" w:rsidRDefault="00BA4B04" w:rsidP="00BA4B04">
      <w:pPr>
        <w:spacing w:before="0" w:after="200" w:line="23" w:lineRule="atLeast"/>
        <w:rPr>
          <w:rFonts w:ascii="Times New Roman" w:eastAsia="Times New Roman" w:hAnsi="Times New Roman"/>
        </w:rPr>
      </w:pPr>
      <w:r w:rsidRPr="00BA4B04">
        <w:rPr>
          <w:rFonts w:ascii="Times New Roman" w:eastAsia="Times New Roman" w:hAnsi="Times New Roman"/>
          <w:u w:val="single"/>
          <w:lang w:val="en-US"/>
        </w:rPr>
        <w:t>After reconstitution or dilution:</w:t>
      </w:r>
      <w:r w:rsidRPr="00BA4B04">
        <w:rPr>
          <w:rFonts w:ascii="Times New Roman" w:eastAsia="Times New Roman" w:hAnsi="Times New Roman"/>
          <w:lang w:val="en-US"/>
        </w:rPr>
        <w:t xml:space="preserve"> stable at room temperature with exposure to ambient light for up to 24 hours. However, microbiological hazard is minimized by immediate use, or </w:t>
      </w:r>
      <w:r w:rsidRPr="00BA4B04">
        <w:rPr>
          <w:rFonts w:ascii="Times New Roman" w:eastAsia="Times New Roman" w:hAnsi="Times New Roman"/>
        </w:rPr>
        <w:t xml:space="preserve">refrigeration (2° to 8°C) </w:t>
      </w:r>
      <w:r w:rsidRPr="00BA4B04">
        <w:rPr>
          <w:rFonts w:ascii="Times New Roman" w:eastAsia="Times New Roman" w:hAnsi="Times New Roman"/>
          <w:lang w:val="en-US"/>
        </w:rPr>
        <w:t>if storage is necessary. Do not store for longer than 24 hours, including infusion time. Do not freeze.</w:t>
      </w:r>
    </w:p>
    <w:p w14:paraId="06CFB0AE"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 xml:space="preserve">Nature and contents of container </w:t>
      </w:r>
    </w:p>
    <w:p w14:paraId="68B9CA3E"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ZEPZELCA (lurbinectedin) powder for solution for infusion is supplied as a sterile, preservative-free, lyophilised powder in a 30 mL clear glass vial. Each carton contains one single-dose vial.</w:t>
      </w:r>
    </w:p>
    <w:p w14:paraId="019B1434" w14:textId="77777777" w:rsidR="00C667D2" w:rsidRDefault="00C667D2" w:rsidP="00BA4B04">
      <w:pPr>
        <w:numPr>
          <w:ilvl w:val="1"/>
          <w:numId w:val="0"/>
        </w:numPr>
        <w:spacing w:before="240" w:after="200" w:line="276" w:lineRule="auto"/>
        <w:ind w:left="578" w:hanging="578"/>
        <w:outlineLvl w:val="1"/>
        <w:rPr>
          <w:rFonts w:ascii="Times New Roman" w:eastAsia="Calibri" w:hAnsi="Times New Roman"/>
          <w:b/>
          <w:smallCaps/>
          <w:sz w:val="24"/>
        </w:rPr>
      </w:pPr>
    </w:p>
    <w:p w14:paraId="267A1C56" w14:textId="77777777" w:rsidR="00C667D2" w:rsidRDefault="00C667D2" w:rsidP="00BA4B04">
      <w:pPr>
        <w:numPr>
          <w:ilvl w:val="1"/>
          <w:numId w:val="0"/>
        </w:numPr>
        <w:spacing w:before="240" w:after="200" w:line="276" w:lineRule="auto"/>
        <w:ind w:left="578" w:hanging="578"/>
        <w:outlineLvl w:val="1"/>
        <w:rPr>
          <w:rFonts w:ascii="Times New Roman" w:eastAsia="Calibri" w:hAnsi="Times New Roman"/>
          <w:b/>
          <w:smallCaps/>
          <w:sz w:val="24"/>
        </w:rPr>
      </w:pPr>
    </w:p>
    <w:p w14:paraId="3A908DDB" w14:textId="3562B302" w:rsidR="00BA4B04" w:rsidRPr="00BA4B04" w:rsidRDefault="00BA4B04" w:rsidP="00BA4B04">
      <w:pPr>
        <w:numPr>
          <w:ilvl w:val="1"/>
          <w:numId w:val="0"/>
        </w:numPr>
        <w:spacing w:before="240" w:after="20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lastRenderedPageBreak/>
        <w:t xml:space="preserve">Special precautions for disposal </w:t>
      </w:r>
    </w:p>
    <w:p w14:paraId="569EE286"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ZEPZELCA is a cytotoxic drug. Follow applicable special handling and disposal procedures.</w:t>
      </w:r>
    </w:p>
    <w:p w14:paraId="286511F6"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In Australia, any unused medicine or waste material should be disposed of in accordance with local requirements.</w:t>
      </w:r>
    </w:p>
    <w:p w14:paraId="486ED7B1" w14:textId="77777777" w:rsidR="00BA4B04" w:rsidRPr="00BA4B04" w:rsidRDefault="00BA4B04" w:rsidP="00BA4B04">
      <w:pPr>
        <w:numPr>
          <w:ilvl w:val="1"/>
          <w:numId w:val="0"/>
        </w:numPr>
        <w:spacing w:before="0" w:line="276" w:lineRule="auto"/>
        <w:ind w:left="578" w:hanging="578"/>
        <w:outlineLvl w:val="1"/>
        <w:rPr>
          <w:rFonts w:ascii="Times New Roman" w:eastAsia="Calibri" w:hAnsi="Times New Roman"/>
          <w:b/>
          <w:smallCaps/>
          <w:sz w:val="24"/>
        </w:rPr>
      </w:pPr>
      <w:r w:rsidRPr="00BA4B04">
        <w:rPr>
          <w:rFonts w:ascii="Times New Roman" w:eastAsia="Calibri" w:hAnsi="Times New Roman"/>
          <w:b/>
          <w:smallCaps/>
          <w:sz w:val="24"/>
        </w:rPr>
        <w:t>Physicochemical properties</w:t>
      </w:r>
    </w:p>
    <w:p w14:paraId="5F558C86" w14:textId="77777777" w:rsidR="00BA4B04" w:rsidRPr="00BA4B04" w:rsidRDefault="00BA4B04" w:rsidP="00BA4B04">
      <w:pPr>
        <w:spacing w:line="23" w:lineRule="atLeast"/>
        <w:rPr>
          <w:rFonts w:ascii="Times New Roman" w:eastAsia="Times New Roman" w:hAnsi="Times New Roman"/>
        </w:rPr>
      </w:pPr>
      <w:r w:rsidRPr="00BA4B04">
        <w:rPr>
          <w:rFonts w:ascii="Times New Roman" w:eastAsia="Times New Roman" w:hAnsi="Times New Roman"/>
        </w:rPr>
        <w:t>ZEPZELCA is a synthetic molecule, which binds to the minor groove of DNA and is a selective inhibitor of oncogenic transcription. The chemical name of ZEPZELCA (lurbinectedin) is (1’R,6R,6aR,7R,13S,14S,16R)-8,14-dihydroxy-6’,9-dimethoxy-4,10,23-trimethyl-19-oxo-2’,3’,4’,6,7,9’,12,13,14,16-decahydro-6aH-spiro[7,13-azano-6,16-(epithiopropanooxymethano) [1,3]dioxolo[7,8]isoquinolino[3,2-b][3]benzazocine-20,1’-pyrido[3,4-b]indol]-5-yl acetate.</w:t>
      </w:r>
    </w:p>
    <w:p w14:paraId="6FFCC7BE" w14:textId="77777777" w:rsidR="00BA4B04" w:rsidRPr="00BA4B04" w:rsidRDefault="00BA4B04" w:rsidP="00BA4B04">
      <w:pPr>
        <w:spacing w:line="23" w:lineRule="atLeast"/>
        <w:rPr>
          <w:rFonts w:ascii="Times New Roman" w:eastAsia="Times New Roman" w:hAnsi="Times New Roman"/>
          <w:lang w:val="es-ES"/>
        </w:rPr>
      </w:pPr>
      <w:r w:rsidRPr="00BA4B04">
        <w:rPr>
          <w:rFonts w:ascii="Times New Roman" w:eastAsia="Times New Roman" w:hAnsi="Times New Roman"/>
          <w:b/>
          <w:bCs/>
          <w:lang w:val="es-ES"/>
        </w:rPr>
        <w:t>Molecular formula:</w:t>
      </w:r>
      <w:r w:rsidRPr="00BA4B04">
        <w:rPr>
          <w:rFonts w:ascii="Times New Roman" w:eastAsia="Times New Roman" w:hAnsi="Times New Roman"/>
          <w:lang w:val="es-ES"/>
        </w:rPr>
        <w:t xml:space="preserve"> C</w:t>
      </w:r>
      <w:r w:rsidRPr="00BA4B04">
        <w:rPr>
          <w:rFonts w:ascii="Times New Roman" w:eastAsia="Times New Roman" w:hAnsi="Times New Roman"/>
          <w:vertAlign w:val="subscript"/>
          <w:lang w:val="es-ES"/>
        </w:rPr>
        <w:t>41</w:t>
      </w:r>
      <w:r w:rsidRPr="00BA4B04">
        <w:rPr>
          <w:rFonts w:ascii="Times New Roman" w:eastAsia="Times New Roman" w:hAnsi="Times New Roman"/>
          <w:lang w:val="es-ES"/>
        </w:rPr>
        <w:t>H</w:t>
      </w:r>
      <w:r w:rsidRPr="00BA4B04">
        <w:rPr>
          <w:rFonts w:ascii="Times New Roman" w:eastAsia="Times New Roman" w:hAnsi="Times New Roman"/>
          <w:vertAlign w:val="subscript"/>
          <w:lang w:val="es-ES"/>
        </w:rPr>
        <w:t>44</w:t>
      </w:r>
      <w:r w:rsidRPr="00BA4B04">
        <w:rPr>
          <w:rFonts w:ascii="Times New Roman" w:eastAsia="Times New Roman" w:hAnsi="Times New Roman"/>
          <w:lang w:val="es-ES"/>
        </w:rPr>
        <w:t>N</w:t>
      </w:r>
      <w:r w:rsidRPr="00BA4B04">
        <w:rPr>
          <w:rFonts w:ascii="Times New Roman" w:eastAsia="Times New Roman" w:hAnsi="Times New Roman"/>
          <w:vertAlign w:val="subscript"/>
          <w:lang w:val="es-ES"/>
        </w:rPr>
        <w:t>4</w:t>
      </w:r>
      <w:r w:rsidRPr="00BA4B04">
        <w:rPr>
          <w:rFonts w:ascii="Times New Roman" w:eastAsia="Times New Roman" w:hAnsi="Times New Roman"/>
          <w:lang w:val="es-ES"/>
        </w:rPr>
        <w:t>O</w:t>
      </w:r>
      <w:r w:rsidRPr="00BA4B04">
        <w:rPr>
          <w:rFonts w:ascii="Times New Roman" w:eastAsia="Times New Roman" w:hAnsi="Times New Roman"/>
          <w:vertAlign w:val="subscript"/>
          <w:lang w:val="es-ES"/>
        </w:rPr>
        <w:t>10</w:t>
      </w:r>
      <w:r w:rsidRPr="00BA4B04">
        <w:rPr>
          <w:rFonts w:ascii="Times New Roman" w:eastAsia="Times New Roman" w:hAnsi="Times New Roman"/>
          <w:lang w:val="es-ES"/>
        </w:rPr>
        <w:t xml:space="preserve">S. </w:t>
      </w:r>
    </w:p>
    <w:p w14:paraId="4F87C6C6" w14:textId="77777777" w:rsidR="00BA4B04" w:rsidRPr="00BA4B04" w:rsidRDefault="00BA4B04" w:rsidP="00BA4B04">
      <w:pPr>
        <w:spacing w:line="23" w:lineRule="atLeast"/>
        <w:rPr>
          <w:rFonts w:ascii="Times New Roman" w:eastAsia="Times New Roman" w:hAnsi="Times New Roman"/>
          <w:lang w:val="es-ES"/>
        </w:rPr>
      </w:pPr>
      <w:r w:rsidRPr="00BA4B04">
        <w:rPr>
          <w:rFonts w:ascii="Times New Roman" w:eastAsia="Times New Roman" w:hAnsi="Times New Roman"/>
          <w:b/>
          <w:bCs/>
          <w:lang w:val="es-ES"/>
        </w:rPr>
        <w:t xml:space="preserve">Molecular </w:t>
      </w:r>
      <w:proofErr w:type="spellStart"/>
      <w:r w:rsidRPr="00BA4B04">
        <w:rPr>
          <w:rFonts w:ascii="Times New Roman" w:eastAsia="Times New Roman" w:hAnsi="Times New Roman"/>
          <w:b/>
          <w:bCs/>
          <w:lang w:val="es-ES"/>
        </w:rPr>
        <w:t>weight</w:t>
      </w:r>
      <w:proofErr w:type="spellEnd"/>
      <w:r w:rsidRPr="00BA4B04">
        <w:rPr>
          <w:rFonts w:ascii="Times New Roman" w:eastAsia="Times New Roman" w:hAnsi="Times New Roman"/>
          <w:b/>
          <w:bCs/>
          <w:lang w:val="es-ES"/>
        </w:rPr>
        <w:t>:</w:t>
      </w:r>
      <w:r w:rsidRPr="00BA4B04">
        <w:rPr>
          <w:rFonts w:ascii="Times New Roman" w:eastAsia="Times New Roman" w:hAnsi="Times New Roman"/>
          <w:lang w:val="es-ES"/>
        </w:rPr>
        <w:t xml:space="preserve"> 784.87 g/mol. </w:t>
      </w:r>
    </w:p>
    <w:p w14:paraId="26E1726C"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Chemical structure:</w:t>
      </w:r>
    </w:p>
    <w:p w14:paraId="31EF6091" w14:textId="77777777" w:rsidR="00BA4B04" w:rsidRPr="00BA4B04" w:rsidRDefault="00BA4B04" w:rsidP="00BA4B04">
      <w:pPr>
        <w:spacing w:before="0" w:after="200" w:line="276" w:lineRule="auto"/>
        <w:jc w:val="center"/>
        <w:rPr>
          <w:rFonts w:ascii="Times New Roman" w:eastAsia="Calibri" w:hAnsi="Times New Roman"/>
        </w:rPr>
      </w:pPr>
      <w:r w:rsidRPr="00BA4B04">
        <w:rPr>
          <w:rFonts w:ascii="Times New Roman" w:eastAsia="Calibri" w:hAnsi="Times New Roman"/>
          <w:noProof/>
        </w:rPr>
        <w:object w:dxaOrig="5164" w:dyaOrig="4970" w14:anchorId="69BFF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5pt;height:252pt;mso-width-percent:0;mso-height-percent:0;mso-width-percent:0;mso-height-percent:0" o:ole="">
            <v:imagedata r:id="rId28" o:title=""/>
          </v:shape>
          <o:OLEObject Type="Embed" ProgID="ChemDraw.Document.6.0" ShapeID="_x0000_i1025" DrawAspect="Content" ObjectID="_1713255065" r:id="rId29"/>
        </w:object>
      </w:r>
    </w:p>
    <w:p w14:paraId="47587184" w14:textId="77777777" w:rsidR="00BA4B04" w:rsidRPr="00BA4B04" w:rsidRDefault="00BA4B04" w:rsidP="00BA4B04">
      <w:pPr>
        <w:keepNext/>
        <w:keepLines/>
        <w:spacing w:before="0" w:line="276" w:lineRule="auto"/>
        <w:ind w:left="227" w:hanging="227"/>
        <w:outlineLvl w:val="2"/>
        <w:rPr>
          <w:rFonts w:ascii="Times New Roman" w:eastAsia="Times New Roman" w:hAnsi="Times New Roman"/>
          <w:b/>
          <w:bCs/>
        </w:rPr>
      </w:pPr>
      <w:r w:rsidRPr="00BA4B04">
        <w:rPr>
          <w:rFonts w:ascii="Times New Roman" w:eastAsia="Times New Roman" w:hAnsi="Times New Roman"/>
          <w:b/>
          <w:bCs/>
        </w:rPr>
        <w:t>CAS number</w:t>
      </w:r>
    </w:p>
    <w:p w14:paraId="2707C2CD"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497871-47-3</w:t>
      </w:r>
    </w:p>
    <w:p w14:paraId="6FC8F0E3" w14:textId="77777777" w:rsidR="00BA4B04" w:rsidRPr="00BA4B04" w:rsidRDefault="00BA4B04" w:rsidP="00BA4B04">
      <w:pPr>
        <w:keepNext/>
        <w:keepLines/>
        <w:spacing w:before="0" w:line="276" w:lineRule="auto"/>
        <w:ind w:left="432" w:hanging="432"/>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t>Medicine schedule (Poisons Standard)</w:t>
      </w:r>
    </w:p>
    <w:p w14:paraId="0ACE1A12"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Prescription Only Medicine (S4)</w:t>
      </w:r>
    </w:p>
    <w:p w14:paraId="1FCAE3B5" w14:textId="77777777" w:rsidR="00BA4B04" w:rsidRPr="00BA4B04" w:rsidRDefault="00BA4B04" w:rsidP="00C667D2">
      <w:pPr>
        <w:keepNext/>
        <w:keepLines/>
        <w:pageBreakBefore/>
        <w:spacing w:before="0" w:line="276" w:lineRule="auto"/>
        <w:ind w:left="431" w:hanging="431"/>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lastRenderedPageBreak/>
        <w:t xml:space="preserve">Sponsor </w:t>
      </w:r>
    </w:p>
    <w:p w14:paraId="458E4EF3" w14:textId="77777777" w:rsidR="00BA4B04" w:rsidRPr="00BA4B04" w:rsidRDefault="00BA4B04" w:rsidP="00BA4B04">
      <w:pPr>
        <w:autoSpaceDE w:val="0"/>
        <w:autoSpaceDN w:val="0"/>
        <w:adjustRightInd w:val="0"/>
        <w:spacing w:before="0" w:after="0" w:line="240" w:lineRule="auto"/>
        <w:rPr>
          <w:rFonts w:ascii="Times New Roman" w:eastAsia="Calibri" w:hAnsi="Times New Roman"/>
        </w:rPr>
      </w:pPr>
      <w:r w:rsidRPr="00BA4B04">
        <w:rPr>
          <w:rFonts w:ascii="Times New Roman" w:eastAsia="Calibri" w:hAnsi="Times New Roman"/>
        </w:rPr>
        <w:t>Specialised Therapeutics Pharma Pty Ltd</w:t>
      </w:r>
    </w:p>
    <w:p w14:paraId="7F77A2F4" w14:textId="77777777" w:rsidR="00BA4B04" w:rsidRPr="00BA4B04" w:rsidRDefault="00BA4B04" w:rsidP="00BA4B04">
      <w:pPr>
        <w:autoSpaceDE w:val="0"/>
        <w:autoSpaceDN w:val="0"/>
        <w:adjustRightInd w:val="0"/>
        <w:spacing w:before="0" w:after="0" w:line="240" w:lineRule="auto"/>
        <w:rPr>
          <w:rFonts w:ascii="Times New Roman" w:eastAsia="Calibri" w:hAnsi="Times New Roman"/>
        </w:rPr>
      </w:pPr>
      <w:r w:rsidRPr="00BA4B04">
        <w:rPr>
          <w:rFonts w:ascii="Times New Roman" w:eastAsia="Calibri" w:hAnsi="Times New Roman"/>
        </w:rPr>
        <w:t>Level 2, 17 Cotham Road, Kew, Victoria 3101</w:t>
      </w:r>
    </w:p>
    <w:p w14:paraId="2BB37350" w14:textId="77777777" w:rsidR="00BA4B04" w:rsidRPr="00BA4B04" w:rsidRDefault="00BA4B04" w:rsidP="00BA4B04">
      <w:pPr>
        <w:autoSpaceDE w:val="0"/>
        <w:autoSpaceDN w:val="0"/>
        <w:adjustRightInd w:val="0"/>
        <w:spacing w:before="0" w:after="0" w:line="240" w:lineRule="auto"/>
        <w:rPr>
          <w:rFonts w:ascii="Times New Roman" w:eastAsia="Calibri" w:hAnsi="Times New Roman"/>
        </w:rPr>
      </w:pPr>
    </w:p>
    <w:p w14:paraId="1E5B8387" w14:textId="77777777" w:rsidR="00BA4B04" w:rsidRPr="00BA4B04" w:rsidRDefault="00BA4B04" w:rsidP="00BA4B04">
      <w:pPr>
        <w:autoSpaceDE w:val="0"/>
        <w:autoSpaceDN w:val="0"/>
        <w:adjustRightInd w:val="0"/>
        <w:spacing w:before="0" w:after="0" w:line="240" w:lineRule="auto"/>
        <w:rPr>
          <w:rFonts w:ascii="Times New Roman" w:eastAsia="Calibri" w:hAnsi="Times New Roman"/>
        </w:rPr>
      </w:pPr>
      <w:r w:rsidRPr="00BA4B04">
        <w:rPr>
          <w:rFonts w:ascii="Times New Roman" w:eastAsia="Calibri" w:hAnsi="Times New Roman"/>
        </w:rPr>
        <w:t>Ph: 1300 798 820</w:t>
      </w:r>
    </w:p>
    <w:p w14:paraId="37D1A61D" w14:textId="77777777" w:rsidR="00BA4B04" w:rsidRPr="00BA4B04" w:rsidRDefault="00BA4B04" w:rsidP="00BA4B04">
      <w:pPr>
        <w:autoSpaceDE w:val="0"/>
        <w:autoSpaceDN w:val="0"/>
        <w:adjustRightInd w:val="0"/>
        <w:spacing w:before="0" w:after="0" w:line="240" w:lineRule="auto"/>
        <w:rPr>
          <w:rFonts w:ascii="Times New Roman" w:eastAsia="Calibri" w:hAnsi="Times New Roman"/>
        </w:rPr>
      </w:pPr>
      <w:r w:rsidRPr="00BA4B04">
        <w:rPr>
          <w:rFonts w:ascii="Times New Roman" w:eastAsia="Calibri" w:hAnsi="Times New Roman"/>
        </w:rPr>
        <w:t>Fax: 1800 798 829</w:t>
      </w:r>
    </w:p>
    <w:p w14:paraId="00DE78BC"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www.stbiopharma.com</w:t>
      </w:r>
    </w:p>
    <w:p w14:paraId="71CA81BC" w14:textId="77777777" w:rsidR="00BA4B04" w:rsidRPr="00BA4B04" w:rsidRDefault="00BA4B04" w:rsidP="00BA4B04">
      <w:pPr>
        <w:keepNext/>
        <w:keepLines/>
        <w:spacing w:before="0" w:line="276" w:lineRule="auto"/>
        <w:ind w:left="432" w:hanging="432"/>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t xml:space="preserve">Date of first approval  </w:t>
      </w:r>
    </w:p>
    <w:p w14:paraId="00E00768" w14:textId="77777777" w:rsidR="00BA4B04" w:rsidRPr="00BA4B04" w:rsidRDefault="00BA4B04" w:rsidP="00BA4B04">
      <w:pPr>
        <w:spacing w:before="0" w:after="200" w:line="276" w:lineRule="auto"/>
        <w:rPr>
          <w:rFonts w:ascii="Times New Roman" w:eastAsia="Calibri" w:hAnsi="Times New Roman"/>
          <w:color w:val="000000"/>
        </w:rPr>
      </w:pPr>
      <w:r w:rsidRPr="00BA4B04">
        <w:rPr>
          <w:rFonts w:ascii="Times New Roman" w:eastAsia="Calibri" w:hAnsi="Times New Roman"/>
          <w:color w:val="000000"/>
        </w:rPr>
        <w:t>10 September 2021</w:t>
      </w:r>
    </w:p>
    <w:p w14:paraId="2D88D469" w14:textId="77777777" w:rsidR="00BA4B04" w:rsidRPr="00BA4B04" w:rsidRDefault="00BA4B04" w:rsidP="00BA4B04">
      <w:pPr>
        <w:keepNext/>
        <w:keepLines/>
        <w:spacing w:before="0" w:line="276" w:lineRule="auto"/>
        <w:ind w:left="432" w:hanging="432"/>
        <w:outlineLvl w:val="0"/>
        <w:rPr>
          <w:rFonts w:ascii="Times New Roman" w:eastAsia="Times New Roman" w:hAnsi="Times New Roman"/>
          <w:b/>
          <w:bCs/>
          <w:caps/>
          <w:sz w:val="28"/>
          <w:szCs w:val="28"/>
        </w:rPr>
      </w:pPr>
      <w:r w:rsidRPr="00BA4B04">
        <w:rPr>
          <w:rFonts w:ascii="Times New Roman" w:eastAsia="Times New Roman" w:hAnsi="Times New Roman"/>
          <w:b/>
          <w:bCs/>
          <w:caps/>
          <w:sz w:val="28"/>
          <w:szCs w:val="28"/>
        </w:rPr>
        <w:t xml:space="preserve">Date of revision </w:t>
      </w:r>
    </w:p>
    <w:p w14:paraId="75497963" w14:textId="77777777" w:rsidR="00BA4B04" w:rsidRPr="00BA4B04" w:rsidRDefault="00BA4B04" w:rsidP="00BA4B04">
      <w:pPr>
        <w:spacing w:before="0" w:after="200" w:line="276" w:lineRule="auto"/>
        <w:rPr>
          <w:rFonts w:ascii="Times New Roman" w:eastAsia="Calibri" w:hAnsi="Times New Roman"/>
        </w:rPr>
      </w:pPr>
      <w:r w:rsidRPr="00BA4B04">
        <w:rPr>
          <w:rFonts w:ascii="Times New Roman" w:eastAsia="Calibri" w:hAnsi="Times New Roman"/>
        </w:rPr>
        <w:t>N/A</w:t>
      </w:r>
    </w:p>
    <w:p w14:paraId="1EC2CDFB" w14:textId="77777777" w:rsidR="00BA4B04" w:rsidRPr="00BA4B04" w:rsidRDefault="00BA4B04" w:rsidP="00BA4B04">
      <w:pPr>
        <w:spacing w:before="0" w:line="276" w:lineRule="auto"/>
        <w:outlineLvl w:val="1"/>
        <w:rPr>
          <w:rFonts w:ascii="Times New Roman" w:eastAsia="Calibri" w:hAnsi="Times New Roman"/>
          <w:b/>
          <w:smallCaps/>
          <w:sz w:val="24"/>
        </w:rPr>
      </w:pPr>
      <w:r w:rsidRPr="00BA4B04">
        <w:rPr>
          <w:rFonts w:ascii="Times New Roman" w:eastAsia="Calibri" w:hAnsi="Times New Roman"/>
          <w:b/>
          <w:smallCaps/>
          <w:sz w:val="24"/>
        </w:rPr>
        <w:t>Summary table of changes</w:t>
      </w:r>
    </w:p>
    <w:tbl>
      <w:tblPr>
        <w:tblStyle w:val="LightGrid1"/>
        <w:tblW w:w="0" w:type="auto"/>
        <w:tblCellMar>
          <w:top w:w="57" w:type="dxa"/>
          <w:bottom w:w="57" w:type="dxa"/>
        </w:tblCellMar>
        <w:tblLook w:val="06A0" w:firstRow="1" w:lastRow="0" w:firstColumn="1" w:lastColumn="0" w:noHBand="1" w:noVBand="1"/>
      </w:tblPr>
      <w:tblGrid>
        <w:gridCol w:w="1341"/>
        <w:gridCol w:w="7143"/>
      </w:tblGrid>
      <w:tr w:rsidR="00BA4B04" w:rsidRPr="00BA4B04" w14:paraId="783D29E0" w14:textId="77777777" w:rsidTr="00BA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vAlign w:val="center"/>
          </w:tcPr>
          <w:p w14:paraId="3264CD8F" w14:textId="77777777" w:rsidR="00BA4B04" w:rsidRPr="00BA4B04" w:rsidRDefault="00BA4B04" w:rsidP="00BA4B04">
            <w:pPr>
              <w:spacing w:before="0" w:after="0" w:line="240" w:lineRule="auto"/>
              <w:rPr>
                <w:rFonts w:ascii="Times New Roman" w:eastAsia="Times New Roman" w:hAnsi="Times New Roman"/>
                <w:sz w:val="20"/>
              </w:rPr>
            </w:pPr>
            <w:r w:rsidRPr="00BA4B04">
              <w:rPr>
                <w:rFonts w:ascii="Times New Roman" w:eastAsia="Times New Roman" w:hAnsi="Times New Roman"/>
                <w:sz w:val="20"/>
              </w:rPr>
              <w:t>Section Changed</w:t>
            </w:r>
          </w:p>
        </w:tc>
        <w:tc>
          <w:tcPr>
            <w:tcW w:w="7858" w:type="dxa"/>
            <w:shd w:val="clear" w:color="auto" w:fill="F2F2F2"/>
            <w:vAlign w:val="center"/>
          </w:tcPr>
          <w:p w14:paraId="602EA357" w14:textId="77777777" w:rsidR="00BA4B04" w:rsidRPr="00BA4B04" w:rsidRDefault="00BA4B04" w:rsidP="00BA4B04">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rPr>
            </w:pPr>
            <w:r w:rsidRPr="00BA4B04">
              <w:rPr>
                <w:rFonts w:ascii="Times New Roman" w:eastAsia="Times New Roman" w:hAnsi="Times New Roman"/>
                <w:sz w:val="20"/>
              </w:rPr>
              <w:t>Summary of new information</w:t>
            </w:r>
          </w:p>
        </w:tc>
      </w:tr>
      <w:tr w:rsidR="00BA4B04" w:rsidRPr="00BA4B04" w14:paraId="37665999" w14:textId="77777777" w:rsidTr="00130E1B">
        <w:tc>
          <w:tcPr>
            <w:cnfStyle w:val="001000000000" w:firstRow="0" w:lastRow="0" w:firstColumn="1" w:lastColumn="0" w:oddVBand="0" w:evenVBand="0" w:oddHBand="0" w:evenHBand="0" w:firstRowFirstColumn="0" w:firstRowLastColumn="0" w:lastRowFirstColumn="0" w:lastRowLastColumn="0"/>
            <w:tcW w:w="1384" w:type="dxa"/>
            <w:vAlign w:val="center"/>
          </w:tcPr>
          <w:p w14:paraId="5D7C7E71" w14:textId="77777777" w:rsidR="00BA4B04" w:rsidRPr="00BA4B04" w:rsidRDefault="00BA4B04" w:rsidP="00BA4B04">
            <w:pPr>
              <w:spacing w:before="0" w:after="0" w:line="240" w:lineRule="auto"/>
              <w:rPr>
                <w:rFonts w:ascii="Times New Roman" w:eastAsia="Times New Roman" w:hAnsi="Times New Roman"/>
              </w:rPr>
            </w:pPr>
          </w:p>
        </w:tc>
        <w:tc>
          <w:tcPr>
            <w:tcW w:w="7858" w:type="dxa"/>
            <w:vAlign w:val="center"/>
          </w:tcPr>
          <w:p w14:paraId="0C0BAFDD" w14:textId="77777777" w:rsidR="00BA4B04" w:rsidRPr="00BA4B04" w:rsidRDefault="00BA4B04" w:rsidP="00BA4B0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bookmarkEnd w:id="78"/>
    </w:tbl>
    <w:p w14:paraId="00503C49" w14:textId="77777777" w:rsidR="00BA4B04" w:rsidRDefault="00BA4B04" w:rsidP="00C80137">
      <w:pPr>
        <w:rPr>
          <w:color w:val="000000"/>
          <w:lang w:eastAsia="en-AU"/>
        </w:rPr>
      </w:pPr>
    </w:p>
    <w:p w14:paraId="7F6BFE38" w14:textId="014DDA19" w:rsidR="00291957" w:rsidRDefault="008E7846" w:rsidP="008C1D45">
      <w:pPr>
        <w:autoSpaceDE w:val="0"/>
        <w:autoSpaceDN w:val="0"/>
        <w:adjustRightInd w:val="0"/>
        <w:spacing w:after="0"/>
        <w:rPr>
          <w:lang w:eastAsia="ja-JP"/>
        </w:rPr>
      </w:pPr>
      <w:r w:rsidRPr="00C80137">
        <w:rPr>
          <w:b/>
        </w:rPr>
        <w:br w:type="page"/>
      </w:r>
    </w:p>
    <w:p w14:paraId="6D04A872" w14:textId="77777777" w:rsidR="00C80137" w:rsidRPr="001D043B" w:rsidRDefault="00C80137" w:rsidP="003A7F6C">
      <w:pPr>
        <w:pStyle w:val="TableTitle"/>
        <w:sectPr w:rsidR="00C80137" w:rsidRPr="001D043B" w:rsidSect="00B452CE">
          <w:headerReference w:type="default" r:id="rId30"/>
          <w:pgSz w:w="11906" w:h="16838" w:code="9"/>
          <w:pgMar w:top="834" w:right="1701" w:bottom="1191" w:left="1701" w:header="907" w:footer="216" w:gutter="0"/>
          <w:cols w:space="708"/>
          <w:docGrid w:linePitch="360"/>
        </w:sectPr>
      </w:pPr>
    </w:p>
    <w:tbl>
      <w:tblPr>
        <w:tblW w:w="9275" w:type="dxa"/>
        <w:tblInd w:w="-284" w:type="dxa"/>
        <w:tblLayout w:type="fixed"/>
        <w:tblCellMar>
          <w:left w:w="0" w:type="dxa"/>
          <w:right w:w="0" w:type="dxa"/>
        </w:tblCellMar>
        <w:tblLook w:val="04A0" w:firstRow="1" w:lastRow="0" w:firstColumn="1" w:lastColumn="0" w:noHBand="0" w:noVBand="1"/>
      </w:tblPr>
      <w:tblGrid>
        <w:gridCol w:w="9275"/>
      </w:tblGrid>
      <w:tr w:rsidR="001C32CD" w:rsidRPr="00487162" w14:paraId="4B2B1BCD" w14:textId="77777777" w:rsidTr="00616E66">
        <w:trPr>
          <w:trHeight w:hRule="exact" w:val="733"/>
        </w:trPr>
        <w:tc>
          <w:tcPr>
            <w:tcW w:w="9275" w:type="dxa"/>
          </w:tcPr>
          <w:p w14:paraId="66BF123A" w14:textId="77777777" w:rsidR="001C32CD" w:rsidRPr="00487162" w:rsidRDefault="001C32CD" w:rsidP="00A05FA4">
            <w:pPr>
              <w:pStyle w:val="TGASignoff"/>
            </w:pPr>
            <w:r w:rsidRPr="00487162">
              <w:lastRenderedPageBreak/>
              <w:t>Therapeutic Goods Administration</w:t>
            </w:r>
          </w:p>
        </w:tc>
      </w:tr>
      <w:tr w:rsidR="001C32CD" w:rsidRPr="004C239D" w14:paraId="1F5785DF" w14:textId="77777777" w:rsidTr="00616E66">
        <w:trPr>
          <w:trHeight w:val="1271"/>
        </w:trPr>
        <w:tc>
          <w:tcPr>
            <w:tcW w:w="9275" w:type="dxa"/>
            <w:tcMar>
              <w:top w:w="28" w:type="dxa"/>
            </w:tcMar>
          </w:tcPr>
          <w:p w14:paraId="4FD6746B" w14:textId="77777777" w:rsidR="001C32CD" w:rsidRPr="00487162" w:rsidRDefault="001C32CD" w:rsidP="00A05FA4">
            <w:pPr>
              <w:pStyle w:val="Address"/>
            </w:pPr>
            <w:r w:rsidRPr="00487162">
              <w:t>PO Box 100 Woden ACT 2606 Australia</w:t>
            </w:r>
          </w:p>
          <w:p w14:paraId="713D0AC1" w14:textId="2F54A49D" w:rsidR="001C32CD" w:rsidRPr="00487162" w:rsidRDefault="001C32CD" w:rsidP="00A05FA4">
            <w:pPr>
              <w:pStyle w:val="Address"/>
            </w:pPr>
            <w:r w:rsidRPr="00487162">
              <w:t xml:space="preserve">Email: </w:t>
            </w:r>
            <w:hyperlink r:id="rId31" w:history="1">
              <w:r w:rsidRPr="004C239D">
                <w:rPr>
                  <w:rStyle w:val="Hyperlink"/>
                </w:rPr>
                <w:t>info@tga.gov.au</w:t>
              </w:r>
            </w:hyperlink>
            <w:r w:rsidRPr="00487162">
              <w:t xml:space="preserve">  Phone: 1800 020 653 Fax: 02 6232 8605</w:t>
            </w:r>
          </w:p>
          <w:p w14:paraId="4DD27ECE" w14:textId="77777777" w:rsidR="001C32CD" w:rsidRPr="004C239D" w:rsidRDefault="000D5729" w:rsidP="00A05FA4">
            <w:pPr>
              <w:pStyle w:val="Address"/>
              <w:spacing w:line="260" w:lineRule="atLeast"/>
              <w:rPr>
                <w:b/>
                <w:color w:val="0000FF"/>
                <w:u w:val="single"/>
              </w:rPr>
            </w:pPr>
            <w:hyperlink r:id="rId32" w:history="1">
              <w:r w:rsidR="007C6B9B" w:rsidRPr="007C6B9B">
                <w:rPr>
                  <w:rStyle w:val="Hyperlink"/>
                  <w:b/>
                </w:rPr>
                <w:t>https://www.tga.gov.au</w:t>
              </w:r>
            </w:hyperlink>
          </w:p>
        </w:tc>
      </w:tr>
    </w:tbl>
    <w:p w14:paraId="7BB7781A" w14:textId="77777777" w:rsidR="00774E1D" w:rsidRPr="008A5E0B" w:rsidRDefault="00774E1D" w:rsidP="00616E66"/>
    <w:sectPr w:rsidR="00774E1D" w:rsidRPr="008A5E0B" w:rsidSect="001C32CD">
      <w:headerReference w:type="even" r:id="rId33"/>
      <w:headerReference w:type="default" r:id="rId34"/>
      <w:footerReference w:type="default" r:id="rId35"/>
      <w:headerReference w:type="first" r:id="rId36"/>
      <w:footerReference w:type="first" r:id="rId37"/>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C4E5E" w14:textId="77777777" w:rsidR="00130E1B" w:rsidRDefault="00130E1B" w:rsidP="00C40A36">
      <w:pPr>
        <w:spacing w:after="0"/>
      </w:pPr>
      <w:r>
        <w:separator/>
      </w:r>
    </w:p>
  </w:endnote>
  <w:endnote w:type="continuationSeparator" w:id="0">
    <w:p w14:paraId="7E9C1643" w14:textId="77777777" w:rsidR="00130E1B" w:rsidRDefault="00130E1B"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A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Itali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A58D" w14:textId="77777777" w:rsidR="00130E1B" w:rsidRDefault="0013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130E1B" w:rsidRPr="00487162" w14:paraId="286A4ACD" w14:textId="77777777" w:rsidTr="00DB750B">
      <w:trPr>
        <w:trHeight w:val="269"/>
      </w:trPr>
      <w:tc>
        <w:tcPr>
          <w:tcW w:w="7371" w:type="dxa"/>
          <w:tcMar>
            <w:top w:w="142" w:type="dxa"/>
            <w:bottom w:w="0" w:type="dxa"/>
          </w:tcMar>
        </w:tcPr>
        <w:p w14:paraId="3B700779" w14:textId="0A84C5D0" w:rsidR="00130E1B" w:rsidRPr="00487162" w:rsidRDefault="00130E1B" w:rsidP="00460036">
          <w:pPr>
            <w:pStyle w:val="Footer"/>
          </w:pPr>
          <w:proofErr w:type="spellStart"/>
          <w:r w:rsidRPr="00487162">
            <w:t>AusPA</w:t>
          </w:r>
          <w:r>
            <w:t>R</w:t>
          </w:r>
          <w:proofErr w:type="spellEnd"/>
          <w:r>
            <w:t xml:space="preserve"> - </w:t>
          </w:r>
          <w:proofErr w:type="spellStart"/>
          <w:r w:rsidRPr="00FB37A7">
            <w:t>Z</w:t>
          </w:r>
          <w:r>
            <w:t>epzelca</w:t>
          </w:r>
          <w:proofErr w:type="spellEnd"/>
          <w:r>
            <w:t xml:space="preserve"> </w:t>
          </w:r>
          <w:r w:rsidRPr="00460036">
            <w:t xml:space="preserve">– </w:t>
          </w:r>
          <w:r w:rsidR="000D5729">
            <w:t>L</w:t>
          </w:r>
          <w:r w:rsidRPr="00FB37A7">
            <w:t>urbinectedin</w:t>
          </w:r>
          <w:r>
            <w:t xml:space="preserve">- </w:t>
          </w:r>
          <w:r w:rsidRPr="00FB37A7">
            <w:t>Specialised Therapeutics Pharma Pty Ltd</w:t>
          </w:r>
          <w:r>
            <w:t xml:space="preserve"> - </w:t>
          </w:r>
          <w:r w:rsidRPr="00FB37A7">
            <w:t>PM-2020-02181-1-4</w:t>
          </w:r>
          <w:r>
            <w:br/>
            <w:t>FINAL 1 April 2022</w:t>
          </w:r>
        </w:p>
      </w:tc>
      <w:tc>
        <w:tcPr>
          <w:tcW w:w="1490" w:type="dxa"/>
          <w:tcMar>
            <w:top w:w="142" w:type="dxa"/>
            <w:bottom w:w="0" w:type="dxa"/>
          </w:tcMar>
        </w:tcPr>
        <w:p w14:paraId="53DB8AD7" w14:textId="2AE1CC8A" w:rsidR="00130E1B" w:rsidRPr="00487162" w:rsidRDefault="00130E1B" w:rsidP="00DB750B">
          <w:pPr>
            <w:pStyle w:val="Footer"/>
            <w:jc w:val="right"/>
          </w:pPr>
          <w:r w:rsidRPr="00487162">
            <w:t xml:space="preserve">Page </w:t>
          </w:r>
          <w:r>
            <w:fldChar w:fldCharType="begin"/>
          </w:r>
          <w:r>
            <w:instrText xml:space="preserve"> PAGE  \* Arabic </w:instrText>
          </w:r>
          <w:r>
            <w:fldChar w:fldCharType="separate"/>
          </w:r>
          <w:r>
            <w:rPr>
              <w:noProof/>
            </w:rPr>
            <w:t>29</w:t>
          </w:r>
          <w:r>
            <w:fldChar w:fldCharType="end"/>
          </w:r>
          <w:r w:rsidRPr="00487162">
            <w:t xml:space="preserve"> of </w:t>
          </w:r>
          <w:fldSimple w:instr=" NUMPAGES  \* Arabic ">
            <w:r>
              <w:rPr>
                <w:noProof/>
              </w:rPr>
              <w:t>31</w:t>
            </w:r>
          </w:fldSimple>
        </w:p>
      </w:tc>
    </w:tr>
  </w:tbl>
  <w:p w14:paraId="10C45525" w14:textId="77777777" w:rsidR="00130E1B" w:rsidRDefault="00130E1B"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C5BD" w14:textId="77777777" w:rsidR="00130E1B" w:rsidRDefault="00130E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130E1B" w:rsidRPr="00487162" w14:paraId="6D8E2684" w14:textId="77777777" w:rsidTr="00E45619">
      <w:trPr>
        <w:trHeight w:val="269"/>
      </w:trPr>
      <w:tc>
        <w:tcPr>
          <w:tcW w:w="4519" w:type="dxa"/>
          <w:tcBorders>
            <w:top w:val="single" w:sz="4" w:space="0" w:color="auto"/>
          </w:tcBorders>
          <w:tcMar>
            <w:top w:w="142" w:type="dxa"/>
            <w:bottom w:w="0" w:type="dxa"/>
          </w:tcMar>
        </w:tcPr>
        <w:p w14:paraId="10D06EEF" w14:textId="77777777" w:rsidR="00130E1B" w:rsidRPr="00487162" w:rsidRDefault="00130E1B" w:rsidP="00FE1DEE">
          <w:pPr>
            <w:pStyle w:val="Footer"/>
          </w:pPr>
          <w:r w:rsidRPr="00487162">
            <w:t>Document title, Part #, Section # - Section title</w:t>
          </w:r>
        </w:p>
        <w:p w14:paraId="273C78CE" w14:textId="77777777" w:rsidR="00130E1B" w:rsidRPr="00487162" w:rsidRDefault="00130E1B" w:rsidP="00FE1DEE">
          <w:pPr>
            <w:pStyle w:val="Footer"/>
          </w:pPr>
          <w:r w:rsidRPr="00487162">
            <w:t>V1.0 October 2010</w:t>
          </w:r>
        </w:p>
      </w:tc>
      <w:tc>
        <w:tcPr>
          <w:tcW w:w="4342" w:type="dxa"/>
          <w:tcBorders>
            <w:top w:val="single" w:sz="4" w:space="0" w:color="auto"/>
          </w:tcBorders>
          <w:tcMar>
            <w:top w:w="142" w:type="dxa"/>
            <w:bottom w:w="0" w:type="dxa"/>
          </w:tcMar>
        </w:tcPr>
        <w:p w14:paraId="55F3303B" w14:textId="77777777" w:rsidR="00130E1B" w:rsidRPr="00487162" w:rsidRDefault="00130E1B"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3</w:t>
            </w:r>
          </w:fldSimple>
        </w:p>
      </w:tc>
    </w:tr>
  </w:tbl>
  <w:p w14:paraId="0168830E" w14:textId="77777777" w:rsidR="00130E1B" w:rsidRDefault="00130E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A51D3" w14:textId="77777777" w:rsidR="00130E1B" w:rsidRPr="001C32CD" w:rsidRDefault="00130E1B"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130E1B" w14:paraId="2B7D2562" w14:textId="77777777" w:rsidTr="0010601F">
      <w:trPr>
        <w:trHeight w:val="108"/>
      </w:trPr>
      <w:tc>
        <w:tcPr>
          <w:tcW w:w="8875" w:type="dxa"/>
          <w:gridSpan w:val="2"/>
          <w:tcBorders>
            <w:bottom w:val="single" w:sz="4" w:space="0" w:color="auto"/>
          </w:tcBorders>
          <w:tcMar>
            <w:right w:w="284" w:type="dxa"/>
          </w:tcMar>
        </w:tcPr>
        <w:p w14:paraId="1DB58045" w14:textId="77777777" w:rsidR="00130E1B" w:rsidRDefault="00130E1B" w:rsidP="006E08B3">
          <w:pPr>
            <w:pStyle w:val="Heading3"/>
          </w:pPr>
          <w:r>
            <w:t>Copyright</w:t>
          </w:r>
        </w:p>
        <w:p w14:paraId="57068E96" w14:textId="77777777" w:rsidR="00130E1B" w:rsidRDefault="00130E1B" w:rsidP="006E08B3">
          <w:r>
            <w:rPr>
              <w:rFonts w:cs="Arial"/>
            </w:rPr>
            <w:t>©</w:t>
          </w:r>
          <w:r>
            <w:t xml:space="preserve"> Commonwealth of Australia [add year]</w:t>
          </w:r>
        </w:p>
        <w:p w14:paraId="3199012F" w14:textId="77777777" w:rsidR="00130E1B" w:rsidRDefault="00130E1B" w:rsidP="006E08B3"/>
        <w:p w14:paraId="55CF491B" w14:textId="77777777" w:rsidR="00130E1B" w:rsidRDefault="00130E1B"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0C347345" w14:textId="77777777" w:rsidR="00130E1B" w:rsidRDefault="00130E1B" w:rsidP="006E08B3"/>
        <w:p w14:paraId="5336C51A" w14:textId="77777777" w:rsidR="00130E1B" w:rsidRDefault="00130E1B" w:rsidP="006E08B3">
          <w:pPr>
            <w:pStyle w:val="Heading3"/>
          </w:pPr>
          <w:r>
            <w:t>Confidentiality</w:t>
          </w:r>
        </w:p>
        <w:p w14:paraId="773468A2" w14:textId="77777777" w:rsidR="00130E1B" w:rsidRDefault="00130E1B"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309F0829" w14:textId="77777777" w:rsidR="00130E1B" w:rsidRDefault="00130E1B" w:rsidP="006E08B3"/>
        <w:p w14:paraId="6008E9BB" w14:textId="77777777" w:rsidR="00130E1B" w:rsidRDefault="00130E1B" w:rsidP="006E08B3">
          <w:r>
            <w:t>For submission made by individuals, all personal details, other than your name, will be removed from your submission before it is published on the TGA’s Internet site.</w:t>
          </w:r>
        </w:p>
        <w:p w14:paraId="50FB86CC" w14:textId="77777777" w:rsidR="00130E1B" w:rsidRDefault="00130E1B" w:rsidP="006E08B3"/>
        <w:p w14:paraId="5C6F0E1C" w14:textId="77777777" w:rsidR="00130E1B" w:rsidRDefault="00130E1B"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130E1B" w14:paraId="2E57E37F" w14:textId="77777777" w:rsidTr="0010601F">
      <w:trPr>
        <w:trHeight w:val="417"/>
      </w:trPr>
      <w:tc>
        <w:tcPr>
          <w:tcW w:w="4519" w:type="dxa"/>
          <w:tcBorders>
            <w:top w:val="single" w:sz="4" w:space="0" w:color="auto"/>
          </w:tcBorders>
          <w:tcMar>
            <w:top w:w="142" w:type="dxa"/>
            <w:bottom w:w="0" w:type="dxa"/>
          </w:tcMar>
        </w:tcPr>
        <w:p w14:paraId="7B0FF8F0" w14:textId="77777777" w:rsidR="00130E1B" w:rsidRDefault="00130E1B" w:rsidP="006E08B3">
          <w:r>
            <w:t>Document title, Part #, Section # - Section title</w:t>
          </w:r>
        </w:p>
        <w:p w14:paraId="2ECE154F" w14:textId="77777777" w:rsidR="00130E1B" w:rsidRDefault="00130E1B" w:rsidP="006E08B3">
          <w:r>
            <w:t>V1.0 October 2010</w:t>
          </w:r>
        </w:p>
      </w:tc>
      <w:tc>
        <w:tcPr>
          <w:tcW w:w="4356" w:type="dxa"/>
          <w:tcBorders>
            <w:top w:val="single" w:sz="4" w:space="0" w:color="auto"/>
          </w:tcBorders>
          <w:tcMar>
            <w:top w:w="142" w:type="dxa"/>
            <w:bottom w:w="0" w:type="dxa"/>
          </w:tcMar>
        </w:tcPr>
        <w:p w14:paraId="331456EF" w14:textId="77777777" w:rsidR="00130E1B" w:rsidRDefault="00130E1B"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3</w:t>
            </w:r>
          </w:fldSimple>
          <w:r>
            <w:t xml:space="preserve">  </w:t>
          </w:r>
        </w:p>
      </w:tc>
    </w:tr>
  </w:tbl>
  <w:p w14:paraId="7CBF3C5A" w14:textId="77777777" w:rsidR="00130E1B" w:rsidRDefault="00130E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0762B" w14:textId="77777777" w:rsidR="00130E1B" w:rsidRDefault="00130E1B" w:rsidP="00C40A36">
      <w:pPr>
        <w:spacing w:after="0"/>
      </w:pPr>
      <w:r>
        <w:separator/>
      </w:r>
    </w:p>
  </w:footnote>
  <w:footnote w:type="continuationSeparator" w:id="0">
    <w:p w14:paraId="19515920" w14:textId="77777777" w:rsidR="00130E1B" w:rsidRDefault="00130E1B" w:rsidP="00C40A36">
      <w:pPr>
        <w:spacing w:after="0"/>
      </w:pPr>
      <w:r>
        <w:continuationSeparator/>
      </w:r>
    </w:p>
  </w:footnote>
  <w:footnote w:id="1">
    <w:p w14:paraId="27B3974A" w14:textId="77777777" w:rsidR="00130E1B" w:rsidRDefault="00130E1B">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14355EBA" w14:textId="3AE664BE" w:rsidR="00130E1B" w:rsidRDefault="00130E1B">
      <w:pPr>
        <w:pStyle w:val="FootnoteText"/>
      </w:pPr>
      <w:r>
        <w:rPr>
          <w:rStyle w:val="FootnoteReference"/>
        </w:rPr>
        <w:footnoteRef/>
      </w:r>
      <w:r>
        <w:t xml:space="preserve"> </w:t>
      </w:r>
      <w:r w:rsidRPr="005E314C">
        <w:t>Australian Institute of Health and Welfare</w:t>
      </w:r>
      <w:r>
        <w:t>.</w:t>
      </w:r>
    </w:p>
  </w:footnote>
  <w:footnote w:id="3">
    <w:p w14:paraId="41525765" w14:textId="77E5FC78" w:rsidR="00130E1B" w:rsidRDefault="00130E1B" w:rsidP="005E314C">
      <w:pPr>
        <w:pStyle w:val="FootnoteText"/>
      </w:pPr>
      <w:r>
        <w:rPr>
          <w:rStyle w:val="FootnoteReference"/>
        </w:rPr>
        <w:footnoteRef/>
      </w:r>
      <w:r>
        <w:t xml:space="preserve"> </w:t>
      </w:r>
      <w:r w:rsidRPr="005E314C">
        <w:t xml:space="preserve">WHO, GLOBOCAN 2018: Estimated Cancer, Incidence, Mortality and Prevalence Worldwide in </w:t>
      </w:r>
      <w:r w:rsidRPr="005E314C">
        <w:t>2018.</w:t>
      </w:r>
    </w:p>
  </w:footnote>
  <w:footnote w:id="4">
    <w:p w14:paraId="1CA9BAA7" w14:textId="7BDD2380" w:rsidR="00130E1B" w:rsidRDefault="00130E1B">
      <w:pPr>
        <w:pStyle w:val="FootnoteText"/>
      </w:pPr>
      <w:r>
        <w:rPr>
          <w:rStyle w:val="FootnoteReference"/>
        </w:rPr>
        <w:footnoteRef/>
      </w:r>
      <w:r>
        <w:t xml:space="preserve"> </w:t>
      </w:r>
      <w:r w:rsidRPr="005E314C">
        <w:t>Kalemkerian GP</w:t>
      </w:r>
      <w:r>
        <w:t xml:space="preserve"> et al.</w:t>
      </w:r>
      <w:r w:rsidRPr="005E314C">
        <w:t xml:space="preserve"> </w:t>
      </w:r>
      <w:r w:rsidRPr="000B1DF1">
        <w:rPr>
          <w:i/>
          <w:iCs/>
        </w:rPr>
        <w:t>J Natl Compr Canc Netw</w:t>
      </w:r>
      <w:r>
        <w:t xml:space="preserve">; </w:t>
      </w:r>
      <w:r w:rsidRPr="005E314C">
        <w:t>2013</w:t>
      </w:r>
      <w:r>
        <w:t xml:space="preserve">; </w:t>
      </w:r>
      <w:r w:rsidRPr="005E314C">
        <w:t>1;11(1):78-98.</w:t>
      </w:r>
    </w:p>
  </w:footnote>
  <w:footnote w:id="5">
    <w:p w14:paraId="647B4EEC" w14:textId="61E62573" w:rsidR="00130E1B" w:rsidRDefault="00130E1B">
      <w:pPr>
        <w:pStyle w:val="FootnoteText"/>
      </w:pPr>
      <w:r>
        <w:rPr>
          <w:rStyle w:val="FootnoteReference"/>
        </w:rPr>
        <w:footnoteRef/>
      </w:r>
      <w:r>
        <w:t xml:space="preserve"> </w:t>
      </w:r>
      <w:r w:rsidRPr="005E314C">
        <w:t xml:space="preserve">Almuish D et al. Multimodality therapy for limited-stage small cell lung cancer. </w:t>
      </w:r>
      <w:r w:rsidRPr="000B1DF1">
        <w:rPr>
          <w:i/>
          <w:iCs/>
        </w:rPr>
        <w:t>Journal of Oncology Practice</w:t>
      </w:r>
      <w:r w:rsidRPr="005E314C">
        <w:t xml:space="preserve"> 2016; 12(2): 111-7.</w:t>
      </w:r>
    </w:p>
  </w:footnote>
  <w:footnote w:id="6">
    <w:p w14:paraId="3871AB89" w14:textId="557AEE1E" w:rsidR="00130E1B" w:rsidRDefault="00130E1B">
      <w:pPr>
        <w:pStyle w:val="FootnoteText"/>
      </w:pPr>
      <w:r>
        <w:rPr>
          <w:rStyle w:val="FootnoteReference"/>
        </w:rPr>
        <w:footnoteRef/>
      </w:r>
      <w:r>
        <w:t xml:space="preserve"> </w:t>
      </w:r>
      <w:r w:rsidRPr="005E314C">
        <w:t xml:space="preserve">IMpower133 is a Phase III, double-blind, placebo-controlled study to evaluate </w:t>
      </w:r>
      <w:r w:rsidRPr="005E314C">
        <w:t>first-line atezolizumab plus chemotherapy in extensive-stage small-cell lung cancer.</w:t>
      </w:r>
    </w:p>
  </w:footnote>
  <w:footnote w:id="7">
    <w:p w14:paraId="036F06D4" w14:textId="153F64A3" w:rsidR="00130E1B" w:rsidRDefault="00130E1B">
      <w:pPr>
        <w:pStyle w:val="FootnoteText"/>
      </w:pPr>
      <w:r>
        <w:rPr>
          <w:rStyle w:val="FootnoteReference"/>
        </w:rPr>
        <w:footnoteRef/>
      </w:r>
      <w:r>
        <w:t xml:space="preserve"> </w:t>
      </w:r>
      <w:r w:rsidRPr="005E314C">
        <w:t>CASPIAN is a Phase III, randomised, controlled, open-label study to evaluate durvalumab plus platinum–etoposide versus platinum–etoposide in first-line treatment of extensive-stage small-cell lung cancer (CASPIAN).</w:t>
      </w:r>
    </w:p>
  </w:footnote>
  <w:footnote w:id="8">
    <w:p w14:paraId="69BE4F1E" w14:textId="5B4B143D" w:rsidR="00130E1B" w:rsidRDefault="00130E1B">
      <w:pPr>
        <w:pStyle w:val="FootnoteText"/>
      </w:pPr>
      <w:r>
        <w:rPr>
          <w:rStyle w:val="FootnoteReference"/>
        </w:rPr>
        <w:footnoteRef/>
      </w:r>
      <w:r>
        <w:t xml:space="preserve"> </w:t>
      </w:r>
      <w:r w:rsidRPr="005E314C">
        <w:t>Liu SV</w:t>
      </w:r>
      <w:r>
        <w:t xml:space="preserve"> et al. </w:t>
      </w:r>
      <w:r w:rsidRPr="005E314C">
        <w:t xml:space="preserve">Updated Overall Survival and PD-L1 Subgroup Analysis of Patients </w:t>
      </w:r>
      <w:r>
        <w:t>w</w:t>
      </w:r>
      <w:r w:rsidRPr="005E314C">
        <w:t xml:space="preserve">ith Extensive-Stage Small-Cell Lung Cancer Treated </w:t>
      </w:r>
      <w:r>
        <w:t>w</w:t>
      </w:r>
      <w:r w:rsidRPr="005E314C">
        <w:t xml:space="preserve">ith Atezolizumab, Carboplatin, and Etoposide (IMpower133). </w:t>
      </w:r>
      <w:r w:rsidRPr="00CD7219">
        <w:rPr>
          <w:i/>
          <w:iCs/>
        </w:rPr>
        <w:t>J Clin Oncol</w:t>
      </w:r>
      <w:r w:rsidRPr="00CD7219">
        <w:t>,</w:t>
      </w:r>
      <w:r w:rsidRPr="005E314C">
        <w:t xml:space="preserve"> 2021</w:t>
      </w:r>
      <w:r>
        <w:t>;</w:t>
      </w:r>
      <w:r w:rsidRPr="005E314C">
        <w:t xml:space="preserve"> 20;39(6):619-630.</w:t>
      </w:r>
    </w:p>
  </w:footnote>
  <w:footnote w:id="9">
    <w:p w14:paraId="212D4779" w14:textId="7FD91C68" w:rsidR="00130E1B" w:rsidRDefault="00130E1B">
      <w:pPr>
        <w:pStyle w:val="FootnoteText"/>
      </w:pPr>
      <w:r>
        <w:rPr>
          <w:rStyle w:val="FootnoteReference"/>
        </w:rPr>
        <w:footnoteRef/>
      </w:r>
      <w:r>
        <w:t xml:space="preserve"> </w:t>
      </w:r>
      <w:r w:rsidRPr="005E314C">
        <w:t>Goldman JW</w:t>
      </w:r>
      <w:r>
        <w:t xml:space="preserve"> et al. </w:t>
      </w:r>
      <w:r w:rsidRPr="005E314C">
        <w:t xml:space="preserve">CASPIAN investigators. Durvalumab, with or without tremelimumab, plus platinum-etoposide versus platinum-etoposide alone in first-line treatment of extensive-stage small-cell lung cancer (CASPIAN): updated results from a randomised, controlled, open-label, phase 3 trial. </w:t>
      </w:r>
      <w:r w:rsidRPr="00CD7219">
        <w:rPr>
          <w:i/>
          <w:iCs/>
        </w:rPr>
        <w:t>Lancet Oncol</w:t>
      </w:r>
      <w:r w:rsidRPr="005E314C">
        <w:t>. 2021</w:t>
      </w:r>
      <w:r>
        <w:t xml:space="preserve">; </w:t>
      </w:r>
      <w:r w:rsidRPr="005E314C">
        <w:t>22(1):51-65.</w:t>
      </w:r>
    </w:p>
  </w:footnote>
  <w:footnote w:id="10">
    <w:p w14:paraId="69CE0217" w14:textId="0B4354BF" w:rsidR="00130E1B" w:rsidRDefault="00130E1B">
      <w:pPr>
        <w:pStyle w:val="FootnoteText"/>
      </w:pPr>
      <w:r>
        <w:rPr>
          <w:rStyle w:val="FootnoteReference"/>
        </w:rPr>
        <w:footnoteRef/>
      </w:r>
      <w:r>
        <w:t xml:space="preserve"> </w:t>
      </w:r>
      <w:r w:rsidRPr="005E314C">
        <w:t xml:space="preserve">Kelly K. Extensive-stage small cell lung cancer: Initial management. </w:t>
      </w:r>
      <w:r>
        <w:t xml:space="preserve">In: </w:t>
      </w:r>
      <w:r w:rsidRPr="005E314C">
        <w:t>UpToDate</w:t>
      </w:r>
      <w:r>
        <w:t xml:space="preserve"> (Accessed 31 </w:t>
      </w:r>
      <w:r w:rsidRPr="005E314C">
        <w:t>March 2021</w:t>
      </w:r>
      <w:r>
        <w:t>)</w:t>
      </w:r>
      <w:r w:rsidRPr="005E314C">
        <w:t xml:space="preserve">. </w:t>
      </w:r>
    </w:p>
  </w:footnote>
  <w:footnote w:id="11">
    <w:p w14:paraId="42D4E89E" w14:textId="14741D3B" w:rsidR="00130E1B" w:rsidRPr="00837EBF" w:rsidRDefault="00130E1B" w:rsidP="00837EBF">
      <w:pPr>
        <w:pStyle w:val="FootnoteText"/>
      </w:pPr>
      <w:r>
        <w:rPr>
          <w:rStyle w:val="FootnoteReference"/>
        </w:rPr>
        <w:footnoteRef/>
      </w:r>
      <w:r>
        <w:t xml:space="preserve"> </w:t>
      </w:r>
      <w:r w:rsidRPr="00837EBF">
        <w:t>Atezolizumab was first registered in the ARTG on 27 July 2017 (ARTG number: 277120).</w:t>
      </w:r>
    </w:p>
  </w:footnote>
  <w:footnote w:id="12">
    <w:p w14:paraId="65604BF0" w14:textId="71DEFC1A" w:rsidR="00130E1B" w:rsidRDefault="00130E1B" w:rsidP="00837EBF">
      <w:pPr>
        <w:pStyle w:val="FootnoteText"/>
      </w:pPr>
      <w:r w:rsidRPr="00837EBF">
        <w:rPr>
          <w:rStyle w:val="FootnoteReference"/>
          <w:vertAlign w:val="baseline"/>
        </w:rPr>
        <w:footnoteRef/>
      </w:r>
      <w:r w:rsidRPr="00837EBF">
        <w:t xml:space="preserve"> Durvalumab was first registered in the ARTG on 2 October 2018 (ARTG number: 283215).</w:t>
      </w:r>
    </w:p>
  </w:footnote>
  <w:footnote w:id="13">
    <w:p w14:paraId="432E1BFC" w14:textId="14F0B49A" w:rsidR="00130E1B" w:rsidRDefault="00130E1B">
      <w:pPr>
        <w:pStyle w:val="FootnoteText"/>
      </w:pPr>
      <w:r>
        <w:rPr>
          <w:rStyle w:val="FootnoteReference"/>
        </w:rPr>
        <w:footnoteRef/>
      </w:r>
      <w:r>
        <w:t xml:space="preserve"> </w:t>
      </w:r>
      <w:r w:rsidRPr="005E314C">
        <w:t>Cheng S</w:t>
      </w:r>
      <w:r>
        <w:t xml:space="preserve"> et al. </w:t>
      </w:r>
      <w:r w:rsidRPr="005E314C">
        <w:t xml:space="preserve">Lung Cancer Disease Site Group of Cancer Care Ontario's Program in Evidence-based Care. Chemotherapy for relapsed small cell lung cancer: a systematic review and practice guideline. </w:t>
      </w:r>
      <w:r w:rsidRPr="00A87E3F">
        <w:rPr>
          <w:i/>
          <w:iCs/>
        </w:rPr>
        <w:t>J Thorac Oncol</w:t>
      </w:r>
      <w:r w:rsidRPr="00A87E3F">
        <w:t>, 2007</w:t>
      </w:r>
      <w:r>
        <w:t xml:space="preserve">; </w:t>
      </w:r>
      <w:r w:rsidRPr="005E314C">
        <w:t xml:space="preserve">2(4):348-54. </w:t>
      </w:r>
    </w:p>
  </w:footnote>
  <w:footnote w:id="14">
    <w:p w14:paraId="154649B3" w14:textId="4882B369" w:rsidR="00130E1B" w:rsidRDefault="00130E1B">
      <w:pPr>
        <w:pStyle w:val="FootnoteText"/>
      </w:pPr>
      <w:r>
        <w:rPr>
          <w:rStyle w:val="FootnoteReference"/>
        </w:rPr>
        <w:footnoteRef/>
      </w:r>
      <w:r>
        <w:t xml:space="preserve"> </w:t>
      </w:r>
      <w:r w:rsidRPr="005E314C">
        <w:t>Lara PN, Jr.</w:t>
      </w:r>
      <w:r>
        <w:t xml:space="preserve"> et al. </w:t>
      </w:r>
      <w:r w:rsidRPr="005E314C">
        <w:t xml:space="preserve">Relevance of platinum sensitivity status in relapsed/refractory extensive stage small cell lung cancer (ES-SCLC) in the modern era: a patient level analysis of SWOG trials. </w:t>
      </w:r>
      <w:r w:rsidRPr="00A87E3F">
        <w:rPr>
          <w:i/>
          <w:iCs/>
        </w:rPr>
        <w:t>Journal of Thoracic Oncology</w:t>
      </w:r>
      <w:r w:rsidRPr="00A87E3F">
        <w:t xml:space="preserve">; </w:t>
      </w:r>
      <w:r w:rsidRPr="005E314C">
        <w:t>2016; 10(1): 110-115.</w:t>
      </w:r>
    </w:p>
  </w:footnote>
  <w:footnote w:id="15">
    <w:p w14:paraId="6ED5BE56" w14:textId="5A9D479A" w:rsidR="00130E1B" w:rsidRDefault="00130E1B">
      <w:pPr>
        <w:pStyle w:val="FootnoteText"/>
      </w:pPr>
      <w:r>
        <w:rPr>
          <w:rStyle w:val="FootnoteReference"/>
        </w:rPr>
        <w:footnoteRef/>
      </w:r>
      <w:r>
        <w:t xml:space="preserve"> </w:t>
      </w:r>
      <w:r w:rsidRPr="005E314C">
        <w:t xml:space="preserve">Gong J </w:t>
      </w:r>
      <w:r>
        <w:t xml:space="preserve">et al. </w:t>
      </w:r>
      <w:r w:rsidRPr="005E314C">
        <w:t xml:space="preserve">Managing patients with relapsed small-cell lung cancer. </w:t>
      </w:r>
      <w:r w:rsidRPr="00A87E3F">
        <w:rPr>
          <w:i/>
          <w:iCs/>
        </w:rPr>
        <w:t>Journal of Oncology Practice</w:t>
      </w:r>
      <w:r>
        <w:t xml:space="preserve">; </w:t>
      </w:r>
      <w:r w:rsidRPr="005E314C">
        <w:t>2018; 14(6): 359-366.</w:t>
      </w:r>
    </w:p>
  </w:footnote>
  <w:footnote w:id="16">
    <w:p w14:paraId="52B5EFCA" w14:textId="37CD74A0" w:rsidR="00130E1B" w:rsidRPr="00A41C10" w:rsidRDefault="00130E1B">
      <w:pPr>
        <w:pStyle w:val="FootnoteText"/>
        <w:rPr>
          <w:lang w:val="en-GB"/>
        </w:rPr>
      </w:pPr>
      <w:r>
        <w:rPr>
          <w:rStyle w:val="FootnoteReference"/>
        </w:rPr>
        <w:footnoteRef/>
      </w:r>
      <w:r>
        <w:t xml:space="preserve"> The </w:t>
      </w:r>
      <w:r w:rsidRPr="00553F1E">
        <w:t>National Comprehensive Cancer Network i</w:t>
      </w:r>
      <w:r>
        <w:t>s an alliance of 31 cancer cent</w:t>
      </w:r>
      <w:r w:rsidRPr="00553F1E">
        <w:t>r</w:t>
      </w:r>
      <w:r>
        <w:t>e</w:t>
      </w:r>
      <w:r w:rsidRPr="00553F1E">
        <w:t>s in the United States</w:t>
      </w:r>
      <w:r>
        <w:t xml:space="preserve"> of America</w:t>
      </w:r>
      <w:r w:rsidRPr="00553F1E">
        <w:t xml:space="preserve">, most of which are designated by the </w:t>
      </w:r>
      <w:r>
        <w:t xml:space="preserve">United States </w:t>
      </w:r>
      <w:r w:rsidRPr="00553F1E">
        <w:t xml:space="preserve">National Cancer Institute </w:t>
      </w:r>
      <w:r>
        <w:t>as comprehensive cancer centres.</w:t>
      </w:r>
    </w:p>
  </w:footnote>
  <w:footnote w:id="17">
    <w:p w14:paraId="24699EB1" w14:textId="01DA7295" w:rsidR="00130E1B" w:rsidRDefault="00130E1B" w:rsidP="002337B8">
      <w:pPr>
        <w:pStyle w:val="EndnoteText"/>
      </w:pPr>
      <w:r>
        <w:rPr>
          <w:rStyle w:val="FootnoteReference"/>
        </w:rPr>
        <w:footnoteRef/>
      </w:r>
      <w:r>
        <w:t xml:space="preserve"> </w:t>
      </w:r>
      <w:r w:rsidRPr="005E314C">
        <w:rPr>
          <w:rStyle w:val="FootnoteTextChar"/>
        </w:rPr>
        <w:t>National Comprehensive Cancer Network Guidelines version 3</w:t>
      </w:r>
      <w:r>
        <w:rPr>
          <w:rStyle w:val="FootnoteTextChar"/>
        </w:rPr>
        <w:t>, 2</w:t>
      </w:r>
      <w:r w:rsidRPr="005E314C">
        <w:rPr>
          <w:rStyle w:val="FootnoteTextChar"/>
        </w:rPr>
        <w:t>021</w:t>
      </w:r>
      <w:r>
        <w:rPr>
          <w:rStyle w:val="FootnoteTextChar"/>
        </w:rPr>
        <w:t xml:space="preserve">. Available from </w:t>
      </w:r>
      <w:r w:rsidRPr="00A87E3F">
        <w:rPr>
          <w:rStyle w:val="FootnoteTextChar"/>
        </w:rPr>
        <w:t>nccn.org</w:t>
      </w:r>
      <w:r>
        <w:rPr>
          <w:rStyle w:val="FootnoteTextChar"/>
        </w:rPr>
        <w:t>.</w:t>
      </w:r>
    </w:p>
  </w:footnote>
  <w:footnote w:id="18">
    <w:p w14:paraId="70FABE7D" w14:textId="5541B49E" w:rsidR="00130E1B" w:rsidRDefault="00130E1B">
      <w:pPr>
        <w:pStyle w:val="FootnoteText"/>
      </w:pPr>
      <w:r>
        <w:rPr>
          <w:rStyle w:val="FootnoteReference"/>
        </w:rPr>
        <w:footnoteRef/>
      </w:r>
      <w:r>
        <w:t xml:space="preserve"> </w:t>
      </w:r>
      <w:r w:rsidRPr="005E314C">
        <w:t>Postmus PE</w:t>
      </w:r>
      <w:r>
        <w:t xml:space="preserve"> et al. </w:t>
      </w:r>
      <w:r w:rsidRPr="005E314C">
        <w:t xml:space="preserve">Retreatment with the induction regimen in small cell lung cancer relapsing after an initial response to short term chemotherapy. </w:t>
      </w:r>
      <w:r w:rsidRPr="00A87E3F">
        <w:rPr>
          <w:i/>
          <w:iCs/>
        </w:rPr>
        <w:t>European Journal of Cancer and Clinical Oncology</w:t>
      </w:r>
      <w:r>
        <w:t xml:space="preserve">; </w:t>
      </w:r>
      <w:r w:rsidRPr="005E314C">
        <w:t>1987; 23: 1409-1411.</w:t>
      </w:r>
    </w:p>
  </w:footnote>
  <w:footnote w:id="19">
    <w:p w14:paraId="154B08CD" w14:textId="663486D7" w:rsidR="00130E1B" w:rsidRDefault="00130E1B">
      <w:pPr>
        <w:pStyle w:val="FootnoteText"/>
      </w:pPr>
      <w:r>
        <w:rPr>
          <w:rStyle w:val="FootnoteReference"/>
        </w:rPr>
        <w:footnoteRef/>
      </w:r>
      <w:r>
        <w:t xml:space="preserve"> </w:t>
      </w:r>
      <w:r w:rsidRPr="005E314C">
        <w:t>Giaccone G</w:t>
      </w:r>
      <w:r>
        <w:t xml:space="preserve"> et al. </w:t>
      </w:r>
      <w:r w:rsidRPr="005E314C">
        <w:t xml:space="preserve">Reinduction chemotherapy in small cell lung cancer. </w:t>
      </w:r>
      <w:r w:rsidRPr="00A87E3F">
        <w:rPr>
          <w:i/>
          <w:iCs/>
        </w:rPr>
        <w:t>European Journal of Cancer and Clinical Oncology</w:t>
      </w:r>
      <w:r>
        <w:t xml:space="preserve">; </w:t>
      </w:r>
      <w:r w:rsidRPr="005E314C">
        <w:t>1987; 23: 1697-1699.</w:t>
      </w:r>
    </w:p>
  </w:footnote>
  <w:footnote w:id="20">
    <w:p w14:paraId="08FF5AC0" w14:textId="05B51C42" w:rsidR="00130E1B" w:rsidRDefault="00130E1B">
      <w:pPr>
        <w:pStyle w:val="FootnoteText"/>
      </w:pPr>
      <w:r>
        <w:rPr>
          <w:rStyle w:val="FootnoteReference"/>
        </w:rPr>
        <w:footnoteRef/>
      </w:r>
      <w:r>
        <w:t xml:space="preserve"> </w:t>
      </w:r>
      <w:r w:rsidRPr="005E314C">
        <w:t>Australian product information (PI) for topotecan</w:t>
      </w:r>
      <w:r>
        <w:t xml:space="preserve"> (revision date </w:t>
      </w:r>
      <w:r w:rsidRPr="005E314C">
        <w:t>29 August 2019</w:t>
      </w:r>
      <w:r>
        <w:t>).</w:t>
      </w:r>
    </w:p>
  </w:footnote>
  <w:footnote w:id="21">
    <w:p w14:paraId="17EB44D4" w14:textId="20336B01" w:rsidR="00130E1B" w:rsidRDefault="00130E1B" w:rsidP="005E314C">
      <w:pPr>
        <w:pStyle w:val="FootnoteText"/>
      </w:pPr>
      <w:r>
        <w:rPr>
          <w:rStyle w:val="FootnoteReference"/>
        </w:rPr>
        <w:footnoteRef/>
      </w:r>
      <w:r>
        <w:t xml:space="preserve"> Kim SH et al. Paclitaxel as third-line chemotherapy for small cell lung cancer failing both etoposide and camptothecin based chemotherapy. </w:t>
      </w:r>
      <w:r w:rsidRPr="00837EBF">
        <w:rPr>
          <w:i/>
          <w:iCs/>
        </w:rPr>
        <w:t>Medicine (Baltimore)</w:t>
      </w:r>
      <w:r>
        <w:t>; 2017; 96(42): e8176.</w:t>
      </w:r>
    </w:p>
  </w:footnote>
  <w:footnote w:id="22">
    <w:p w14:paraId="02A905FA" w14:textId="117D7956" w:rsidR="00130E1B" w:rsidRDefault="00130E1B">
      <w:pPr>
        <w:pStyle w:val="FootnoteText"/>
      </w:pPr>
      <w:r>
        <w:rPr>
          <w:rStyle w:val="FootnoteReference"/>
        </w:rPr>
        <w:footnoteRef/>
      </w:r>
      <w:r>
        <w:t xml:space="preserve"> </w:t>
      </w:r>
      <w:r w:rsidRPr="005E314C">
        <w:t>Smyth JF</w:t>
      </w:r>
      <w:r>
        <w:t xml:space="preserve"> et al. </w:t>
      </w:r>
      <w:r w:rsidRPr="005E314C">
        <w:t xml:space="preserve">Activity of docetaxel (Taxotere) in small cell lung cancer. The Early Clinical Trials Group of the EORTC. </w:t>
      </w:r>
      <w:r w:rsidRPr="00837EBF">
        <w:rPr>
          <w:i/>
          <w:iCs/>
        </w:rPr>
        <w:t>European Journal of Cancer</w:t>
      </w:r>
      <w:r>
        <w:t xml:space="preserve">; </w:t>
      </w:r>
      <w:r w:rsidRPr="005E314C">
        <w:t>1994; 30</w:t>
      </w:r>
      <w:r w:rsidRPr="005E314C">
        <w:t>A(8): 1058-60.</w:t>
      </w:r>
    </w:p>
  </w:footnote>
  <w:footnote w:id="23">
    <w:p w14:paraId="213EA539" w14:textId="718383FB" w:rsidR="00130E1B" w:rsidRDefault="00130E1B">
      <w:pPr>
        <w:pStyle w:val="FootnoteText"/>
      </w:pPr>
      <w:r>
        <w:rPr>
          <w:rStyle w:val="FootnoteReference"/>
        </w:rPr>
        <w:footnoteRef/>
      </w:r>
      <w:r>
        <w:t xml:space="preserve"> Jassem J et al. Phase II study of vinorelbine (Navelbine) in previously treated small cell lung cancer patients. EORTC Lung Cancer Cooperative Group. </w:t>
      </w:r>
      <w:r w:rsidRPr="00837EBF">
        <w:rPr>
          <w:i/>
          <w:iCs/>
        </w:rPr>
        <w:t>European Journal of Cancer</w:t>
      </w:r>
      <w:r>
        <w:t>; 1993; 29</w:t>
      </w:r>
      <w:r>
        <w:t>A(12): 1720-2.</w:t>
      </w:r>
    </w:p>
  </w:footnote>
  <w:footnote w:id="24">
    <w:p w14:paraId="7872FE51" w14:textId="71812F50" w:rsidR="00130E1B" w:rsidRDefault="00130E1B">
      <w:pPr>
        <w:pStyle w:val="FootnoteText"/>
      </w:pPr>
      <w:r>
        <w:rPr>
          <w:rStyle w:val="FootnoteReference"/>
        </w:rPr>
        <w:footnoteRef/>
      </w:r>
      <w:r>
        <w:t xml:space="preserve"> </w:t>
      </w:r>
      <w:r w:rsidRPr="005E314C">
        <w:t>Zauderer</w:t>
      </w:r>
      <w:r>
        <w:t xml:space="preserve">, </w:t>
      </w:r>
      <w:r w:rsidRPr="005E314C">
        <w:t>M.G.</w:t>
      </w:r>
      <w:r>
        <w:t xml:space="preserve"> et al. </w:t>
      </w:r>
      <w:r w:rsidRPr="005E314C">
        <w:t xml:space="preserve">Trial of a 5-day dosing regimen of temozolomide in patients with relapsed small cell lung cancers with assessment of methylguanine-DNA methyltransferase. </w:t>
      </w:r>
      <w:r w:rsidRPr="00CA4B24">
        <w:rPr>
          <w:i/>
          <w:iCs/>
        </w:rPr>
        <w:t>Lung Cancer</w:t>
      </w:r>
      <w:r>
        <w:t xml:space="preserve">; </w:t>
      </w:r>
      <w:r w:rsidRPr="005E314C">
        <w:t>2014; 86(2): 237-240.</w:t>
      </w:r>
    </w:p>
  </w:footnote>
  <w:footnote w:id="25">
    <w:p w14:paraId="4BCC4534" w14:textId="56EED558" w:rsidR="00130E1B" w:rsidRDefault="00130E1B" w:rsidP="004D17C5">
      <w:pPr>
        <w:pStyle w:val="EndnoteText"/>
      </w:pPr>
      <w:r>
        <w:rPr>
          <w:rStyle w:val="FootnoteReference"/>
        </w:rPr>
        <w:footnoteRef/>
      </w:r>
      <w:r>
        <w:t xml:space="preserve"> </w:t>
      </w:r>
      <w:r w:rsidRPr="005E314C">
        <w:rPr>
          <w:rStyle w:val="FootnoteTextChar"/>
        </w:rPr>
        <w:t>Lammers PE</w:t>
      </w:r>
      <w:r>
        <w:rPr>
          <w:rStyle w:val="FootnoteTextChar"/>
        </w:rPr>
        <w:t xml:space="preserve"> et al. </w:t>
      </w:r>
      <w:r w:rsidRPr="005E314C">
        <w:rPr>
          <w:rStyle w:val="FootnoteTextChar"/>
        </w:rPr>
        <w:t xml:space="preserve">Phase II study of bendamustine in relapsed chemotherapy sensitive or resistant small-cell lung cancer. </w:t>
      </w:r>
      <w:r w:rsidRPr="00971F56">
        <w:rPr>
          <w:rStyle w:val="FootnoteTextChar"/>
          <w:i/>
          <w:iCs/>
        </w:rPr>
        <w:t>Journal of Thoracic Oncology</w:t>
      </w:r>
      <w:r>
        <w:rPr>
          <w:rStyle w:val="FootnoteTextChar"/>
        </w:rPr>
        <w:t xml:space="preserve">; </w:t>
      </w:r>
      <w:r w:rsidRPr="005E314C">
        <w:rPr>
          <w:rStyle w:val="FootnoteTextChar"/>
        </w:rPr>
        <w:t>2014; 9(4): 559-562</w:t>
      </w:r>
      <w:r>
        <w:rPr>
          <w:rStyle w:val="FootnoteTextChar"/>
        </w:rPr>
        <w:t>.</w:t>
      </w:r>
    </w:p>
  </w:footnote>
  <w:footnote w:id="26">
    <w:p w14:paraId="77271789" w14:textId="74421FD4" w:rsidR="00130E1B" w:rsidRDefault="00130E1B">
      <w:pPr>
        <w:pStyle w:val="FootnoteText"/>
      </w:pPr>
      <w:r>
        <w:rPr>
          <w:rStyle w:val="FootnoteReference"/>
        </w:rPr>
        <w:footnoteRef/>
      </w:r>
      <w:r>
        <w:t xml:space="preserve"> </w:t>
      </w:r>
      <w:r w:rsidRPr="00E074DA">
        <w:t>von Pawel J et al. Topotecan versus cyclophosphamide, doxorubicin, and vincristine for the treatment of recurrent small-cell lung cancer. J Clin Oncol; 1999 Feb;17(2):658-67.</w:t>
      </w:r>
    </w:p>
  </w:footnote>
  <w:footnote w:id="27">
    <w:p w14:paraId="088BCF54" w14:textId="73DEF97F" w:rsidR="00130E1B" w:rsidRDefault="00130E1B">
      <w:pPr>
        <w:pStyle w:val="FootnoteText"/>
      </w:pPr>
      <w:r>
        <w:rPr>
          <w:rStyle w:val="FootnoteReference"/>
        </w:rPr>
        <w:footnoteRef/>
      </w:r>
      <w:r>
        <w:t xml:space="preserve"> </w:t>
      </w:r>
      <w:r w:rsidRPr="00E074DA">
        <w:t xml:space="preserve">FDA Prescribing Information for HYCAMTIN (topotecan) for injection, for intravenous use. </w:t>
      </w:r>
      <w:r w:rsidRPr="00013979">
        <w:t>Available from the FDA website.</w:t>
      </w:r>
    </w:p>
  </w:footnote>
  <w:footnote w:id="28">
    <w:p w14:paraId="7AE6064C" w14:textId="73EFEC04" w:rsidR="00130E1B" w:rsidRDefault="00130E1B">
      <w:pPr>
        <w:pStyle w:val="FootnoteText"/>
      </w:pPr>
      <w:r>
        <w:rPr>
          <w:rStyle w:val="FootnoteReference"/>
        </w:rPr>
        <w:footnoteRef/>
      </w:r>
      <w:r>
        <w:t xml:space="preserve"> </w:t>
      </w:r>
      <w:r w:rsidRPr="005E314C">
        <w:t>von Pawel J</w:t>
      </w:r>
      <w:r>
        <w:t xml:space="preserve"> et al. </w:t>
      </w:r>
      <w:r w:rsidRPr="005E314C">
        <w:t xml:space="preserve">Randomized phase III trial of amrubicin versus topotecan as second-line treatment for patients with small-cell lung cancer. </w:t>
      </w:r>
      <w:r w:rsidRPr="00CA6062">
        <w:rPr>
          <w:i/>
          <w:iCs/>
        </w:rPr>
        <w:t>J Clin Oncol</w:t>
      </w:r>
      <w:r>
        <w:t xml:space="preserve">; </w:t>
      </w:r>
      <w:r w:rsidRPr="005E314C">
        <w:t>2014</w:t>
      </w:r>
      <w:r>
        <w:t xml:space="preserve">; </w:t>
      </w:r>
      <w:r w:rsidRPr="005E314C">
        <w:t xml:space="preserve">32(35):4012-9. </w:t>
      </w:r>
    </w:p>
  </w:footnote>
  <w:footnote w:id="29">
    <w:p w14:paraId="5A3E66F1" w14:textId="75E00D32" w:rsidR="00130E1B" w:rsidRDefault="00130E1B">
      <w:pPr>
        <w:pStyle w:val="FootnoteText"/>
      </w:pPr>
      <w:r>
        <w:rPr>
          <w:rStyle w:val="FootnoteReference"/>
        </w:rPr>
        <w:footnoteRef/>
      </w:r>
      <w:r>
        <w:t xml:space="preserve"> </w:t>
      </w:r>
      <w:r w:rsidRPr="00D104F0">
        <w:rPr>
          <w:b/>
        </w:rPr>
        <w:t>Project Orbis</w:t>
      </w:r>
      <w:r w:rsidRPr="004B68B4">
        <w:t xml:space="preserve"> seeks to increase collaboration among international regulators, which may in turn allow patients with cancer to receive earlier access to products in other countries where there may be significant delays in regulatory submissions, regardless of whether the product has received approval. Pivotal clinical trials in oncology are commonly conducted internationally and these global trials are increasingly important for investigating the safety and effectiveness of cancer drugs for approval across jurisdictions. Future drug development may benefit by establishing a greater uniformity of new global standards of treatment, leading to the optimal design of these important trials. For further information visit: </w:t>
      </w:r>
      <w:hyperlink r:id="rId1" w:history="1">
        <w:r w:rsidRPr="004B68B4">
          <w:rPr>
            <w:rStyle w:val="Hyperlink"/>
            <w:szCs w:val="22"/>
          </w:rPr>
          <w:t>https://www.fda.gov/about-fda/oncology-center-excellence/project-orbis</w:t>
        </w:r>
      </w:hyperlink>
    </w:p>
  </w:footnote>
  <w:footnote w:id="30">
    <w:p w14:paraId="4EB92F21" w14:textId="42E165DA" w:rsidR="00130E1B" w:rsidRDefault="00130E1B">
      <w:pPr>
        <w:pStyle w:val="FootnoteText"/>
      </w:pPr>
      <w:r>
        <w:rPr>
          <w:rStyle w:val="FootnoteReference"/>
        </w:rPr>
        <w:footnoteRef/>
      </w:r>
      <w:r>
        <w:t xml:space="preserve"> </w:t>
      </w:r>
      <w:r w:rsidRPr="005C0841">
        <w:t xml:space="preserve">'Orphan drugs' are often developed to treat small and very specific patient populations who suffer from rare diseases and conditions. </w:t>
      </w:r>
      <w:r w:rsidRPr="005C0841">
        <w:t xml:space="preserve">In order to facilitate orphan drug access to the Australian marketplace and help offset orphan drug development costs the TGA waives application and evaluation fees for prescription medicine registration applications if a related </w:t>
      </w:r>
      <w:r w:rsidRPr="005C0841">
        <w:rPr>
          <w:b/>
        </w:rPr>
        <w:t>orphan designation</w:t>
      </w:r>
      <w:r w:rsidRPr="005C0841">
        <w:t xml:space="preserve"> is in force. A medicine may be eligible for orphan drug designation if all orphan criteria set by the TGA are met. The orphan designation application precedes the registration application and the designation is specific to the sponsor, orphan indication for which designation was granted and dosage form of the medicine.</w:t>
      </w:r>
    </w:p>
  </w:footnote>
  <w:footnote w:id="31">
    <w:p w14:paraId="7F496CD2" w14:textId="77777777" w:rsidR="00130E1B" w:rsidRDefault="00130E1B" w:rsidP="00851F3F">
      <w:pPr>
        <w:pStyle w:val="FootnoteText"/>
      </w:pPr>
      <w:r>
        <w:rPr>
          <w:rStyle w:val="FootnoteReference"/>
        </w:rPr>
        <w:footnoteRef/>
      </w:r>
      <w:r>
        <w:t xml:space="preserve"> </w:t>
      </w:r>
      <w:r w:rsidRPr="004F1766">
        <w:t xml:space="preserve">As part of the </w:t>
      </w:r>
      <w:r w:rsidRPr="004F1766">
        <w:rPr>
          <w:b/>
        </w:rPr>
        <w:t>provisional approval pathway</w:t>
      </w:r>
      <w:r w:rsidRPr="004F1766">
        <w:t xml:space="preserve">, the provisional registration process will allow certain medicines to be provisionally registered in the Australian Register of Therapeutic Goods (ARTG) for a limited duration. These medicines are registered </w:t>
      </w:r>
      <w:r w:rsidRPr="004F1766">
        <w:t xml:space="preserve">on the basis of preliminary clinical data, </w:t>
      </w:r>
      <w:r w:rsidRPr="00EB50A5">
        <w:t>where there is the potential for a substantial</w:t>
      </w:r>
      <w:r>
        <w:t xml:space="preserve"> benefit to Australian patients</w:t>
      </w:r>
      <w:r w:rsidRPr="004F1766">
        <w:t>.</w:t>
      </w:r>
      <w:r>
        <w:t xml:space="preserve"> The TGA</w:t>
      </w:r>
      <w:r w:rsidRPr="00EB50A5">
        <w:t xml:space="preserve"> will re-assess risks related to the absence of evidence through data provided at a later stage, as part of the confirmatory data. Confirmatory data should confirm the relationship between outcomes predicted by the surrogate endpoint, or other preliminary data, and the clinical benefit as demonstrated by direct clinical outcomes.</w:t>
      </w:r>
    </w:p>
    <w:p w14:paraId="1284896A" w14:textId="3EE0BEFB" w:rsidR="00130E1B" w:rsidRDefault="00130E1B" w:rsidP="00851F3F">
      <w:pPr>
        <w:pStyle w:val="FootnoteText"/>
      </w:pPr>
      <w:r>
        <w:t xml:space="preserve">The sponsor may apply to </w:t>
      </w:r>
      <w:r w:rsidRPr="00CF146B">
        <w:t xml:space="preserve">transition to full registration at any time up until the provisional registration lapse date, </w:t>
      </w:r>
      <w:r>
        <w:t>once they have</w:t>
      </w:r>
      <w:r w:rsidRPr="00CF146B">
        <w:t xml:space="preserve"> completed the obligations outlined for the provisional registration period and complete confirmatory data on safety and efficacy are available.</w:t>
      </w:r>
    </w:p>
  </w:footnote>
  <w:footnote w:id="32">
    <w:p w14:paraId="3F23F549" w14:textId="3F577F87" w:rsidR="00130E1B" w:rsidRDefault="00130E1B">
      <w:pPr>
        <w:pStyle w:val="FootnoteText"/>
      </w:pPr>
      <w:r>
        <w:rPr>
          <w:rStyle w:val="FootnoteReference"/>
        </w:rPr>
        <w:footnoteRef/>
      </w:r>
      <w:r>
        <w:t xml:space="preserve"> </w:t>
      </w:r>
      <w:r w:rsidRPr="00E12660">
        <w:t xml:space="preserve">Drugs which have caused, are suspected to have caused or may be expected to cause, an increased incidence of human </w:t>
      </w:r>
      <w:r w:rsidRPr="00E12660">
        <w:t>fetal malformations or irreversible damage. These drugs may also have adverse pharmacological effects. Accompanying texts should be consulted for further details.</w:t>
      </w:r>
    </w:p>
  </w:footnote>
  <w:footnote w:id="33">
    <w:p w14:paraId="6E332A21" w14:textId="57C2C61B" w:rsidR="00130E1B" w:rsidRDefault="00130E1B">
      <w:pPr>
        <w:pStyle w:val="FootnoteText"/>
      </w:pPr>
      <w:r>
        <w:rPr>
          <w:rStyle w:val="FootnoteReference"/>
        </w:rPr>
        <w:footnoteRef/>
      </w:r>
      <w:r>
        <w:t xml:space="preserve"> </w:t>
      </w:r>
      <w:r w:rsidRPr="005E314C">
        <w:t xml:space="preserve">Corrects the QT interval for heart rate extremes using Bazett, Fridericia, Framingham, or </w:t>
      </w:r>
      <w:r w:rsidRPr="005E314C">
        <w:t>Hodges formulas.</w:t>
      </w:r>
    </w:p>
  </w:footnote>
  <w:footnote w:id="34">
    <w:p w14:paraId="51EDD2A3" w14:textId="77777777" w:rsidR="00130E1B" w:rsidRDefault="00130E1B" w:rsidP="00E12660">
      <w:pPr>
        <w:pStyle w:val="FootnoteText"/>
      </w:pPr>
      <w:r>
        <w:rPr>
          <w:rStyle w:val="FootnoteReference"/>
        </w:rPr>
        <w:footnoteRef/>
      </w:r>
      <w:r>
        <w:t xml:space="preserve"> Cytochrome P450 (CYP) enzymes: CYPs are the major enzymes involved in drug metabolism, accounting for large part of the total metabolism. Most drugs undergo deactivation by CYPs, either directly or by facilitated excretion from the body. Also, many substances are bioactivated by CYPs to form their active compounds.</w:t>
      </w:r>
    </w:p>
    <w:p w14:paraId="359157C4" w14:textId="18125ECD" w:rsidR="00130E1B" w:rsidRDefault="00130E1B" w:rsidP="00E12660">
      <w:pPr>
        <w:pStyle w:val="FootnoteText"/>
      </w:pPr>
      <w:r>
        <w:t xml:space="preserve">Many drugs may increase or decrease the activity of various CYP isozymes either by inducing the biosynthesis of an isozyme (enzyme induction) or by directly inhibiting the activity of the CYP (enzyme inhibition). This is a major source of adverse drug </w:t>
      </w:r>
      <w:r>
        <w:t>interactions, since changes in CYP enzyme activity may affect the metabolism and clearance of various drugs. Such drug interactions are especially important to take into account when using drugs of vital importance to the patient, drugs with important side-effects and drugs with small therapeutic windows, but any drug may be subject to an altered plasma concentration due to altered drug metabolism.</w:t>
      </w:r>
    </w:p>
  </w:footnote>
  <w:footnote w:id="35">
    <w:p w14:paraId="09AC96D4" w14:textId="62AD3282" w:rsidR="00130E1B" w:rsidRDefault="00130E1B">
      <w:pPr>
        <w:pStyle w:val="FootnoteText"/>
      </w:pPr>
      <w:r>
        <w:rPr>
          <w:rStyle w:val="FootnoteReference"/>
        </w:rPr>
        <w:footnoteRef/>
      </w:r>
      <w:r>
        <w:t xml:space="preserve"> </w:t>
      </w:r>
      <w:r w:rsidRPr="005E314C">
        <w:t>Half-maximal inhibitory concentration (IC50) is a measure of the effectiveness of a compound in inhibiting biological/biochemical function.</w:t>
      </w:r>
    </w:p>
  </w:footnote>
  <w:footnote w:id="36">
    <w:p w14:paraId="4FE56C77" w14:textId="2008AB19" w:rsidR="00130E1B" w:rsidRDefault="00130E1B">
      <w:pPr>
        <w:pStyle w:val="FootnoteText"/>
      </w:pPr>
      <w:r>
        <w:rPr>
          <w:rStyle w:val="FootnoteReference"/>
        </w:rPr>
        <w:footnoteRef/>
      </w:r>
      <w:r>
        <w:t xml:space="preserve"> </w:t>
      </w:r>
      <w:r w:rsidRPr="009A2821">
        <w:t>FDA, Center for Drug Evaluation and Research,</w:t>
      </w:r>
      <w:r>
        <w:t xml:space="preserve"> Approval package for Zepzelca, lurbinectedin, 15 June 2020. </w:t>
      </w:r>
      <w:r w:rsidRPr="00013979">
        <w:t>Available from the FDA website.</w:t>
      </w:r>
    </w:p>
  </w:footnote>
  <w:footnote w:id="37">
    <w:p w14:paraId="30A31003" w14:textId="704B382D" w:rsidR="00130E1B" w:rsidRDefault="00130E1B">
      <w:pPr>
        <w:pStyle w:val="FootnoteText"/>
      </w:pPr>
      <w:r>
        <w:rPr>
          <w:rStyle w:val="FootnoteReference"/>
        </w:rPr>
        <w:footnoteRef/>
      </w:r>
      <w:r>
        <w:t xml:space="preserve"> </w:t>
      </w:r>
      <w:r w:rsidRPr="000B6C51">
        <w:t xml:space="preserve">The Response Evaluation Criteria </w:t>
      </w:r>
      <w:r w:rsidRPr="000B6C51">
        <w:t>In Solid Tumours (RECIST) is a voluntary international standard with unified and easily applicable criteria to define when a patient's tumour has improved ('respond'), stayed the same ('stabilise'), or worsened ('progress') during treatment. The criteria were published in February 2000 by an international collaboration including the European Organisation for Research and Treatment of Cancer (EORTC), National Cancer Institute (NCI) of the United States, and the National Cancer Institute of Canada Clinical Trials Group. Today, the majority of clinical trials evaluating cancer treatments for objective response in solid tumours use RECIST. These criteria were developed and published in February 2000, and subsequently updated in 2009.</w:t>
      </w:r>
    </w:p>
  </w:footnote>
  <w:footnote w:id="38">
    <w:p w14:paraId="0DCCE19C" w14:textId="10B710EF" w:rsidR="00130E1B" w:rsidRDefault="00130E1B" w:rsidP="0095118D">
      <w:pPr>
        <w:pStyle w:val="FootnoteText"/>
      </w:pPr>
      <w:r>
        <w:rPr>
          <w:rStyle w:val="FootnoteReference"/>
        </w:rPr>
        <w:footnoteRef/>
      </w:r>
      <w:r>
        <w:t xml:space="preserve"> ECOG Performance Status: The Eastern Cooperative Oncology Group (ECOG) has developed criteria used by doctors and researchers to assess how a patient's disease is progressing, assess how the disease affects the daily living abilities of the patient, and determine appropriate treatment and prognosis. The following are used: </w:t>
      </w:r>
    </w:p>
    <w:p w14:paraId="07F7D51F" w14:textId="77777777" w:rsidR="00130E1B" w:rsidRDefault="00130E1B" w:rsidP="0095118D">
      <w:pPr>
        <w:pStyle w:val="FootnoteText"/>
      </w:pPr>
      <w:r>
        <w:t>0 - Fully active, able to carry on all pre-disease performance without restriction</w:t>
      </w:r>
    </w:p>
    <w:p w14:paraId="49B7C99F" w14:textId="6D7EB058" w:rsidR="00130E1B" w:rsidRDefault="00130E1B" w:rsidP="0095118D">
      <w:pPr>
        <w:pStyle w:val="FootnoteText"/>
      </w:pPr>
      <w:r>
        <w:t>1- Restricted in physically strenuous activity but ambulatory and able to carry out work of a light or sedentary nature, e.g., light housework, office work</w:t>
      </w:r>
    </w:p>
    <w:p w14:paraId="2ABEBDEB" w14:textId="77777777" w:rsidR="00130E1B" w:rsidRPr="00ED64BB" w:rsidRDefault="00130E1B" w:rsidP="00ED64BB">
      <w:pPr>
        <w:pStyle w:val="FootnoteText"/>
      </w:pPr>
      <w:r w:rsidRPr="00ED64BB">
        <w:t>2 - Ambulatory and capable of all selfcare but unable to carry out any work activities. Up and about more than 50% of waking hours</w:t>
      </w:r>
    </w:p>
    <w:p w14:paraId="72889C16" w14:textId="77777777" w:rsidR="00130E1B" w:rsidRPr="00ED64BB" w:rsidRDefault="00130E1B" w:rsidP="00ED64BB">
      <w:pPr>
        <w:pStyle w:val="FootnoteText"/>
      </w:pPr>
      <w:r w:rsidRPr="00ED64BB">
        <w:t>3 - Capable of only limited selfcare, confined to bed or chair more than 50% of waking hours</w:t>
      </w:r>
    </w:p>
    <w:p w14:paraId="7DD8EF46" w14:textId="77777777" w:rsidR="00130E1B" w:rsidRPr="00ED64BB" w:rsidRDefault="00130E1B" w:rsidP="00ED64BB">
      <w:pPr>
        <w:pStyle w:val="FootnoteText"/>
      </w:pPr>
      <w:r w:rsidRPr="00ED64BB">
        <w:t>4 - Completely disabled. Cannot carry on any selfcare. Totally confined to bed or chair</w:t>
      </w:r>
    </w:p>
    <w:p w14:paraId="369E6838" w14:textId="6E3A5525" w:rsidR="00130E1B" w:rsidRDefault="00130E1B" w:rsidP="00ED64BB">
      <w:pPr>
        <w:pStyle w:val="FootnoteText"/>
      </w:pPr>
      <w:r w:rsidRPr="00ED64BB">
        <w:t>5 – Dead</w:t>
      </w:r>
    </w:p>
  </w:footnote>
  <w:footnote w:id="39">
    <w:p w14:paraId="4085D655" w14:textId="11E787C8" w:rsidR="00130E1B" w:rsidRDefault="00130E1B">
      <w:pPr>
        <w:pStyle w:val="FootnoteText"/>
      </w:pPr>
      <w:r>
        <w:rPr>
          <w:rStyle w:val="FootnoteReference"/>
        </w:rPr>
        <w:footnoteRef/>
      </w:r>
      <w:r>
        <w:t xml:space="preserve"> </w:t>
      </w:r>
      <w:r w:rsidRPr="005E314C">
        <w:t>A method for obtaining a confidence interval for an unknown binomial probability, p.</w:t>
      </w:r>
    </w:p>
  </w:footnote>
  <w:footnote w:id="40">
    <w:p w14:paraId="37217B67" w14:textId="0C93EC7B" w:rsidR="00130E1B" w:rsidRDefault="00130E1B" w:rsidP="00D15DC1">
      <w:pPr>
        <w:pStyle w:val="EndnoteText"/>
      </w:pPr>
      <w:r>
        <w:rPr>
          <w:rStyle w:val="FootnoteReference"/>
        </w:rPr>
        <w:footnoteRef/>
      </w:r>
      <w:r>
        <w:t xml:space="preserve"> </w:t>
      </w:r>
      <w:r w:rsidRPr="00ED64BB">
        <w:rPr>
          <w:rStyle w:val="FootnoteTextChar"/>
        </w:rPr>
        <w:t>FDA. Clinical trial endpoints for the approval of cancer drugs and biologics: guidance for industry, December 2018. Available from the FDA website.</w:t>
      </w:r>
    </w:p>
  </w:footnote>
  <w:footnote w:id="41">
    <w:p w14:paraId="270A4B36" w14:textId="45234217" w:rsidR="00130E1B" w:rsidRDefault="00130E1B">
      <w:pPr>
        <w:pStyle w:val="FootnoteText"/>
      </w:pPr>
      <w:r>
        <w:rPr>
          <w:rStyle w:val="FootnoteReference"/>
        </w:rPr>
        <w:footnoteRef/>
      </w:r>
      <w:r>
        <w:t xml:space="preserve"> </w:t>
      </w:r>
      <w:r w:rsidRPr="00616E66">
        <w:t>Approved FDA label for lurbinectedin. Accessed 16 July 2021.</w:t>
      </w:r>
    </w:p>
  </w:footnote>
  <w:footnote w:id="42">
    <w:p w14:paraId="7F5581A5" w14:textId="18114AA3" w:rsidR="00130E1B" w:rsidRDefault="00130E1B">
      <w:pPr>
        <w:pStyle w:val="FootnoteText"/>
      </w:pPr>
      <w:r>
        <w:rPr>
          <w:rStyle w:val="FootnoteReference"/>
        </w:rPr>
        <w:footnoteRef/>
      </w:r>
      <w:r>
        <w:t xml:space="preserve"> </w:t>
      </w:r>
      <w:r w:rsidRPr="00616E66">
        <w:t>Farago AF</w:t>
      </w:r>
      <w:r>
        <w:t xml:space="preserve"> et al. </w:t>
      </w:r>
      <w:r w:rsidRPr="00616E66">
        <w:t xml:space="preserve">ATLANTIS: </w:t>
      </w:r>
      <w:r w:rsidRPr="00616E66">
        <w:t xml:space="preserve">a Phase III study of lurbinectedin/doxorubicin versus topotecan or cyclophosphamide/doxorubicin/vincristine in patients with small-cell lung cancer who have failed one prior platinum-containing line. </w:t>
      </w:r>
      <w:r w:rsidRPr="00BF7227">
        <w:rPr>
          <w:i/>
          <w:iCs/>
        </w:rPr>
        <w:t>Future Oncol</w:t>
      </w:r>
      <w:r w:rsidRPr="00BF7227">
        <w:t>; 2019</w:t>
      </w:r>
      <w:r>
        <w:t xml:space="preserve">; </w:t>
      </w:r>
      <w:r w:rsidRPr="00616E66">
        <w:t>15(3):231-239.</w:t>
      </w:r>
    </w:p>
  </w:footnote>
  <w:footnote w:id="43">
    <w:p w14:paraId="192842A6" w14:textId="74461D68" w:rsidR="00130E1B" w:rsidRDefault="00130E1B">
      <w:pPr>
        <w:pStyle w:val="FootnoteText"/>
      </w:pPr>
      <w:r>
        <w:rPr>
          <w:rStyle w:val="FootnoteReference"/>
        </w:rPr>
        <w:footnoteRef/>
      </w:r>
      <w:r>
        <w:t xml:space="preserve"> </w:t>
      </w:r>
      <w:r w:rsidRPr="00CF15C7">
        <w:t>PharmaMar and Jazz Pharmaceuticals announcement of results of the ATLANTIS phase III study with lurbinectedin, 2020. Available from pharmamar.com.</w:t>
      </w:r>
    </w:p>
  </w:footnote>
  <w:footnote w:id="44">
    <w:p w14:paraId="6A8421B2" w14:textId="77777777" w:rsidR="00130E1B" w:rsidRDefault="00130E1B" w:rsidP="00122F58">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6A0DABE3" w14:textId="77777777" w:rsidR="00130E1B" w:rsidRDefault="00130E1B" w:rsidP="00122F58">
      <w:pPr>
        <w:pStyle w:val="FootnoteText"/>
      </w:pPr>
      <w:r w:rsidRPr="007D53B6">
        <w:rPr>
          <w:i/>
        </w:rPr>
        <w:t>Routine pharmacovigilance</w:t>
      </w:r>
      <w:r>
        <w:t xml:space="preserve"> practices involve the following activities:</w:t>
      </w:r>
    </w:p>
    <w:p w14:paraId="298817D5" w14:textId="77777777" w:rsidR="00130E1B" w:rsidRDefault="00130E1B" w:rsidP="00122F58">
      <w:pPr>
        <w:pStyle w:val="FootnoteText"/>
        <w:numPr>
          <w:ilvl w:val="0"/>
          <w:numId w:val="5"/>
        </w:numPr>
        <w:ind w:left="284" w:hanging="284"/>
      </w:pPr>
      <w:r>
        <w:t xml:space="preserve">All suspected adverse reactions that are reported to the personnel of the company are collected and collated in an accessible </w:t>
      </w:r>
      <w:r>
        <w:t>manner;</w:t>
      </w:r>
    </w:p>
    <w:p w14:paraId="6506FD39" w14:textId="77777777" w:rsidR="00130E1B" w:rsidRDefault="00130E1B" w:rsidP="00122F58">
      <w:pPr>
        <w:pStyle w:val="FootnoteText"/>
        <w:numPr>
          <w:ilvl w:val="0"/>
          <w:numId w:val="5"/>
        </w:numPr>
        <w:ind w:left="284" w:hanging="284"/>
      </w:pPr>
      <w:r>
        <w:t>Reporting to regulatory authorities;</w:t>
      </w:r>
    </w:p>
    <w:p w14:paraId="582D7269" w14:textId="77777777" w:rsidR="00130E1B" w:rsidRDefault="00130E1B" w:rsidP="00122F58">
      <w:pPr>
        <w:pStyle w:val="FootnoteText"/>
        <w:numPr>
          <w:ilvl w:val="0"/>
          <w:numId w:val="5"/>
        </w:numPr>
        <w:ind w:left="284" w:hanging="284"/>
      </w:pPr>
      <w:r>
        <w:t>Continuous monitoring of the safety profiles of approved products including signal detection and updating of labelling;</w:t>
      </w:r>
    </w:p>
    <w:p w14:paraId="628B05E7" w14:textId="77777777" w:rsidR="00130E1B" w:rsidRDefault="00130E1B" w:rsidP="00122F58">
      <w:pPr>
        <w:pStyle w:val="FootnoteText"/>
        <w:numPr>
          <w:ilvl w:val="0"/>
          <w:numId w:val="5"/>
        </w:numPr>
        <w:ind w:left="284" w:hanging="284"/>
      </w:pPr>
      <w:r>
        <w:t>Submission of PSURs;</w:t>
      </w:r>
    </w:p>
    <w:p w14:paraId="0A6E4E01" w14:textId="77777777" w:rsidR="00130E1B" w:rsidRDefault="00130E1B" w:rsidP="00122F58">
      <w:pPr>
        <w:pStyle w:val="FootnoteText"/>
        <w:numPr>
          <w:ilvl w:val="0"/>
          <w:numId w:val="5"/>
        </w:numPr>
        <w:ind w:left="284" w:hanging="284"/>
      </w:pPr>
      <w:r>
        <w:t>Meeting other local regulatory agency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5A9D" w14:textId="77777777" w:rsidR="00130E1B" w:rsidRDefault="00130E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95361" w14:textId="77777777" w:rsidR="00130E1B" w:rsidRDefault="00130E1B" w:rsidP="006E08B3">
    <w:r>
      <w:t>Therapeutic Goods Administration</w:t>
    </w:r>
  </w:p>
  <w:p w14:paraId="09605C60" w14:textId="77777777" w:rsidR="00130E1B" w:rsidRDefault="00130E1B" w:rsidP="006D03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4FD72" w14:textId="77777777" w:rsidR="00130E1B" w:rsidRDefault="00130E1B"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6DD2C" w14:textId="77777777" w:rsidR="00130E1B" w:rsidRDefault="00130E1B">
    <w:pPr>
      <w:rPr>
        <w:noProof/>
        <w:lang w:eastAsia="en-AU"/>
      </w:rPr>
    </w:pPr>
    <w:r w:rsidRPr="00347824">
      <w:rPr>
        <w:noProof/>
        <w:lang w:val="en-GB" w:eastAsia="en-GB"/>
      </w:rPr>
      <w:drawing>
        <wp:anchor distT="0" distB="0" distL="114300" distR="114300" simplePos="0" relativeHeight="251659264" behindDoc="1" locked="0" layoutInCell="1" allowOverlap="1" wp14:anchorId="659B9B06" wp14:editId="1D9729D8">
          <wp:simplePos x="0" y="0"/>
          <wp:positionH relativeFrom="column">
            <wp:posOffset>-1089660</wp:posOffset>
          </wp:positionH>
          <wp:positionV relativeFrom="paragraph">
            <wp:posOffset>-585470</wp:posOffset>
          </wp:positionV>
          <wp:extent cx="7572375" cy="10706100"/>
          <wp:effectExtent l="19050" t="0" r="0"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66CFACCF" w14:textId="5240CEEE" w:rsidR="00130E1B" w:rsidRDefault="00130E1B" w:rsidP="00593AD1">
    <w:pPr>
      <w:pStyle w:val="HeaderNoLi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A9FC" w14:textId="77777777" w:rsidR="00130E1B" w:rsidRDefault="00130E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67F5" w14:textId="77777777" w:rsidR="00130E1B" w:rsidRDefault="00130E1B">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E59F8" w14:textId="77777777" w:rsidR="00130E1B" w:rsidRDefault="00130E1B">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8494"/>
    </w:tblGrid>
    <w:tr w:rsidR="00C667D2" w:rsidRPr="000B2145" w14:paraId="4B46FDF1" w14:textId="77777777" w:rsidTr="00A87209">
      <w:trPr>
        <w:trHeight w:val="1012"/>
      </w:trPr>
      <w:tc>
        <w:tcPr>
          <w:tcW w:w="9039" w:type="dxa"/>
          <w:shd w:val="clear" w:color="auto" w:fill="E4F2E0"/>
        </w:tcPr>
        <w:p w14:paraId="39B40C41" w14:textId="77777777" w:rsidR="00C667D2" w:rsidRPr="000E4791" w:rsidRDefault="00C667D2" w:rsidP="00C667D2">
          <w:pPr>
            <w:pStyle w:val="Footer"/>
            <w:rPr>
              <w:b/>
              <w:sz w:val="18"/>
              <w:szCs w:val="18"/>
            </w:rPr>
          </w:pPr>
          <w:bookmarkStart w:id="108" w:name="_Hlk80611440"/>
          <w:r w:rsidRPr="000E4791">
            <w:rPr>
              <w:b/>
              <w:sz w:val="18"/>
              <w:szCs w:val="18"/>
            </w:rPr>
            <w:t xml:space="preserve">Attachment </w:t>
          </w:r>
          <w:proofErr w:type="spellStart"/>
          <w:r w:rsidRPr="005C372E">
            <w:rPr>
              <w:b/>
              <w:sz w:val="18"/>
              <w:szCs w:val="18"/>
            </w:rPr>
            <w:t>AusPAR</w:t>
          </w:r>
          <w:proofErr w:type="spellEnd"/>
          <w:r w:rsidRPr="005C372E">
            <w:rPr>
              <w:b/>
              <w:sz w:val="18"/>
              <w:szCs w:val="18"/>
            </w:rPr>
            <w:t xml:space="preserve"> - </w:t>
          </w:r>
          <w:proofErr w:type="spellStart"/>
          <w:r w:rsidRPr="005C372E">
            <w:rPr>
              <w:b/>
              <w:sz w:val="18"/>
              <w:szCs w:val="18"/>
            </w:rPr>
            <w:t>Zepzelca</w:t>
          </w:r>
          <w:proofErr w:type="spellEnd"/>
          <w:r w:rsidRPr="005C372E">
            <w:rPr>
              <w:b/>
              <w:sz w:val="18"/>
              <w:szCs w:val="18"/>
            </w:rPr>
            <w:t xml:space="preserve"> – lurbinectedin- Specialised Therapeutics Pharma Pty Ltd - PM-2020-02181-1-4</w:t>
          </w:r>
          <w:r>
            <w:rPr>
              <w:b/>
              <w:sz w:val="18"/>
              <w:szCs w:val="18"/>
            </w:rPr>
            <w:t xml:space="preserve"> </w:t>
          </w:r>
          <w:r w:rsidRPr="005C372E">
            <w:rPr>
              <w:b/>
              <w:sz w:val="18"/>
              <w:szCs w:val="18"/>
            </w:rPr>
            <w:t>FINAL 1 April 2022</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08"/>
  </w:tbl>
  <w:p w14:paraId="2C543005" w14:textId="34C30B88" w:rsidR="00C667D2" w:rsidRPr="00C667D2" w:rsidRDefault="00C667D2" w:rsidP="00C667D2">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2802A" w14:textId="77777777" w:rsidR="00130E1B" w:rsidRDefault="00130E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B268" w14:textId="77777777" w:rsidR="00130E1B" w:rsidRDefault="00130E1B" w:rsidP="004C239D">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4168DD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873EA"/>
    <w:multiLevelType w:val="hybridMultilevel"/>
    <w:tmpl w:val="6F92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8F13E9"/>
    <w:multiLevelType w:val="multilevel"/>
    <w:tmpl w:val="EEC6DCEE"/>
    <w:styleLink w:val="ListBullets"/>
    <w:lvl w:ilvl="0">
      <w:start w:val="1"/>
      <w:numFmt w:val="bullet"/>
      <w:pStyle w:val="ListBullet"/>
      <w:lvlText w:val="•"/>
      <w:lvlJc w:val="left"/>
      <w:pPr>
        <w:ind w:left="360" w:hanging="360"/>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A6967B2"/>
    <w:multiLevelType w:val="hybridMultilevel"/>
    <w:tmpl w:val="E432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65D51"/>
    <w:multiLevelType w:val="hybridMultilevel"/>
    <w:tmpl w:val="884C2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0C6CA1"/>
    <w:multiLevelType w:val="hybridMultilevel"/>
    <w:tmpl w:val="3358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1" w15:restartNumberingAfterBreak="0">
    <w:nsid w:val="4A7B0EC1"/>
    <w:multiLevelType w:val="hybridMultilevel"/>
    <w:tmpl w:val="8996A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634A9A"/>
    <w:multiLevelType w:val="hybridMultilevel"/>
    <w:tmpl w:val="3FD4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5"/>
  </w:num>
  <w:num w:numId="4">
    <w:abstractNumId w:val="4"/>
  </w:num>
  <w:num w:numId="5">
    <w:abstractNumId w:val="12"/>
  </w:num>
  <w:num w:numId="6">
    <w:abstractNumId w:val="9"/>
  </w:num>
  <w:num w:numId="7">
    <w:abstractNumId w:val="0"/>
  </w:num>
  <w:num w:numId="8">
    <w:abstractNumId w:val="2"/>
  </w:num>
  <w:num w:numId="9">
    <w:abstractNumId w:val="1"/>
  </w:num>
  <w:num w:numId="10">
    <w:abstractNumId w:val="6"/>
  </w:num>
  <w:num w:numId="11">
    <w:abstractNumId w:val="3"/>
  </w:num>
  <w:num w:numId="12">
    <w:abstractNumId w:val="13"/>
  </w:num>
  <w:num w:numId="13">
    <w:abstractNumId w:val="10"/>
  </w:num>
  <w:num w:numId="14">
    <w:abstractNumId w:val="8"/>
  </w:num>
  <w:num w:numId="15">
    <w:abstractNumId w:val="7"/>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6F"/>
    <w:rsid w:val="00002031"/>
    <w:rsid w:val="00004734"/>
    <w:rsid w:val="00006B22"/>
    <w:rsid w:val="00006FAB"/>
    <w:rsid w:val="0001276A"/>
    <w:rsid w:val="00013979"/>
    <w:rsid w:val="000246AE"/>
    <w:rsid w:val="00025C67"/>
    <w:rsid w:val="00040F46"/>
    <w:rsid w:val="0004233D"/>
    <w:rsid w:val="00044772"/>
    <w:rsid w:val="0004541C"/>
    <w:rsid w:val="0004573D"/>
    <w:rsid w:val="00050680"/>
    <w:rsid w:val="00050845"/>
    <w:rsid w:val="0005559E"/>
    <w:rsid w:val="000604D6"/>
    <w:rsid w:val="0007292F"/>
    <w:rsid w:val="000734D8"/>
    <w:rsid w:val="0007554A"/>
    <w:rsid w:val="00077775"/>
    <w:rsid w:val="00090471"/>
    <w:rsid w:val="00096AA7"/>
    <w:rsid w:val="000A2CCC"/>
    <w:rsid w:val="000A3AED"/>
    <w:rsid w:val="000A4BAF"/>
    <w:rsid w:val="000B1C59"/>
    <w:rsid w:val="000B1DF1"/>
    <w:rsid w:val="000B3532"/>
    <w:rsid w:val="000B3A75"/>
    <w:rsid w:val="000B3DCD"/>
    <w:rsid w:val="000B6C51"/>
    <w:rsid w:val="000C00C2"/>
    <w:rsid w:val="000C2D20"/>
    <w:rsid w:val="000C3701"/>
    <w:rsid w:val="000C57FE"/>
    <w:rsid w:val="000C690F"/>
    <w:rsid w:val="000D0C1D"/>
    <w:rsid w:val="000D1295"/>
    <w:rsid w:val="000D391B"/>
    <w:rsid w:val="000D3D6D"/>
    <w:rsid w:val="000D4FC7"/>
    <w:rsid w:val="000D5729"/>
    <w:rsid w:val="000E3A6A"/>
    <w:rsid w:val="000E5103"/>
    <w:rsid w:val="000E6196"/>
    <w:rsid w:val="000F4869"/>
    <w:rsid w:val="000F5B42"/>
    <w:rsid w:val="000F656B"/>
    <w:rsid w:val="000F6E6F"/>
    <w:rsid w:val="00104D57"/>
    <w:rsid w:val="0010601F"/>
    <w:rsid w:val="0010788A"/>
    <w:rsid w:val="00107A31"/>
    <w:rsid w:val="00110EA5"/>
    <w:rsid w:val="00112F56"/>
    <w:rsid w:val="00122F58"/>
    <w:rsid w:val="00124ACD"/>
    <w:rsid w:val="00124DB0"/>
    <w:rsid w:val="00125318"/>
    <w:rsid w:val="001305A2"/>
    <w:rsid w:val="00130E1B"/>
    <w:rsid w:val="00133238"/>
    <w:rsid w:val="00133A1B"/>
    <w:rsid w:val="00134650"/>
    <w:rsid w:val="00135E64"/>
    <w:rsid w:val="0014197B"/>
    <w:rsid w:val="001447CD"/>
    <w:rsid w:val="00145B92"/>
    <w:rsid w:val="001516B1"/>
    <w:rsid w:val="00154EBB"/>
    <w:rsid w:val="00156316"/>
    <w:rsid w:val="00161181"/>
    <w:rsid w:val="00162D14"/>
    <w:rsid w:val="00163780"/>
    <w:rsid w:val="00165389"/>
    <w:rsid w:val="00167533"/>
    <w:rsid w:val="0017693F"/>
    <w:rsid w:val="00180973"/>
    <w:rsid w:val="0018110E"/>
    <w:rsid w:val="00181684"/>
    <w:rsid w:val="001843C6"/>
    <w:rsid w:val="001850E0"/>
    <w:rsid w:val="00190359"/>
    <w:rsid w:val="00191980"/>
    <w:rsid w:val="001A03AF"/>
    <w:rsid w:val="001A1146"/>
    <w:rsid w:val="001A170E"/>
    <w:rsid w:val="001A2158"/>
    <w:rsid w:val="001A525F"/>
    <w:rsid w:val="001B09F9"/>
    <w:rsid w:val="001B1FF8"/>
    <w:rsid w:val="001B5C90"/>
    <w:rsid w:val="001B6448"/>
    <w:rsid w:val="001C32CD"/>
    <w:rsid w:val="001D19B7"/>
    <w:rsid w:val="001D2984"/>
    <w:rsid w:val="001E07CF"/>
    <w:rsid w:val="001E445A"/>
    <w:rsid w:val="001E59F1"/>
    <w:rsid w:val="001F2CEE"/>
    <w:rsid w:val="001F49EB"/>
    <w:rsid w:val="001F6CBA"/>
    <w:rsid w:val="00201480"/>
    <w:rsid w:val="00201D4E"/>
    <w:rsid w:val="0020331C"/>
    <w:rsid w:val="002076C9"/>
    <w:rsid w:val="002165CB"/>
    <w:rsid w:val="00220B8A"/>
    <w:rsid w:val="002225D5"/>
    <w:rsid w:val="002257F3"/>
    <w:rsid w:val="00232DCE"/>
    <w:rsid w:val="00233456"/>
    <w:rsid w:val="002337B8"/>
    <w:rsid w:val="002339A5"/>
    <w:rsid w:val="00233A35"/>
    <w:rsid w:val="00250271"/>
    <w:rsid w:val="0025075B"/>
    <w:rsid w:val="00255390"/>
    <w:rsid w:val="00257848"/>
    <w:rsid w:val="002578E8"/>
    <w:rsid w:val="00261DF9"/>
    <w:rsid w:val="00262101"/>
    <w:rsid w:val="0027084A"/>
    <w:rsid w:val="00280265"/>
    <w:rsid w:val="00286434"/>
    <w:rsid w:val="00286C59"/>
    <w:rsid w:val="00291957"/>
    <w:rsid w:val="002935BE"/>
    <w:rsid w:val="002936FD"/>
    <w:rsid w:val="002942D1"/>
    <w:rsid w:val="0029501A"/>
    <w:rsid w:val="002A16E9"/>
    <w:rsid w:val="002A3721"/>
    <w:rsid w:val="002A3EC3"/>
    <w:rsid w:val="002A573A"/>
    <w:rsid w:val="002B0060"/>
    <w:rsid w:val="002B1638"/>
    <w:rsid w:val="002B3624"/>
    <w:rsid w:val="002B3F70"/>
    <w:rsid w:val="002B6AAA"/>
    <w:rsid w:val="002B6C19"/>
    <w:rsid w:val="002C05F8"/>
    <w:rsid w:val="002C225D"/>
    <w:rsid w:val="002C2A0D"/>
    <w:rsid w:val="002D0952"/>
    <w:rsid w:val="002D7FB9"/>
    <w:rsid w:val="002E09AB"/>
    <w:rsid w:val="002E2F36"/>
    <w:rsid w:val="002E34E9"/>
    <w:rsid w:val="002E40B3"/>
    <w:rsid w:val="002E4C9A"/>
    <w:rsid w:val="002F11F8"/>
    <w:rsid w:val="002F3F56"/>
    <w:rsid w:val="002F44B5"/>
    <w:rsid w:val="002F4A8D"/>
    <w:rsid w:val="002F5122"/>
    <w:rsid w:val="00311A32"/>
    <w:rsid w:val="00311AC0"/>
    <w:rsid w:val="003176FC"/>
    <w:rsid w:val="0032583B"/>
    <w:rsid w:val="00327883"/>
    <w:rsid w:val="00335504"/>
    <w:rsid w:val="003369FC"/>
    <w:rsid w:val="00340C18"/>
    <w:rsid w:val="003442FD"/>
    <w:rsid w:val="00345FBC"/>
    <w:rsid w:val="00347824"/>
    <w:rsid w:val="00350567"/>
    <w:rsid w:val="00350E08"/>
    <w:rsid w:val="003521E8"/>
    <w:rsid w:val="00367EFF"/>
    <w:rsid w:val="00370CE3"/>
    <w:rsid w:val="003728F3"/>
    <w:rsid w:val="003735BC"/>
    <w:rsid w:val="0037496E"/>
    <w:rsid w:val="00383221"/>
    <w:rsid w:val="00386150"/>
    <w:rsid w:val="003874CE"/>
    <w:rsid w:val="00390900"/>
    <w:rsid w:val="003A7F6C"/>
    <w:rsid w:val="003B1C64"/>
    <w:rsid w:val="003B4D60"/>
    <w:rsid w:val="003B6C03"/>
    <w:rsid w:val="003B7E39"/>
    <w:rsid w:val="003C58DC"/>
    <w:rsid w:val="003C6A4C"/>
    <w:rsid w:val="003C6F8C"/>
    <w:rsid w:val="003D1E62"/>
    <w:rsid w:val="003E0B99"/>
    <w:rsid w:val="003E2486"/>
    <w:rsid w:val="003E3208"/>
    <w:rsid w:val="003F04B7"/>
    <w:rsid w:val="003F07DB"/>
    <w:rsid w:val="003F0B04"/>
    <w:rsid w:val="0040134E"/>
    <w:rsid w:val="00427C58"/>
    <w:rsid w:val="004334C7"/>
    <w:rsid w:val="00440A2D"/>
    <w:rsid w:val="00441C3F"/>
    <w:rsid w:val="00444D1A"/>
    <w:rsid w:val="0045186A"/>
    <w:rsid w:val="004564A7"/>
    <w:rsid w:val="00456765"/>
    <w:rsid w:val="00460036"/>
    <w:rsid w:val="004617BF"/>
    <w:rsid w:val="0046263B"/>
    <w:rsid w:val="00463066"/>
    <w:rsid w:val="0046317B"/>
    <w:rsid w:val="00463658"/>
    <w:rsid w:val="004637A0"/>
    <w:rsid w:val="00470631"/>
    <w:rsid w:val="004722CC"/>
    <w:rsid w:val="00473F5E"/>
    <w:rsid w:val="00483686"/>
    <w:rsid w:val="00490483"/>
    <w:rsid w:val="004936E4"/>
    <w:rsid w:val="00494E60"/>
    <w:rsid w:val="00497487"/>
    <w:rsid w:val="004A1D8A"/>
    <w:rsid w:val="004A2771"/>
    <w:rsid w:val="004A6189"/>
    <w:rsid w:val="004A7390"/>
    <w:rsid w:val="004B7B76"/>
    <w:rsid w:val="004C2155"/>
    <w:rsid w:val="004C239D"/>
    <w:rsid w:val="004C2DCA"/>
    <w:rsid w:val="004C30C9"/>
    <w:rsid w:val="004C488E"/>
    <w:rsid w:val="004C4F02"/>
    <w:rsid w:val="004C4FBE"/>
    <w:rsid w:val="004C61D2"/>
    <w:rsid w:val="004D17C5"/>
    <w:rsid w:val="004D1ACE"/>
    <w:rsid w:val="004D3AEA"/>
    <w:rsid w:val="004F0C4A"/>
    <w:rsid w:val="004F0D48"/>
    <w:rsid w:val="004F0F38"/>
    <w:rsid w:val="004F1E61"/>
    <w:rsid w:val="004F47D6"/>
    <w:rsid w:val="00500337"/>
    <w:rsid w:val="00501921"/>
    <w:rsid w:val="00503305"/>
    <w:rsid w:val="00504B36"/>
    <w:rsid w:val="0050674B"/>
    <w:rsid w:val="00511D22"/>
    <w:rsid w:val="00511F39"/>
    <w:rsid w:val="00530354"/>
    <w:rsid w:val="00530B20"/>
    <w:rsid w:val="0053625B"/>
    <w:rsid w:val="005434C6"/>
    <w:rsid w:val="00543B39"/>
    <w:rsid w:val="00545B69"/>
    <w:rsid w:val="00546154"/>
    <w:rsid w:val="00550096"/>
    <w:rsid w:val="00553F1E"/>
    <w:rsid w:val="00555280"/>
    <w:rsid w:val="00557FF9"/>
    <w:rsid w:val="00560F5E"/>
    <w:rsid w:val="00562327"/>
    <w:rsid w:val="005711D5"/>
    <w:rsid w:val="00576378"/>
    <w:rsid w:val="00577130"/>
    <w:rsid w:val="00577945"/>
    <w:rsid w:val="00577E38"/>
    <w:rsid w:val="00585322"/>
    <w:rsid w:val="005857C6"/>
    <w:rsid w:val="00592F6E"/>
    <w:rsid w:val="00593AD1"/>
    <w:rsid w:val="005976D1"/>
    <w:rsid w:val="005A68B6"/>
    <w:rsid w:val="005B4048"/>
    <w:rsid w:val="005B6B10"/>
    <w:rsid w:val="005C1103"/>
    <w:rsid w:val="005C5570"/>
    <w:rsid w:val="005C5B66"/>
    <w:rsid w:val="005C79A4"/>
    <w:rsid w:val="005D5442"/>
    <w:rsid w:val="005E16BC"/>
    <w:rsid w:val="005E314C"/>
    <w:rsid w:val="005F512D"/>
    <w:rsid w:val="00603F32"/>
    <w:rsid w:val="00605AD4"/>
    <w:rsid w:val="006136D7"/>
    <w:rsid w:val="00616E66"/>
    <w:rsid w:val="00617870"/>
    <w:rsid w:val="00625A6E"/>
    <w:rsid w:val="00626822"/>
    <w:rsid w:val="00632398"/>
    <w:rsid w:val="00640FC3"/>
    <w:rsid w:val="00642020"/>
    <w:rsid w:val="006428EC"/>
    <w:rsid w:val="006430EE"/>
    <w:rsid w:val="0065337B"/>
    <w:rsid w:val="0065419D"/>
    <w:rsid w:val="006603BC"/>
    <w:rsid w:val="006604D8"/>
    <w:rsid w:val="00664A5B"/>
    <w:rsid w:val="00665FDD"/>
    <w:rsid w:val="0066735C"/>
    <w:rsid w:val="006763D2"/>
    <w:rsid w:val="00680C08"/>
    <w:rsid w:val="006813C3"/>
    <w:rsid w:val="006916A0"/>
    <w:rsid w:val="006931B1"/>
    <w:rsid w:val="00695AE1"/>
    <w:rsid w:val="006A15C0"/>
    <w:rsid w:val="006A3130"/>
    <w:rsid w:val="006A58A8"/>
    <w:rsid w:val="006B222D"/>
    <w:rsid w:val="006B5064"/>
    <w:rsid w:val="006C3E2A"/>
    <w:rsid w:val="006C642F"/>
    <w:rsid w:val="006C71D3"/>
    <w:rsid w:val="006D03E5"/>
    <w:rsid w:val="006D1608"/>
    <w:rsid w:val="006D5D3E"/>
    <w:rsid w:val="006E08B3"/>
    <w:rsid w:val="006E0C15"/>
    <w:rsid w:val="006E5964"/>
    <w:rsid w:val="006F17AC"/>
    <w:rsid w:val="006F25B8"/>
    <w:rsid w:val="006F572E"/>
    <w:rsid w:val="007046D6"/>
    <w:rsid w:val="00705DB0"/>
    <w:rsid w:val="00706AC9"/>
    <w:rsid w:val="00722B57"/>
    <w:rsid w:val="0072599B"/>
    <w:rsid w:val="00730F8A"/>
    <w:rsid w:val="007315F1"/>
    <w:rsid w:val="00735A8C"/>
    <w:rsid w:val="0074253D"/>
    <w:rsid w:val="0074429B"/>
    <w:rsid w:val="00744DB2"/>
    <w:rsid w:val="00747F9B"/>
    <w:rsid w:val="007615BC"/>
    <w:rsid w:val="00762F05"/>
    <w:rsid w:val="007652FF"/>
    <w:rsid w:val="00770CAC"/>
    <w:rsid w:val="00770EF1"/>
    <w:rsid w:val="00773EF7"/>
    <w:rsid w:val="00774E1D"/>
    <w:rsid w:val="007765D8"/>
    <w:rsid w:val="0077675A"/>
    <w:rsid w:val="00780355"/>
    <w:rsid w:val="007819FD"/>
    <w:rsid w:val="0078403B"/>
    <w:rsid w:val="00784C21"/>
    <w:rsid w:val="00785717"/>
    <w:rsid w:val="00785721"/>
    <w:rsid w:val="00790CB7"/>
    <w:rsid w:val="00793A59"/>
    <w:rsid w:val="007A2707"/>
    <w:rsid w:val="007A46F5"/>
    <w:rsid w:val="007A4C05"/>
    <w:rsid w:val="007A6505"/>
    <w:rsid w:val="007B4E44"/>
    <w:rsid w:val="007B6132"/>
    <w:rsid w:val="007B6E9F"/>
    <w:rsid w:val="007C1216"/>
    <w:rsid w:val="007C1AF7"/>
    <w:rsid w:val="007C5995"/>
    <w:rsid w:val="007C6B9B"/>
    <w:rsid w:val="007D53B6"/>
    <w:rsid w:val="007E0248"/>
    <w:rsid w:val="008051D2"/>
    <w:rsid w:val="00805D27"/>
    <w:rsid w:val="00806DCB"/>
    <w:rsid w:val="008121CE"/>
    <w:rsid w:val="00821754"/>
    <w:rsid w:val="00821776"/>
    <w:rsid w:val="008321F5"/>
    <w:rsid w:val="00832369"/>
    <w:rsid w:val="00832CB3"/>
    <w:rsid w:val="00834660"/>
    <w:rsid w:val="00836BC2"/>
    <w:rsid w:val="00837D4E"/>
    <w:rsid w:val="00837EBF"/>
    <w:rsid w:val="00840FC4"/>
    <w:rsid w:val="008424FD"/>
    <w:rsid w:val="0085156D"/>
    <w:rsid w:val="00851F3F"/>
    <w:rsid w:val="00852B28"/>
    <w:rsid w:val="0085641B"/>
    <w:rsid w:val="00857136"/>
    <w:rsid w:val="00875A6B"/>
    <w:rsid w:val="00877B63"/>
    <w:rsid w:val="00883C4C"/>
    <w:rsid w:val="00885B11"/>
    <w:rsid w:val="00886381"/>
    <w:rsid w:val="00886D15"/>
    <w:rsid w:val="00887DD8"/>
    <w:rsid w:val="00891BA9"/>
    <w:rsid w:val="00896018"/>
    <w:rsid w:val="008960DD"/>
    <w:rsid w:val="0089635C"/>
    <w:rsid w:val="00897A67"/>
    <w:rsid w:val="008A2B9D"/>
    <w:rsid w:val="008A3756"/>
    <w:rsid w:val="008A3D9F"/>
    <w:rsid w:val="008A5E0B"/>
    <w:rsid w:val="008A6D59"/>
    <w:rsid w:val="008A7215"/>
    <w:rsid w:val="008A7DF7"/>
    <w:rsid w:val="008B4B03"/>
    <w:rsid w:val="008B596F"/>
    <w:rsid w:val="008B6402"/>
    <w:rsid w:val="008B7360"/>
    <w:rsid w:val="008C159F"/>
    <w:rsid w:val="008C1623"/>
    <w:rsid w:val="008C1850"/>
    <w:rsid w:val="008C1D45"/>
    <w:rsid w:val="008C51A9"/>
    <w:rsid w:val="008C5B99"/>
    <w:rsid w:val="008D248A"/>
    <w:rsid w:val="008D3BC7"/>
    <w:rsid w:val="008E7846"/>
    <w:rsid w:val="008F02E5"/>
    <w:rsid w:val="008F1CCC"/>
    <w:rsid w:val="008F2967"/>
    <w:rsid w:val="008F5F29"/>
    <w:rsid w:val="008F6943"/>
    <w:rsid w:val="00902A21"/>
    <w:rsid w:val="009118A8"/>
    <w:rsid w:val="0091523F"/>
    <w:rsid w:val="00917BE2"/>
    <w:rsid w:val="00920330"/>
    <w:rsid w:val="009219D7"/>
    <w:rsid w:val="00922D53"/>
    <w:rsid w:val="00923B70"/>
    <w:rsid w:val="00924482"/>
    <w:rsid w:val="00930237"/>
    <w:rsid w:val="00932DD1"/>
    <w:rsid w:val="0093432C"/>
    <w:rsid w:val="00937C17"/>
    <w:rsid w:val="00940A89"/>
    <w:rsid w:val="00941F77"/>
    <w:rsid w:val="00946EA5"/>
    <w:rsid w:val="00947DFD"/>
    <w:rsid w:val="0095118D"/>
    <w:rsid w:val="00955020"/>
    <w:rsid w:val="00955A16"/>
    <w:rsid w:val="00960520"/>
    <w:rsid w:val="00963C08"/>
    <w:rsid w:val="009661F0"/>
    <w:rsid w:val="00971F56"/>
    <w:rsid w:val="00973C71"/>
    <w:rsid w:val="009752A5"/>
    <w:rsid w:val="0098585A"/>
    <w:rsid w:val="009A2821"/>
    <w:rsid w:val="009A4CED"/>
    <w:rsid w:val="009A690D"/>
    <w:rsid w:val="009B0253"/>
    <w:rsid w:val="009B1D12"/>
    <w:rsid w:val="009B416B"/>
    <w:rsid w:val="009C3EFF"/>
    <w:rsid w:val="009C4BD5"/>
    <w:rsid w:val="009D7B77"/>
    <w:rsid w:val="009E0BB0"/>
    <w:rsid w:val="009E288F"/>
    <w:rsid w:val="009E3FBB"/>
    <w:rsid w:val="009F7353"/>
    <w:rsid w:val="00A00E10"/>
    <w:rsid w:val="00A01C29"/>
    <w:rsid w:val="00A04F85"/>
    <w:rsid w:val="00A05FA4"/>
    <w:rsid w:val="00A102E4"/>
    <w:rsid w:val="00A1219C"/>
    <w:rsid w:val="00A12C42"/>
    <w:rsid w:val="00A14773"/>
    <w:rsid w:val="00A14DF7"/>
    <w:rsid w:val="00A161F3"/>
    <w:rsid w:val="00A17B9B"/>
    <w:rsid w:val="00A22D57"/>
    <w:rsid w:val="00A3246D"/>
    <w:rsid w:val="00A3438C"/>
    <w:rsid w:val="00A36602"/>
    <w:rsid w:val="00A36FA7"/>
    <w:rsid w:val="00A41C10"/>
    <w:rsid w:val="00A44DDB"/>
    <w:rsid w:val="00A475B7"/>
    <w:rsid w:val="00A47AF7"/>
    <w:rsid w:val="00A47C3E"/>
    <w:rsid w:val="00A50226"/>
    <w:rsid w:val="00A555CE"/>
    <w:rsid w:val="00A60BAD"/>
    <w:rsid w:val="00A73FB3"/>
    <w:rsid w:val="00A77AEC"/>
    <w:rsid w:val="00A77F87"/>
    <w:rsid w:val="00A80B5B"/>
    <w:rsid w:val="00A84E36"/>
    <w:rsid w:val="00A87E3F"/>
    <w:rsid w:val="00A964D1"/>
    <w:rsid w:val="00AA0ED0"/>
    <w:rsid w:val="00AA6C7B"/>
    <w:rsid w:val="00AB6A4B"/>
    <w:rsid w:val="00AC2B40"/>
    <w:rsid w:val="00AC2BB2"/>
    <w:rsid w:val="00AC2C3C"/>
    <w:rsid w:val="00AC512D"/>
    <w:rsid w:val="00AD0083"/>
    <w:rsid w:val="00AD32DD"/>
    <w:rsid w:val="00AD3935"/>
    <w:rsid w:val="00AE65EB"/>
    <w:rsid w:val="00AE67A7"/>
    <w:rsid w:val="00AF1D94"/>
    <w:rsid w:val="00AF60C5"/>
    <w:rsid w:val="00B009C6"/>
    <w:rsid w:val="00B01548"/>
    <w:rsid w:val="00B130C5"/>
    <w:rsid w:val="00B13EBD"/>
    <w:rsid w:val="00B177DA"/>
    <w:rsid w:val="00B21D29"/>
    <w:rsid w:val="00B25034"/>
    <w:rsid w:val="00B33588"/>
    <w:rsid w:val="00B33863"/>
    <w:rsid w:val="00B37D17"/>
    <w:rsid w:val="00B4175E"/>
    <w:rsid w:val="00B41C85"/>
    <w:rsid w:val="00B44E44"/>
    <w:rsid w:val="00B452CE"/>
    <w:rsid w:val="00B54C25"/>
    <w:rsid w:val="00B601F4"/>
    <w:rsid w:val="00B66ACF"/>
    <w:rsid w:val="00B76B91"/>
    <w:rsid w:val="00B77EB1"/>
    <w:rsid w:val="00B811C6"/>
    <w:rsid w:val="00B83074"/>
    <w:rsid w:val="00B855B0"/>
    <w:rsid w:val="00B90672"/>
    <w:rsid w:val="00B92E08"/>
    <w:rsid w:val="00B97F5C"/>
    <w:rsid w:val="00BA4B04"/>
    <w:rsid w:val="00BA5A58"/>
    <w:rsid w:val="00BB4A40"/>
    <w:rsid w:val="00BB6CF0"/>
    <w:rsid w:val="00BC622A"/>
    <w:rsid w:val="00BE0A78"/>
    <w:rsid w:val="00BE79F0"/>
    <w:rsid w:val="00BF046D"/>
    <w:rsid w:val="00BF1190"/>
    <w:rsid w:val="00BF3774"/>
    <w:rsid w:val="00BF5D04"/>
    <w:rsid w:val="00BF7227"/>
    <w:rsid w:val="00C009AA"/>
    <w:rsid w:val="00C05DEC"/>
    <w:rsid w:val="00C111AF"/>
    <w:rsid w:val="00C1164D"/>
    <w:rsid w:val="00C1257D"/>
    <w:rsid w:val="00C16861"/>
    <w:rsid w:val="00C2047D"/>
    <w:rsid w:val="00C23B2C"/>
    <w:rsid w:val="00C346AB"/>
    <w:rsid w:val="00C404A6"/>
    <w:rsid w:val="00C40A36"/>
    <w:rsid w:val="00C44419"/>
    <w:rsid w:val="00C45E7B"/>
    <w:rsid w:val="00C471B1"/>
    <w:rsid w:val="00C508E0"/>
    <w:rsid w:val="00C525A2"/>
    <w:rsid w:val="00C52E24"/>
    <w:rsid w:val="00C57546"/>
    <w:rsid w:val="00C6316B"/>
    <w:rsid w:val="00C632CA"/>
    <w:rsid w:val="00C634A9"/>
    <w:rsid w:val="00C64586"/>
    <w:rsid w:val="00C653DB"/>
    <w:rsid w:val="00C66512"/>
    <w:rsid w:val="00C667D2"/>
    <w:rsid w:val="00C70A36"/>
    <w:rsid w:val="00C70D53"/>
    <w:rsid w:val="00C73D0B"/>
    <w:rsid w:val="00C74F5C"/>
    <w:rsid w:val="00C772FF"/>
    <w:rsid w:val="00C7788C"/>
    <w:rsid w:val="00C80137"/>
    <w:rsid w:val="00C801AF"/>
    <w:rsid w:val="00C80256"/>
    <w:rsid w:val="00C84345"/>
    <w:rsid w:val="00C94CD4"/>
    <w:rsid w:val="00C9747E"/>
    <w:rsid w:val="00CA4B24"/>
    <w:rsid w:val="00CA6062"/>
    <w:rsid w:val="00CB120A"/>
    <w:rsid w:val="00CB6BC0"/>
    <w:rsid w:val="00CC1B7C"/>
    <w:rsid w:val="00CC727F"/>
    <w:rsid w:val="00CD0A44"/>
    <w:rsid w:val="00CD7219"/>
    <w:rsid w:val="00CF15C3"/>
    <w:rsid w:val="00CF15C7"/>
    <w:rsid w:val="00CF2B6F"/>
    <w:rsid w:val="00CF2F3E"/>
    <w:rsid w:val="00CF58B6"/>
    <w:rsid w:val="00CF5DAD"/>
    <w:rsid w:val="00CF6B57"/>
    <w:rsid w:val="00D0062D"/>
    <w:rsid w:val="00D017ED"/>
    <w:rsid w:val="00D040D3"/>
    <w:rsid w:val="00D04C65"/>
    <w:rsid w:val="00D10D6B"/>
    <w:rsid w:val="00D11D49"/>
    <w:rsid w:val="00D11E8D"/>
    <w:rsid w:val="00D1281D"/>
    <w:rsid w:val="00D153D8"/>
    <w:rsid w:val="00D15DC1"/>
    <w:rsid w:val="00D201D2"/>
    <w:rsid w:val="00D224FE"/>
    <w:rsid w:val="00D23139"/>
    <w:rsid w:val="00D425BB"/>
    <w:rsid w:val="00D453FA"/>
    <w:rsid w:val="00D57DF6"/>
    <w:rsid w:val="00D6493E"/>
    <w:rsid w:val="00D707CA"/>
    <w:rsid w:val="00D7195D"/>
    <w:rsid w:val="00D7301E"/>
    <w:rsid w:val="00D7331F"/>
    <w:rsid w:val="00D824F6"/>
    <w:rsid w:val="00D83AE1"/>
    <w:rsid w:val="00D855D4"/>
    <w:rsid w:val="00D902C9"/>
    <w:rsid w:val="00D93466"/>
    <w:rsid w:val="00DA1124"/>
    <w:rsid w:val="00DA64CB"/>
    <w:rsid w:val="00DB06B8"/>
    <w:rsid w:val="00DB6124"/>
    <w:rsid w:val="00DB750B"/>
    <w:rsid w:val="00DB75B7"/>
    <w:rsid w:val="00DC0A2F"/>
    <w:rsid w:val="00DC0A89"/>
    <w:rsid w:val="00DC1948"/>
    <w:rsid w:val="00DC6E02"/>
    <w:rsid w:val="00DD28CD"/>
    <w:rsid w:val="00DE02AE"/>
    <w:rsid w:val="00DE39D1"/>
    <w:rsid w:val="00DF1D7F"/>
    <w:rsid w:val="00DF4BE4"/>
    <w:rsid w:val="00E011C1"/>
    <w:rsid w:val="00E02382"/>
    <w:rsid w:val="00E02FB4"/>
    <w:rsid w:val="00E05EAF"/>
    <w:rsid w:val="00E074DA"/>
    <w:rsid w:val="00E12660"/>
    <w:rsid w:val="00E13FC7"/>
    <w:rsid w:val="00E20571"/>
    <w:rsid w:val="00E235F7"/>
    <w:rsid w:val="00E23659"/>
    <w:rsid w:val="00E239D4"/>
    <w:rsid w:val="00E26130"/>
    <w:rsid w:val="00E3456F"/>
    <w:rsid w:val="00E402EA"/>
    <w:rsid w:val="00E40B22"/>
    <w:rsid w:val="00E41569"/>
    <w:rsid w:val="00E435CD"/>
    <w:rsid w:val="00E44ED1"/>
    <w:rsid w:val="00E45619"/>
    <w:rsid w:val="00E4588F"/>
    <w:rsid w:val="00E46DA3"/>
    <w:rsid w:val="00E504E5"/>
    <w:rsid w:val="00E51BB1"/>
    <w:rsid w:val="00E55CB0"/>
    <w:rsid w:val="00E624A5"/>
    <w:rsid w:val="00E64BA4"/>
    <w:rsid w:val="00E7344E"/>
    <w:rsid w:val="00E82665"/>
    <w:rsid w:val="00E82F88"/>
    <w:rsid w:val="00E94B14"/>
    <w:rsid w:val="00EB0798"/>
    <w:rsid w:val="00EB40AD"/>
    <w:rsid w:val="00EB586E"/>
    <w:rsid w:val="00EB5FC8"/>
    <w:rsid w:val="00EC453F"/>
    <w:rsid w:val="00EC463D"/>
    <w:rsid w:val="00EC7A85"/>
    <w:rsid w:val="00ED0848"/>
    <w:rsid w:val="00ED2922"/>
    <w:rsid w:val="00ED3CAD"/>
    <w:rsid w:val="00ED5A41"/>
    <w:rsid w:val="00ED64BB"/>
    <w:rsid w:val="00EE1DE8"/>
    <w:rsid w:val="00EE27C2"/>
    <w:rsid w:val="00EE6C4C"/>
    <w:rsid w:val="00EF4BAD"/>
    <w:rsid w:val="00EF59DC"/>
    <w:rsid w:val="00F0146F"/>
    <w:rsid w:val="00F033EC"/>
    <w:rsid w:val="00F04F68"/>
    <w:rsid w:val="00F06C01"/>
    <w:rsid w:val="00F11C3F"/>
    <w:rsid w:val="00F12670"/>
    <w:rsid w:val="00F14B27"/>
    <w:rsid w:val="00F20763"/>
    <w:rsid w:val="00F3148D"/>
    <w:rsid w:val="00F31C83"/>
    <w:rsid w:val="00F325C5"/>
    <w:rsid w:val="00F32FE0"/>
    <w:rsid w:val="00F35298"/>
    <w:rsid w:val="00F47333"/>
    <w:rsid w:val="00F47E37"/>
    <w:rsid w:val="00F53C07"/>
    <w:rsid w:val="00F54B65"/>
    <w:rsid w:val="00F6281F"/>
    <w:rsid w:val="00F640B6"/>
    <w:rsid w:val="00F66DF2"/>
    <w:rsid w:val="00F73B73"/>
    <w:rsid w:val="00F80E40"/>
    <w:rsid w:val="00F82C5B"/>
    <w:rsid w:val="00F848D9"/>
    <w:rsid w:val="00FA0E24"/>
    <w:rsid w:val="00FA5069"/>
    <w:rsid w:val="00FA5B82"/>
    <w:rsid w:val="00FA639E"/>
    <w:rsid w:val="00FB37A7"/>
    <w:rsid w:val="00FC1FCA"/>
    <w:rsid w:val="00FC25E4"/>
    <w:rsid w:val="00FC4EF7"/>
    <w:rsid w:val="00FD0824"/>
    <w:rsid w:val="00FD119B"/>
    <w:rsid w:val="00FD1EDC"/>
    <w:rsid w:val="00FE1DEE"/>
    <w:rsid w:val="00FE3660"/>
    <w:rsid w:val="00FE4542"/>
    <w:rsid w:val="00FE4A0F"/>
    <w:rsid w:val="00FF2126"/>
    <w:rsid w:val="00FF5755"/>
    <w:rsid w:val="00FF69BE"/>
    <w:rsid w:val="00FF741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93D13"/>
  <w15:docId w15:val="{85A61C5D-29C1-48B0-8840-B20477B9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1D8A"/>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9"/>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9"/>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9"/>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uiPriority w:val="9"/>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BA4B04"/>
    <w:pPr>
      <w:keepNext/>
      <w:keepLines/>
      <w:spacing w:before="40" w:after="0"/>
      <w:outlineLvl w:val="7"/>
    </w:pPr>
    <w:rPr>
      <w:rFonts w:eastAsia="Times New Roman"/>
      <w:color w:val="404040"/>
      <w:sz w:val="20"/>
      <w:szCs w:val="20"/>
    </w:rPr>
  </w:style>
  <w:style w:type="paragraph" w:styleId="Heading9">
    <w:name w:val="heading 9"/>
    <w:basedOn w:val="Normal"/>
    <w:next w:val="Normal"/>
    <w:link w:val="Heading9Char"/>
    <w:uiPriority w:val="9"/>
    <w:semiHidden/>
    <w:unhideWhenUsed/>
    <w:qFormat/>
    <w:rsid w:val="00BA4B04"/>
    <w:pPr>
      <w:keepNext/>
      <w:keepLines/>
      <w:spacing w:before="4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uiPriority w:val="9"/>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aliases w:val="Lengende,Epígrafe"/>
    <w:basedOn w:val="Normal"/>
    <w:next w:val="Normal"/>
    <w:link w:val="CaptionChar"/>
    <w:uiPriority w:val="35"/>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uiPriority w:val="9"/>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qFormat/>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130E1B"/>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2E40B3"/>
    <w:pPr>
      <w:keepNext/>
    </w:pPr>
    <w:rPr>
      <w:b/>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rsid w:val="000E6196"/>
    <w:rPr>
      <w:rFonts w:ascii="Cambria" w:eastAsia="Cambria" w:hAnsi="Cambria" w:cs="Times New Roman"/>
      <w:sz w:val="20"/>
      <w:szCs w:val="20"/>
    </w:rPr>
  </w:style>
  <w:style w:type="character" w:styleId="EndnoteReference">
    <w:name w:val="endnote reference"/>
    <w:basedOn w:val="DefaultParagraphFont"/>
    <w:uiPriority w:val="99"/>
    <w:unhideWhenUsed/>
    <w:rsid w:val="000E6196"/>
    <w:rPr>
      <w:vertAlign w:val="superscript"/>
    </w:rPr>
  </w:style>
  <w:style w:type="character" w:styleId="CommentReference">
    <w:name w:val="annotation reference"/>
    <w:basedOn w:val="DefaultParagraphFont"/>
    <w:uiPriority w:val="99"/>
    <w:unhideWhenUsed/>
    <w:rsid w:val="00EC463D"/>
    <w:rPr>
      <w:sz w:val="16"/>
      <w:szCs w:val="16"/>
    </w:rPr>
  </w:style>
  <w:style w:type="paragraph" w:styleId="CommentText">
    <w:name w:val="annotation text"/>
    <w:aliases w:val=" Carattere9,Carattere9"/>
    <w:basedOn w:val="Normal"/>
    <w:link w:val="CommentTextChar"/>
    <w:uiPriority w:val="99"/>
    <w:unhideWhenUsed/>
    <w:rsid w:val="00EC463D"/>
    <w:pPr>
      <w:spacing w:line="240" w:lineRule="auto"/>
    </w:pPr>
    <w:rPr>
      <w:sz w:val="20"/>
      <w:szCs w:val="20"/>
    </w:rPr>
  </w:style>
  <w:style w:type="character" w:customStyle="1" w:styleId="CommentTextChar">
    <w:name w:val="Comment Text Char"/>
    <w:aliases w:val=" Carattere9 Char,Carattere9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4A1D8A"/>
    <w:pPr>
      <w:adjustRightInd w:val="0"/>
      <w:snapToGrid w:val="0"/>
      <w:spacing w:before="180" w:after="180"/>
      <w:ind w:left="720"/>
      <w:contextualSpacing/>
    </w:pPr>
    <w:rPr>
      <w:rFonts w:eastAsia="MS Mincho"/>
      <w:szCs w:val="20"/>
      <w:lang w:eastAsia="ja-JP"/>
    </w:rPr>
  </w:style>
  <w:style w:type="paragraph" w:customStyle="1" w:styleId="FigureCaption">
    <w:name w:val="Figure Caption"/>
    <w:basedOn w:val="Normal"/>
    <w:qFormat/>
    <w:rsid w:val="004A1D8A"/>
    <w:pPr>
      <w:adjustRightInd w:val="0"/>
      <w:snapToGrid w:val="0"/>
      <w:spacing w:before="180" w:after="180"/>
    </w:pPr>
    <w:rPr>
      <w:rFonts w:eastAsia="MS Mincho"/>
      <w:szCs w:val="20"/>
      <w:lang w:eastAsia="ja-JP"/>
    </w:rPr>
  </w:style>
  <w:style w:type="paragraph" w:customStyle="1" w:styleId="TableCaption">
    <w:name w:val="Table Caption"/>
    <w:basedOn w:val="FigureCaption"/>
    <w:qFormat/>
    <w:rsid w:val="004A1D8A"/>
    <w:pPr>
      <w:spacing w:after="240"/>
    </w:pPr>
    <w:rPr>
      <w:sz w:val="17"/>
    </w:rPr>
  </w:style>
  <w:style w:type="table" w:customStyle="1" w:styleId="TableTGA2">
    <w:name w:val="Table TGA 2"/>
    <w:basedOn w:val="TableNormal"/>
    <w:uiPriority w:val="99"/>
    <w:rsid w:val="004A1D8A"/>
    <w:pPr>
      <w:spacing w:before="60" w:after="0" w:line="240" w:lineRule="auto"/>
    </w:pPr>
    <w:rPr>
      <w:rFonts w:ascii="Cambria" w:eastAsia="MS Mincho"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Subject">
    <w:name w:val="Subject"/>
    <w:basedOn w:val="Normal"/>
    <w:qFormat/>
    <w:rsid w:val="004A1D8A"/>
    <w:pPr>
      <w:adjustRightInd w:val="0"/>
      <w:snapToGrid w:val="0"/>
      <w:spacing w:before="180" w:after="180"/>
    </w:pPr>
    <w:rPr>
      <w:rFonts w:eastAsia="MS Mincho"/>
      <w:b/>
      <w:szCs w:val="20"/>
      <w:lang w:eastAsia="ja-JP"/>
    </w:rPr>
  </w:style>
  <w:style w:type="paragraph" w:customStyle="1" w:styleId="Addressee">
    <w:name w:val="Addressee"/>
    <w:basedOn w:val="Normal"/>
    <w:qFormat/>
    <w:rsid w:val="004A1D8A"/>
    <w:pPr>
      <w:adjustRightInd w:val="0"/>
      <w:snapToGrid w:val="0"/>
      <w:spacing w:before="180" w:after="180"/>
    </w:pPr>
    <w:rPr>
      <w:rFonts w:eastAsia="MS Mincho"/>
      <w:szCs w:val="20"/>
      <w:lang w:eastAsia="ja-JP"/>
    </w:rPr>
  </w:style>
  <w:style w:type="character" w:customStyle="1" w:styleId="ABN">
    <w:name w:val="ABN"/>
    <w:basedOn w:val="DefaultParagraphFont"/>
    <w:uiPriority w:val="1"/>
    <w:qFormat/>
    <w:rsid w:val="004A1D8A"/>
    <w:rPr>
      <w:rFonts w:ascii="Arial" w:hAnsi="Arial"/>
      <w:color w:val="002C47"/>
      <w:sz w:val="14"/>
    </w:rPr>
  </w:style>
  <w:style w:type="paragraph" w:customStyle="1" w:styleId="BodyCopy">
    <w:name w:val="Body Copy"/>
    <w:basedOn w:val="Normal"/>
    <w:qFormat/>
    <w:rsid w:val="004A1D8A"/>
    <w:pPr>
      <w:adjustRightInd w:val="0"/>
      <w:snapToGrid w:val="0"/>
      <w:spacing w:before="180" w:after="180"/>
    </w:pPr>
    <w:rPr>
      <w:rFonts w:eastAsia="MS Mincho"/>
      <w:szCs w:val="20"/>
      <w:lang w:eastAsia="ja-JP"/>
    </w:rPr>
  </w:style>
  <w:style w:type="paragraph" w:customStyle="1" w:styleId="Standard">
    <w:name w:val="Standard"/>
    <w:basedOn w:val="Normal"/>
    <w:link w:val="StandardChar"/>
    <w:qFormat/>
    <w:rsid w:val="004A1D8A"/>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4A1D8A"/>
    <w:rPr>
      <w:rFonts w:ascii="Cambria" w:eastAsia="Times New Roman" w:hAnsi="Cambria" w:cs="Times New Roman"/>
      <w:snapToGrid w:val="0"/>
      <w:kern w:val="16"/>
      <w:sz w:val="23"/>
      <w:szCs w:val="24"/>
    </w:rPr>
  </w:style>
  <w:style w:type="paragraph" w:customStyle="1" w:styleId="Bulletpoint">
    <w:name w:val="Bullet point"/>
    <w:basedOn w:val="Standard"/>
    <w:rsid w:val="004A1D8A"/>
    <w:pPr>
      <w:numPr>
        <w:numId w:val="6"/>
      </w:numPr>
      <w:tabs>
        <w:tab w:val="clear" w:pos="369"/>
        <w:tab w:val="left" w:pos="397"/>
        <w:tab w:val="num" w:pos="511"/>
      </w:tabs>
      <w:spacing w:after="180"/>
      <w:ind w:left="0" w:firstLine="0"/>
    </w:pPr>
    <w:rPr>
      <w:sz w:val="22"/>
    </w:rPr>
  </w:style>
  <w:style w:type="paragraph" w:customStyle="1" w:styleId="PISubsection">
    <w:name w:val="PI Subsection"/>
    <w:basedOn w:val="Standard"/>
    <w:next w:val="Standard"/>
    <w:rsid w:val="004A1D8A"/>
    <w:pPr>
      <w:keepNext/>
      <w:spacing w:after="120"/>
    </w:pPr>
    <w:rPr>
      <w:b/>
      <w:i/>
      <w:kern w:val="2"/>
      <w:sz w:val="22"/>
    </w:rPr>
  </w:style>
  <w:style w:type="paragraph" w:customStyle="1" w:styleId="Bulletlist">
    <w:name w:val="Bullet list"/>
    <w:basedOn w:val="Standard"/>
    <w:link w:val="BulletlistChar"/>
    <w:qFormat/>
    <w:rsid w:val="004A1D8A"/>
    <w:pPr>
      <w:spacing w:after="180"/>
    </w:pPr>
    <w:rPr>
      <w:kern w:val="2"/>
    </w:rPr>
  </w:style>
  <w:style w:type="character" w:customStyle="1" w:styleId="TabletextChar">
    <w:name w:val="Table text Char"/>
    <w:basedOn w:val="StandardChar"/>
    <w:link w:val="Tabletext"/>
    <w:rsid w:val="004A1D8A"/>
    <w:rPr>
      <w:rFonts w:ascii="Cambria" w:eastAsia="Cambria" w:hAnsi="Cambria" w:cs="Times New Roman"/>
      <w:snapToGrid/>
      <w:kern w:val="16"/>
      <w:sz w:val="19"/>
      <w:szCs w:val="24"/>
    </w:rPr>
  </w:style>
  <w:style w:type="character" w:customStyle="1" w:styleId="BulletlistChar">
    <w:name w:val="Bullet list Char"/>
    <w:basedOn w:val="StandardChar"/>
    <w:link w:val="Bulletlist"/>
    <w:rsid w:val="004A1D8A"/>
    <w:rPr>
      <w:rFonts w:ascii="Cambria" w:eastAsia="Times New Roman" w:hAnsi="Cambria" w:cs="Times New Roman"/>
      <w:snapToGrid w:val="0"/>
      <w:kern w:val="2"/>
      <w:sz w:val="23"/>
      <w:szCs w:val="24"/>
    </w:rPr>
  </w:style>
  <w:style w:type="paragraph" w:customStyle="1" w:styleId="Default">
    <w:name w:val="Default"/>
    <w:rsid w:val="004A1D8A"/>
    <w:pPr>
      <w:autoSpaceDE w:val="0"/>
      <w:autoSpaceDN w:val="0"/>
      <w:adjustRightInd w:val="0"/>
      <w:spacing w:after="0" w:line="240" w:lineRule="auto"/>
    </w:pPr>
    <w:rPr>
      <w:rFonts w:ascii="Cambria" w:eastAsia="MS Mincho" w:hAnsi="Cambria" w:cs="Cambria"/>
      <w:color w:val="000000"/>
      <w:sz w:val="24"/>
      <w:szCs w:val="24"/>
    </w:rPr>
  </w:style>
  <w:style w:type="paragraph" w:customStyle="1" w:styleId="Tabledescription0">
    <w:name w:val="Table description"/>
    <w:basedOn w:val="Normal"/>
    <w:next w:val="Normal"/>
    <w:rsid w:val="004A1D8A"/>
    <w:pPr>
      <w:spacing w:before="180" w:after="240" w:line="180" w:lineRule="atLeast"/>
    </w:pPr>
    <w:rPr>
      <w:rFonts w:ascii="Calibri" w:hAnsi="Calibri" w:cs="Calibri"/>
      <w:sz w:val="18"/>
    </w:rPr>
  </w:style>
  <w:style w:type="paragraph" w:customStyle="1" w:styleId="TableParagraph">
    <w:name w:val="Table Paragraph"/>
    <w:basedOn w:val="Normal"/>
    <w:uiPriority w:val="1"/>
    <w:qFormat/>
    <w:rsid w:val="004A1D8A"/>
    <w:pPr>
      <w:widowControl w:val="0"/>
      <w:autoSpaceDE w:val="0"/>
      <w:autoSpaceDN w:val="0"/>
      <w:spacing w:before="0" w:after="0" w:line="240" w:lineRule="auto"/>
    </w:pPr>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4A1D8A"/>
    <w:rPr>
      <w:color w:val="605E5C"/>
      <w:shd w:val="clear" w:color="auto" w:fill="E1DFDD"/>
    </w:rPr>
  </w:style>
  <w:style w:type="paragraph" w:styleId="BodyText">
    <w:name w:val="Body Text"/>
    <w:basedOn w:val="Normal"/>
    <w:link w:val="BodyTextChar"/>
    <w:uiPriority w:val="1"/>
    <w:qFormat/>
    <w:rsid w:val="004A1D8A"/>
    <w:pPr>
      <w:widowControl w:val="0"/>
      <w:autoSpaceDE w:val="0"/>
      <w:autoSpaceDN w:val="0"/>
      <w:spacing w:before="0"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4A1D8A"/>
    <w:rPr>
      <w:rFonts w:ascii="Times New Roman" w:eastAsia="Times New Roman" w:hAnsi="Times New Roman" w:cs="Times New Roman"/>
      <w:sz w:val="24"/>
      <w:szCs w:val="24"/>
      <w:lang w:val="en-US"/>
    </w:rPr>
  </w:style>
  <w:style w:type="paragraph" w:styleId="TOC6">
    <w:name w:val="toc 6"/>
    <w:basedOn w:val="Normal"/>
    <w:next w:val="Normal"/>
    <w:autoRedefine/>
    <w:uiPriority w:val="39"/>
    <w:semiHidden/>
    <w:unhideWhenUsed/>
    <w:rsid w:val="00851F3F"/>
    <w:pPr>
      <w:spacing w:after="100"/>
      <w:ind w:left="1100"/>
    </w:pPr>
  </w:style>
  <w:style w:type="paragraph" w:customStyle="1" w:styleId="Intralink">
    <w:name w:val="Intralink"/>
    <w:basedOn w:val="Normal"/>
    <w:next w:val="Normal"/>
    <w:link w:val="IntralinkChar"/>
    <w:qFormat/>
    <w:rsid w:val="008B7360"/>
    <w:pPr>
      <w:spacing w:before="60" w:after="60" w:line="240" w:lineRule="auto"/>
      <w:jc w:val="both"/>
    </w:pPr>
    <w:rPr>
      <w:rFonts w:ascii="Times New Roman" w:eastAsia="Times New Roman" w:hAnsi="Times New Roman"/>
      <w:color w:val="0000FF"/>
      <w:sz w:val="24"/>
      <w:szCs w:val="24"/>
      <w:lang w:val="en-GB"/>
    </w:rPr>
  </w:style>
  <w:style w:type="character" w:customStyle="1" w:styleId="IntralinkChar">
    <w:name w:val="Intralink Char"/>
    <w:basedOn w:val="DefaultParagraphFont"/>
    <w:link w:val="Intralink"/>
    <w:rsid w:val="008B7360"/>
    <w:rPr>
      <w:rFonts w:ascii="Times New Roman" w:eastAsia="Times New Roman" w:hAnsi="Times New Roman" w:cs="Times New Roman"/>
      <w:color w:val="0000FF"/>
      <w:sz w:val="24"/>
      <w:szCs w:val="24"/>
      <w:lang w:val="en-GB"/>
    </w:rPr>
  </w:style>
  <w:style w:type="paragraph" w:styleId="ListBullet4">
    <w:name w:val="List Bullet 4"/>
    <w:basedOn w:val="Normal"/>
    <w:uiPriority w:val="99"/>
    <w:unhideWhenUsed/>
    <w:rsid w:val="008B7360"/>
    <w:pPr>
      <w:numPr>
        <w:numId w:val="7"/>
      </w:numPr>
      <w:spacing w:before="60" w:after="60" w:line="240" w:lineRule="auto"/>
      <w:contextualSpacing/>
      <w:jc w:val="both"/>
    </w:pPr>
    <w:rPr>
      <w:rFonts w:ascii="Times New Roman" w:eastAsiaTheme="minorHAnsi" w:hAnsi="Times New Roman" w:cstheme="minorBidi"/>
      <w:sz w:val="24"/>
      <w:lang w:val="es-ES"/>
    </w:rPr>
  </w:style>
  <w:style w:type="character" w:customStyle="1" w:styleId="CaptionChar">
    <w:name w:val="Caption Char"/>
    <w:aliases w:val="Lengende Char,Epígrafe Char"/>
    <w:basedOn w:val="DefaultParagraphFont"/>
    <w:link w:val="Caption"/>
    <w:rsid w:val="008B7360"/>
    <w:rPr>
      <w:rFonts w:ascii="Cambria" w:eastAsia="Cambria" w:hAnsi="Cambria" w:cs="Times New Roman"/>
      <w:sz w:val="19"/>
      <w:szCs w:val="18"/>
    </w:rPr>
  </w:style>
  <w:style w:type="paragraph" w:customStyle="1" w:styleId="Heading81">
    <w:name w:val="Heading 81"/>
    <w:basedOn w:val="Normal"/>
    <w:next w:val="Normal"/>
    <w:uiPriority w:val="9"/>
    <w:semiHidden/>
    <w:unhideWhenUsed/>
    <w:qFormat/>
    <w:rsid w:val="00BA4B04"/>
    <w:pPr>
      <w:keepNext/>
      <w:keepLines/>
      <w:spacing w:before="200" w:after="0" w:line="276" w:lineRule="auto"/>
      <w:ind w:left="2880" w:hanging="360"/>
      <w:outlineLvl w:val="7"/>
    </w:pPr>
    <w:rPr>
      <w:rFonts w:eastAsia="Times New Roman"/>
      <w:color w:val="404040"/>
      <w:sz w:val="20"/>
      <w:szCs w:val="20"/>
    </w:rPr>
  </w:style>
  <w:style w:type="paragraph" w:customStyle="1" w:styleId="Heading91">
    <w:name w:val="Heading 91"/>
    <w:basedOn w:val="Normal"/>
    <w:next w:val="Normal"/>
    <w:uiPriority w:val="9"/>
    <w:semiHidden/>
    <w:unhideWhenUsed/>
    <w:qFormat/>
    <w:rsid w:val="00BA4B04"/>
    <w:pPr>
      <w:keepNext/>
      <w:keepLines/>
      <w:spacing w:before="200" w:after="0" w:line="276" w:lineRule="auto"/>
      <w:ind w:left="3240" w:hanging="360"/>
      <w:outlineLvl w:val="8"/>
    </w:pPr>
    <w:rPr>
      <w:rFonts w:eastAsia="Times New Roman"/>
      <w:i/>
      <w:iCs/>
      <w:color w:val="404040"/>
      <w:sz w:val="20"/>
      <w:szCs w:val="20"/>
    </w:rPr>
  </w:style>
  <w:style w:type="numbering" w:customStyle="1" w:styleId="NoList1">
    <w:name w:val="No List1"/>
    <w:next w:val="NoList"/>
    <w:uiPriority w:val="99"/>
    <w:semiHidden/>
    <w:unhideWhenUsed/>
    <w:rsid w:val="00BA4B04"/>
  </w:style>
  <w:style w:type="character" w:customStyle="1" w:styleId="Heading8Char">
    <w:name w:val="Heading 8 Char"/>
    <w:basedOn w:val="DefaultParagraphFont"/>
    <w:link w:val="Heading8"/>
    <w:uiPriority w:val="9"/>
    <w:semiHidden/>
    <w:rsid w:val="00BA4B0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BA4B04"/>
    <w:rPr>
      <w:rFonts w:ascii="Cambria" w:eastAsia="Times New Roman" w:hAnsi="Cambria" w:cs="Times New Roman"/>
      <w:i/>
      <w:iCs/>
      <w:color w:val="404040"/>
      <w:sz w:val="20"/>
      <w:szCs w:val="20"/>
    </w:rPr>
  </w:style>
  <w:style w:type="table" w:customStyle="1" w:styleId="LightGrid1">
    <w:name w:val="Light Grid1"/>
    <w:basedOn w:val="TableNormal"/>
    <w:next w:val="LightGrid"/>
    <w:uiPriority w:val="62"/>
    <w:rsid w:val="00BA4B0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BodyText">
    <w:name w:val="C-Body Text"/>
    <w:link w:val="C-BodyTextChar"/>
    <w:rsid w:val="00BA4B04"/>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basedOn w:val="DefaultParagraphFont"/>
    <w:link w:val="C-BodyText"/>
    <w:rsid w:val="00BA4B04"/>
    <w:rPr>
      <w:rFonts w:ascii="Times New Roman" w:eastAsia="Times New Roman" w:hAnsi="Times New Roman" w:cs="Times New Roman"/>
      <w:sz w:val="24"/>
      <w:szCs w:val="20"/>
      <w:lang w:val="en-US"/>
    </w:rPr>
  </w:style>
  <w:style w:type="paragraph" w:customStyle="1" w:styleId="C-Heading2non-numbered">
    <w:name w:val="C-Heading 2 (non-numbered)"/>
    <w:basedOn w:val="Normal"/>
    <w:next w:val="C-BodyText"/>
    <w:rsid w:val="00BA4B04"/>
    <w:pPr>
      <w:keepNext/>
      <w:tabs>
        <w:tab w:val="left" w:pos="1080"/>
      </w:tabs>
      <w:spacing w:before="240" w:after="0" w:line="240" w:lineRule="auto"/>
      <w:ind w:left="1080" w:hanging="1080"/>
      <w:outlineLvl w:val="1"/>
    </w:pPr>
    <w:rPr>
      <w:rFonts w:ascii="Times New Roman" w:eastAsia="Times New Roman" w:hAnsi="Times New Roman"/>
      <w:b/>
      <w:sz w:val="28"/>
      <w:szCs w:val="20"/>
      <w:lang w:val="en-US"/>
    </w:rPr>
  </w:style>
  <w:style w:type="character" w:customStyle="1" w:styleId="C-Hyperlink">
    <w:name w:val="C-Hyperlink"/>
    <w:rsid w:val="00BA4B04"/>
    <w:rPr>
      <w:color w:val="0000FF"/>
    </w:rPr>
  </w:style>
  <w:style w:type="paragraph" w:customStyle="1" w:styleId="C-TableHeader">
    <w:name w:val="C-Table Header"/>
    <w:next w:val="C-TableText"/>
    <w:rsid w:val="00BA4B04"/>
    <w:pPr>
      <w:keepNext/>
      <w:spacing w:before="60" w:after="60" w:line="240" w:lineRule="auto"/>
    </w:pPr>
    <w:rPr>
      <w:rFonts w:ascii="Times New Roman" w:eastAsia="Times New Roman" w:hAnsi="Times New Roman" w:cs="Times New Roman"/>
      <w:b/>
      <w:szCs w:val="20"/>
      <w:lang w:val="en-US"/>
    </w:rPr>
  </w:style>
  <w:style w:type="paragraph" w:customStyle="1" w:styleId="C-TableText">
    <w:name w:val="C-Table Text"/>
    <w:rsid w:val="00BA4B04"/>
    <w:pPr>
      <w:spacing w:before="60" w:after="60" w:line="240" w:lineRule="auto"/>
    </w:pPr>
    <w:rPr>
      <w:rFonts w:ascii="Times New Roman" w:eastAsia="Times New Roman" w:hAnsi="Times New Roman" w:cs="Times New Roman"/>
      <w:szCs w:val="20"/>
      <w:lang w:val="en-US"/>
    </w:rPr>
  </w:style>
  <w:style w:type="table" w:customStyle="1" w:styleId="C-Table">
    <w:name w:val="C-Table"/>
    <w:basedOn w:val="TableNormal"/>
    <w:rsid w:val="00BA4B04"/>
    <w:pPr>
      <w:spacing w:after="0" w:line="240" w:lineRule="auto"/>
    </w:pPr>
    <w:rPr>
      <w:rFonts w:ascii="Times New Roman" w:eastAsia="Times New Roman" w:hAnsi="Times New Roman" w:cs="Times New Roman"/>
      <w:sz w:val="20"/>
      <w:szCs w:val="20"/>
      <w:lang w:val="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TableFootnote">
    <w:name w:val="C-Table Footnote"/>
    <w:next w:val="C-BodyText"/>
    <w:rsid w:val="00BA4B04"/>
    <w:pPr>
      <w:tabs>
        <w:tab w:val="left" w:pos="144"/>
      </w:tabs>
      <w:spacing w:after="0" w:line="240" w:lineRule="auto"/>
      <w:ind w:left="144" w:hanging="144"/>
    </w:pPr>
    <w:rPr>
      <w:rFonts w:ascii="Times New Roman" w:eastAsia="Times New Roman" w:hAnsi="Times New Roman" w:cs="Arial"/>
      <w:sz w:val="20"/>
      <w:szCs w:val="20"/>
      <w:lang w:val="en-US"/>
    </w:rPr>
  </w:style>
  <w:style w:type="paragraph" w:customStyle="1" w:styleId="C-PLR-TableFootnote">
    <w:name w:val="C-PLR-Table Footnote"/>
    <w:next w:val="Normal"/>
    <w:rsid w:val="00BA4B04"/>
    <w:pPr>
      <w:tabs>
        <w:tab w:val="left" w:pos="432"/>
      </w:tabs>
      <w:spacing w:after="0" w:line="240" w:lineRule="auto"/>
      <w:ind w:left="432" w:hanging="432"/>
    </w:pPr>
    <w:rPr>
      <w:rFonts w:ascii="Times New Roman" w:eastAsia="Times New Roman" w:hAnsi="Times New Roman" w:cs="Times New Roman"/>
      <w:sz w:val="16"/>
      <w:szCs w:val="20"/>
      <w:lang w:val="en-US"/>
    </w:rPr>
  </w:style>
  <w:style w:type="paragraph" w:customStyle="1" w:styleId="C-NumberedList">
    <w:name w:val="C-Numbered List"/>
    <w:rsid w:val="00BA4B04"/>
    <w:pPr>
      <w:numPr>
        <w:numId w:val="13"/>
      </w:numPr>
      <w:spacing w:before="120" w:after="120" w:line="280" w:lineRule="atLeast"/>
    </w:pPr>
    <w:rPr>
      <w:rFonts w:ascii="Times New Roman" w:eastAsia="Times New Roman" w:hAnsi="Times New Roman" w:cs="Times New Roman"/>
      <w:sz w:val="24"/>
      <w:szCs w:val="20"/>
      <w:lang w:val="en-US"/>
    </w:rPr>
  </w:style>
  <w:style w:type="paragraph" w:customStyle="1" w:styleId="C-Heading1nopagebreak">
    <w:name w:val="C-Heading 1 (no page break"/>
    <w:aliases w:val="non-numbered)"/>
    <w:basedOn w:val="Normal"/>
    <w:next w:val="C-BodyText"/>
    <w:rsid w:val="00BA4B04"/>
    <w:pPr>
      <w:keepNext/>
      <w:tabs>
        <w:tab w:val="left" w:pos="1080"/>
      </w:tabs>
      <w:spacing w:before="480" w:line="240" w:lineRule="auto"/>
      <w:ind w:left="1080" w:hanging="1080"/>
      <w:outlineLvl w:val="0"/>
    </w:pPr>
    <w:rPr>
      <w:rFonts w:ascii="Times New Roman" w:eastAsia="Times New Roman" w:hAnsi="Times New Roman"/>
      <w:b/>
      <w:caps/>
      <w:sz w:val="28"/>
      <w:szCs w:val="20"/>
      <w:lang w:val="en-US"/>
    </w:rPr>
  </w:style>
  <w:style w:type="paragraph" w:customStyle="1" w:styleId="C-AlphabeticList">
    <w:name w:val="C-Alphabetic List"/>
    <w:rsid w:val="00BA4B04"/>
    <w:pPr>
      <w:numPr>
        <w:ilvl w:val="1"/>
        <w:numId w:val="13"/>
      </w:numPr>
      <w:spacing w:after="0" w:line="240" w:lineRule="auto"/>
    </w:pPr>
    <w:rPr>
      <w:rFonts w:ascii="Times New Roman" w:eastAsia="Times New Roman" w:hAnsi="Times New Roman" w:cs="Times New Roman"/>
      <w:sz w:val="24"/>
      <w:szCs w:val="20"/>
      <w:lang w:val="en-US"/>
    </w:rPr>
  </w:style>
  <w:style w:type="paragraph" w:customStyle="1" w:styleId="C-Heading5non-numbered">
    <w:name w:val="C-Heading 5 (non-numbered)"/>
    <w:basedOn w:val="Normal"/>
    <w:next w:val="C-BodyText"/>
    <w:rsid w:val="00BA4B04"/>
    <w:pPr>
      <w:keepNext/>
      <w:tabs>
        <w:tab w:val="left" w:pos="1080"/>
      </w:tabs>
      <w:spacing w:before="240" w:after="0" w:line="240" w:lineRule="auto"/>
      <w:ind w:left="1080" w:hanging="1080"/>
      <w:outlineLvl w:val="4"/>
    </w:pPr>
    <w:rPr>
      <w:rFonts w:ascii="Times New Roman" w:eastAsia="Times New Roman" w:hAnsi="Times New Roman"/>
      <w:b/>
      <w:sz w:val="24"/>
      <w:szCs w:val="20"/>
      <w:lang w:val="en-US"/>
    </w:rPr>
  </w:style>
  <w:style w:type="table" w:customStyle="1" w:styleId="TableGrid1">
    <w:name w:val="Table Grid1"/>
    <w:basedOn w:val="TableNormal"/>
    <w:next w:val="TableGrid"/>
    <w:uiPriority w:val="59"/>
    <w:rsid w:val="00BA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4B0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M8">
    <w:name w:val="CM8"/>
    <w:basedOn w:val="Default"/>
    <w:next w:val="Default"/>
    <w:uiPriority w:val="99"/>
    <w:rsid w:val="00BA4B04"/>
  </w:style>
  <w:style w:type="paragraph" w:customStyle="1" w:styleId="CM27">
    <w:name w:val="CM27"/>
    <w:basedOn w:val="Default"/>
    <w:next w:val="Default"/>
    <w:uiPriority w:val="99"/>
    <w:rsid w:val="00BA4B04"/>
  </w:style>
  <w:style w:type="character" w:customStyle="1" w:styleId="Heading8Char1">
    <w:name w:val="Heading 8 Char1"/>
    <w:basedOn w:val="DefaultParagraphFont"/>
    <w:uiPriority w:val="9"/>
    <w:semiHidden/>
    <w:rsid w:val="00BA4B0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A4B04"/>
    <w:rPr>
      <w:rFonts w:asciiTheme="majorHAnsi" w:eastAsiaTheme="majorEastAsia" w:hAnsiTheme="majorHAnsi" w:cstheme="majorBidi"/>
      <w:i/>
      <w:iCs/>
      <w:color w:val="272727" w:themeColor="text1" w:themeTint="D8"/>
      <w:sz w:val="21"/>
      <w:szCs w:val="21"/>
    </w:rPr>
  </w:style>
  <w:style w:type="table" w:styleId="LightGrid">
    <w:name w:val="Light Grid"/>
    <w:basedOn w:val="TableNormal"/>
    <w:uiPriority w:val="62"/>
    <w:semiHidden/>
    <w:unhideWhenUsed/>
    <w:rsid w:val="00BA4B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6976">
      <w:bodyDiv w:val="1"/>
      <w:marLeft w:val="0"/>
      <w:marRight w:val="0"/>
      <w:marTop w:val="0"/>
      <w:marBottom w:val="0"/>
      <w:divBdr>
        <w:top w:val="none" w:sz="0" w:space="0" w:color="auto"/>
        <w:left w:val="none" w:sz="0" w:space="0" w:color="auto"/>
        <w:bottom w:val="none" w:sz="0" w:space="0" w:color="auto"/>
        <w:right w:val="none" w:sz="0" w:space="0" w:color="auto"/>
      </w:divBdr>
    </w:div>
    <w:div w:id="349569785">
      <w:bodyDiv w:val="1"/>
      <w:marLeft w:val="0"/>
      <w:marRight w:val="0"/>
      <w:marTop w:val="0"/>
      <w:marBottom w:val="0"/>
      <w:divBdr>
        <w:top w:val="none" w:sz="0" w:space="0" w:color="auto"/>
        <w:left w:val="none" w:sz="0" w:space="0" w:color="auto"/>
        <w:bottom w:val="none" w:sz="0" w:space="0" w:color="auto"/>
        <w:right w:val="none" w:sz="0" w:space="0" w:color="auto"/>
      </w:divBdr>
    </w:div>
    <w:div w:id="513615661">
      <w:bodyDiv w:val="1"/>
      <w:marLeft w:val="0"/>
      <w:marRight w:val="0"/>
      <w:marTop w:val="0"/>
      <w:marBottom w:val="0"/>
      <w:divBdr>
        <w:top w:val="none" w:sz="0" w:space="0" w:color="auto"/>
        <w:left w:val="none" w:sz="0" w:space="0" w:color="auto"/>
        <w:bottom w:val="none" w:sz="0" w:space="0" w:color="auto"/>
        <w:right w:val="none" w:sz="0" w:space="0" w:color="auto"/>
      </w:divBdr>
    </w:div>
    <w:div w:id="870384210">
      <w:bodyDiv w:val="1"/>
      <w:marLeft w:val="0"/>
      <w:marRight w:val="0"/>
      <w:marTop w:val="0"/>
      <w:marBottom w:val="0"/>
      <w:divBdr>
        <w:top w:val="none" w:sz="0" w:space="0" w:color="auto"/>
        <w:left w:val="none" w:sz="0" w:space="0" w:color="auto"/>
        <w:bottom w:val="none" w:sz="0" w:space="0" w:color="auto"/>
        <w:right w:val="none" w:sz="0" w:space="0" w:color="auto"/>
      </w:divBdr>
    </w:div>
    <w:div w:id="11752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tga.gov.au/reporting-problem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yperlink" Target="mailto:tga.copyright@tga.gov.au" TargetMode="External"/><Relationship Id="rId17" Type="http://schemas.openxmlformats.org/officeDocument/2006/relationships/header" Target="header3.xml"/><Relationship Id="rId25" Type="http://schemas.openxmlformats.org/officeDocument/2006/relationships/hyperlink" Target="http://www.tga.gov.au/reporting-problems" TargetMode="Externa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ga.gov.au/product-information-pi"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 TargetMode="External"/><Relationship Id="rId24" Type="http://schemas.openxmlformats.org/officeDocument/2006/relationships/footer" Target="footer4.xml"/><Relationship Id="rId32" Type="http://schemas.openxmlformats.org/officeDocument/2006/relationships/hyperlink" Target="https://www.tga.gov.au"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2.emf"/><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tga.gov.au/product-information-pi" TargetMode="External"/><Relationship Id="rId31" Type="http://schemas.openxmlformats.org/officeDocument/2006/relationships/hyperlink" Target="mailto:info@tg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mailto:drugsafety-STA@stbiopharma.com" TargetMode="External"/><Relationship Id="rId30" Type="http://schemas.openxmlformats.org/officeDocument/2006/relationships/header" Target="header7.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about-fda/oncology-center-excellence/project-orbi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7.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6709ED065CA48992111E453F267F1" ma:contentTypeVersion="12" ma:contentTypeDescription="Create a new document." ma:contentTypeScope="" ma:versionID="9e7dd2adc7692ce6804caf5b26e09ea4">
  <xsd:schema xmlns:xsd="http://www.w3.org/2001/XMLSchema" xmlns:xs="http://www.w3.org/2001/XMLSchema" xmlns:p="http://schemas.microsoft.com/office/2006/metadata/properties" xmlns:ns2="6d8a97b3-6c44-4b8d-b165-36ef44d06d10" xmlns:ns3="ffe8bad8-e404-4ff7-b7cf-bd81d75eb3cb" targetNamespace="http://schemas.microsoft.com/office/2006/metadata/properties" ma:root="true" ma:fieldsID="fdd9dcd917056e12327d3b35f199ab85" ns2:_="" ns3:_="">
    <xsd:import namespace="6d8a97b3-6c44-4b8d-b165-36ef44d06d10"/>
    <xsd:import namespace="ffe8bad8-e404-4ff7-b7cf-bd81d75eb3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a97b3-6c44-4b8d-b165-36ef44d06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e8bad8-e404-4ff7-b7cf-bd81d75eb3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A5C9C-4AC8-40DC-A4CF-7EA80B189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a97b3-6c44-4b8d-b165-36ef44d06d10"/>
    <ds:schemaRef ds:uri="ffe8bad8-e404-4ff7-b7cf-bd81d75eb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E4818-7A9B-4554-B18F-9AF6F645A2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6C2283-4DC2-438A-8802-A598D73DAB92}">
  <ds:schemaRefs>
    <ds:schemaRef ds:uri="http://schemas.microsoft.com/sharepoint/v3/contenttype/forms"/>
  </ds:schemaRefs>
</ds:datastoreItem>
</file>

<file path=customXml/itemProps4.xml><?xml version="1.0" encoding="utf-8"?>
<ds:datastoreItem xmlns:ds="http://schemas.openxmlformats.org/officeDocument/2006/customXml" ds:itemID="{93134325-0182-47C3-9401-E3685BAC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46</Pages>
  <Words>13838</Words>
  <Characters>78877</Characters>
  <Application>Microsoft Office Word</Application>
  <DocSecurity>0</DocSecurity>
  <Lines>657</Lines>
  <Paragraphs>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Australian public assessment report for</vt:lpstr>
      <vt:lpstr>Australian public assessment report for</vt:lpstr>
    </vt:vector>
  </TitlesOfParts>
  <Company>Department of Health Therapeutic Goods Administration</Company>
  <LinksUpToDate>false</LinksUpToDate>
  <CharactersWithSpaces>92530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lurbinectedin</dc:title>
  <dc:subject>prescription medicines</dc:subject>
  <dc:creator>Therapeutic Goods Administration</dc:creator>
  <cp:keywords/>
  <cp:lastModifiedBy>LACK, Janet</cp:lastModifiedBy>
  <cp:revision>2</cp:revision>
  <cp:lastPrinted>2019-08-14T04:30:00Z</cp:lastPrinted>
  <dcterms:created xsi:type="dcterms:W3CDTF">2022-05-04T01:53:00Z</dcterms:created>
  <dcterms:modified xsi:type="dcterms:W3CDTF">2022-05-05T01:25:00Z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0x010100BE56709ED065CA48992111E453F267F1</vt:lpwstr>
  </property>
</Properties>
</file>