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B2" w:rsidRDefault="001C35B2" w:rsidP="00365338">
      <w:pPr>
        <w:ind w:right="-61"/>
        <w:jc w:val="center"/>
        <w:rPr>
          <w:rFonts w:ascii="Arial" w:hAnsi="Arial" w:cs="Arial"/>
          <w:b/>
          <w:bCs/>
          <w:sz w:val="32"/>
        </w:rPr>
      </w:pPr>
      <w:r>
        <w:rPr>
          <w:rFonts w:ascii="Arial" w:hAnsi="Arial" w:cs="Arial"/>
          <w:b/>
          <w:bCs/>
          <w:sz w:val="36"/>
        </w:rPr>
        <w:t>PRODUCT INFORMATION</w:t>
      </w:r>
    </w:p>
    <w:p w:rsidR="001C35B2" w:rsidRDefault="001C35B2" w:rsidP="00365338">
      <w:pPr>
        <w:ind w:right="-61"/>
        <w:rPr>
          <w:rFonts w:ascii="Arial" w:hAnsi="Arial" w:cs="Arial"/>
          <w:b/>
          <w:bCs/>
          <w:sz w:val="32"/>
        </w:rPr>
      </w:pPr>
    </w:p>
    <w:p w:rsidR="007841F0" w:rsidRDefault="00AE1D40" w:rsidP="00365338">
      <w:pPr>
        <w:ind w:right="-61"/>
        <w:jc w:val="center"/>
        <w:rPr>
          <w:rFonts w:ascii="Arial" w:hAnsi="Arial" w:cs="Arial"/>
          <w:b/>
          <w:bCs/>
          <w:sz w:val="32"/>
        </w:rPr>
      </w:pPr>
      <w:r>
        <w:rPr>
          <w:rFonts w:ascii="Arial" w:hAnsi="Arial" w:cs="Arial"/>
          <w:b/>
          <w:bCs/>
          <w:sz w:val="32"/>
        </w:rPr>
        <w:t>OPSUMIT</w:t>
      </w:r>
      <w:r w:rsidRPr="00AE1D40">
        <w:rPr>
          <w:rFonts w:ascii="Arial" w:hAnsi="Arial" w:cs="Arial"/>
          <w:b/>
          <w:bCs/>
          <w:sz w:val="32"/>
          <w:vertAlign w:val="superscript"/>
        </w:rPr>
        <w:t>™</w:t>
      </w:r>
      <w:r w:rsidR="00527F9F">
        <w:rPr>
          <w:rFonts w:ascii="Arial" w:hAnsi="Arial" w:cs="Arial"/>
          <w:b/>
          <w:bCs/>
          <w:sz w:val="32"/>
          <w:vertAlign w:val="superscript"/>
        </w:rPr>
        <w:t xml:space="preserve"> </w:t>
      </w:r>
      <w:r w:rsidR="001C35B2">
        <w:rPr>
          <w:rFonts w:ascii="Arial" w:hAnsi="Arial" w:cs="Arial"/>
          <w:b/>
          <w:bCs/>
          <w:sz w:val="32"/>
        </w:rPr>
        <w:t>(</w:t>
      </w:r>
      <w:proofErr w:type="spellStart"/>
      <w:r>
        <w:rPr>
          <w:rFonts w:ascii="Arial" w:hAnsi="Arial" w:cs="Arial"/>
          <w:b/>
          <w:bCs/>
          <w:sz w:val="32"/>
        </w:rPr>
        <w:t>macitentan</w:t>
      </w:r>
      <w:proofErr w:type="spellEnd"/>
      <w:r w:rsidR="001C35B2">
        <w:rPr>
          <w:rFonts w:ascii="Arial" w:hAnsi="Arial" w:cs="Arial"/>
          <w:b/>
          <w:bCs/>
          <w:sz w:val="32"/>
        </w:rPr>
        <w:t xml:space="preserve">) </w:t>
      </w:r>
    </w:p>
    <w:p w:rsidR="001C35B2" w:rsidRDefault="00AE1D40" w:rsidP="00365338">
      <w:pPr>
        <w:ind w:right="-61"/>
        <w:jc w:val="center"/>
        <w:rPr>
          <w:rFonts w:ascii="Arial" w:hAnsi="Arial" w:cs="Arial"/>
          <w:b/>
          <w:bCs/>
          <w:sz w:val="32"/>
        </w:rPr>
      </w:pPr>
      <w:r>
        <w:rPr>
          <w:rFonts w:ascii="Arial" w:hAnsi="Arial" w:cs="Arial"/>
          <w:b/>
          <w:bCs/>
          <w:sz w:val="32"/>
        </w:rPr>
        <w:t>10</w:t>
      </w:r>
      <w:r w:rsidR="0040653E">
        <w:rPr>
          <w:rFonts w:ascii="Arial" w:hAnsi="Arial" w:cs="Arial"/>
          <w:b/>
          <w:bCs/>
          <w:sz w:val="32"/>
        </w:rPr>
        <w:t xml:space="preserve"> mg </w:t>
      </w:r>
      <w:r w:rsidR="00A7071A">
        <w:rPr>
          <w:rFonts w:ascii="Arial" w:hAnsi="Arial" w:cs="Arial"/>
          <w:b/>
          <w:bCs/>
          <w:sz w:val="32"/>
        </w:rPr>
        <w:t xml:space="preserve">film coated </w:t>
      </w:r>
      <w:r>
        <w:rPr>
          <w:rFonts w:ascii="Arial" w:hAnsi="Arial" w:cs="Arial"/>
          <w:b/>
          <w:bCs/>
          <w:sz w:val="32"/>
        </w:rPr>
        <w:t>tablet</w:t>
      </w:r>
    </w:p>
    <w:p w:rsidR="00D67797" w:rsidRDefault="00D67797" w:rsidP="00D67797">
      <w:pPr>
        <w:ind w:right="-61"/>
        <w:jc w:val="center"/>
        <w:rPr>
          <w:rFonts w:ascii="Arial" w:hAnsi="Arial" w:cs="Arial"/>
          <w:b/>
          <w:bCs/>
          <w:sz w:val="32"/>
        </w:rPr>
      </w:pPr>
    </w:p>
    <w:p w:rsidR="00D67797" w:rsidRDefault="00D67797" w:rsidP="00D67797">
      <w:pPr>
        <w:pBdr>
          <w:top w:val="single" w:sz="4" w:space="1" w:color="auto"/>
          <w:left w:val="single" w:sz="4" w:space="4" w:color="auto"/>
          <w:bottom w:val="single" w:sz="4" w:space="1" w:color="auto"/>
          <w:right w:val="single" w:sz="4" w:space="0" w:color="auto"/>
        </w:pBdr>
        <w:ind w:right="-61"/>
        <w:rPr>
          <w:rFonts w:ascii="Arial" w:hAnsi="Arial" w:cs="Arial"/>
        </w:rPr>
      </w:pPr>
      <w:r>
        <w:rPr>
          <w:rFonts w:ascii="Arial" w:hAnsi="Arial" w:cs="Arial"/>
        </w:rPr>
        <w:t>OPSUMIT</w:t>
      </w:r>
      <w:r w:rsidRPr="003C025C">
        <w:rPr>
          <w:rFonts w:ascii="Arial" w:hAnsi="Arial" w:cs="Arial"/>
          <w:vertAlign w:val="superscript"/>
        </w:rPr>
        <w:t>®</w:t>
      </w:r>
      <w:r>
        <w:rPr>
          <w:rFonts w:ascii="Arial" w:hAnsi="Arial" w:cs="Arial"/>
        </w:rPr>
        <w:t xml:space="preserve"> may cause birth defects and is contraindicated in pregnancy.</w:t>
      </w:r>
    </w:p>
    <w:p w:rsidR="00D67797" w:rsidRDefault="00D67797" w:rsidP="00D67797">
      <w:pPr>
        <w:pBdr>
          <w:top w:val="single" w:sz="4" w:space="1" w:color="auto"/>
          <w:left w:val="single" w:sz="4" w:space="4" w:color="auto"/>
          <w:bottom w:val="single" w:sz="4" w:space="1" w:color="auto"/>
          <w:right w:val="single" w:sz="4" w:space="0" w:color="auto"/>
        </w:pBdr>
        <w:ind w:right="-61"/>
        <w:rPr>
          <w:rFonts w:ascii="Arial" w:hAnsi="Arial" w:cs="Arial"/>
        </w:rPr>
      </w:pPr>
      <w:r>
        <w:rPr>
          <w:rFonts w:ascii="Arial" w:hAnsi="Arial" w:cs="Arial"/>
        </w:rPr>
        <w:t>See CONTRAINDICATIONS and PRECAUTIONS.</w:t>
      </w:r>
    </w:p>
    <w:p w:rsidR="0040653E" w:rsidRDefault="0040653E" w:rsidP="00365338">
      <w:pPr>
        <w:pStyle w:val="Heading1"/>
        <w:ind w:right="-61"/>
        <w:rPr>
          <w:szCs w:val="24"/>
        </w:rPr>
      </w:pPr>
    </w:p>
    <w:p w:rsidR="001C35B2" w:rsidRPr="00E75C04" w:rsidRDefault="00FF0EE8" w:rsidP="00365338">
      <w:pPr>
        <w:pStyle w:val="Heading1"/>
        <w:ind w:right="-61"/>
      </w:pPr>
      <w:r w:rsidRPr="00E75C04">
        <w:rPr>
          <w:szCs w:val="24"/>
        </w:rPr>
        <w:t>NAME OF THE MEDICINE</w:t>
      </w:r>
      <w:r w:rsidR="00DD39DB" w:rsidRPr="00E75C04">
        <w:rPr>
          <w:szCs w:val="24"/>
        </w:rPr>
        <w:tab/>
      </w:r>
      <w:r w:rsidR="00DD39DB" w:rsidRPr="00E75C04">
        <w:rPr>
          <w:szCs w:val="24"/>
        </w:rPr>
        <w:tab/>
      </w:r>
    </w:p>
    <w:p w:rsidR="00CB0BA0" w:rsidRDefault="00CB0BA0" w:rsidP="00365338">
      <w:pPr>
        <w:ind w:right="-61"/>
        <w:rPr>
          <w:rFonts w:ascii="Times New Roman" w:hAnsi="Times New Roman"/>
        </w:rPr>
      </w:pPr>
    </w:p>
    <w:p w:rsidR="001C35B2" w:rsidRPr="00D23F1A" w:rsidRDefault="001C35B2" w:rsidP="00365338">
      <w:pPr>
        <w:ind w:right="-61"/>
        <w:rPr>
          <w:rFonts w:ascii="Times New Roman" w:hAnsi="Times New Roman"/>
        </w:rPr>
      </w:pPr>
      <w:r w:rsidRPr="00D23F1A">
        <w:rPr>
          <w:rFonts w:ascii="Times New Roman" w:hAnsi="Times New Roman"/>
        </w:rPr>
        <w:t>Active:</w:t>
      </w:r>
      <w:r w:rsidR="007D7FD5" w:rsidRPr="00D23F1A">
        <w:rPr>
          <w:rFonts w:ascii="Times New Roman" w:hAnsi="Times New Roman"/>
        </w:rPr>
        <w:t xml:space="preserve"> </w:t>
      </w:r>
      <w:proofErr w:type="spellStart"/>
      <w:r w:rsidR="00AE1D40" w:rsidRPr="00D23F1A">
        <w:rPr>
          <w:rFonts w:ascii="Times New Roman" w:hAnsi="Times New Roman"/>
        </w:rPr>
        <w:t>macitentan</w:t>
      </w:r>
      <w:proofErr w:type="spellEnd"/>
    </w:p>
    <w:p w:rsidR="00D23F1A" w:rsidRDefault="00D23F1A" w:rsidP="00D23F1A">
      <w:pPr>
        <w:autoSpaceDE w:val="0"/>
        <w:autoSpaceDN w:val="0"/>
        <w:adjustRightInd w:val="0"/>
        <w:rPr>
          <w:rFonts w:ascii="Times New Roman" w:eastAsia="TimesNewRoman" w:hAnsi="Times New Roman"/>
          <w:iCs/>
          <w:szCs w:val="24"/>
          <w:lang w:val="en-US"/>
        </w:rPr>
      </w:pPr>
    </w:p>
    <w:p w:rsidR="00B04B22" w:rsidRDefault="00B04B22" w:rsidP="00B04B22">
      <w:pPr>
        <w:pStyle w:val="C-BodyText"/>
        <w:jc w:val="both"/>
        <w:rPr>
          <w:szCs w:val="24"/>
        </w:rPr>
      </w:pPr>
      <w:r w:rsidRPr="000C24AB">
        <w:rPr>
          <w:szCs w:val="24"/>
        </w:rPr>
        <w:t xml:space="preserve">OPSUMIT is the brand name for </w:t>
      </w:r>
      <w:proofErr w:type="spellStart"/>
      <w:r w:rsidRPr="000C24AB">
        <w:rPr>
          <w:szCs w:val="24"/>
        </w:rPr>
        <w:t>macitentan</w:t>
      </w:r>
      <w:proofErr w:type="spellEnd"/>
      <w:r w:rsidRPr="000C24AB">
        <w:rPr>
          <w:szCs w:val="24"/>
        </w:rPr>
        <w:t xml:space="preserve"> </w:t>
      </w:r>
      <w:r>
        <w:rPr>
          <w:szCs w:val="24"/>
        </w:rPr>
        <w:t xml:space="preserve">and is a </w:t>
      </w:r>
      <w:r w:rsidRPr="00C90F00">
        <w:rPr>
          <w:szCs w:val="24"/>
        </w:rPr>
        <w:t>dual ET</w:t>
      </w:r>
      <w:r w:rsidRPr="002F0AC8">
        <w:rPr>
          <w:szCs w:val="24"/>
          <w:vertAlign w:val="subscript"/>
        </w:rPr>
        <w:t>A</w:t>
      </w:r>
      <w:r w:rsidRPr="00C90F00">
        <w:rPr>
          <w:szCs w:val="24"/>
        </w:rPr>
        <w:t xml:space="preserve"> and ET</w:t>
      </w:r>
      <w:r w:rsidRPr="002F0AC8">
        <w:rPr>
          <w:szCs w:val="24"/>
          <w:vertAlign w:val="subscript"/>
        </w:rPr>
        <w:t>B</w:t>
      </w:r>
      <w:r w:rsidRPr="00C90F00">
        <w:rPr>
          <w:szCs w:val="24"/>
        </w:rPr>
        <w:t xml:space="preserve"> </w:t>
      </w:r>
      <w:proofErr w:type="spellStart"/>
      <w:r w:rsidRPr="00C90F00">
        <w:rPr>
          <w:szCs w:val="24"/>
        </w:rPr>
        <w:t>endothelin</w:t>
      </w:r>
      <w:proofErr w:type="spellEnd"/>
      <w:r w:rsidRPr="00C90F00">
        <w:rPr>
          <w:szCs w:val="24"/>
        </w:rPr>
        <w:t xml:space="preserve"> receptor antagonist</w:t>
      </w:r>
      <w:r w:rsidRPr="000C24AB">
        <w:rPr>
          <w:szCs w:val="24"/>
        </w:rPr>
        <w:t xml:space="preserve">. The chemical name of </w:t>
      </w:r>
      <w:proofErr w:type="spellStart"/>
      <w:r w:rsidRPr="000C24AB">
        <w:rPr>
          <w:szCs w:val="24"/>
        </w:rPr>
        <w:t>macitentan</w:t>
      </w:r>
      <w:proofErr w:type="spellEnd"/>
      <w:r w:rsidRPr="000C24AB">
        <w:rPr>
          <w:szCs w:val="24"/>
        </w:rPr>
        <w:t xml:space="preserve"> is </w:t>
      </w:r>
      <w:r w:rsidRPr="00E25094">
        <w:rPr>
          <w:i/>
          <w:szCs w:val="24"/>
        </w:rPr>
        <w:t>N</w:t>
      </w:r>
      <w:r w:rsidRPr="00C6637C">
        <w:rPr>
          <w:szCs w:val="24"/>
        </w:rPr>
        <w:t>-[5-(4-Bromophenyl)-6-[2-[(5-bromo-2-pyrimidinyl)oxy]ethoxy]-4-pyrimidinyl]-</w:t>
      </w:r>
      <w:r w:rsidRPr="00E25094">
        <w:rPr>
          <w:i/>
          <w:szCs w:val="24"/>
        </w:rPr>
        <w:t>N</w:t>
      </w:r>
      <w:r w:rsidRPr="00C6637C">
        <w:rPr>
          <w:szCs w:val="24"/>
        </w:rPr>
        <w:t>'-propylsulfamide</w:t>
      </w:r>
      <w:r>
        <w:rPr>
          <w:szCs w:val="24"/>
        </w:rPr>
        <w:t>.</w:t>
      </w:r>
      <w:r w:rsidRPr="00C6637C">
        <w:rPr>
          <w:szCs w:val="24"/>
        </w:rPr>
        <w:t xml:space="preserve"> </w:t>
      </w:r>
    </w:p>
    <w:p w:rsidR="00397C66" w:rsidRDefault="00C67F13" w:rsidP="00D23F1A">
      <w:pPr>
        <w:autoSpaceDE w:val="0"/>
        <w:autoSpaceDN w:val="0"/>
        <w:adjustRightInd w:val="0"/>
        <w:rPr>
          <w:rFonts w:ascii="Times New Roman" w:eastAsia="TimesNewRoman" w:hAnsi="Times New Roman"/>
          <w:szCs w:val="24"/>
          <w:lang w:val="en-US"/>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86.75pt;height:145.25pt;visibility:visible">
            <v:imagedata r:id="rId9" o:title="Macitentan"/>
          </v:shape>
        </w:pict>
      </w:r>
      <w:bookmarkStart w:id="0" w:name="_GoBack"/>
      <w:bookmarkEnd w:id="0"/>
    </w:p>
    <w:p w:rsidR="00D23F1A" w:rsidRPr="00FB09DB" w:rsidRDefault="00D23F1A" w:rsidP="00D23F1A">
      <w:pPr>
        <w:autoSpaceDE w:val="0"/>
        <w:autoSpaceDN w:val="0"/>
        <w:adjustRightInd w:val="0"/>
        <w:rPr>
          <w:rFonts w:ascii="Times New Roman" w:eastAsia="TimesNewRoman" w:hAnsi="Times New Roman"/>
          <w:szCs w:val="24"/>
        </w:rPr>
      </w:pPr>
      <w:r w:rsidRPr="00FB09DB">
        <w:rPr>
          <w:rFonts w:ascii="Times New Roman" w:eastAsia="TimesNewRoman" w:hAnsi="Times New Roman"/>
          <w:szCs w:val="24"/>
        </w:rPr>
        <w:t>The molecular formula: C</w:t>
      </w:r>
      <w:r w:rsidRPr="00FB09DB">
        <w:rPr>
          <w:rFonts w:ascii="Times New Roman" w:eastAsia="TimesNewRoman" w:hAnsi="Times New Roman"/>
          <w:sz w:val="16"/>
          <w:szCs w:val="16"/>
        </w:rPr>
        <w:t>19</w:t>
      </w:r>
      <w:r w:rsidRPr="00FB09DB">
        <w:rPr>
          <w:rFonts w:ascii="Times New Roman" w:eastAsia="TimesNewRoman" w:hAnsi="Times New Roman"/>
          <w:szCs w:val="24"/>
        </w:rPr>
        <w:t>H</w:t>
      </w:r>
      <w:r w:rsidRPr="00FB09DB">
        <w:rPr>
          <w:rFonts w:ascii="Times New Roman" w:eastAsia="TimesNewRoman" w:hAnsi="Times New Roman"/>
          <w:sz w:val="16"/>
          <w:szCs w:val="16"/>
        </w:rPr>
        <w:t>20</w:t>
      </w:r>
      <w:r w:rsidRPr="00FB09DB">
        <w:rPr>
          <w:rFonts w:ascii="Times New Roman" w:eastAsia="TimesNewRoman" w:hAnsi="Times New Roman"/>
          <w:szCs w:val="24"/>
        </w:rPr>
        <w:t>Br</w:t>
      </w:r>
      <w:r w:rsidRPr="00FB09DB">
        <w:rPr>
          <w:rFonts w:ascii="Times New Roman" w:eastAsia="TimesNewRoman" w:hAnsi="Times New Roman"/>
          <w:sz w:val="16"/>
          <w:szCs w:val="16"/>
        </w:rPr>
        <w:t>2</w:t>
      </w:r>
      <w:r w:rsidRPr="00FB09DB">
        <w:rPr>
          <w:rFonts w:ascii="Times New Roman" w:eastAsia="TimesNewRoman" w:hAnsi="Times New Roman"/>
          <w:szCs w:val="24"/>
        </w:rPr>
        <w:t>N</w:t>
      </w:r>
      <w:r w:rsidRPr="00FB09DB">
        <w:rPr>
          <w:rFonts w:ascii="Times New Roman" w:eastAsia="TimesNewRoman" w:hAnsi="Times New Roman"/>
          <w:sz w:val="16"/>
          <w:szCs w:val="16"/>
        </w:rPr>
        <w:t>6</w:t>
      </w:r>
      <w:r w:rsidRPr="00FB09DB">
        <w:rPr>
          <w:rFonts w:ascii="Times New Roman" w:eastAsia="TimesNewRoman" w:hAnsi="Times New Roman"/>
          <w:szCs w:val="24"/>
        </w:rPr>
        <w:t>O</w:t>
      </w:r>
      <w:r w:rsidRPr="00FB09DB">
        <w:rPr>
          <w:rFonts w:ascii="Times New Roman" w:eastAsia="TimesNewRoman" w:hAnsi="Times New Roman"/>
          <w:sz w:val="16"/>
          <w:szCs w:val="16"/>
        </w:rPr>
        <w:t>4</w:t>
      </w:r>
      <w:r w:rsidRPr="00FB09DB">
        <w:rPr>
          <w:rFonts w:ascii="Times New Roman" w:eastAsia="TimesNewRoman" w:hAnsi="Times New Roman"/>
          <w:szCs w:val="24"/>
        </w:rPr>
        <w:t xml:space="preserve">S, </w:t>
      </w:r>
    </w:p>
    <w:p w:rsidR="00D23F1A" w:rsidRPr="00696B19" w:rsidRDefault="00D23F1A" w:rsidP="00D23F1A">
      <w:pPr>
        <w:autoSpaceDE w:val="0"/>
        <w:autoSpaceDN w:val="0"/>
        <w:adjustRightInd w:val="0"/>
        <w:rPr>
          <w:rFonts w:ascii="Times New Roman" w:hAnsi="Times New Roman"/>
          <w:szCs w:val="24"/>
        </w:rPr>
      </w:pPr>
      <w:r w:rsidRPr="00FB09DB">
        <w:rPr>
          <w:rFonts w:ascii="Times New Roman" w:eastAsia="TimesNewRoman" w:hAnsi="Times New Roman"/>
          <w:szCs w:val="24"/>
        </w:rPr>
        <w:t>Relative molecular mass: 588.</w:t>
      </w:r>
      <w:r w:rsidR="00A7071A">
        <w:rPr>
          <w:rFonts w:ascii="Times New Roman" w:eastAsia="TimesNewRoman" w:hAnsi="Times New Roman"/>
          <w:szCs w:val="24"/>
          <w:lang w:val="en-US"/>
        </w:rPr>
        <w:t>3</w:t>
      </w:r>
      <w:r w:rsidR="00A7071A" w:rsidRPr="00696B19">
        <w:rPr>
          <w:rFonts w:ascii="Times New Roman" w:eastAsia="TimesNewRoman" w:hAnsi="Times New Roman"/>
          <w:szCs w:val="24"/>
          <w:lang w:val="en-US"/>
        </w:rPr>
        <w:t xml:space="preserve"> </w:t>
      </w:r>
      <w:r w:rsidRPr="00696B19">
        <w:rPr>
          <w:rFonts w:ascii="Times New Roman" w:eastAsia="TimesNewRoman" w:hAnsi="Times New Roman"/>
          <w:szCs w:val="24"/>
          <w:lang w:val="en-US"/>
        </w:rPr>
        <w:t>g/</w:t>
      </w:r>
      <w:proofErr w:type="spellStart"/>
      <w:r w:rsidRPr="00696B19">
        <w:rPr>
          <w:rFonts w:ascii="Times New Roman" w:eastAsia="TimesNewRoman" w:hAnsi="Times New Roman"/>
          <w:szCs w:val="24"/>
          <w:lang w:val="en-US"/>
        </w:rPr>
        <w:t>mol</w:t>
      </w:r>
      <w:proofErr w:type="spellEnd"/>
      <w:r>
        <w:rPr>
          <w:rFonts w:ascii="Times New Roman" w:eastAsia="TimesNewRoman" w:hAnsi="Times New Roman"/>
          <w:szCs w:val="24"/>
          <w:lang w:val="en-US"/>
        </w:rPr>
        <w:t>, t</w:t>
      </w:r>
      <w:r w:rsidRPr="00696B19">
        <w:rPr>
          <w:rFonts w:ascii="Times New Roman" w:eastAsia="TimesNewRoman" w:hAnsi="Times New Roman"/>
          <w:szCs w:val="24"/>
          <w:lang w:val="en-US"/>
        </w:rPr>
        <w:t>he molecule is achiral.</w:t>
      </w:r>
    </w:p>
    <w:p w:rsidR="00D23F1A" w:rsidRPr="00696B19" w:rsidRDefault="00D23F1A" w:rsidP="00D23F1A">
      <w:pPr>
        <w:autoSpaceDE w:val="0"/>
        <w:autoSpaceDN w:val="0"/>
        <w:adjustRightInd w:val="0"/>
        <w:rPr>
          <w:rFonts w:ascii="Times New Roman" w:eastAsia="TimesNewRoman" w:hAnsi="Times New Roman"/>
          <w:szCs w:val="24"/>
          <w:lang w:val="en-US"/>
        </w:rPr>
      </w:pPr>
      <w:r w:rsidRPr="00696B19">
        <w:rPr>
          <w:rFonts w:ascii="Times New Roman" w:eastAsia="TimesNewRoman" w:hAnsi="Times New Roman"/>
          <w:szCs w:val="24"/>
          <w:lang w:val="en-US"/>
        </w:rPr>
        <w:t>CAS-No.: 441798-33-0</w:t>
      </w:r>
      <w:r w:rsidR="00D35480">
        <w:rPr>
          <w:rFonts w:ascii="Times New Roman" w:eastAsia="TimesNewRoman" w:hAnsi="Times New Roman"/>
          <w:szCs w:val="24"/>
          <w:lang w:val="en-US"/>
        </w:rPr>
        <w:t>.</w:t>
      </w:r>
    </w:p>
    <w:p w:rsidR="00D23F1A" w:rsidRDefault="00D23F1A" w:rsidP="00D23F1A">
      <w:pPr>
        <w:outlineLvl w:val="0"/>
        <w:rPr>
          <w:noProof/>
          <w:szCs w:val="22"/>
          <w:highlight w:val="cyan"/>
        </w:rPr>
      </w:pPr>
    </w:p>
    <w:p w:rsidR="001C35B2" w:rsidRDefault="001C35B2" w:rsidP="00365338">
      <w:pPr>
        <w:pStyle w:val="Heading1"/>
        <w:ind w:right="-61"/>
      </w:pPr>
      <w:r>
        <w:t>DESCRIPTION</w:t>
      </w:r>
    </w:p>
    <w:p w:rsidR="00CB0BA0" w:rsidRDefault="00CB0BA0" w:rsidP="00C55D2D">
      <w:pPr>
        <w:autoSpaceDE w:val="0"/>
        <w:autoSpaceDN w:val="0"/>
        <w:adjustRightInd w:val="0"/>
        <w:rPr>
          <w:rFonts w:ascii="Times New Roman" w:eastAsia="TimesNewRoman" w:hAnsi="Times New Roman"/>
          <w:szCs w:val="24"/>
          <w:lang w:val="en-US"/>
        </w:rPr>
      </w:pPr>
    </w:p>
    <w:p w:rsidR="000174C0" w:rsidRPr="00A7071A" w:rsidRDefault="000174C0" w:rsidP="000174C0">
      <w:pPr>
        <w:pStyle w:val="C-BodyText"/>
        <w:jc w:val="both"/>
        <w:rPr>
          <w:szCs w:val="24"/>
        </w:rPr>
      </w:pPr>
      <w:proofErr w:type="spellStart"/>
      <w:r w:rsidRPr="000C24AB">
        <w:rPr>
          <w:szCs w:val="24"/>
        </w:rPr>
        <w:t>Macite</w:t>
      </w:r>
      <w:r>
        <w:rPr>
          <w:szCs w:val="24"/>
        </w:rPr>
        <w:t>n</w:t>
      </w:r>
      <w:r w:rsidRPr="000C24AB">
        <w:rPr>
          <w:szCs w:val="24"/>
        </w:rPr>
        <w:t>tan</w:t>
      </w:r>
      <w:proofErr w:type="spellEnd"/>
      <w:r w:rsidRPr="000C24AB">
        <w:rPr>
          <w:szCs w:val="24"/>
        </w:rPr>
        <w:t xml:space="preserve"> is a </w:t>
      </w:r>
      <w:r w:rsidR="00A7071A">
        <w:rPr>
          <w:szCs w:val="24"/>
        </w:rPr>
        <w:t xml:space="preserve">white to off-white </w:t>
      </w:r>
      <w:r w:rsidRPr="000C24AB">
        <w:rPr>
          <w:szCs w:val="24"/>
        </w:rPr>
        <w:t xml:space="preserve">crystalline </w:t>
      </w:r>
      <w:r>
        <w:rPr>
          <w:szCs w:val="24"/>
        </w:rPr>
        <w:t>powder that is insoluble in water</w:t>
      </w:r>
      <w:r w:rsidR="00A7071A">
        <w:rPr>
          <w:szCs w:val="24"/>
        </w:rPr>
        <w:t xml:space="preserve"> and slightly soluble in ethanol (</w:t>
      </w:r>
      <w:proofErr w:type="spellStart"/>
      <w:r w:rsidR="00A7071A">
        <w:rPr>
          <w:szCs w:val="24"/>
        </w:rPr>
        <w:t>approx</w:t>
      </w:r>
      <w:proofErr w:type="spellEnd"/>
      <w:r w:rsidR="00A7071A">
        <w:rPr>
          <w:szCs w:val="24"/>
        </w:rPr>
        <w:t xml:space="preserve"> 2 mg/mL)</w:t>
      </w:r>
      <w:r w:rsidRPr="000C24AB">
        <w:rPr>
          <w:szCs w:val="24"/>
        </w:rPr>
        <w:t>.</w:t>
      </w:r>
      <w:r>
        <w:rPr>
          <w:szCs w:val="24"/>
        </w:rPr>
        <w:t xml:space="preserve">  In the solid state </w:t>
      </w:r>
      <w:proofErr w:type="spellStart"/>
      <w:r>
        <w:rPr>
          <w:szCs w:val="24"/>
        </w:rPr>
        <w:t>macitentan</w:t>
      </w:r>
      <w:proofErr w:type="spellEnd"/>
      <w:r>
        <w:rPr>
          <w:szCs w:val="24"/>
        </w:rPr>
        <w:t xml:space="preserve"> is very stable, is not hygroscopic, and is not light sensitive.</w:t>
      </w:r>
      <w:r w:rsidR="00A7071A">
        <w:rPr>
          <w:szCs w:val="24"/>
        </w:rPr>
        <w:t xml:space="preserve"> </w:t>
      </w:r>
      <w:r w:rsidR="00A7071A" w:rsidRPr="00A7071A">
        <w:rPr>
          <w:rFonts w:eastAsia="TimesNewRoman"/>
          <w:szCs w:val="24"/>
        </w:rPr>
        <w:t xml:space="preserve">The melting temperature of </w:t>
      </w:r>
      <w:proofErr w:type="spellStart"/>
      <w:r w:rsidR="00A7071A" w:rsidRPr="00A7071A">
        <w:rPr>
          <w:rFonts w:eastAsia="TimesNewRoman"/>
          <w:szCs w:val="24"/>
        </w:rPr>
        <w:t>macitentan</w:t>
      </w:r>
      <w:proofErr w:type="spellEnd"/>
      <w:r w:rsidR="00A7071A" w:rsidRPr="00A7071A">
        <w:rPr>
          <w:rFonts w:eastAsia="TimesNewRoman"/>
          <w:szCs w:val="24"/>
        </w:rPr>
        <w:t xml:space="preserve"> is 135 °C, Partition coefficient (1-octanol / aqueous phosphate buffer, pH 7.4): log D = 2.9 and ionization constant </w:t>
      </w:r>
      <w:proofErr w:type="spellStart"/>
      <w:r w:rsidR="00A7071A" w:rsidRPr="00A7071A">
        <w:rPr>
          <w:rFonts w:eastAsia="TimesNewRoman"/>
          <w:szCs w:val="24"/>
        </w:rPr>
        <w:t>pKa</w:t>
      </w:r>
      <w:proofErr w:type="spellEnd"/>
      <w:r w:rsidR="00A7071A" w:rsidRPr="00A7071A">
        <w:rPr>
          <w:rFonts w:eastAsia="TimesNewRoman"/>
          <w:szCs w:val="24"/>
        </w:rPr>
        <w:t xml:space="preserve"> is 6.2.</w:t>
      </w:r>
    </w:p>
    <w:p w:rsidR="000174C0" w:rsidRPr="000C24AB" w:rsidRDefault="000174C0" w:rsidP="000174C0">
      <w:pPr>
        <w:pStyle w:val="C-BodyText"/>
        <w:jc w:val="both"/>
        <w:rPr>
          <w:szCs w:val="24"/>
        </w:rPr>
      </w:pPr>
      <w:r w:rsidRPr="000C24AB">
        <w:rPr>
          <w:szCs w:val="24"/>
        </w:rPr>
        <w:t xml:space="preserve">OPSUMIT is available as a 10 mg film-coated tablet for once daily oral administration. The tablets include the following inactive ingredients: </w:t>
      </w:r>
      <w:r>
        <w:rPr>
          <w:szCs w:val="24"/>
        </w:rPr>
        <w:t>lactose, m</w:t>
      </w:r>
      <w:r w:rsidRPr="009A7AC7">
        <w:rPr>
          <w:szCs w:val="24"/>
        </w:rPr>
        <w:t>agnesium stearate</w:t>
      </w:r>
      <w:r>
        <w:rPr>
          <w:szCs w:val="24"/>
        </w:rPr>
        <w:t xml:space="preserve">, microcrystalline cellulose, </w:t>
      </w:r>
      <w:proofErr w:type="spellStart"/>
      <w:r>
        <w:rPr>
          <w:szCs w:val="24"/>
        </w:rPr>
        <w:t>p</w:t>
      </w:r>
      <w:r w:rsidRPr="009A7AC7">
        <w:rPr>
          <w:szCs w:val="24"/>
        </w:rPr>
        <w:t>olysorbate</w:t>
      </w:r>
      <w:proofErr w:type="spellEnd"/>
      <w:r w:rsidRPr="009A7AC7">
        <w:rPr>
          <w:szCs w:val="24"/>
        </w:rPr>
        <w:t xml:space="preserve"> 80</w:t>
      </w:r>
      <w:r>
        <w:rPr>
          <w:szCs w:val="24"/>
        </w:rPr>
        <w:t xml:space="preserve">, </w:t>
      </w:r>
      <w:proofErr w:type="spellStart"/>
      <w:r>
        <w:rPr>
          <w:szCs w:val="24"/>
        </w:rPr>
        <w:t>p</w:t>
      </w:r>
      <w:r w:rsidRPr="009A7AC7">
        <w:rPr>
          <w:szCs w:val="24"/>
        </w:rPr>
        <w:t>ovidone</w:t>
      </w:r>
      <w:proofErr w:type="spellEnd"/>
      <w:r>
        <w:rPr>
          <w:szCs w:val="24"/>
        </w:rPr>
        <w:t>, and s</w:t>
      </w:r>
      <w:r w:rsidRPr="009A7AC7">
        <w:rPr>
          <w:szCs w:val="24"/>
        </w:rPr>
        <w:t xml:space="preserve">odium starch </w:t>
      </w:r>
      <w:proofErr w:type="spellStart"/>
      <w:r w:rsidRPr="009A7AC7">
        <w:rPr>
          <w:szCs w:val="24"/>
        </w:rPr>
        <w:t>glyco</w:t>
      </w:r>
      <w:r w:rsidR="00856BF9">
        <w:rPr>
          <w:szCs w:val="24"/>
        </w:rPr>
        <w:t>l</w:t>
      </w:r>
      <w:r w:rsidRPr="009A7AC7">
        <w:rPr>
          <w:szCs w:val="24"/>
        </w:rPr>
        <w:t>late</w:t>
      </w:r>
      <w:proofErr w:type="spellEnd"/>
      <w:r w:rsidRPr="009A7AC7">
        <w:rPr>
          <w:szCs w:val="24"/>
        </w:rPr>
        <w:t xml:space="preserve"> </w:t>
      </w:r>
      <w:r w:rsidR="00856BF9">
        <w:rPr>
          <w:szCs w:val="24"/>
        </w:rPr>
        <w:t>t</w:t>
      </w:r>
      <w:r w:rsidR="00856BF9" w:rsidRPr="009A7AC7">
        <w:rPr>
          <w:szCs w:val="24"/>
        </w:rPr>
        <w:t xml:space="preserve">ype </w:t>
      </w:r>
      <w:r w:rsidRPr="009A7AC7">
        <w:rPr>
          <w:szCs w:val="24"/>
        </w:rPr>
        <w:t>A</w:t>
      </w:r>
      <w:r>
        <w:rPr>
          <w:szCs w:val="24"/>
        </w:rPr>
        <w:t xml:space="preserve">. </w:t>
      </w:r>
      <w:r w:rsidRPr="000C24AB">
        <w:rPr>
          <w:szCs w:val="24"/>
        </w:rPr>
        <w:t>The tablets are film-coated with a coating material containing p</w:t>
      </w:r>
      <w:r w:rsidRPr="000531A9">
        <w:rPr>
          <w:szCs w:val="24"/>
        </w:rPr>
        <w:t>olyvinyl alcohol</w:t>
      </w:r>
      <w:r>
        <w:rPr>
          <w:szCs w:val="24"/>
        </w:rPr>
        <w:t xml:space="preserve">, </w:t>
      </w:r>
      <w:r w:rsidRPr="000531A9">
        <w:rPr>
          <w:szCs w:val="24"/>
        </w:rPr>
        <w:t>lecithin</w:t>
      </w:r>
      <w:r>
        <w:rPr>
          <w:szCs w:val="24"/>
        </w:rPr>
        <w:t xml:space="preserve">, </w:t>
      </w:r>
      <w:r w:rsidR="00856BF9">
        <w:rPr>
          <w:szCs w:val="24"/>
        </w:rPr>
        <w:t xml:space="preserve">purified </w:t>
      </w:r>
      <w:r>
        <w:rPr>
          <w:szCs w:val="24"/>
        </w:rPr>
        <w:t>t</w:t>
      </w:r>
      <w:r w:rsidRPr="000531A9">
        <w:rPr>
          <w:szCs w:val="24"/>
        </w:rPr>
        <w:t>alc</w:t>
      </w:r>
      <w:r>
        <w:rPr>
          <w:szCs w:val="24"/>
        </w:rPr>
        <w:t>, t</w:t>
      </w:r>
      <w:r w:rsidRPr="000531A9">
        <w:rPr>
          <w:szCs w:val="24"/>
        </w:rPr>
        <w:t>itanium dioxide</w:t>
      </w:r>
      <w:r>
        <w:rPr>
          <w:szCs w:val="24"/>
        </w:rPr>
        <w:t>, and x</w:t>
      </w:r>
      <w:r w:rsidRPr="000531A9">
        <w:rPr>
          <w:szCs w:val="24"/>
        </w:rPr>
        <w:t>anthan gum</w:t>
      </w:r>
      <w:r>
        <w:rPr>
          <w:szCs w:val="24"/>
        </w:rPr>
        <w:t>.</w:t>
      </w:r>
      <w:r w:rsidRPr="000C24AB">
        <w:rPr>
          <w:szCs w:val="24"/>
        </w:rPr>
        <w:t xml:space="preserve"> Each white, round, biconvex film-coated tablet, </w:t>
      </w:r>
      <w:proofErr w:type="spellStart"/>
      <w:r>
        <w:rPr>
          <w:szCs w:val="24"/>
        </w:rPr>
        <w:t>de</w:t>
      </w:r>
      <w:r w:rsidRPr="000C24AB">
        <w:rPr>
          <w:szCs w:val="24"/>
        </w:rPr>
        <w:t>bossed</w:t>
      </w:r>
      <w:proofErr w:type="spellEnd"/>
      <w:r w:rsidRPr="000C24AB">
        <w:rPr>
          <w:szCs w:val="24"/>
        </w:rPr>
        <w:t xml:space="preserve"> with “10” on one side</w:t>
      </w:r>
      <w:r>
        <w:rPr>
          <w:szCs w:val="24"/>
        </w:rPr>
        <w:t>,</w:t>
      </w:r>
      <w:r w:rsidRPr="000C24AB">
        <w:rPr>
          <w:szCs w:val="24"/>
        </w:rPr>
        <w:t xml:space="preserve"> contains 10 mg of </w:t>
      </w:r>
      <w:proofErr w:type="spellStart"/>
      <w:r w:rsidR="00C44E57">
        <w:rPr>
          <w:szCs w:val="24"/>
        </w:rPr>
        <w:t>macitentan</w:t>
      </w:r>
      <w:proofErr w:type="spellEnd"/>
      <w:r w:rsidRPr="000C24AB">
        <w:rPr>
          <w:szCs w:val="24"/>
        </w:rPr>
        <w:t xml:space="preserve">. </w:t>
      </w:r>
    </w:p>
    <w:p w:rsidR="000174C0" w:rsidRDefault="000174C0" w:rsidP="001B1002">
      <w:pPr>
        <w:rPr>
          <w:rFonts w:ascii="Arial" w:hAnsi="Arial" w:cs="Arial"/>
          <w:szCs w:val="24"/>
        </w:rPr>
      </w:pPr>
    </w:p>
    <w:p w:rsidR="001C35B2" w:rsidRDefault="001C35B2" w:rsidP="00365338">
      <w:pPr>
        <w:pStyle w:val="Heading1"/>
        <w:ind w:right="-61"/>
      </w:pPr>
      <w:r>
        <w:lastRenderedPageBreak/>
        <w:t>PHARMACOLOGY</w:t>
      </w:r>
    </w:p>
    <w:p w:rsidR="000851C5" w:rsidRPr="000851C5" w:rsidRDefault="000851C5" w:rsidP="000851C5"/>
    <w:p w:rsidR="00B1045B" w:rsidRPr="00B1045B" w:rsidRDefault="00B1045B" w:rsidP="00B1045B">
      <w:pPr>
        <w:pStyle w:val="Heading1"/>
        <w:ind w:right="-61"/>
      </w:pPr>
      <w:r w:rsidRPr="00B1045B">
        <w:t xml:space="preserve">Mechanism of Action </w:t>
      </w:r>
    </w:p>
    <w:p w:rsidR="00B1045B" w:rsidRDefault="00B1045B" w:rsidP="00B1045B">
      <w:pPr>
        <w:jc w:val="both"/>
      </w:pPr>
      <w:proofErr w:type="spellStart"/>
      <w:r w:rsidRPr="00D046DF">
        <w:t>Endothelin</w:t>
      </w:r>
      <w:proofErr w:type="spellEnd"/>
      <w:r w:rsidRPr="00D046DF">
        <w:t xml:space="preserve"> (ET)-1 and its receptors (ETA and ETB) mediate a variety of effects such as vasoconstriction, fibrosis, proliferation, hypertrophy</w:t>
      </w:r>
      <w:r>
        <w:t>,</w:t>
      </w:r>
      <w:r w:rsidRPr="00D046DF">
        <w:t xml:space="preserve"> and inflammation. In disease conditions such as </w:t>
      </w:r>
      <w:r w:rsidR="007B5719">
        <w:t>pulmonary arterial hypertension (</w:t>
      </w:r>
      <w:r w:rsidRPr="00D046DF">
        <w:t>PAH</w:t>
      </w:r>
      <w:r w:rsidR="007B5719">
        <w:t>)</w:t>
      </w:r>
      <w:r w:rsidRPr="00D046DF">
        <w:t xml:space="preserve">, the local ET system is </w:t>
      </w:r>
      <w:proofErr w:type="spellStart"/>
      <w:r w:rsidRPr="00D046DF">
        <w:t>upregulated</w:t>
      </w:r>
      <w:proofErr w:type="spellEnd"/>
      <w:r w:rsidRPr="00D046DF">
        <w:t xml:space="preserve"> and is involved in vascular hypertrophy and in organ damage.</w:t>
      </w:r>
    </w:p>
    <w:p w:rsidR="00B1045B" w:rsidRPr="00D046DF" w:rsidRDefault="00B1045B" w:rsidP="00B1045B">
      <w:pPr>
        <w:jc w:val="both"/>
      </w:pPr>
    </w:p>
    <w:p w:rsidR="00B1045B" w:rsidRDefault="00B1045B" w:rsidP="00B1045B">
      <w:pPr>
        <w:jc w:val="both"/>
      </w:pPr>
      <w:proofErr w:type="spellStart"/>
      <w:r w:rsidRPr="00D046DF">
        <w:t>Macitentan</w:t>
      </w:r>
      <w:proofErr w:type="spellEnd"/>
      <w:r w:rsidRPr="00D046DF">
        <w:t xml:space="preserve"> is an orally active, dual ETA and ETB receptor antagonist that prevents the binding of ET-1 to its receptors. </w:t>
      </w:r>
      <w:proofErr w:type="spellStart"/>
      <w:r w:rsidRPr="00D046DF">
        <w:t>Macitentan</w:t>
      </w:r>
      <w:proofErr w:type="spellEnd"/>
      <w:r w:rsidRPr="00D046DF">
        <w:t xml:space="preserve"> displays high affinity </w:t>
      </w:r>
      <w:r w:rsidR="007B5719">
        <w:t>for and</w:t>
      </w:r>
      <w:r w:rsidRPr="00D046DF">
        <w:t xml:space="preserve"> sustained occupancy of the ET receptors in human pulmonary arterial smooth muscle cells and has physicochemical properties favo</w:t>
      </w:r>
      <w:r>
        <w:t>u</w:t>
      </w:r>
      <w:r w:rsidRPr="00D046DF">
        <w:t xml:space="preserve">ring </w:t>
      </w:r>
      <w:r>
        <w:t>penetration</w:t>
      </w:r>
      <w:r w:rsidRPr="00D046DF">
        <w:t xml:space="preserve"> into </w:t>
      </w:r>
      <w:r>
        <w:t xml:space="preserve">lung tissue, </w:t>
      </w:r>
      <w:r w:rsidRPr="00D046DF">
        <w:t>particularly in disease conditions.</w:t>
      </w:r>
    </w:p>
    <w:p w:rsidR="00B1045B" w:rsidRPr="00D046DF" w:rsidRDefault="00B1045B" w:rsidP="00B1045B">
      <w:pPr>
        <w:jc w:val="both"/>
      </w:pPr>
    </w:p>
    <w:p w:rsidR="00B1045B" w:rsidRDefault="00B1045B" w:rsidP="00833579">
      <w:pPr>
        <w:ind w:right="-61"/>
        <w:jc w:val="both"/>
        <w:rPr>
          <w:rFonts w:ascii="Arial" w:hAnsi="Arial" w:cs="Arial"/>
        </w:rPr>
      </w:pPr>
      <w:r w:rsidRPr="00D046DF">
        <w:t xml:space="preserve">In </w:t>
      </w:r>
      <w:r w:rsidR="00833579">
        <w:t xml:space="preserve">animal </w:t>
      </w:r>
      <w:r w:rsidRPr="00D046DF">
        <w:t xml:space="preserve">models of pulmonary hypertension, </w:t>
      </w:r>
      <w:proofErr w:type="spellStart"/>
      <w:r w:rsidRPr="00D046DF">
        <w:t>macitentan</w:t>
      </w:r>
      <w:proofErr w:type="spellEnd"/>
      <w:r w:rsidRPr="00D046DF">
        <w:t xml:space="preserve"> selectively decreased mean pulmonary arterial pressure without affecting systemic blood pressure, prevented pulmonary arterial hypertrophy and right ventricular </w:t>
      </w:r>
      <w:proofErr w:type="spellStart"/>
      <w:r w:rsidRPr="00D046DF">
        <w:t>remodeling</w:t>
      </w:r>
      <w:proofErr w:type="spellEnd"/>
      <w:r>
        <w:t>,</w:t>
      </w:r>
      <w:r w:rsidRPr="00D046DF">
        <w:t xml:space="preserve"> and significantly increased survival</w:t>
      </w:r>
      <w:r w:rsidR="007B5719">
        <w:t>.</w:t>
      </w:r>
    </w:p>
    <w:p w:rsidR="00EF0A97" w:rsidRDefault="00EF0A97" w:rsidP="00365338">
      <w:pPr>
        <w:pStyle w:val="Heading1"/>
        <w:ind w:right="-61"/>
      </w:pPr>
    </w:p>
    <w:p w:rsidR="00763ED1" w:rsidRPr="00D12E59" w:rsidRDefault="00763ED1" w:rsidP="00D12E59">
      <w:pPr>
        <w:pStyle w:val="Heading1"/>
        <w:ind w:right="-61"/>
      </w:pPr>
      <w:r w:rsidRPr="00D12E59">
        <w:t>Pharmacodynamics</w:t>
      </w:r>
    </w:p>
    <w:p w:rsidR="00763ED1" w:rsidRPr="002D5BF3" w:rsidRDefault="00763ED1" w:rsidP="00E94507">
      <w:pPr>
        <w:autoSpaceDE w:val="0"/>
        <w:autoSpaceDN w:val="0"/>
        <w:adjustRightInd w:val="0"/>
        <w:jc w:val="both"/>
        <w:rPr>
          <w:rFonts w:ascii="Times New Roman" w:hAnsi="Times New Roman"/>
        </w:rPr>
      </w:pPr>
      <w:r w:rsidRPr="002D5BF3">
        <w:rPr>
          <w:rFonts w:ascii="Times New Roman" w:hAnsi="Times New Roman"/>
          <w:i/>
          <w:iCs/>
          <w:szCs w:val="24"/>
          <w:lang w:val="en-US"/>
        </w:rPr>
        <w:t>Cardiac Electrophysiology</w:t>
      </w:r>
      <w:r w:rsidRPr="002D5BF3">
        <w:rPr>
          <w:rFonts w:ascii="Times New Roman" w:hAnsi="Times New Roman"/>
          <w:szCs w:val="24"/>
          <w:lang w:val="en-US"/>
        </w:rPr>
        <w:t xml:space="preserve">: In a randomized, placebo-controlled four-way crossover study with a positive control in healthy subjects, repeated doses of </w:t>
      </w:r>
      <w:proofErr w:type="spellStart"/>
      <w:r w:rsidRPr="002D5BF3">
        <w:rPr>
          <w:rFonts w:ascii="Times New Roman" w:hAnsi="Times New Roman"/>
          <w:szCs w:val="24"/>
          <w:lang w:val="en-US"/>
        </w:rPr>
        <w:t>macitentan</w:t>
      </w:r>
      <w:proofErr w:type="spellEnd"/>
      <w:r w:rsidRPr="002D5BF3">
        <w:rPr>
          <w:rFonts w:ascii="Times New Roman" w:hAnsi="Times New Roman"/>
          <w:szCs w:val="24"/>
          <w:lang w:val="en-US"/>
        </w:rPr>
        <w:t xml:space="preserve"> 10 and 30 mg (3 times the recommended dosage) had no significant effect on the </w:t>
      </w:r>
      <w:proofErr w:type="spellStart"/>
      <w:r w:rsidRPr="002D5BF3">
        <w:rPr>
          <w:rFonts w:ascii="Times New Roman" w:hAnsi="Times New Roman"/>
          <w:szCs w:val="24"/>
          <w:lang w:val="en-US"/>
        </w:rPr>
        <w:t>QTc</w:t>
      </w:r>
      <w:proofErr w:type="spellEnd"/>
      <w:r w:rsidRPr="002D5BF3">
        <w:rPr>
          <w:rFonts w:ascii="Times New Roman" w:hAnsi="Times New Roman"/>
          <w:szCs w:val="24"/>
          <w:lang w:val="en-US"/>
        </w:rPr>
        <w:t xml:space="preserve"> interval.</w:t>
      </w:r>
    </w:p>
    <w:p w:rsidR="00763ED1" w:rsidRPr="00763ED1" w:rsidRDefault="00763ED1" w:rsidP="00763ED1"/>
    <w:p w:rsidR="001C35B2" w:rsidRDefault="001C35B2" w:rsidP="00365338">
      <w:pPr>
        <w:pStyle w:val="Heading1"/>
        <w:ind w:right="-61"/>
      </w:pPr>
      <w:r>
        <w:t>Pharmacokinetics</w:t>
      </w:r>
    </w:p>
    <w:p w:rsidR="00467D27" w:rsidRPr="00467D27" w:rsidRDefault="00467D27" w:rsidP="00833579">
      <w:pPr>
        <w:jc w:val="both"/>
        <w:rPr>
          <w:rFonts w:ascii="Times New Roman" w:hAnsi="Times New Roman"/>
        </w:rPr>
      </w:pPr>
      <w:r w:rsidRPr="00467D27">
        <w:rPr>
          <w:rFonts w:ascii="Times New Roman" w:hAnsi="Times New Roman"/>
        </w:rPr>
        <w:t xml:space="preserve">The pharmacokinetics of </w:t>
      </w:r>
      <w:proofErr w:type="spellStart"/>
      <w:r w:rsidRPr="00467D27">
        <w:rPr>
          <w:rFonts w:ascii="Times New Roman" w:hAnsi="Times New Roman"/>
        </w:rPr>
        <w:t>macitentan</w:t>
      </w:r>
      <w:proofErr w:type="spellEnd"/>
      <w:r w:rsidRPr="00467D27">
        <w:rPr>
          <w:rFonts w:ascii="Times New Roman" w:hAnsi="Times New Roman"/>
        </w:rPr>
        <w:t xml:space="preserve"> and its active metabolite have mainly been documented in healthy subjects. </w:t>
      </w:r>
      <w:r w:rsidR="00527F9F">
        <w:rPr>
          <w:rFonts w:ascii="Times New Roman" w:hAnsi="Times New Roman"/>
        </w:rPr>
        <w:t xml:space="preserve"> </w:t>
      </w:r>
      <w:r w:rsidRPr="00467D27">
        <w:rPr>
          <w:rFonts w:ascii="Times New Roman" w:hAnsi="Times New Roman"/>
        </w:rPr>
        <w:t xml:space="preserve">Exposure to </w:t>
      </w:r>
      <w:proofErr w:type="spellStart"/>
      <w:r w:rsidRPr="00467D27">
        <w:rPr>
          <w:rFonts w:ascii="Times New Roman" w:hAnsi="Times New Roman"/>
        </w:rPr>
        <w:t>macitentan</w:t>
      </w:r>
      <w:proofErr w:type="spellEnd"/>
      <w:r w:rsidRPr="00467D27">
        <w:rPr>
          <w:rFonts w:ascii="Times New Roman" w:hAnsi="Times New Roman"/>
        </w:rPr>
        <w:t xml:space="preserve"> in patients with PAH was approximately 2-fold greater than in healthy subjects. The exposure to the active metabolite in patients was only slightly higher (approximately 1.5-fold) than in healthy subjects. The pharmacokinetics of </w:t>
      </w:r>
      <w:proofErr w:type="spellStart"/>
      <w:r w:rsidRPr="00467D27">
        <w:rPr>
          <w:rFonts w:ascii="Times New Roman" w:hAnsi="Times New Roman"/>
        </w:rPr>
        <w:t>macitentan</w:t>
      </w:r>
      <w:proofErr w:type="spellEnd"/>
      <w:r w:rsidRPr="00467D27">
        <w:rPr>
          <w:rFonts w:ascii="Times New Roman" w:hAnsi="Times New Roman"/>
        </w:rPr>
        <w:t xml:space="preserve"> in PAH patients were not influenced by the severity of the disease.</w:t>
      </w:r>
    </w:p>
    <w:p w:rsidR="00467D27" w:rsidRPr="00467D27" w:rsidRDefault="00467D27" w:rsidP="00833579">
      <w:pPr>
        <w:jc w:val="both"/>
        <w:rPr>
          <w:rFonts w:ascii="Times New Roman" w:hAnsi="Times New Roman"/>
        </w:rPr>
      </w:pPr>
    </w:p>
    <w:p w:rsidR="00467D27" w:rsidRPr="00467D27" w:rsidRDefault="00467D27" w:rsidP="00833579">
      <w:pPr>
        <w:jc w:val="both"/>
        <w:rPr>
          <w:rFonts w:ascii="Times New Roman" w:hAnsi="Times New Roman"/>
        </w:rPr>
      </w:pPr>
      <w:r w:rsidRPr="00467D27">
        <w:rPr>
          <w:rFonts w:ascii="Times New Roman" w:hAnsi="Times New Roman"/>
        </w:rPr>
        <w:t xml:space="preserve">After repeated administration, the pharmacokinetics of </w:t>
      </w:r>
      <w:proofErr w:type="spellStart"/>
      <w:r w:rsidRPr="00467D27">
        <w:rPr>
          <w:rFonts w:ascii="Times New Roman" w:hAnsi="Times New Roman"/>
        </w:rPr>
        <w:t>macitentan</w:t>
      </w:r>
      <w:proofErr w:type="spellEnd"/>
      <w:r w:rsidRPr="00467D27">
        <w:rPr>
          <w:rFonts w:ascii="Times New Roman" w:hAnsi="Times New Roman"/>
        </w:rPr>
        <w:t xml:space="preserve"> are dose-proportional up to and including 30</w:t>
      </w:r>
      <w:r w:rsidR="00D35480">
        <w:rPr>
          <w:rFonts w:ascii="Times New Roman" w:hAnsi="Times New Roman"/>
        </w:rPr>
        <w:t xml:space="preserve"> </w:t>
      </w:r>
      <w:r w:rsidRPr="00467D27">
        <w:rPr>
          <w:rFonts w:ascii="Times New Roman" w:hAnsi="Times New Roman"/>
        </w:rPr>
        <w:t>mg.</w:t>
      </w:r>
    </w:p>
    <w:p w:rsidR="00467D27" w:rsidRPr="00467D27" w:rsidRDefault="00467D27" w:rsidP="00467D27">
      <w:pPr>
        <w:rPr>
          <w:rFonts w:ascii="Times New Roman" w:hAnsi="Times New Roman"/>
          <w:i/>
          <w:szCs w:val="22"/>
          <w:u w:val="single"/>
        </w:rPr>
      </w:pPr>
    </w:p>
    <w:p w:rsidR="00467D27" w:rsidRPr="00597E3C" w:rsidRDefault="00467D27" w:rsidP="00467D27">
      <w:pPr>
        <w:pStyle w:val="PlainText"/>
        <w:keepNext/>
        <w:rPr>
          <w:rFonts w:ascii="Times New Roman" w:hAnsi="Times New Roman"/>
          <w:b/>
          <w:sz w:val="22"/>
          <w:szCs w:val="22"/>
          <w:lang w:val="en-GB"/>
        </w:rPr>
      </w:pPr>
      <w:r w:rsidRPr="00597E3C">
        <w:rPr>
          <w:rFonts w:ascii="Times New Roman" w:hAnsi="Times New Roman"/>
          <w:b/>
          <w:sz w:val="22"/>
          <w:szCs w:val="22"/>
          <w:lang w:val="en-GB"/>
        </w:rPr>
        <w:t>Absorption</w:t>
      </w:r>
    </w:p>
    <w:p w:rsidR="00467D27" w:rsidRPr="00467D27" w:rsidRDefault="00467D27" w:rsidP="00833579">
      <w:pPr>
        <w:jc w:val="both"/>
        <w:rPr>
          <w:rFonts w:ascii="Times New Roman" w:hAnsi="Times New Roman"/>
          <w:szCs w:val="22"/>
        </w:rPr>
      </w:pPr>
      <w:r w:rsidRPr="00467D27">
        <w:rPr>
          <w:rFonts w:ascii="Times New Roman" w:hAnsi="Times New Roman"/>
          <w:szCs w:val="22"/>
        </w:rPr>
        <w:t xml:space="preserve">Maximum plasma concentrations of </w:t>
      </w: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are achieved about 8</w:t>
      </w:r>
      <w:r w:rsidR="00D35480">
        <w:rPr>
          <w:rFonts w:ascii="Times New Roman" w:hAnsi="Times New Roman"/>
          <w:szCs w:val="22"/>
        </w:rPr>
        <w:t xml:space="preserve"> </w:t>
      </w:r>
      <w:r w:rsidRPr="00467D27">
        <w:rPr>
          <w:rFonts w:ascii="Times New Roman" w:hAnsi="Times New Roman"/>
          <w:szCs w:val="22"/>
        </w:rPr>
        <w:t xml:space="preserve">hours after administration. </w:t>
      </w:r>
      <w:r w:rsidR="003C20E3">
        <w:rPr>
          <w:rFonts w:ascii="TimesNewRomanPSMT" w:hAnsi="TimesNewRomanPSMT" w:cs="TimesNewRomanPSMT"/>
          <w:szCs w:val="24"/>
          <w:lang w:val="en-US"/>
        </w:rPr>
        <w:t xml:space="preserve">The absolute bioavailability after oral administration is not known. </w:t>
      </w:r>
      <w:r w:rsidRPr="00467D27">
        <w:rPr>
          <w:rFonts w:ascii="Times New Roman" w:hAnsi="Times New Roman"/>
          <w:szCs w:val="22"/>
        </w:rPr>
        <w:t xml:space="preserve">Thereafter, plasma concentrations of </w:t>
      </w: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and its active metabolite decrease slowly, with an apparent elimination half-life of approximately 16</w:t>
      </w:r>
      <w:r w:rsidR="00D35480">
        <w:rPr>
          <w:rFonts w:ascii="Times New Roman" w:hAnsi="Times New Roman"/>
          <w:szCs w:val="22"/>
        </w:rPr>
        <w:t xml:space="preserve"> </w:t>
      </w:r>
      <w:r w:rsidRPr="00467D27">
        <w:rPr>
          <w:rFonts w:ascii="Times New Roman" w:hAnsi="Times New Roman"/>
          <w:szCs w:val="22"/>
        </w:rPr>
        <w:t>hours and 48</w:t>
      </w:r>
      <w:r w:rsidR="00D35480">
        <w:rPr>
          <w:rFonts w:ascii="Times New Roman" w:hAnsi="Times New Roman"/>
          <w:szCs w:val="22"/>
        </w:rPr>
        <w:t xml:space="preserve"> </w:t>
      </w:r>
      <w:r w:rsidRPr="00467D27">
        <w:rPr>
          <w:rFonts w:ascii="Times New Roman" w:hAnsi="Times New Roman"/>
          <w:szCs w:val="22"/>
        </w:rPr>
        <w:t>hours, respectively.</w:t>
      </w:r>
    </w:p>
    <w:p w:rsidR="00467D27" w:rsidRPr="00467D27" w:rsidRDefault="00467D27" w:rsidP="00833579">
      <w:pPr>
        <w:jc w:val="both"/>
        <w:rPr>
          <w:rFonts w:ascii="Times New Roman" w:hAnsi="Times New Roman"/>
          <w:szCs w:val="22"/>
        </w:rPr>
      </w:pPr>
    </w:p>
    <w:p w:rsidR="00467D27" w:rsidRPr="00467D27" w:rsidRDefault="00467D27" w:rsidP="00833579">
      <w:pPr>
        <w:jc w:val="both"/>
        <w:rPr>
          <w:rFonts w:ascii="Times New Roman" w:hAnsi="Times New Roman"/>
          <w:szCs w:val="22"/>
        </w:rPr>
      </w:pPr>
      <w:r w:rsidRPr="00467D27">
        <w:rPr>
          <w:rFonts w:ascii="Times New Roman" w:hAnsi="Times New Roman"/>
          <w:szCs w:val="22"/>
        </w:rPr>
        <w:t xml:space="preserve">In healthy subjects, the exposure to </w:t>
      </w: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and its active metabolite is unchanged in the presence of food and, therefore, </w:t>
      </w: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may be taken with or without food.</w:t>
      </w:r>
    </w:p>
    <w:p w:rsidR="00467D27" w:rsidRPr="00467D27" w:rsidRDefault="00467D27" w:rsidP="00833579">
      <w:pPr>
        <w:jc w:val="both"/>
        <w:rPr>
          <w:rFonts w:ascii="Times New Roman" w:hAnsi="Times New Roman"/>
          <w:szCs w:val="22"/>
        </w:rPr>
      </w:pPr>
    </w:p>
    <w:p w:rsidR="00467D27" w:rsidRPr="00597E3C" w:rsidRDefault="00467D27" w:rsidP="00833579">
      <w:pPr>
        <w:pStyle w:val="PlainText"/>
        <w:keepNext/>
        <w:jc w:val="both"/>
        <w:rPr>
          <w:rFonts w:ascii="Times New Roman" w:hAnsi="Times New Roman"/>
          <w:b/>
          <w:sz w:val="22"/>
          <w:szCs w:val="22"/>
          <w:lang w:val="en-GB"/>
        </w:rPr>
      </w:pPr>
      <w:r w:rsidRPr="00597E3C">
        <w:rPr>
          <w:rFonts w:ascii="Times New Roman" w:hAnsi="Times New Roman"/>
          <w:b/>
          <w:sz w:val="22"/>
          <w:szCs w:val="22"/>
          <w:lang w:val="en-GB"/>
        </w:rPr>
        <w:t>Distribution</w:t>
      </w:r>
    </w:p>
    <w:p w:rsidR="00467D27" w:rsidRPr="00467D27" w:rsidRDefault="00467D27" w:rsidP="00E94507">
      <w:pPr>
        <w:autoSpaceDE w:val="0"/>
        <w:autoSpaceDN w:val="0"/>
        <w:adjustRightInd w:val="0"/>
        <w:jc w:val="both"/>
        <w:rPr>
          <w:rFonts w:ascii="Times New Roman" w:hAnsi="Times New Roman"/>
          <w:szCs w:val="22"/>
        </w:rPr>
      </w:pP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and its active metabolite are hig</w:t>
      </w:r>
      <w:r w:rsidR="00D35480">
        <w:rPr>
          <w:rFonts w:ascii="Times New Roman" w:hAnsi="Times New Roman"/>
          <w:szCs w:val="22"/>
        </w:rPr>
        <w:t>hly bound to plasma proteins (&gt;</w:t>
      </w:r>
      <w:r w:rsidR="00527F9F">
        <w:rPr>
          <w:rFonts w:ascii="Times New Roman" w:hAnsi="Times New Roman"/>
          <w:szCs w:val="22"/>
        </w:rPr>
        <w:t xml:space="preserve"> </w:t>
      </w:r>
      <w:r w:rsidRPr="00467D27">
        <w:rPr>
          <w:rFonts w:ascii="Times New Roman" w:hAnsi="Times New Roman"/>
          <w:szCs w:val="22"/>
        </w:rPr>
        <w:t>99%), primarily to albumin and to a lesser extent to alpha</w:t>
      </w:r>
      <w:r w:rsidR="00D12E59">
        <w:rPr>
          <w:rFonts w:ascii="Times New Roman" w:hAnsi="Times New Roman"/>
          <w:szCs w:val="22"/>
        </w:rPr>
        <w:t>-</w:t>
      </w:r>
      <w:r w:rsidRPr="00467D27">
        <w:rPr>
          <w:rFonts w:ascii="Times New Roman" w:hAnsi="Times New Roman"/>
          <w:szCs w:val="22"/>
        </w:rPr>
        <w:t xml:space="preserve">1-acid glycoprotein. </w:t>
      </w:r>
      <w:r w:rsidR="003C20E3">
        <w:rPr>
          <w:rFonts w:ascii="TimesNewRomanPSMT" w:hAnsi="TimesNewRomanPSMT" w:cs="TimesNewRomanPSMT"/>
          <w:szCs w:val="24"/>
          <w:lang w:val="en-US"/>
        </w:rPr>
        <w:t xml:space="preserve">The apparent </w:t>
      </w:r>
      <w:r w:rsidR="003C20E3">
        <w:rPr>
          <w:rFonts w:ascii="TimesNewRomanPSMT" w:hAnsi="TimesNewRomanPSMT" w:cs="TimesNewRomanPSMT"/>
          <w:szCs w:val="24"/>
          <w:lang w:val="en-US"/>
        </w:rPr>
        <w:lastRenderedPageBreak/>
        <w:t>volumes of distribution (</w:t>
      </w:r>
      <w:proofErr w:type="spellStart"/>
      <w:r w:rsidR="003C20E3">
        <w:rPr>
          <w:rFonts w:ascii="TimesNewRomanPSMT" w:hAnsi="TimesNewRomanPSMT" w:cs="TimesNewRomanPSMT"/>
          <w:szCs w:val="24"/>
          <w:lang w:val="en-US"/>
        </w:rPr>
        <w:t>Vss</w:t>
      </w:r>
      <w:proofErr w:type="spellEnd"/>
      <w:r w:rsidR="003C20E3">
        <w:rPr>
          <w:rFonts w:ascii="TimesNewRomanPSMT" w:hAnsi="TimesNewRomanPSMT" w:cs="TimesNewRomanPSMT"/>
          <w:szCs w:val="24"/>
          <w:lang w:val="en-US"/>
        </w:rPr>
        <w:t xml:space="preserve">/F) of </w:t>
      </w:r>
      <w:proofErr w:type="spellStart"/>
      <w:r w:rsidR="003C20E3">
        <w:rPr>
          <w:rFonts w:ascii="TimesNewRomanPSMT" w:hAnsi="TimesNewRomanPSMT" w:cs="TimesNewRomanPSMT"/>
          <w:szCs w:val="24"/>
          <w:lang w:val="en-US"/>
        </w:rPr>
        <w:t>macitentan</w:t>
      </w:r>
      <w:proofErr w:type="spellEnd"/>
      <w:r w:rsidR="003C20E3">
        <w:rPr>
          <w:rFonts w:ascii="TimesNewRomanPSMT" w:hAnsi="TimesNewRomanPSMT" w:cs="TimesNewRomanPSMT"/>
          <w:szCs w:val="24"/>
          <w:lang w:val="en-US"/>
        </w:rPr>
        <w:t xml:space="preserve"> and its active metabolite were about 50 L and 40 L</w:t>
      </w:r>
      <w:r w:rsidR="00D12E59">
        <w:rPr>
          <w:rFonts w:ascii="TimesNewRomanPSMT" w:hAnsi="TimesNewRomanPSMT" w:cs="TimesNewRomanPSMT"/>
          <w:szCs w:val="24"/>
          <w:lang w:val="en-US"/>
        </w:rPr>
        <w:t>,</w:t>
      </w:r>
      <w:r w:rsidR="003C20E3">
        <w:rPr>
          <w:rFonts w:ascii="TimesNewRomanPSMT" w:hAnsi="TimesNewRomanPSMT" w:cs="TimesNewRomanPSMT"/>
          <w:szCs w:val="24"/>
          <w:lang w:val="en-US"/>
        </w:rPr>
        <w:t xml:space="preserve"> respectively</w:t>
      </w:r>
      <w:r w:rsidR="00D12E59">
        <w:rPr>
          <w:rFonts w:ascii="TimesNewRomanPSMT" w:hAnsi="TimesNewRomanPSMT" w:cs="TimesNewRomanPSMT"/>
          <w:szCs w:val="24"/>
          <w:lang w:val="en-US"/>
        </w:rPr>
        <w:t>,</w:t>
      </w:r>
      <w:r w:rsidR="003C20E3">
        <w:rPr>
          <w:rFonts w:ascii="TimesNewRomanPSMT" w:hAnsi="TimesNewRomanPSMT" w:cs="TimesNewRomanPSMT"/>
          <w:szCs w:val="24"/>
          <w:lang w:val="en-US"/>
        </w:rPr>
        <w:t xml:space="preserve"> in healthy subjects.</w:t>
      </w:r>
    </w:p>
    <w:p w:rsidR="00467D27" w:rsidRPr="00467D27" w:rsidRDefault="00467D27" w:rsidP="00467D27">
      <w:pPr>
        <w:rPr>
          <w:rFonts w:ascii="Times New Roman" w:hAnsi="Times New Roman"/>
          <w:szCs w:val="22"/>
        </w:rPr>
      </w:pPr>
    </w:p>
    <w:p w:rsidR="00467D27" w:rsidRPr="00597E3C" w:rsidRDefault="00467D27" w:rsidP="00467D27">
      <w:pPr>
        <w:pStyle w:val="PlainText"/>
        <w:keepNext/>
        <w:rPr>
          <w:rFonts w:ascii="Times New Roman" w:hAnsi="Times New Roman"/>
          <w:b/>
          <w:sz w:val="22"/>
          <w:szCs w:val="22"/>
          <w:lang w:val="en-GB"/>
        </w:rPr>
      </w:pPr>
      <w:r w:rsidRPr="00597E3C">
        <w:rPr>
          <w:rFonts w:ascii="Times New Roman" w:hAnsi="Times New Roman"/>
          <w:b/>
          <w:sz w:val="22"/>
          <w:szCs w:val="22"/>
          <w:lang w:val="en-GB"/>
        </w:rPr>
        <w:t xml:space="preserve">Biotransformation </w:t>
      </w:r>
    </w:p>
    <w:p w:rsidR="00467D27" w:rsidRPr="00467D27" w:rsidRDefault="00467D27" w:rsidP="00833579">
      <w:pPr>
        <w:jc w:val="both"/>
        <w:rPr>
          <w:rFonts w:ascii="Times New Roman" w:hAnsi="Times New Roman"/>
          <w:szCs w:val="22"/>
        </w:rPr>
      </w:pPr>
      <w:proofErr w:type="spellStart"/>
      <w:r w:rsidRPr="00467D27">
        <w:rPr>
          <w:rFonts w:ascii="Times New Roman" w:hAnsi="Times New Roman"/>
          <w:szCs w:val="22"/>
        </w:rPr>
        <w:t>Macitentan</w:t>
      </w:r>
      <w:proofErr w:type="spellEnd"/>
      <w:r w:rsidRPr="00467D27">
        <w:rPr>
          <w:rFonts w:ascii="Times New Roman" w:hAnsi="Times New Roman"/>
          <w:szCs w:val="22"/>
        </w:rPr>
        <w:t xml:space="preserve"> primarily undergoes oxidative </w:t>
      </w:r>
      <w:proofErr w:type="spellStart"/>
      <w:r w:rsidRPr="00467D27">
        <w:rPr>
          <w:rFonts w:ascii="Times New Roman" w:hAnsi="Times New Roman"/>
          <w:szCs w:val="22"/>
        </w:rPr>
        <w:t>depropylation</w:t>
      </w:r>
      <w:proofErr w:type="spellEnd"/>
      <w:r w:rsidRPr="00467D27">
        <w:rPr>
          <w:rFonts w:ascii="Times New Roman" w:hAnsi="Times New Roman"/>
          <w:szCs w:val="22"/>
        </w:rPr>
        <w:t xml:space="preserve"> of the </w:t>
      </w:r>
      <w:proofErr w:type="spellStart"/>
      <w:r w:rsidRPr="00467D27">
        <w:rPr>
          <w:rFonts w:ascii="Times New Roman" w:hAnsi="Times New Roman"/>
          <w:szCs w:val="22"/>
        </w:rPr>
        <w:t>sulfamide</w:t>
      </w:r>
      <w:proofErr w:type="spellEnd"/>
      <w:r w:rsidRPr="00467D27">
        <w:rPr>
          <w:rFonts w:ascii="Times New Roman" w:hAnsi="Times New Roman"/>
          <w:szCs w:val="22"/>
        </w:rPr>
        <w:t xml:space="preserve"> to form the pharmacologically active metabolite. This reaction is dependent on the cytochrome P450 system, mainly CYP3A4 with a minor contribution of CYP2C19. The active metabolite circulates in human plasma and may contribute to the overall pharmacological effect. </w:t>
      </w:r>
    </w:p>
    <w:p w:rsidR="00467D27" w:rsidRPr="00467D27" w:rsidRDefault="00467D27" w:rsidP="00833579">
      <w:pPr>
        <w:jc w:val="both"/>
        <w:rPr>
          <w:rFonts w:ascii="Times New Roman" w:hAnsi="Times New Roman"/>
          <w:szCs w:val="22"/>
        </w:rPr>
      </w:pPr>
    </w:p>
    <w:p w:rsidR="00467D27" w:rsidRPr="00597E3C" w:rsidRDefault="00467D27" w:rsidP="00833579">
      <w:pPr>
        <w:pStyle w:val="PlainText"/>
        <w:keepNext/>
        <w:jc w:val="both"/>
        <w:rPr>
          <w:rFonts w:ascii="Times New Roman" w:hAnsi="Times New Roman"/>
          <w:b/>
          <w:sz w:val="22"/>
          <w:szCs w:val="22"/>
          <w:lang w:val="en-GB"/>
        </w:rPr>
      </w:pPr>
      <w:r w:rsidRPr="00597E3C">
        <w:rPr>
          <w:rFonts w:ascii="Times New Roman" w:hAnsi="Times New Roman"/>
          <w:b/>
          <w:sz w:val="22"/>
          <w:szCs w:val="22"/>
          <w:lang w:val="en-GB"/>
        </w:rPr>
        <w:t>Elimination</w:t>
      </w:r>
    </w:p>
    <w:p w:rsidR="00467D27" w:rsidRPr="00467D27" w:rsidRDefault="00467D27" w:rsidP="00833579">
      <w:pPr>
        <w:jc w:val="both"/>
        <w:rPr>
          <w:rFonts w:ascii="Times New Roman" w:hAnsi="Times New Roman"/>
        </w:rPr>
      </w:pPr>
      <w:proofErr w:type="spellStart"/>
      <w:r w:rsidRPr="00467D27">
        <w:rPr>
          <w:rFonts w:ascii="Times New Roman" w:hAnsi="Times New Roman"/>
        </w:rPr>
        <w:t>Macitentan</w:t>
      </w:r>
      <w:proofErr w:type="spellEnd"/>
      <w:r w:rsidRPr="00467D27">
        <w:rPr>
          <w:rFonts w:ascii="Times New Roman" w:hAnsi="Times New Roman"/>
        </w:rPr>
        <w:t xml:space="preserve"> is only excreted after extensive metabolism. The major excretion route is via urine, accounting for about 50% of the dose. </w:t>
      </w:r>
    </w:p>
    <w:p w:rsidR="00467D27" w:rsidRPr="00467D27" w:rsidRDefault="00467D27" w:rsidP="00467D27">
      <w:pPr>
        <w:rPr>
          <w:rFonts w:ascii="Times New Roman" w:hAnsi="Times New Roman"/>
        </w:rPr>
      </w:pPr>
    </w:p>
    <w:p w:rsidR="00467D27" w:rsidRPr="00597E3C" w:rsidRDefault="00467D27" w:rsidP="00467D27">
      <w:pPr>
        <w:pStyle w:val="PlainText"/>
        <w:keepNext/>
        <w:jc w:val="both"/>
        <w:rPr>
          <w:rFonts w:ascii="Times New Roman" w:hAnsi="Times New Roman"/>
          <w:b/>
          <w:sz w:val="24"/>
        </w:rPr>
      </w:pPr>
      <w:r w:rsidRPr="00597E3C">
        <w:rPr>
          <w:rFonts w:ascii="Times New Roman" w:hAnsi="Times New Roman"/>
          <w:b/>
          <w:sz w:val="24"/>
        </w:rPr>
        <w:t>Special populations</w:t>
      </w:r>
    </w:p>
    <w:p w:rsidR="00467D27" w:rsidRPr="00467D27" w:rsidRDefault="00467D27" w:rsidP="00467D27">
      <w:pPr>
        <w:jc w:val="both"/>
        <w:rPr>
          <w:rFonts w:ascii="Times New Roman" w:hAnsi="Times New Roman"/>
          <w:szCs w:val="24"/>
        </w:rPr>
      </w:pPr>
      <w:r w:rsidRPr="00467D27">
        <w:rPr>
          <w:rFonts w:ascii="Times New Roman" w:hAnsi="Times New Roman"/>
          <w:szCs w:val="24"/>
        </w:rPr>
        <w:t xml:space="preserve">There is no clinically relevant effect of age, sex or ethnic origin on the pharmacokinetics of </w:t>
      </w:r>
      <w:proofErr w:type="spellStart"/>
      <w:r w:rsidRPr="00467D27">
        <w:rPr>
          <w:rFonts w:ascii="Times New Roman" w:hAnsi="Times New Roman"/>
          <w:szCs w:val="24"/>
        </w:rPr>
        <w:t>macitentan</w:t>
      </w:r>
      <w:proofErr w:type="spellEnd"/>
      <w:r w:rsidRPr="00467D27">
        <w:rPr>
          <w:rFonts w:ascii="Times New Roman" w:hAnsi="Times New Roman"/>
          <w:szCs w:val="24"/>
        </w:rPr>
        <w:t xml:space="preserve"> and its active metabolite.  </w:t>
      </w:r>
    </w:p>
    <w:p w:rsidR="00841126" w:rsidRDefault="00841126" w:rsidP="00467D27">
      <w:pPr>
        <w:pStyle w:val="PlainText"/>
        <w:keepNext/>
        <w:jc w:val="both"/>
        <w:rPr>
          <w:rFonts w:ascii="Times New Roman" w:hAnsi="Times New Roman"/>
          <w:i/>
          <w:sz w:val="24"/>
        </w:rPr>
      </w:pPr>
    </w:p>
    <w:p w:rsidR="00467D27" w:rsidRPr="00467D27" w:rsidRDefault="00467D27" w:rsidP="00467D27">
      <w:pPr>
        <w:pStyle w:val="PlainText"/>
        <w:keepNext/>
        <w:jc w:val="both"/>
        <w:rPr>
          <w:rFonts w:ascii="Times New Roman" w:hAnsi="Times New Roman"/>
          <w:sz w:val="24"/>
        </w:rPr>
      </w:pPr>
      <w:r w:rsidRPr="00597E3C">
        <w:rPr>
          <w:rFonts w:ascii="Times New Roman" w:hAnsi="Times New Roman"/>
          <w:i/>
          <w:sz w:val="24"/>
        </w:rPr>
        <w:t>Renal impairment</w:t>
      </w:r>
      <w:r w:rsidRPr="00467D27">
        <w:rPr>
          <w:rFonts w:ascii="Times New Roman" w:hAnsi="Times New Roman"/>
          <w:i/>
          <w:sz w:val="24"/>
        </w:rPr>
        <w:t xml:space="preserve">: </w:t>
      </w:r>
      <w:r w:rsidRPr="00467D27">
        <w:rPr>
          <w:rFonts w:ascii="Times New Roman" w:hAnsi="Times New Roman"/>
          <w:sz w:val="24"/>
        </w:rPr>
        <w:t xml:space="preserve">Exposure to </w:t>
      </w:r>
      <w:proofErr w:type="spellStart"/>
      <w:r w:rsidRPr="00467D27">
        <w:rPr>
          <w:rFonts w:ascii="Times New Roman" w:hAnsi="Times New Roman"/>
          <w:sz w:val="24"/>
        </w:rPr>
        <w:t>macitentan</w:t>
      </w:r>
      <w:proofErr w:type="spellEnd"/>
      <w:r w:rsidRPr="00467D27">
        <w:rPr>
          <w:rFonts w:ascii="Times New Roman" w:hAnsi="Times New Roman"/>
          <w:sz w:val="24"/>
        </w:rPr>
        <w:t xml:space="preserve"> and its active metabolite was increased by 1.3- and 1.6-fold, respectively, in patients with severe renal impairment..</w:t>
      </w:r>
    </w:p>
    <w:p w:rsidR="00841126" w:rsidRDefault="00841126" w:rsidP="00467D27">
      <w:pPr>
        <w:pStyle w:val="PlainText"/>
        <w:keepNext/>
        <w:jc w:val="both"/>
        <w:rPr>
          <w:rFonts w:ascii="Times New Roman" w:hAnsi="Times New Roman"/>
          <w:i/>
          <w:sz w:val="24"/>
        </w:rPr>
      </w:pPr>
    </w:p>
    <w:p w:rsidR="00467D27" w:rsidRPr="00467D27" w:rsidRDefault="00467D27" w:rsidP="00467D27">
      <w:pPr>
        <w:pStyle w:val="PlainText"/>
        <w:keepNext/>
        <w:jc w:val="both"/>
        <w:rPr>
          <w:rFonts w:ascii="Times New Roman" w:hAnsi="Times New Roman"/>
          <w:sz w:val="24"/>
        </w:rPr>
      </w:pPr>
      <w:r w:rsidRPr="00467D27">
        <w:rPr>
          <w:rFonts w:ascii="Times New Roman" w:hAnsi="Times New Roman"/>
          <w:i/>
          <w:sz w:val="24"/>
        </w:rPr>
        <w:t xml:space="preserve">Hepatic impairment: </w:t>
      </w:r>
      <w:r w:rsidRPr="00467D27">
        <w:rPr>
          <w:rFonts w:ascii="Times New Roman" w:hAnsi="Times New Roman"/>
          <w:sz w:val="24"/>
        </w:rPr>
        <w:t xml:space="preserve">Exposure to </w:t>
      </w:r>
      <w:proofErr w:type="spellStart"/>
      <w:r w:rsidRPr="00467D27">
        <w:rPr>
          <w:rFonts w:ascii="Times New Roman" w:hAnsi="Times New Roman"/>
          <w:sz w:val="24"/>
        </w:rPr>
        <w:t>macitentan</w:t>
      </w:r>
      <w:proofErr w:type="spellEnd"/>
      <w:r w:rsidRPr="00467D27">
        <w:rPr>
          <w:rFonts w:ascii="Times New Roman" w:hAnsi="Times New Roman"/>
          <w:sz w:val="24"/>
        </w:rPr>
        <w:t xml:space="preserve"> was decreased by 21%, 34%</w:t>
      </w:r>
      <w:r w:rsidR="00833579">
        <w:rPr>
          <w:rFonts w:ascii="Times New Roman" w:hAnsi="Times New Roman"/>
          <w:sz w:val="24"/>
        </w:rPr>
        <w:t>,</w:t>
      </w:r>
      <w:r w:rsidRPr="00467D27">
        <w:rPr>
          <w:rFonts w:ascii="Times New Roman" w:hAnsi="Times New Roman"/>
          <w:sz w:val="24"/>
        </w:rPr>
        <w:t xml:space="preserve"> and 6% and for the active metabolite by 20%, 25%</w:t>
      </w:r>
      <w:r w:rsidR="00833579">
        <w:rPr>
          <w:rFonts w:ascii="Times New Roman" w:hAnsi="Times New Roman"/>
          <w:sz w:val="24"/>
        </w:rPr>
        <w:t>,</w:t>
      </w:r>
      <w:r w:rsidRPr="00467D27">
        <w:rPr>
          <w:rFonts w:ascii="Times New Roman" w:hAnsi="Times New Roman"/>
          <w:sz w:val="24"/>
        </w:rPr>
        <w:t xml:space="preserve"> and 25% in subjects with mild, moderate or severe hepatic impairment, respectively.</w:t>
      </w:r>
    </w:p>
    <w:p w:rsidR="00467D27" w:rsidRPr="00467D27" w:rsidRDefault="00467D27" w:rsidP="00467D27">
      <w:pPr>
        <w:rPr>
          <w:rFonts w:ascii="Times New Roman" w:hAnsi="Times New Roman"/>
        </w:rPr>
      </w:pPr>
    </w:p>
    <w:p w:rsidR="001C35B2" w:rsidRPr="00C877C4" w:rsidRDefault="001C35B2" w:rsidP="00365338">
      <w:pPr>
        <w:pStyle w:val="Heading1"/>
        <w:ind w:right="-61"/>
      </w:pPr>
      <w:r w:rsidRPr="00AE1D40">
        <w:t>CLINICAL TRIALS</w:t>
      </w:r>
    </w:p>
    <w:p w:rsidR="00647F04" w:rsidRDefault="00647F04" w:rsidP="00647F04">
      <w:pPr>
        <w:rPr>
          <w:rFonts w:ascii="Times New Roman" w:hAnsi="Times New Roman"/>
          <w:i/>
          <w:szCs w:val="24"/>
        </w:rPr>
      </w:pPr>
    </w:p>
    <w:p w:rsidR="00647F04" w:rsidRPr="00BB2887" w:rsidRDefault="00647F04" w:rsidP="00647F04">
      <w:pPr>
        <w:rPr>
          <w:rFonts w:ascii="Times New Roman" w:hAnsi="Times New Roman"/>
          <w:b/>
          <w:i/>
          <w:szCs w:val="24"/>
        </w:rPr>
      </w:pPr>
      <w:r w:rsidRPr="00BB2887">
        <w:rPr>
          <w:rFonts w:ascii="Times New Roman" w:hAnsi="Times New Roman"/>
          <w:b/>
          <w:i/>
          <w:szCs w:val="24"/>
        </w:rPr>
        <w:t xml:space="preserve">Efficacy in </w:t>
      </w:r>
      <w:r w:rsidR="009228BB" w:rsidRPr="00BB2887">
        <w:rPr>
          <w:rFonts w:ascii="Times New Roman" w:hAnsi="Times New Roman"/>
          <w:b/>
          <w:i/>
          <w:szCs w:val="24"/>
        </w:rPr>
        <w:t>P</w:t>
      </w:r>
      <w:r w:rsidRPr="00BB2887">
        <w:rPr>
          <w:rFonts w:ascii="Times New Roman" w:hAnsi="Times New Roman"/>
          <w:b/>
          <w:i/>
          <w:szCs w:val="24"/>
        </w:rPr>
        <w:t xml:space="preserve">atients with </w:t>
      </w:r>
      <w:r w:rsidR="009228BB" w:rsidRPr="00BB2887">
        <w:rPr>
          <w:rFonts w:ascii="Times New Roman" w:hAnsi="Times New Roman"/>
          <w:b/>
          <w:i/>
          <w:szCs w:val="24"/>
        </w:rPr>
        <w:t>Pulmonary A</w:t>
      </w:r>
      <w:r w:rsidRPr="00BB2887">
        <w:rPr>
          <w:rFonts w:ascii="Times New Roman" w:hAnsi="Times New Roman"/>
          <w:b/>
          <w:i/>
          <w:szCs w:val="24"/>
        </w:rPr>
        <w:t xml:space="preserve">rterial </w:t>
      </w:r>
      <w:r w:rsidR="009228BB" w:rsidRPr="00BB2887">
        <w:rPr>
          <w:rFonts w:ascii="Times New Roman" w:hAnsi="Times New Roman"/>
          <w:b/>
          <w:i/>
          <w:szCs w:val="24"/>
        </w:rPr>
        <w:t>H</w:t>
      </w:r>
      <w:r w:rsidRPr="00BB2887">
        <w:rPr>
          <w:rFonts w:ascii="Times New Roman" w:hAnsi="Times New Roman"/>
          <w:b/>
          <w:i/>
          <w:szCs w:val="24"/>
        </w:rPr>
        <w:t>ypertension</w:t>
      </w:r>
    </w:p>
    <w:p w:rsidR="00647F04" w:rsidRPr="00647F04" w:rsidRDefault="00647F04" w:rsidP="00833579">
      <w:pPr>
        <w:jc w:val="both"/>
        <w:rPr>
          <w:rFonts w:ascii="Times New Roman" w:hAnsi="Times New Roman"/>
          <w:szCs w:val="24"/>
        </w:rPr>
      </w:pPr>
      <w:r w:rsidRPr="00647F04">
        <w:rPr>
          <w:rFonts w:ascii="Times New Roman" w:hAnsi="Times New Roman"/>
          <w:szCs w:val="24"/>
        </w:rPr>
        <w:t xml:space="preserve">A </w:t>
      </w:r>
      <w:r w:rsidR="00E94507" w:rsidRPr="00647F04">
        <w:rPr>
          <w:rFonts w:ascii="Times New Roman" w:hAnsi="Times New Roman"/>
          <w:szCs w:val="24"/>
        </w:rPr>
        <w:t>multicentre</w:t>
      </w:r>
      <w:r w:rsidRPr="00647F04">
        <w:rPr>
          <w:rFonts w:ascii="Times New Roman" w:hAnsi="Times New Roman"/>
          <w:szCs w:val="24"/>
        </w:rPr>
        <w:t>, double-blind, placebo-controlled, parallel-group, event-driven, Phase 3 outcome study (AC-055-302/SERAPHIN) was conducted in 742 patients with symptomatic PAH, who were randomi</w:t>
      </w:r>
      <w:r w:rsidR="00E94507">
        <w:rPr>
          <w:rFonts w:ascii="Times New Roman" w:hAnsi="Times New Roman"/>
          <w:szCs w:val="24"/>
        </w:rPr>
        <w:t>s</w:t>
      </w:r>
      <w:r w:rsidRPr="00647F04">
        <w:rPr>
          <w:rFonts w:ascii="Times New Roman" w:hAnsi="Times New Roman"/>
          <w:szCs w:val="24"/>
        </w:rPr>
        <w:t>ed to three treatment groups (placebo [N=250], 3</w:t>
      </w:r>
      <w:r w:rsidR="00527F9F">
        <w:rPr>
          <w:rFonts w:ascii="Times New Roman" w:hAnsi="Times New Roman"/>
          <w:szCs w:val="24"/>
        </w:rPr>
        <w:t xml:space="preserve"> </w:t>
      </w:r>
      <w:r w:rsidRPr="00647F04">
        <w:rPr>
          <w:rFonts w:ascii="Times New Roman" w:hAnsi="Times New Roman"/>
          <w:szCs w:val="24"/>
        </w:rPr>
        <w:t>mg [N=250] or 10</w:t>
      </w:r>
      <w:r w:rsidR="00527F9F">
        <w:rPr>
          <w:rFonts w:ascii="Times New Roman" w:hAnsi="Times New Roman"/>
          <w:szCs w:val="24"/>
        </w:rPr>
        <w:t xml:space="preserve"> </w:t>
      </w:r>
      <w:r w:rsidRPr="00647F04">
        <w:rPr>
          <w:rFonts w:ascii="Times New Roman" w:hAnsi="Times New Roman"/>
          <w:szCs w:val="24"/>
        </w:rPr>
        <w:t xml:space="preserve">mg [N=242] of </w:t>
      </w: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once daily), to assess the long-term effect on morbidity or mortality. At baseline, the majority of enrolled patients (64%) were treated with a stable dose of specific therapy for PAH, either oral </w:t>
      </w:r>
      <w:proofErr w:type="spellStart"/>
      <w:r w:rsidRPr="00647F04">
        <w:rPr>
          <w:rFonts w:ascii="Times New Roman" w:hAnsi="Times New Roman"/>
          <w:szCs w:val="24"/>
        </w:rPr>
        <w:t>phosphodiesterase</w:t>
      </w:r>
      <w:proofErr w:type="spellEnd"/>
      <w:r w:rsidRPr="00647F04">
        <w:rPr>
          <w:rFonts w:ascii="Times New Roman" w:hAnsi="Times New Roman"/>
          <w:szCs w:val="24"/>
        </w:rPr>
        <w:t xml:space="preserve"> inhibitors (61%) and/or inhaled/oral </w:t>
      </w:r>
      <w:proofErr w:type="spellStart"/>
      <w:r w:rsidRPr="00647F04">
        <w:rPr>
          <w:rFonts w:ascii="Times New Roman" w:hAnsi="Times New Roman"/>
          <w:szCs w:val="24"/>
        </w:rPr>
        <w:t>prostanoids</w:t>
      </w:r>
      <w:proofErr w:type="spellEnd"/>
      <w:r w:rsidRPr="00647F04">
        <w:rPr>
          <w:rFonts w:ascii="Times New Roman" w:hAnsi="Times New Roman"/>
          <w:szCs w:val="24"/>
        </w:rPr>
        <w:t xml:space="preserve"> (6%). The primary study endpoint was the time to first occurrence of a morbidity or mortality event, up to end of treatment (EOT), defined as death, or atrial </w:t>
      </w:r>
      <w:proofErr w:type="spellStart"/>
      <w:r w:rsidRPr="00647F04">
        <w:rPr>
          <w:rFonts w:ascii="Times New Roman" w:hAnsi="Times New Roman"/>
          <w:szCs w:val="24"/>
        </w:rPr>
        <w:t>septostomy</w:t>
      </w:r>
      <w:proofErr w:type="spellEnd"/>
      <w:r w:rsidRPr="00647F04">
        <w:rPr>
          <w:rFonts w:ascii="Times New Roman" w:hAnsi="Times New Roman"/>
          <w:szCs w:val="24"/>
        </w:rPr>
        <w:t>, or lung transplantation, or initiation of intravenous (</w:t>
      </w:r>
      <w:proofErr w:type="spellStart"/>
      <w:r w:rsidRPr="00647F04">
        <w:rPr>
          <w:rFonts w:ascii="Times New Roman" w:hAnsi="Times New Roman"/>
          <w:szCs w:val="24"/>
        </w:rPr>
        <w:t>i.v.</w:t>
      </w:r>
      <w:proofErr w:type="spellEnd"/>
      <w:r w:rsidRPr="00647F04">
        <w:rPr>
          <w:rFonts w:ascii="Times New Roman" w:hAnsi="Times New Roman"/>
          <w:szCs w:val="24"/>
        </w:rPr>
        <w:t>) or subcutaneous (</w:t>
      </w:r>
      <w:proofErr w:type="spellStart"/>
      <w:r w:rsidRPr="00647F04">
        <w:rPr>
          <w:rFonts w:ascii="Times New Roman" w:hAnsi="Times New Roman"/>
          <w:szCs w:val="24"/>
        </w:rPr>
        <w:t>s.c.</w:t>
      </w:r>
      <w:proofErr w:type="spellEnd"/>
      <w:r w:rsidRPr="00647F04">
        <w:rPr>
          <w:rFonts w:ascii="Times New Roman" w:hAnsi="Times New Roman"/>
          <w:szCs w:val="24"/>
        </w:rPr>
        <w:t xml:space="preserve">) </w:t>
      </w:r>
      <w:proofErr w:type="spellStart"/>
      <w:r w:rsidRPr="00647F04">
        <w:rPr>
          <w:rFonts w:ascii="Times New Roman" w:hAnsi="Times New Roman"/>
          <w:szCs w:val="24"/>
        </w:rPr>
        <w:t>prostanoids</w:t>
      </w:r>
      <w:proofErr w:type="spellEnd"/>
      <w:r w:rsidRPr="00647F04">
        <w:rPr>
          <w:rFonts w:ascii="Times New Roman" w:hAnsi="Times New Roman"/>
          <w:szCs w:val="24"/>
        </w:rPr>
        <w:t>, or other worsening of PAH. Other worsening of PAH was defined as the presence of all of the three following components: a sustained decrease in 6</w:t>
      </w:r>
      <w:r w:rsidRPr="00647F04">
        <w:rPr>
          <w:rFonts w:ascii="Times New Roman" w:hAnsi="Times New Roman"/>
          <w:szCs w:val="24"/>
        </w:rPr>
        <w:noBreakHyphen/>
        <w:t xml:space="preserve">minute walk distance (6MWD) of at least 15% from baseline; worsening of PAH symptoms (worsening of WHO Functional Class [FC] or right heart failure); and need for new treatment for PAH. All events were confirmed by an independent adjudication committee, blinded to treatment allocation. </w:t>
      </w:r>
    </w:p>
    <w:p w:rsidR="00647F04" w:rsidRPr="00647F04" w:rsidRDefault="00647F04" w:rsidP="00833579">
      <w:pPr>
        <w:jc w:val="both"/>
        <w:rPr>
          <w:rFonts w:ascii="Times New Roman" w:hAnsi="Times New Roman"/>
          <w:szCs w:val="24"/>
        </w:rPr>
      </w:pPr>
    </w:p>
    <w:p w:rsidR="00647F04" w:rsidRPr="00647F04" w:rsidRDefault="00647F04" w:rsidP="00833579">
      <w:pPr>
        <w:jc w:val="both"/>
        <w:rPr>
          <w:rFonts w:ascii="Times New Roman" w:hAnsi="Times New Roman"/>
          <w:szCs w:val="24"/>
        </w:rPr>
      </w:pPr>
      <w:r w:rsidRPr="00647F04">
        <w:rPr>
          <w:rFonts w:ascii="Times New Roman" w:hAnsi="Times New Roman"/>
          <w:szCs w:val="24"/>
        </w:rPr>
        <w:t xml:space="preserve">The median treatment duration was 101, 116, and 118 weeks in the placebo, </w:t>
      </w: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3</w:t>
      </w:r>
      <w:r w:rsidR="00527F9F">
        <w:rPr>
          <w:rFonts w:ascii="Times New Roman" w:hAnsi="Times New Roman"/>
          <w:szCs w:val="24"/>
        </w:rPr>
        <w:t xml:space="preserve"> </w:t>
      </w:r>
      <w:r w:rsidR="009228BB">
        <w:rPr>
          <w:rFonts w:ascii="Times New Roman" w:hAnsi="Times New Roman"/>
          <w:szCs w:val="24"/>
        </w:rPr>
        <w:t>mg, and 10</w:t>
      </w:r>
      <w:r w:rsidR="00527F9F">
        <w:rPr>
          <w:rFonts w:ascii="Times New Roman" w:hAnsi="Times New Roman"/>
          <w:szCs w:val="24"/>
        </w:rPr>
        <w:t xml:space="preserve"> </w:t>
      </w:r>
      <w:r w:rsidR="009228BB">
        <w:rPr>
          <w:rFonts w:ascii="Times New Roman" w:hAnsi="Times New Roman"/>
          <w:szCs w:val="24"/>
        </w:rPr>
        <w:t>m</w:t>
      </w:r>
      <w:r w:rsidRPr="00647F04">
        <w:rPr>
          <w:rFonts w:ascii="Times New Roman" w:hAnsi="Times New Roman"/>
          <w:szCs w:val="24"/>
        </w:rPr>
        <w:t xml:space="preserve">g group, respectively, up to a maximum of 188 weeks on </w:t>
      </w: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w:t>
      </w:r>
    </w:p>
    <w:p w:rsidR="00647F04" w:rsidRPr="00647F04" w:rsidRDefault="00647F04" w:rsidP="00833579">
      <w:pPr>
        <w:jc w:val="both"/>
        <w:rPr>
          <w:rFonts w:ascii="Times New Roman" w:hAnsi="Times New Roman"/>
          <w:szCs w:val="24"/>
        </w:rPr>
      </w:pPr>
    </w:p>
    <w:p w:rsidR="00647F04" w:rsidRPr="00647F04" w:rsidRDefault="00647F04" w:rsidP="00EB1D49">
      <w:pPr>
        <w:autoSpaceDE w:val="0"/>
        <w:autoSpaceDN w:val="0"/>
        <w:adjustRightInd w:val="0"/>
        <w:jc w:val="both"/>
        <w:rPr>
          <w:rFonts w:ascii="Times New Roman" w:hAnsi="Times New Roman"/>
          <w:szCs w:val="24"/>
        </w:rPr>
      </w:pPr>
      <w:r w:rsidRPr="00647F04">
        <w:rPr>
          <w:rFonts w:ascii="Times New Roman" w:hAnsi="Times New Roman"/>
          <w:szCs w:val="24"/>
        </w:rPr>
        <w:lastRenderedPageBreak/>
        <w:t>Efficacy was evaluated up to the end of double-b</w:t>
      </w:r>
      <w:r w:rsidR="00841126">
        <w:rPr>
          <w:rFonts w:ascii="Times New Roman" w:hAnsi="Times New Roman"/>
          <w:szCs w:val="24"/>
        </w:rPr>
        <w:t>lind treatment (EOT)</w:t>
      </w:r>
      <w:r w:rsidRPr="00647F04">
        <w:rPr>
          <w:rFonts w:ascii="Times New Roman" w:hAnsi="Times New Roman"/>
          <w:szCs w:val="24"/>
        </w:rPr>
        <w:t xml:space="preserve">. The EOT either coincided with end of study (EOS) for patients who completed the study as scheduled or occurred earlier in case of premature discontinuation of study drug. For those patients who stopped treatment prior to EOS, PAH therapy, including </w:t>
      </w:r>
      <w:proofErr w:type="spellStart"/>
      <w:r w:rsidRPr="00647F04">
        <w:rPr>
          <w:rFonts w:ascii="Times New Roman" w:hAnsi="Times New Roman"/>
          <w:szCs w:val="24"/>
        </w:rPr>
        <w:t>macitentan</w:t>
      </w:r>
      <w:proofErr w:type="spellEnd"/>
      <w:r w:rsidRPr="00647F04">
        <w:rPr>
          <w:rFonts w:ascii="Times New Roman" w:hAnsi="Times New Roman"/>
          <w:szCs w:val="24"/>
        </w:rPr>
        <w:t>, may have been initiated</w:t>
      </w:r>
      <w:r w:rsidRPr="00647F04">
        <w:rPr>
          <w:rStyle w:val="CommentReference"/>
          <w:rFonts w:ascii="Times New Roman" w:hAnsi="Times New Roman"/>
          <w:sz w:val="24"/>
          <w:szCs w:val="24"/>
        </w:rPr>
        <w:t>.</w:t>
      </w:r>
      <w:r w:rsidRPr="00647F04">
        <w:rPr>
          <w:rFonts w:ascii="Times New Roman" w:hAnsi="Times New Roman"/>
          <w:szCs w:val="24"/>
        </w:rPr>
        <w:t xml:space="preserve"> All patients were followed up to EOS for vital status. The ascertainment rate for vital status at the EOS was greater than 95%.</w:t>
      </w:r>
    </w:p>
    <w:p w:rsidR="00647F04" w:rsidRPr="00647F04" w:rsidRDefault="00647F04" w:rsidP="00EB1D49">
      <w:pPr>
        <w:jc w:val="both"/>
        <w:rPr>
          <w:rFonts w:ascii="Times New Roman" w:hAnsi="Times New Roman"/>
          <w:szCs w:val="24"/>
        </w:rPr>
      </w:pPr>
    </w:p>
    <w:p w:rsidR="00647F04" w:rsidRPr="00647F04" w:rsidRDefault="00647F04" w:rsidP="00EB1D49">
      <w:pPr>
        <w:jc w:val="both"/>
        <w:rPr>
          <w:rFonts w:ascii="Times New Roman" w:hAnsi="Times New Roman"/>
          <w:szCs w:val="24"/>
        </w:rPr>
      </w:pPr>
      <w:r w:rsidRPr="00647F04">
        <w:rPr>
          <w:rFonts w:ascii="Times New Roman" w:hAnsi="Times New Roman"/>
          <w:szCs w:val="24"/>
        </w:rPr>
        <w:t>The mean age of all patients was 46 years (range 12–85 years of age) with the majority of subjects being Caucasian (55%) and female (77%). Approximately 52%, 46%, and 2% of patients were in WHO FC II, III, and IV, respectively.</w:t>
      </w:r>
      <w:r w:rsidR="003C20E3">
        <w:rPr>
          <w:rFonts w:ascii="Times New Roman" w:hAnsi="Times New Roman"/>
          <w:szCs w:val="24"/>
        </w:rPr>
        <w:t xml:space="preserve"> </w:t>
      </w:r>
      <w:r w:rsidR="0071003B" w:rsidRPr="0071003B">
        <w:rPr>
          <w:rFonts w:ascii="Times New Roman" w:hAnsi="Times New Roman"/>
          <w:szCs w:val="24"/>
        </w:rPr>
        <w:t>Patients with WHO Functional Class I were excluded from the study.</w:t>
      </w:r>
      <w:r w:rsidR="003C20E3">
        <w:rPr>
          <w:rFonts w:ascii="Times New Roman" w:hAnsi="Times New Roman"/>
          <w:szCs w:val="24"/>
        </w:rPr>
        <w:t xml:space="preserve"> </w:t>
      </w:r>
    </w:p>
    <w:p w:rsidR="00647F04" w:rsidRPr="00647F04" w:rsidRDefault="00647F04" w:rsidP="00EB1D49">
      <w:pPr>
        <w:jc w:val="both"/>
        <w:rPr>
          <w:rFonts w:ascii="Times New Roman" w:hAnsi="Times New Roman"/>
          <w:szCs w:val="24"/>
        </w:rPr>
      </w:pPr>
    </w:p>
    <w:p w:rsidR="00647F04" w:rsidRPr="00647F04" w:rsidRDefault="00647F04" w:rsidP="00EB1D49">
      <w:pPr>
        <w:jc w:val="both"/>
        <w:rPr>
          <w:rFonts w:ascii="Times New Roman" w:hAnsi="Times New Roman"/>
          <w:szCs w:val="24"/>
        </w:rPr>
      </w:pPr>
      <w:r w:rsidRPr="00647F04">
        <w:rPr>
          <w:rFonts w:ascii="Times New Roman" w:hAnsi="Times New Roman"/>
          <w:szCs w:val="24"/>
        </w:rPr>
        <w:t>Idiopathic or heritable PAH was the most common aetiology in the study population (57%), followed by PAH due to connective tissue disorders (31%), PAH associated with congenital heart disease with shunts (8%), and PAH associated with other aetiologies (drugs and toxins [3%] and HIV [1%]).</w:t>
      </w:r>
    </w:p>
    <w:p w:rsidR="00647F04" w:rsidRPr="00647F04" w:rsidRDefault="00647F04" w:rsidP="00647F04">
      <w:pPr>
        <w:rPr>
          <w:rFonts w:ascii="Times New Roman" w:hAnsi="Times New Roman"/>
          <w:szCs w:val="24"/>
        </w:rPr>
      </w:pPr>
    </w:p>
    <w:p w:rsidR="00647F04" w:rsidRPr="00597E3C" w:rsidRDefault="00647F04" w:rsidP="00647F04">
      <w:pPr>
        <w:pStyle w:val="PlainText"/>
        <w:rPr>
          <w:rFonts w:ascii="Times New Roman" w:hAnsi="Times New Roman"/>
          <w:b/>
          <w:sz w:val="24"/>
          <w:lang w:val="en-GB"/>
        </w:rPr>
      </w:pPr>
      <w:bookmarkStart w:id="1" w:name="_Ref323748939"/>
      <w:r w:rsidRPr="00597E3C">
        <w:rPr>
          <w:rFonts w:ascii="Times New Roman" w:hAnsi="Times New Roman"/>
          <w:b/>
          <w:sz w:val="24"/>
          <w:lang w:val="en-GB"/>
        </w:rPr>
        <w:t>Outcome endpoints</w:t>
      </w:r>
    </w:p>
    <w:p w:rsidR="00C55F2C" w:rsidRPr="00C55F2C" w:rsidRDefault="00C55F2C" w:rsidP="00C55F2C">
      <w:pPr>
        <w:pStyle w:val="C-BodyText"/>
        <w:jc w:val="both"/>
      </w:pPr>
      <w:r w:rsidRPr="00C55F2C">
        <w:t>Treatment with OPSUMIT 10 mg resulted in a 45% reduction (HR 0.55, 97.5% CI 0.39</w:t>
      </w:r>
      <w:r w:rsidRPr="00C55F2C">
        <w:noBreakHyphen/>
        <w:t xml:space="preserve">0.76; </w:t>
      </w:r>
      <w:proofErr w:type="spellStart"/>
      <w:r w:rsidRPr="00C55F2C">
        <w:t>logrank</w:t>
      </w:r>
      <w:proofErr w:type="spellEnd"/>
      <w:r w:rsidRPr="00C55F2C">
        <w:t xml:space="preserve"> p&lt;0.0001) in the occurrence of the primary endpoint up to end of double-blind treatment compared to placebo (</w:t>
      </w:r>
      <w:r w:rsidRPr="00C55F2C">
        <w:rPr>
          <w:rStyle w:val="Hyperlink"/>
          <w:color w:val="auto"/>
          <w:u w:val="none"/>
          <w:lang w:val="en-GB"/>
        </w:rPr>
        <w:t>Figure 1 and Table 1</w:t>
      </w:r>
      <w:r w:rsidRPr="00C55F2C">
        <w:t>). The beneficial effect of OPSUMIT 10 mg was primarily attributable to a reduction in clinical worsening events (</w:t>
      </w:r>
      <w:r w:rsidRPr="006058E8">
        <w:rPr>
          <w:szCs w:val="24"/>
        </w:rPr>
        <w:t xml:space="preserve">deterioration in 6MWD and worsening of PAH symptoms and need for additional PAH treatment). </w:t>
      </w:r>
      <w:r w:rsidRPr="006058E8">
        <w:rPr>
          <w:color w:val="222222"/>
          <w:szCs w:val="24"/>
        </w:rPr>
        <w:t>The treatment effect was established early and sustained for a median duration of 2 years.</w:t>
      </w:r>
    </w:p>
    <w:p w:rsidR="00647F04" w:rsidRPr="00647F04" w:rsidRDefault="00647F04" w:rsidP="00647F04">
      <w:pPr>
        <w:autoSpaceDE w:val="0"/>
        <w:autoSpaceDN w:val="0"/>
        <w:adjustRightInd w:val="0"/>
        <w:rPr>
          <w:rFonts w:ascii="Times New Roman" w:hAnsi="Times New Roman"/>
          <w:szCs w:val="24"/>
        </w:rPr>
      </w:pPr>
    </w:p>
    <w:p w:rsidR="00647F04" w:rsidRPr="00647F04" w:rsidRDefault="00647F04" w:rsidP="0085206B">
      <w:pPr>
        <w:pStyle w:val="HdFig1"/>
        <w:keepLines/>
        <w:spacing w:before="0" w:after="0"/>
        <w:rPr>
          <w:szCs w:val="24"/>
          <w:lang w:val="en-GB"/>
        </w:rPr>
      </w:pPr>
      <w:bookmarkStart w:id="2" w:name="_Ref325616163"/>
      <w:bookmarkStart w:id="3" w:name="figure1"/>
      <w:bookmarkStart w:id="4" w:name="_Toc335802991"/>
      <w:bookmarkStart w:id="5" w:name="_Toc335814077"/>
      <w:bookmarkStart w:id="6" w:name="_Ref325644661"/>
      <w:bookmarkStart w:id="7" w:name="_Ref331997135"/>
      <w:r w:rsidRPr="00647F04">
        <w:rPr>
          <w:szCs w:val="24"/>
          <w:lang w:val="en-GB"/>
        </w:rPr>
        <w:lastRenderedPageBreak/>
        <w:t xml:space="preserve">Figure </w:t>
      </w:r>
      <w:r w:rsidRPr="00647F04">
        <w:rPr>
          <w:szCs w:val="24"/>
        </w:rPr>
        <w:fldChar w:fldCharType="begin"/>
      </w:r>
      <w:r w:rsidRPr="00647F04">
        <w:rPr>
          <w:szCs w:val="24"/>
        </w:rPr>
        <w:instrText xml:space="preserve"> SEQ Figure \* ARABIC \* MERGEFORMAT </w:instrText>
      </w:r>
      <w:r w:rsidRPr="00647F04">
        <w:rPr>
          <w:szCs w:val="24"/>
        </w:rPr>
        <w:fldChar w:fldCharType="separate"/>
      </w:r>
      <w:r w:rsidR="00997763" w:rsidRPr="00997763">
        <w:rPr>
          <w:noProof/>
          <w:szCs w:val="24"/>
          <w:lang w:val="en-GB"/>
        </w:rPr>
        <w:t>1</w:t>
      </w:r>
      <w:r w:rsidRPr="00647F04">
        <w:rPr>
          <w:szCs w:val="24"/>
        </w:rPr>
        <w:fldChar w:fldCharType="end"/>
      </w:r>
      <w:bookmarkEnd w:id="2"/>
      <w:bookmarkEnd w:id="3"/>
      <w:r w:rsidRPr="00647F04">
        <w:rPr>
          <w:szCs w:val="24"/>
          <w:lang w:val="en-GB"/>
        </w:rPr>
        <w:tab/>
        <w:t>Kaplan-Meier estimates of the risk of first morbidity/mortality event in SERAPHIN</w:t>
      </w:r>
      <w:bookmarkEnd w:id="4"/>
      <w:bookmarkEnd w:id="5"/>
    </w:p>
    <w:bookmarkEnd w:id="1"/>
    <w:bookmarkEnd w:id="6"/>
    <w:bookmarkEnd w:id="7"/>
    <w:p w:rsidR="00647F04" w:rsidRPr="00647F04" w:rsidRDefault="00647F04" w:rsidP="0085206B">
      <w:pPr>
        <w:keepNext/>
        <w:rPr>
          <w:rFonts w:ascii="Times New Roman" w:hAnsi="Times New Roman"/>
          <w:szCs w:val="24"/>
        </w:rPr>
      </w:pPr>
    </w:p>
    <w:p w:rsidR="00647F04" w:rsidRPr="00647F04" w:rsidRDefault="0076680B" w:rsidP="0085206B">
      <w:pPr>
        <w:keepNext/>
        <w:jc w:val="center"/>
        <w:rPr>
          <w:rFonts w:ascii="Times New Roman" w:hAnsi="Times New Roman"/>
          <w:szCs w:val="24"/>
        </w:rPr>
      </w:pPr>
      <w:r>
        <w:rPr>
          <w:rFonts w:ascii="Times New Roman" w:hAnsi="Times New Roman"/>
          <w:noProof/>
          <w:szCs w:val="24"/>
          <w:lang w:val="en-US"/>
        </w:rPr>
        <w:pict>
          <v:shape id="Picture 3" o:spid="_x0000_i1026" type="#_x0000_t75" style="width:313.05pt;height:285.5pt;visibility:visible">
            <v:imagedata r:id="rId10" o:title="MMTBG_OPSUMIT_A"/>
          </v:shape>
        </w:pict>
      </w:r>
    </w:p>
    <w:p w:rsidR="00862280" w:rsidRDefault="00862280" w:rsidP="00862280">
      <w:pPr>
        <w:tabs>
          <w:tab w:val="left" w:pos="993"/>
        </w:tabs>
        <w:spacing w:after="120"/>
        <w:rPr>
          <w:b/>
        </w:rPr>
      </w:pPr>
    </w:p>
    <w:p w:rsidR="007E0532" w:rsidRDefault="00E72EA1" w:rsidP="006F1E57">
      <w:pPr>
        <w:tabs>
          <w:tab w:val="left" w:pos="993"/>
        </w:tabs>
        <w:spacing w:after="120"/>
        <w:rPr>
          <w:b/>
        </w:rPr>
      </w:pPr>
      <w:r>
        <w:rPr>
          <w:b/>
        </w:rPr>
        <w:br w:type="page"/>
      </w:r>
      <w:r w:rsidR="006F1E57" w:rsidRPr="00E53210" w:rsidDel="006F1E57">
        <w:rPr>
          <w:b/>
        </w:rPr>
        <w:lastRenderedPageBreak/>
        <w:t xml:space="preserve"> </w:t>
      </w:r>
    </w:p>
    <w:p w:rsidR="00E72EA1" w:rsidRPr="0077771A" w:rsidRDefault="00E72EA1" w:rsidP="00E72EA1">
      <w:pPr>
        <w:tabs>
          <w:tab w:val="left" w:pos="993"/>
        </w:tabs>
        <w:spacing w:after="120"/>
        <w:rPr>
          <w:rFonts w:ascii="Times New Roman" w:hAnsi="Times New Roman"/>
          <w:b/>
          <w:szCs w:val="22"/>
        </w:rPr>
      </w:pPr>
      <w:r w:rsidRPr="0077771A">
        <w:rPr>
          <w:rFonts w:ascii="Times New Roman" w:hAnsi="Times New Roman"/>
          <w:b/>
        </w:rPr>
        <w:t>Table 1</w:t>
      </w:r>
      <w:r w:rsidRPr="0077771A">
        <w:rPr>
          <w:rFonts w:ascii="Times New Roman" w:hAnsi="Times New Roman"/>
          <w:b/>
        </w:rPr>
        <w:tab/>
      </w:r>
      <w:r w:rsidRPr="0077771A">
        <w:rPr>
          <w:rFonts w:ascii="Times New Roman" w:hAnsi="Times New Roman"/>
          <w:b/>
          <w:szCs w:val="22"/>
        </w:rPr>
        <w:t>Summary of Primary Endpoint Events</w:t>
      </w: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181"/>
        <w:gridCol w:w="1171"/>
        <w:gridCol w:w="1271"/>
        <w:gridCol w:w="713"/>
        <w:gridCol w:w="792"/>
        <w:gridCol w:w="1194"/>
        <w:gridCol w:w="1109"/>
      </w:tblGrid>
      <w:tr w:rsidR="00E72EA1" w:rsidRPr="00157890" w:rsidTr="00D31F55">
        <w:trPr>
          <w:trHeight w:val="466"/>
        </w:trPr>
        <w:tc>
          <w:tcPr>
            <w:tcW w:w="1060" w:type="pct"/>
            <w:vMerge w:val="restart"/>
            <w:vAlign w:val="center"/>
          </w:tcPr>
          <w:p w:rsidR="00E72EA1" w:rsidRPr="00157890" w:rsidRDefault="00E72EA1" w:rsidP="00E32630">
            <w:pPr>
              <w:rPr>
                <w:b/>
                <w:szCs w:val="22"/>
              </w:rPr>
            </w:pPr>
          </w:p>
        </w:tc>
        <w:tc>
          <w:tcPr>
            <w:tcW w:w="626" w:type="pct"/>
            <w:vMerge w:val="restart"/>
          </w:tcPr>
          <w:p w:rsidR="00E72EA1" w:rsidRPr="00157890" w:rsidRDefault="00E72EA1" w:rsidP="00E32630">
            <w:pPr>
              <w:jc w:val="center"/>
              <w:rPr>
                <w:b/>
                <w:szCs w:val="22"/>
              </w:rPr>
            </w:pPr>
            <w:r w:rsidRPr="00157890">
              <w:rPr>
                <w:b/>
                <w:szCs w:val="22"/>
              </w:rPr>
              <w:t>Placebo</w:t>
            </w:r>
          </w:p>
          <w:p w:rsidR="00E72EA1" w:rsidRDefault="00E72EA1" w:rsidP="00E32630">
            <w:pPr>
              <w:jc w:val="center"/>
              <w:rPr>
                <w:b/>
                <w:szCs w:val="22"/>
              </w:rPr>
            </w:pPr>
            <w:r w:rsidRPr="00157890">
              <w:rPr>
                <w:b/>
                <w:szCs w:val="22"/>
              </w:rPr>
              <w:t>N = 250</w:t>
            </w:r>
          </w:p>
          <w:p w:rsidR="00E72EA1" w:rsidRPr="00157890" w:rsidRDefault="00E72EA1" w:rsidP="00E32630">
            <w:pPr>
              <w:jc w:val="center"/>
              <w:rPr>
                <w:b/>
                <w:szCs w:val="22"/>
              </w:rPr>
            </w:pPr>
            <w:r>
              <w:rPr>
                <w:b/>
                <w:szCs w:val="22"/>
              </w:rPr>
              <w:t>n (%)</w:t>
            </w:r>
          </w:p>
        </w:tc>
        <w:tc>
          <w:tcPr>
            <w:tcW w:w="621" w:type="pct"/>
            <w:vMerge w:val="restart"/>
          </w:tcPr>
          <w:p w:rsidR="00E72EA1" w:rsidRPr="00157890" w:rsidRDefault="00E72EA1" w:rsidP="00E32630">
            <w:pPr>
              <w:jc w:val="center"/>
              <w:rPr>
                <w:b/>
                <w:szCs w:val="22"/>
              </w:rPr>
            </w:pPr>
            <w:r>
              <w:rPr>
                <w:b/>
                <w:szCs w:val="22"/>
              </w:rPr>
              <w:t>OPSUMIT</w:t>
            </w:r>
            <w:r w:rsidRPr="00157890">
              <w:rPr>
                <w:b/>
                <w:szCs w:val="22"/>
              </w:rPr>
              <w:t xml:space="preserve"> 10 mg </w:t>
            </w:r>
          </w:p>
          <w:p w:rsidR="00E72EA1" w:rsidRDefault="00E72EA1" w:rsidP="00E32630">
            <w:pPr>
              <w:jc w:val="center"/>
              <w:rPr>
                <w:b/>
                <w:szCs w:val="22"/>
              </w:rPr>
            </w:pPr>
            <w:r w:rsidRPr="00157890">
              <w:rPr>
                <w:b/>
                <w:szCs w:val="22"/>
              </w:rPr>
              <w:t>N = 242</w:t>
            </w:r>
          </w:p>
          <w:p w:rsidR="00E72EA1" w:rsidRPr="00157890" w:rsidRDefault="00E72EA1" w:rsidP="00E32630">
            <w:pPr>
              <w:jc w:val="center"/>
              <w:rPr>
                <w:b/>
                <w:szCs w:val="22"/>
              </w:rPr>
            </w:pPr>
            <w:r>
              <w:rPr>
                <w:b/>
                <w:szCs w:val="22"/>
              </w:rPr>
              <w:t>n (%)</w:t>
            </w:r>
          </w:p>
        </w:tc>
        <w:tc>
          <w:tcPr>
            <w:tcW w:w="2693" w:type="pct"/>
            <w:gridSpan w:val="5"/>
            <w:vAlign w:val="center"/>
          </w:tcPr>
          <w:p w:rsidR="00E72EA1" w:rsidRPr="00157890" w:rsidRDefault="00E72EA1" w:rsidP="00E32630">
            <w:pPr>
              <w:jc w:val="center"/>
              <w:rPr>
                <w:b/>
                <w:szCs w:val="22"/>
              </w:rPr>
            </w:pPr>
            <w:r w:rsidRPr="00157890">
              <w:rPr>
                <w:b/>
                <w:szCs w:val="22"/>
              </w:rPr>
              <w:t xml:space="preserve">Treatment Comparison: </w:t>
            </w:r>
          </w:p>
          <w:p w:rsidR="00E72EA1" w:rsidRPr="00157890" w:rsidRDefault="00E72EA1" w:rsidP="00E32630">
            <w:pPr>
              <w:jc w:val="center"/>
              <w:rPr>
                <w:b/>
                <w:szCs w:val="22"/>
              </w:rPr>
            </w:pPr>
            <w:r>
              <w:rPr>
                <w:b/>
                <w:szCs w:val="22"/>
              </w:rPr>
              <w:t>OPSUMIT</w:t>
            </w:r>
            <w:r w:rsidRPr="00157890">
              <w:rPr>
                <w:b/>
                <w:szCs w:val="22"/>
              </w:rPr>
              <w:t xml:space="preserve"> 10 mg </w:t>
            </w:r>
            <w:proofErr w:type="spellStart"/>
            <w:r w:rsidRPr="00157890">
              <w:rPr>
                <w:b/>
                <w:szCs w:val="22"/>
              </w:rPr>
              <w:t>vs</w:t>
            </w:r>
            <w:proofErr w:type="spellEnd"/>
            <w:r w:rsidRPr="00157890">
              <w:rPr>
                <w:b/>
                <w:szCs w:val="22"/>
              </w:rPr>
              <w:t xml:space="preserve"> Placebo</w:t>
            </w:r>
          </w:p>
        </w:tc>
      </w:tr>
      <w:tr w:rsidR="000D028F" w:rsidRPr="00157890" w:rsidTr="00D31F55">
        <w:trPr>
          <w:trHeight w:val="949"/>
        </w:trPr>
        <w:tc>
          <w:tcPr>
            <w:tcW w:w="1060" w:type="pct"/>
            <w:vMerge/>
            <w:vAlign w:val="center"/>
          </w:tcPr>
          <w:p w:rsidR="000D028F" w:rsidRPr="00157890" w:rsidRDefault="000D028F" w:rsidP="00E32630">
            <w:pPr>
              <w:rPr>
                <w:b/>
                <w:szCs w:val="22"/>
              </w:rPr>
            </w:pPr>
          </w:p>
        </w:tc>
        <w:tc>
          <w:tcPr>
            <w:tcW w:w="626" w:type="pct"/>
            <w:vMerge/>
          </w:tcPr>
          <w:p w:rsidR="000D028F" w:rsidRPr="00157890" w:rsidRDefault="000D028F" w:rsidP="00E32630">
            <w:pPr>
              <w:spacing w:before="120"/>
              <w:jc w:val="center"/>
              <w:rPr>
                <w:b/>
                <w:szCs w:val="22"/>
              </w:rPr>
            </w:pPr>
          </w:p>
        </w:tc>
        <w:tc>
          <w:tcPr>
            <w:tcW w:w="621" w:type="pct"/>
            <w:vMerge/>
            <w:vAlign w:val="center"/>
          </w:tcPr>
          <w:p w:rsidR="000D028F" w:rsidRPr="00157890" w:rsidRDefault="000D028F" w:rsidP="00E32630">
            <w:pPr>
              <w:jc w:val="center"/>
              <w:rPr>
                <w:b/>
                <w:szCs w:val="22"/>
              </w:rPr>
            </w:pPr>
          </w:p>
        </w:tc>
        <w:tc>
          <w:tcPr>
            <w:tcW w:w="1052" w:type="pct"/>
            <w:gridSpan w:val="2"/>
            <w:vAlign w:val="center"/>
          </w:tcPr>
          <w:p w:rsidR="000D028F" w:rsidRPr="00157890" w:rsidRDefault="000D028F" w:rsidP="00E32630">
            <w:pPr>
              <w:jc w:val="center"/>
              <w:rPr>
                <w:b/>
                <w:szCs w:val="22"/>
                <w:vertAlign w:val="superscript"/>
              </w:rPr>
            </w:pPr>
            <w:r w:rsidRPr="00157890">
              <w:rPr>
                <w:b/>
                <w:szCs w:val="22"/>
              </w:rPr>
              <w:t>Relative Risk Reduction</w:t>
            </w:r>
          </w:p>
          <w:p w:rsidR="000D028F" w:rsidRPr="00157890" w:rsidRDefault="000D028F" w:rsidP="00E32630">
            <w:pPr>
              <w:jc w:val="center"/>
              <w:rPr>
                <w:b/>
                <w:szCs w:val="22"/>
                <w:vertAlign w:val="superscript"/>
              </w:rPr>
            </w:pPr>
            <w:r w:rsidRPr="00157890">
              <w:rPr>
                <w:b/>
                <w:szCs w:val="22"/>
              </w:rPr>
              <w:t>(97.5% CI)</w:t>
            </w:r>
          </w:p>
        </w:tc>
        <w:tc>
          <w:tcPr>
            <w:tcW w:w="1053" w:type="pct"/>
            <w:gridSpan w:val="2"/>
            <w:vAlign w:val="center"/>
          </w:tcPr>
          <w:p w:rsidR="000D028F" w:rsidRPr="007F49C2" w:rsidRDefault="000D028F" w:rsidP="00E32630">
            <w:pPr>
              <w:jc w:val="center"/>
              <w:rPr>
                <w:b/>
                <w:szCs w:val="22"/>
                <w:vertAlign w:val="superscript"/>
              </w:rPr>
            </w:pPr>
            <w:r w:rsidRPr="007F49C2">
              <w:rPr>
                <w:b/>
                <w:szCs w:val="22"/>
              </w:rPr>
              <w:t>HR</w:t>
            </w:r>
          </w:p>
          <w:p w:rsidR="000D028F" w:rsidRPr="00157890" w:rsidRDefault="000D028F" w:rsidP="00E32630">
            <w:pPr>
              <w:jc w:val="center"/>
              <w:rPr>
                <w:b/>
                <w:szCs w:val="22"/>
              </w:rPr>
            </w:pPr>
            <w:r w:rsidRPr="007F49C2">
              <w:rPr>
                <w:b/>
                <w:szCs w:val="22"/>
              </w:rPr>
              <w:t>(97.5% CI)</w:t>
            </w:r>
          </w:p>
        </w:tc>
        <w:tc>
          <w:tcPr>
            <w:tcW w:w="589" w:type="pct"/>
            <w:vAlign w:val="center"/>
          </w:tcPr>
          <w:p w:rsidR="000D028F" w:rsidRPr="00157890" w:rsidRDefault="000D028F" w:rsidP="00E32630">
            <w:pPr>
              <w:jc w:val="center"/>
              <w:rPr>
                <w:b/>
                <w:szCs w:val="22"/>
              </w:rPr>
            </w:pPr>
            <w:r w:rsidRPr="00157890">
              <w:rPr>
                <w:b/>
                <w:szCs w:val="22"/>
              </w:rPr>
              <w:t>Log</w:t>
            </w:r>
            <w:r w:rsidR="00D51E8B">
              <w:rPr>
                <w:b/>
                <w:szCs w:val="22"/>
              </w:rPr>
              <w:t xml:space="preserve"> </w:t>
            </w:r>
            <w:r w:rsidRPr="00157890">
              <w:rPr>
                <w:b/>
                <w:szCs w:val="22"/>
              </w:rPr>
              <w:t>rank p-value</w:t>
            </w:r>
          </w:p>
        </w:tc>
      </w:tr>
      <w:tr w:rsidR="000D028F" w:rsidRPr="00157890" w:rsidTr="00D31F55">
        <w:trPr>
          <w:trHeight w:val="242"/>
        </w:trPr>
        <w:tc>
          <w:tcPr>
            <w:tcW w:w="1060" w:type="pct"/>
            <w:tcBorders>
              <w:bottom w:val="single" w:sz="4" w:space="0" w:color="auto"/>
            </w:tcBorders>
            <w:vAlign w:val="center"/>
          </w:tcPr>
          <w:p w:rsidR="000D028F" w:rsidRPr="00157890" w:rsidRDefault="000D028F" w:rsidP="00E32630">
            <w:pPr>
              <w:rPr>
                <w:b/>
                <w:szCs w:val="22"/>
              </w:rPr>
            </w:pPr>
            <w:r>
              <w:rPr>
                <w:b/>
                <w:szCs w:val="22"/>
              </w:rPr>
              <w:t>Patients with a p</w:t>
            </w:r>
            <w:r w:rsidRPr="007F49C2">
              <w:rPr>
                <w:b/>
                <w:szCs w:val="22"/>
              </w:rPr>
              <w:t>rimary endpoint event</w:t>
            </w:r>
          </w:p>
        </w:tc>
        <w:tc>
          <w:tcPr>
            <w:tcW w:w="626" w:type="pct"/>
            <w:tcBorders>
              <w:bottom w:val="single" w:sz="4" w:space="0" w:color="auto"/>
            </w:tcBorders>
            <w:vAlign w:val="center"/>
          </w:tcPr>
          <w:p w:rsidR="000D028F" w:rsidRDefault="000D028F" w:rsidP="00E32630">
            <w:pPr>
              <w:jc w:val="center"/>
              <w:rPr>
                <w:szCs w:val="22"/>
              </w:rPr>
            </w:pPr>
            <w:r>
              <w:rPr>
                <w:szCs w:val="22"/>
              </w:rPr>
              <w:t>116</w:t>
            </w:r>
          </w:p>
          <w:p w:rsidR="000D028F" w:rsidRPr="003F4CAF" w:rsidRDefault="000D028F" w:rsidP="00E32630">
            <w:pPr>
              <w:jc w:val="center"/>
              <w:rPr>
                <w:szCs w:val="22"/>
              </w:rPr>
            </w:pPr>
            <w:r>
              <w:rPr>
                <w:szCs w:val="22"/>
              </w:rPr>
              <w:t>(46.4)</w:t>
            </w:r>
          </w:p>
        </w:tc>
        <w:tc>
          <w:tcPr>
            <w:tcW w:w="621" w:type="pct"/>
            <w:tcBorders>
              <w:bottom w:val="single" w:sz="4" w:space="0" w:color="auto"/>
            </w:tcBorders>
            <w:vAlign w:val="center"/>
          </w:tcPr>
          <w:p w:rsidR="000D028F" w:rsidRDefault="000D028F" w:rsidP="00E32630">
            <w:pPr>
              <w:jc w:val="center"/>
              <w:rPr>
                <w:szCs w:val="22"/>
              </w:rPr>
            </w:pPr>
            <w:r>
              <w:rPr>
                <w:szCs w:val="22"/>
              </w:rPr>
              <w:t>76</w:t>
            </w:r>
          </w:p>
          <w:p w:rsidR="000D028F" w:rsidRPr="003F4CAF" w:rsidRDefault="000D028F" w:rsidP="00E32630">
            <w:pPr>
              <w:jc w:val="center"/>
              <w:rPr>
                <w:szCs w:val="22"/>
              </w:rPr>
            </w:pPr>
            <w:r>
              <w:rPr>
                <w:szCs w:val="22"/>
              </w:rPr>
              <w:t>(</w:t>
            </w:r>
            <w:r w:rsidRPr="003F4CAF">
              <w:rPr>
                <w:szCs w:val="22"/>
              </w:rPr>
              <w:t>31.4</w:t>
            </w:r>
            <w:r>
              <w:rPr>
                <w:szCs w:val="22"/>
              </w:rPr>
              <w:t>)</w:t>
            </w:r>
          </w:p>
        </w:tc>
        <w:tc>
          <w:tcPr>
            <w:tcW w:w="1052" w:type="pct"/>
            <w:gridSpan w:val="2"/>
            <w:tcBorders>
              <w:bottom w:val="single" w:sz="4" w:space="0" w:color="auto"/>
            </w:tcBorders>
            <w:vAlign w:val="center"/>
          </w:tcPr>
          <w:p w:rsidR="000D028F" w:rsidRPr="00C54C62" w:rsidRDefault="000D028F" w:rsidP="00E32630">
            <w:pPr>
              <w:jc w:val="center"/>
              <w:rPr>
                <w:szCs w:val="22"/>
              </w:rPr>
            </w:pPr>
            <w:r w:rsidRPr="00C54C62">
              <w:rPr>
                <w:szCs w:val="22"/>
              </w:rPr>
              <w:t>45%</w:t>
            </w:r>
          </w:p>
          <w:p w:rsidR="000D028F" w:rsidRPr="00C54C62" w:rsidRDefault="000D028F" w:rsidP="00E32630">
            <w:pPr>
              <w:jc w:val="center"/>
              <w:rPr>
                <w:szCs w:val="22"/>
              </w:rPr>
            </w:pPr>
            <w:r w:rsidRPr="00C54C62">
              <w:rPr>
                <w:szCs w:val="22"/>
              </w:rPr>
              <w:t xml:space="preserve">(24%; 61%) </w:t>
            </w:r>
          </w:p>
        </w:tc>
        <w:tc>
          <w:tcPr>
            <w:tcW w:w="1053" w:type="pct"/>
            <w:gridSpan w:val="2"/>
            <w:tcBorders>
              <w:bottom w:val="single" w:sz="4" w:space="0" w:color="auto"/>
            </w:tcBorders>
            <w:vAlign w:val="center"/>
          </w:tcPr>
          <w:p w:rsidR="000D028F" w:rsidRPr="00C54C62" w:rsidRDefault="000D028F" w:rsidP="00E32630">
            <w:pPr>
              <w:jc w:val="center"/>
              <w:rPr>
                <w:szCs w:val="22"/>
              </w:rPr>
            </w:pPr>
            <w:r w:rsidRPr="00C54C62">
              <w:rPr>
                <w:szCs w:val="22"/>
              </w:rPr>
              <w:t>0.55</w:t>
            </w:r>
          </w:p>
          <w:p w:rsidR="000D028F" w:rsidRPr="00C54C62" w:rsidRDefault="000D028F" w:rsidP="00E32630">
            <w:pPr>
              <w:jc w:val="center"/>
              <w:rPr>
                <w:szCs w:val="22"/>
              </w:rPr>
            </w:pPr>
            <w:r w:rsidRPr="00C54C62">
              <w:rPr>
                <w:szCs w:val="22"/>
              </w:rPr>
              <w:t>(0.39; 0.76)</w:t>
            </w:r>
          </w:p>
        </w:tc>
        <w:tc>
          <w:tcPr>
            <w:tcW w:w="589" w:type="pct"/>
            <w:tcBorders>
              <w:bottom w:val="single" w:sz="4" w:space="0" w:color="auto"/>
            </w:tcBorders>
            <w:vAlign w:val="center"/>
          </w:tcPr>
          <w:p w:rsidR="000D028F" w:rsidRPr="00C54C62" w:rsidRDefault="000D028F" w:rsidP="00E32630">
            <w:pPr>
              <w:jc w:val="center"/>
              <w:rPr>
                <w:szCs w:val="22"/>
              </w:rPr>
            </w:pPr>
            <w:r w:rsidRPr="00C54C62">
              <w:rPr>
                <w:szCs w:val="22"/>
              </w:rPr>
              <w:t>&lt; 0.0001</w:t>
            </w:r>
          </w:p>
        </w:tc>
      </w:tr>
      <w:tr w:rsidR="000D028F" w:rsidRPr="00157890" w:rsidTr="00997715">
        <w:trPr>
          <w:trHeight w:val="242"/>
        </w:trPr>
        <w:tc>
          <w:tcPr>
            <w:tcW w:w="1060" w:type="pct"/>
            <w:tcBorders>
              <w:bottom w:val="single" w:sz="4" w:space="0" w:color="auto"/>
            </w:tcBorders>
            <w:vAlign w:val="center"/>
          </w:tcPr>
          <w:p w:rsidR="00E72EA1" w:rsidRDefault="00E72EA1" w:rsidP="00E32630">
            <w:pPr>
              <w:rPr>
                <w:b/>
                <w:szCs w:val="22"/>
              </w:rPr>
            </w:pPr>
            <w:r>
              <w:rPr>
                <w:b/>
                <w:szCs w:val="22"/>
              </w:rPr>
              <w:t>Component as first event</w:t>
            </w:r>
            <w:r w:rsidR="00E97EAB">
              <w:rPr>
                <w:b/>
                <w:szCs w:val="22"/>
                <w:vertAlign w:val="superscript"/>
              </w:rPr>
              <w:t>§</w:t>
            </w:r>
            <w:r>
              <w:rPr>
                <w:b/>
                <w:szCs w:val="22"/>
              </w:rPr>
              <w:t xml:space="preserve"> </w:t>
            </w:r>
          </w:p>
        </w:tc>
        <w:tc>
          <w:tcPr>
            <w:tcW w:w="626" w:type="pct"/>
            <w:tcBorders>
              <w:bottom w:val="single" w:sz="4" w:space="0" w:color="auto"/>
            </w:tcBorders>
            <w:vAlign w:val="center"/>
          </w:tcPr>
          <w:p w:rsidR="00E72EA1" w:rsidRDefault="00E72EA1" w:rsidP="00E32630">
            <w:pPr>
              <w:jc w:val="center"/>
              <w:rPr>
                <w:szCs w:val="22"/>
              </w:rPr>
            </w:pPr>
          </w:p>
        </w:tc>
        <w:tc>
          <w:tcPr>
            <w:tcW w:w="621" w:type="pct"/>
            <w:tcBorders>
              <w:bottom w:val="single" w:sz="4" w:space="0" w:color="auto"/>
            </w:tcBorders>
            <w:vAlign w:val="center"/>
          </w:tcPr>
          <w:p w:rsidR="00E72EA1" w:rsidRDefault="00E72EA1" w:rsidP="00E32630">
            <w:pPr>
              <w:jc w:val="center"/>
              <w:rPr>
                <w:szCs w:val="22"/>
              </w:rPr>
            </w:pPr>
          </w:p>
        </w:tc>
        <w:tc>
          <w:tcPr>
            <w:tcW w:w="674" w:type="pct"/>
            <w:tcBorders>
              <w:bottom w:val="nil"/>
              <w:right w:val="nil"/>
            </w:tcBorders>
            <w:shd w:val="clear" w:color="auto" w:fill="D9D9D9"/>
            <w:vAlign w:val="center"/>
          </w:tcPr>
          <w:p w:rsidR="00E72EA1" w:rsidRPr="007E0532" w:rsidRDefault="00E72EA1" w:rsidP="00E32630">
            <w:pPr>
              <w:jc w:val="center"/>
              <w:rPr>
                <w:szCs w:val="22"/>
                <w:highlight w:val="cyan"/>
              </w:rPr>
            </w:pPr>
          </w:p>
        </w:tc>
        <w:tc>
          <w:tcPr>
            <w:tcW w:w="798" w:type="pct"/>
            <w:gridSpan w:val="2"/>
            <w:tcBorders>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633" w:type="pct"/>
            <w:tcBorders>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589" w:type="pct"/>
            <w:tcBorders>
              <w:left w:val="nil"/>
              <w:bottom w:val="nil"/>
            </w:tcBorders>
            <w:shd w:val="clear" w:color="auto" w:fill="D9D9D9"/>
            <w:vAlign w:val="center"/>
          </w:tcPr>
          <w:p w:rsidR="00E72EA1" w:rsidRPr="007E0532" w:rsidRDefault="00E72EA1" w:rsidP="00E32630">
            <w:pPr>
              <w:jc w:val="center"/>
              <w:rPr>
                <w:szCs w:val="22"/>
                <w:highlight w:val="cyan"/>
              </w:rPr>
            </w:pPr>
          </w:p>
        </w:tc>
      </w:tr>
      <w:tr w:rsidR="000D028F" w:rsidRPr="00157890" w:rsidTr="00997715">
        <w:trPr>
          <w:trHeight w:val="242"/>
        </w:trPr>
        <w:tc>
          <w:tcPr>
            <w:tcW w:w="1060" w:type="pct"/>
            <w:tcBorders>
              <w:bottom w:val="single" w:sz="4" w:space="0" w:color="auto"/>
            </w:tcBorders>
            <w:vAlign w:val="center"/>
          </w:tcPr>
          <w:p w:rsidR="00E72EA1" w:rsidRDefault="00E72EA1" w:rsidP="00D31F55">
            <w:pPr>
              <w:ind w:left="426"/>
              <w:rPr>
                <w:b/>
                <w:szCs w:val="22"/>
              </w:rPr>
            </w:pPr>
            <w:r w:rsidRPr="00157890">
              <w:rPr>
                <w:b/>
                <w:szCs w:val="22"/>
              </w:rPr>
              <w:t>Death</w:t>
            </w:r>
            <w:r w:rsidRPr="00157890">
              <w:rPr>
                <w:szCs w:val="22"/>
                <w:vertAlign w:val="superscript"/>
              </w:rPr>
              <w:t xml:space="preserve"> </w:t>
            </w:r>
          </w:p>
        </w:tc>
        <w:tc>
          <w:tcPr>
            <w:tcW w:w="626" w:type="pct"/>
            <w:tcBorders>
              <w:bottom w:val="single" w:sz="4" w:space="0" w:color="auto"/>
            </w:tcBorders>
            <w:vAlign w:val="center"/>
          </w:tcPr>
          <w:p w:rsidR="00E72EA1" w:rsidRDefault="00E72EA1" w:rsidP="00E32630">
            <w:pPr>
              <w:jc w:val="center"/>
              <w:rPr>
                <w:szCs w:val="22"/>
              </w:rPr>
            </w:pPr>
            <w:r w:rsidRPr="003F4CAF">
              <w:rPr>
                <w:szCs w:val="22"/>
              </w:rPr>
              <w:t>17 (6.8)</w:t>
            </w:r>
          </w:p>
        </w:tc>
        <w:tc>
          <w:tcPr>
            <w:tcW w:w="621" w:type="pct"/>
            <w:tcBorders>
              <w:bottom w:val="single" w:sz="4" w:space="0" w:color="auto"/>
            </w:tcBorders>
            <w:vAlign w:val="center"/>
          </w:tcPr>
          <w:p w:rsidR="00E72EA1" w:rsidRDefault="00E72EA1" w:rsidP="00E32630">
            <w:pPr>
              <w:jc w:val="center"/>
              <w:rPr>
                <w:szCs w:val="22"/>
              </w:rPr>
            </w:pPr>
            <w:r w:rsidRPr="003F4CAF">
              <w:rPr>
                <w:szCs w:val="22"/>
              </w:rPr>
              <w:t>16 (6.6)</w:t>
            </w:r>
          </w:p>
        </w:tc>
        <w:tc>
          <w:tcPr>
            <w:tcW w:w="674" w:type="pct"/>
            <w:tcBorders>
              <w:top w:val="nil"/>
              <w:bottom w:val="nil"/>
              <w:right w:val="nil"/>
            </w:tcBorders>
            <w:shd w:val="clear" w:color="auto" w:fill="D9D9D9"/>
            <w:vAlign w:val="center"/>
          </w:tcPr>
          <w:p w:rsidR="00E72EA1" w:rsidRPr="007E0532" w:rsidRDefault="00E72EA1" w:rsidP="00E32630">
            <w:pPr>
              <w:jc w:val="center"/>
              <w:rPr>
                <w:szCs w:val="22"/>
                <w:highlight w:val="cyan"/>
              </w:rPr>
            </w:pPr>
          </w:p>
        </w:tc>
        <w:tc>
          <w:tcPr>
            <w:tcW w:w="798" w:type="pct"/>
            <w:gridSpan w:val="2"/>
            <w:tcBorders>
              <w:top w:val="nil"/>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633" w:type="pct"/>
            <w:tcBorders>
              <w:top w:val="nil"/>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589" w:type="pct"/>
            <w:tcBorders>
              <w:top w:val="nil"/>
              <w:left w:val="nil"/>
              <w:bottom w:val="nil"/>
            </w:tcBorders>
            <w:shd w:val="clear" w:color="auto" w:fill="D9D9D9"/>
            <w:vAlign w:val="center"/>
          </w:tcPr>
          <w:p w:rsidR="00E72EA1" w:rsidRPr="007E0532" w:rsidRDefault="00E72EA1" w:rsidP="00E32630">
            <w:pPr>
              <w:jc w:val="center"/>
              <w:rPr>
                <w:szCs w:val="22"/>
                <w:highlight w:val="cyan"/>
              </w:rPr>
            </w:pPr>
          </w:p>
        </w:tc>
      </w:tr>
      <w:tr w:rsidR="000D028F" w:rsidRPr="00157890" w:rsidTr="00997715">
        <w:trPr>
          <w:trHeight w:val="242"/>
        </w:trPr>
        <w:tc>
          <w:tcPr>
            <w:tcW w:w="1060" w:type="pct"/>
            <w:tcBorders>
              <w:bottom w:val="single" w:sz="4" w:space="0" w:color="auto"/>
            </w:tcBorders>
            <w:vAlign w:val="center"/>
          </w:tcPr>
          <w:p w:rsidR="00E72EA1" w:rsidRDefault="00E72EA1" w:rsidP="00D31F55">
            <w:pPr>
              <w:ind w:left="426"/>
              <w:rPr>
                <w:b/>
                <w:szCs w:val="22"/>
              </w:rPr>
            </w:pPr>
            <w:r w:rsidRPr="00157890">
              <w:rPr>
                <w:b/>
                <w:szCs w:val="22"/>
              </w:rPr>
              <w:t>Worsening PAH</w:t>
            </w:r>
          </w:p>
        </w:tc>
        <w:tc>
          <w:tcPr>
            <w:tcW w:w="626" w:type="pct"/>
            <w:tcBorders>
              <w:bottom w:val="single" w:sz="4" w:space="0" w:color="auto"/>
            </w:tcBorders>
            <w:vAlign w:val="center"/>
          </w:tcPr>
          <w:p w:rsidR="00E72EA1" w:rsidRDefault="00E72EA1" w:rsidP="00E32630">
            <w:pPr>
              <w:jc w:val="center"/>
              <w:rPr>
                <w:szCs w:val="22"/>
              </w:rPr>
            </w:pPr>
            <w:r w:rsidRPr="00157890">
              <w:rPr>
                <w:szCs w:val="22"/>
              </w:rPr>
              <w:t>93 (37.2)</w:t>
            </w:r>
          </w:p>
        </w:tc>
        <w:tc>
          <w:tcPr>
            <w:tcW w:w="621" w:type="pct"/>
            <w:tcBorders>
              <w:bottom w:val="single" w:sz="4" w:space="0" w:color="auto"/>
            </w:tcBorders>
            <w:vAlign w:val="center"/>
          </w:tcPr>
          <w:p w:rsidR="00E72EA1" w:rsidRDefault="00E72EA1" w:rsidP="00E32630">
            <w:pPr>
              <w:jc w:val="center"/>
              <w:rPr>
                <w:szCs w:val="22"/>
              </w:rPr>
            </w:pPr>
            <w:r w:rsidRPr="00157890">
              <w:rPr>
                <w:szCs w:val="22"/>
              </w:rPr>
              <w:t>59 (24.4)</w:t>
            </w:r>
          </w:p>
        </w:tc>
        <w:tc>
          <w:tcPr>
            <w:tcW w:w="674" w:type="pct"/>
            <w:tcBorders>
              <w:top w:val="nil"/>
              <w:bottom w:val="nil"/>
              <w:right w:val="nil"/>
            </w:tcBorders>
            <w:shd w:val="clear" w:color="auto" w:fill="D9D9D9"/>
            <w:vAlign w:val="center"/>
          </w:tcPr>
          <w:p w:rsidR="00E72EA1" w:rsidRPr="007E0532" w:rsidRDefault="00E72EA1" w:rsidP="00E32630">
            <w:pPr>
              <w:jc w:val="center"/>
              <w:rPr>
                <w:szCs w:val="22"/>
                <w:highlight w:val="cyan"/>
              </w:rPr>
            </w:pPr>
          </w:p>
        </w:tc>
        <w:tc>
          <w:tcPr>
            <w:tcW w:w="798" w:type="pct"/>
            <w:gridSpan w:val="2"/>
            <w:tcBorders>
              <w:top w:val="nil"/>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633" w:type="pct"/>
            <w:tcBorders>
              <w:top w:val="nil"/>
              <w:left w:val="nil"/>
              <w:bottom w:val="nil"/>
              <w:right w:val="nil"/>
            </w:tcBorders>
            <w:shd w:val="clear" w:color="auto" w:fill="D9D9D9"/>
            <w:vAlign w:val="center"/>
          </w:tcPr>
          <w:p w:rsidR="00E72EA1" w:rsidRPr="007E0532" w:rsidRDefault="00E72EA1" w:rsidP="00E32630">
            <w:pPr>
              <w:jc w:val="center"/>
              <w:rPr>
                <w:szCs w:val="22"/>
                <w:highlight w:val="cyan"/>
              </w:rPr>
            </w:pPr>
          </w:p>
        </w:tc>
        <w:tc>
          <w:tcPr>
            <w:tcW w:w="589" w:type="pct"/>
            <w:tcBorders>
              <w:top w:val="nil"/>
              <w:left w:val="nil"/>
              <w:bottom w:val="nil"/>
            </w:tcBorders>
            <w:shd w:val="clear" w:color="auto" w:fill="D9D9D9"/>
            <w:vAlign w:val="center"/>
          </w:tcPr>
          <w:p w:rsidR="00E72EA1" w:rsidRPr="007E0532" w:rsidRDefault="00E72EA1" w:rsidP="00E32630">
            <w:pPr>
              <w:jc w:val="center"/>
              <w:rPr>
                <w:szCs w:val="22"/>
                <w:highlight w:val="cyan"/>
              </w:rPr>
            </w:pPr>
          </w:p>
        </w:tc>
      </w:tr>
      <w:tr w:rsidR="000D028F" w:rsidRPr="00157890" w:rsidTr="00997715">
        <w:trPr>
          <w:trHeight w:val="242"/>
        </w:trPr>
        <w:tc>
          <w:tcPr>
            <w:tcW w:w="1060" w:type="pct"/>
            <w:vAlign w:val="center"/>
          </w:tcPr>
          <w:p w:rsidR="00E72EA1" w:rsidRPr="00D31F55" w:rsidRDefault="00E72EA1" w:rsidP="00D31F55">
            <w:pPr>
              <w:ind w:left="426"/>
              <w:rPr>
                <w:b/>
                <w:szCs w:val="22"/>
                <w:lang w:val="it-IT"/>
              </w:rPr>
            </w:pPr>
            <w:r w:rsidRPr="007B34AC">
              <w:rPr>
                <w:b/>
                <w:szCs w:val="22"/>
                <w:lang w:val="it-IT"/>
              </w:rPr>
              <w:t>i.v./s.c. Prostanoid</w:t>
            </w:r>
          </w:p>
        </w:tc>
        <w:tc>
          <w:tcPr>
            <w:tcW w:w="626" w:type="pct"/>
            <w:tcBorders>
              <w:bottom w:val="single" w:sz="4" w:space="0" w:color="auto"/>
            </w:tcBorders>
            <w:vAlign w:val="center"/>
          </w:tcPr>
          <w:p w:rsidR="00E72EA1" w:rsidRPr="00157890" w:rsidRDefault="00E72EA1" w:rsidP="00E32630">
            <w:pPr>
              <w:jc w:val="center"/>
              <w:rPr>
                <w:szCs w:val="22"/>
              </w:rPr>
            </w:pPr>
            <w:r w:rsidRPr="00206B5D">
              <w:rPr>
                <w:szCs w:val="24"/>
              </w:rPr>
              <w:t>6 (2.4)</w:t>
            </w:r>
          </w:p>
        </w:tc>
        <w:tc>
          <w:tcPr>
            <w:tcW w:w="621" w:type="pct"/>
            <w:tcBorders>
              <w:bottom w:val="single" w:sz="4" w:space="0" w:color="auto"/>
            </w:tcBorders>
            <w:vAlign w:val="center"/>
          </w:tcPr>
          <w:p w:rsidR="00E72EA1" w:rsidRPr="00157890" w:rsidRDefault="00E72EA1" w:rsidP="00E32630">
            <w:pPr>
              <w:jc w:val="center"/>
              <w:rPr>
                <w:szCs w:val="22"/>
              </w:rPr>
            </w:pPr>
            <w:r w:rsidRPr="00206B5D">
              <w:rPr>
                <w:szCs w:val="24"/>
              </w:rPr>
              <w:t>1 (0.4)</w:t>
            </w:r>
          </w:p>
        </w:tc>
        <w:tc>
          <w:tcPr>
            <w:tcW w:w="674" w:type="pct"/>
            <w:tcBorders>
              <w:top w:val="nil"/>
              <w:bottom w:val="single" w:sz="4" w:space="0" w:color="auto"/>
              <w:right w:val="nil"/>
            </w:tcBorders>
            <w:shd w:val="clear" w:color="auto" w:fill="D9D9D9"/>
            <w:vAlign w:val="center"/>
          </w:tcPr>
          <w:p w:rsidR="00E72EA1" w:rsidRPr="007E0532" w:rsidRDefault="00E72EA1" w:rsidP="00E32630">
            <w:pPr>
              <w:jc w:val="center"/>
              <w:rPr>
                <w:szCs w:val="22"/>
                <w:highlight w:val="cyan"/>
              </w:rPr>
            </w:pPr>
          </w:p>
        </w:tc>
        <w:tc>
          <w:tcPr>
            <w:tcW w:w="798" w:type="pct"/>
            <w:gridSpan w:val="2"/>
            <w:tcBorders>
              <w:top w:val="nil"/>
              <w:left w:val="nil"/>
              <w:bottom w:val="single" w:sz="4" w:space="0" w:color="auto"/>
              <w:right w:val="nil"/>
            </w:tcBorders>
            <w:shd w:val="clear" w:color="auto" w:fill="D9D9D9"/>
            <w:vAlign w:val="center"/>
          </w:tcPr>
          <w:p w:rsidR="00E72EA1" w:rsidRPr="007E0532" w:rsidRDefault="00E72EA1" w:rsidP="00E32630">
            <w:pPr>
              <w:jc w:val="center"/>
              <w:rPr>
                <w:szCs w:val="22"/>
                <w:highlight w:val="cyan"/>
              </w:rPr>
            </w:pPr>
          </w:p>
        </w:tc>
        <w:tc>
          <w:tcPr>
            <w:tcW w:w="633" w:type="pct"/>
            <w:tcBorders>
              <w:top w:val="nil"/>
              <w:left w:val="nil"/>
              <w:bottom w:val="single" w:sz="4" w:space="0" w:color="auto"/>
              <w:right w:val="nil"/>
            </w:tcBorders>
            <w:shd w:val="clear" w:color="auto" w:fill="D9D9D9"/>
            <w:vAlign w:val="center"/>
          </w:tcPr>
          <w:p w:rsidR="00E72EA1" w:rsidRPr="007E0532" w:rsidRDefault="00E72EA1" w:rsidP="00E32630">
            <w:pPr>
              <w:jc w:val="center"/>
              <w:rPr>
                <w:szCs w:val="22"/>
                <w:highlight w:val="cyan"/>
              </w:rPr>
            </w:pPr>
          </w:p>
        </w:tc>
        <w:tc>
          <w:tcPr>
            <w:tcW w:w="589" w:type="pct"/>
            <w:tcBorders>
              <w:top w:val="nil"/>
              <w:left w:val="nil"/>
              <w:bottom w:val="single" w:sz="4" w:space="0" w:color="auto"/>
            </w:tcBorders>
            <w:shd w:val="clear" w:color="auto" w:fill="D9D9D9"/>
            <w:vAlign w:val="center"/>
          </w:tcPr>
          <w:p w:rsidR="00E72EA1" w:rsidRPr="007E0532" w:rsidRDefault="00E72EA1" w:rsidP="00E32630">
            <w:pPr>
              <w:jc w:val="center"/>
              <w:rPr>
                <w:szCs w:val="22"/>
                <w:highlight w:val="cyan"/>
              </w:rPr>
            </w:pPr>
          </w:p>
        </w:tc>
      </w:tr>
      <w:tr w:rsidR="00E97EAB" w:rsidRPr="00D31F55" w:rsidTr="00D31F55">
        <w:trPr>
          <w:trHeight w:val="242"/>
        </w:trPr>
        <w:tc>
          <w:tcPr>
            <w:tcW w:w="5000" w:type="pct"/>
            <w:gridSpan w:val="8"/>
            <w:tcBorders>
              <w:bottom w:val="single" w:sz="4" w:space="0" w:color="auto"/>
            </w:tcBorders>
            <w:shd w:val="clear" w:color="auto" w:fill="auto"/>
            <w:vAlign w:val="center"/>
          </w:tcPr>
          <w:p w:rsidR="00E97EAB" w:rsidRPr="00D31F55" w:rsidRDefault="00E97EAB" w:rsidP="00D31F55">
            <w:pPr>
              <w:rPr>
                <w:sz w:val="18"/>
                <w:szCs w:val="18"/>
              </w:rPr>
            </w:pPr>
            <w:r w:rsidRPr="00D31F55">
              <w:rPr>
                <w:b/>
                <w:sz w:val="18"/>
                <w:szCs w:val="18"/>
                <w:vertAlign w:val="superscript"/>
              </w:rPr>
              <w:t xml:space="preserve">§ </w:t>
            </w:r>
            <w:r w:rsidR="00A941E1">
              <w:rPr>
                <w:sz w:val="18"/>
                <w:szCs w:val="18"/>
              </w:rPr>
              <w:t>D</w:t>
            </w:r>
            <w:r w:rsidRPr="00D31F55">
              <w:rPr>
                <w:sz w:val="18"/>
                <w:szCs w:val="18"/>
              </w:rPr>
              <w:t>ue to competing risks</w:t>
            </w:r>
            <w:r w:rsidR="00DF78BA">
              <w:rPr>
                <w:sz w:val="18"/>
                <w:szCs w:val="18"/>
              </w:rPr>
              <w:t>,</w:t>
            </w:r>
            <w:r w:rsidRPr="00D31F55">
              <w:rPr>
                <w:b/>
                <w:sz w:val="18"/>
                <w:szCs w:val="18"/>
                <w:vertAlign w:val="superscript"/>
              </w:rPr>
              <w:t xml:space="preserve"> </w:t>
            </w:r>
            <w:r w:rsidRPr="00D31F55">
              <w:rPr>
                <w:sz w:val="18"/>
                <w:szCs w:val="18"/>
              </w:rPr>
              <w:t>HR and p-values are not provided for the component</w:t>
            </w:r>
            <w:r>
              <w:rPr>
                <w:sz w:val="18"/>
                <w:szCs w:val="18"/>
              </w:rPr>
              <w:t xml:space="preserve"> event</w:t>
            </w:r>
            <w:r w:rsidRPr="00D31F55">
              <w:rPr>
                <w:sz w:val="18"/>
                <w:szCs w:val="18"/>
              </w:rPr>
              <w:t>s</w:t>
            </w:r>
            <w:r w:rsidR="00A941E1">
              <w:rPr>
                <w:sz w:val="18"/>
                <w:szCs w:val="18"/>
              </w:rPr>
              <w:t xml:space="preserve">; No patients experienced an event of lung transplantation or atrial </w:t>
            </w:r>
            <w:proofErr w:type="spellStart"/>
            <w:r w:rsidR="00A941E1">
              <w:rPr>
                <w:sz w:val="18"/>
                <w:szCs w:val="18"/>
              </w:rPr>
              <w:t>septostomy</w:t>
            </w:r>
            <w:proofErr w:type="spellEnd"/>
            <w:r w:rsidR="00A941E1">
              <w:rPr>
                <w:sz w:val="18"/>
                <w:szCs w:val="18"/>
              </w:rPr>
              <w:t xml:space="preserve"> in the placebo or OPSUMIT 10 mg treatment groups</w:t>
            </w:r>
            <w:r w:rsidRPr="00D31F55">
              <w:rPr>
                <w:sz w:val="18"/>
                <w:szCs w:val="18"/>
              </w:rPr>
              <w:t>.</w:t>
            </w:r>
          </w:p>
        </w:tc>
      </w:tr>
    </w:tbl>
    <w:p w:rsidR="00647F04" w:rsidRDefault="00647F04" w:rsidP="002924FD">
      <w:pPr>
        <w:jc w:val="both"/>
        <w:rPr>
          <w:rFonts w:ascii="Times New Roman" w:hAnsi="Times New Roman"/>
          <w:szCs w:val="24"/>
        </w:rPr>
      </w:pPr>
    </w:p>
    <w:p w:rsidR="001F1CF5" w:rsidRDefault="001F1CF5" w:rsidP="002924FD">
      <w:pPr>
        <w:autoSpaceDE w:val="0"/>
        <w:autoSpaceDN w:val="0"/>
        <w:adjustRightInd w:val="0"/>
        <w:jc w:val="both"/>
        <w:rPr>
          <w:rFonts w:ascii="TimesNewRomanPSMT" w:hAnsi="TimesNewRomanPSMT" w:cs="TimesNewRomanPSMT"/>
          <w:szCs w:val="24"/>
          <w:lang w:val="en-US"/>
        </w:rPr>
      </w:pPr>
      <w:bookmarkStart w:id="8" w:name="_Ref323748952"/>
      <w:bookmarkStart w:id="9" w:name="_Ref325650185"/>
      <w:r>
        <w:rPr>
          <w:rFonts w:ascii="TimesNewRomanPSMT" w:hAnsi="TimesNewRomanPSMT" w:cs="TimesNewRomanPSMT"/>
          <w:szCs w:val="24"/>
          <w:lang w:val="en-US"/>
        </w:rPr>
        <w:t xml:space="preserve">Subgroup analyses were performed to examine their influence on outcome as shown in Figure </w:t>
      </w:r>
      <w:r w:rsidR="00F07C6B">
        <w:rPr>
          <w:rFonts w:ascii="TimesNewRomanPSMT" w:hAnsi="TimesNewRomanPSMT" w:cs="TimesNewRomanPSMT"/>
          <w:szCs w:val="24"/>
          <w:lang w:val="en-US"/>
        </w:rPr>
        <w:t>2</w:t>
      </w:r>
      <w:r>
        <w:rPr>
          <w:rFonts w:ascii="TimesNewRomanPSMT" w:hAnsi="TimesNewRomanPSMT" w:cs="TimesNewRomanPSMT"/>
          <w:szCs w:val="24"/>
          <w:lang w:val="en-US"/>
        </w:rPr>
        <w:t>.</w:t>
      </w:r>
      <w:r w:rsidR="00862280">
        <w:rPr>
          <w:rFonts w:ascii="TimesNewRomanPSMT" w:hAnsi="TimesNewRomanPSMT" w:cs="TimesNewRomanPSMT"/>
          <w:szCs w:val="24"/>
          <w:lang w:val="en-US"/>
        </w:rPr>
        <w:t xml:space="preserve"> </w:t>
      </w:r>
      <w:r>
        <w:rPr>
          <w:rFonts w:ascii="TimesNewRomanPSMT" w:hAnsi="TimesNewRomanPSMT" w:cs="TimesNewRomanPSMT"/>
          <w:szCs w:val="24"/>
          <w:lang w:val="en-US"/>
        </w:rPr>
        <w:t xml:space="preserve">Consistent efficacy of OPSUMIT 10 mg on the primary endpoint was seen across subgroups of age, sex, race, etiology, by </w:t>
      </w:r>
      <w:proofErr w:type="spellStart"/>
      <w:r>
        <w:rPr>
          <w:rFonts w:ascii="TimesNewRomanPSMT" w:hAnsi="TimesNewRomanPSMT" w:cs="TimesNewRomanPSMT"/>
          <w:szCs w:val="24"/>
          <w:lang w:val="en-US"/>
        </w:rPr>
        <w:t>monotherapy</w:t>
      </w:r>
      <w:proofErr w:type="spellEnd"/>
      <w:r>
        <w:rPr>
          <w:rFonts w:ascii="TimesNewRomanPSMT" w:hAnsi="TimesNewRomanPSMT" w:cs="TimesNewRomanPSMT"/>
          <w:szCs w:val="24"/>
          <w:lang w:val="en-US"/>
        </w:rPr>
        <w:t xml:space="preserve"> or in combination with another PAH therapy, baseline 6MWD, and baseline WHO FC.</w:t>
      </w:r>
    </w:p>
    <w:p w:rsidR="00FB52A6" w:rsidRDefault="00FB52A6" w:rsidP="002924FD">
      <w:pPr>
        <w:spacing w:after="120"/>
        <w:ind w:left="360"/>
        <w:jc w:val="both"/>
        <w:rPr>
          <w:rFonts w:ascii="Times New Roman" w:hAnsi="Times New Roman"/>
          <w:b/>
          <w:sz w:val="22"/>
          <w:szCs w:val="22"/>
        </w:rPr>
      </w:pPr>
    </w:p>
    <w:p w:rsidR="00FB52A6" w:rsidRPr="00124B86" w:rsidRDefault="00FB52A6" w:rsidP="00124B86">
      <w:pPr>
        <w:pStyle w:val="HdFig1"/>
        <w:keepLines/>
        <w:spacing w:before="0" w:after="0"/>
        <w:rPr>
          <w:szCs w:val="24"/>
          <w:lang w:val="en-GB"/>
        </w:rPr>
      </w:pPr>
      <w:r w:rsidRPr="00124B86">
        <w:rPr>
          <w:szCs w:val="24"/>
          <w:lang w:val="en-GB"/>
        </w:rPr>
        <w:lastRenderedPageBreak/>
        <w:t xml:space="preserve">Figure 2 </w:t>
      </w:r>
      <w:r w:rsidRPr="00124B86">
        <w:rPr>
          <w:szCs w:val="24"/>
          <w:lang w:val="en-GB"/>
        </w:rPr>
        <w:tab/>
        <w:t>Subgroup analysis of the SERAPHIN study</w:t>
      </w:r>
    </w:p>
    <w:p w:rsidR="001F1CF5" w:rsidRPr="00647F04" w:rsidRDefault="0076680B" w:rsidP="001F1CF5">
      <w:pPr>
        <w:jc w:val="both"/>
        <w:rPr>
          <w:rFonts w:ascii="Times New Roman" w:hAnsi="Times New Roman"/>
          <w:szCs w:val="24"/>
        </w:rPr>
      </w:pPr>
      <w:r>
        <w:rPr>
          <w:noProof/>
          <w:lang w:eastAsia="en-AU"/>
        </w:rPr>
        <w:pict>
          <v:shape id="Picture 1" o:spid="_x0000_i1027" type="#_x0000_t75" style="width:425.75pt;height:425.1pt;visibility:visible">
            <v:imagedata r:id="rId11" o:title=""/>
          </v:shape>
        </w:pict>
      </w:r>
    </w:p>
    <w:p w:rsidR="006A7040" w:rsidRPr="00D046DF" w:rsidRDefault="006A7040" w:rsidP="00EB1D49">
      <w:pPr>
        <w:jc w:val="both"/>
      </w:pPr>
      <w:bookmarkStart w:id="10" w:name="_Ref325650171"/>
      <w:bookmarkStart w:id="11" w:name="_Ref331997267"/>
      <w:bookmarkEnd w:id="8"/>
    </w:p>
    <w:p w:rsidR="00E2311C" w:rsidRDefault="00E2311C" w:rsidP="0041229C">
      <w:pPr>
        <w:rPr>
          <w:szCs w:val="24"/>
        </w:rPr>
      </w:pPr>
      <w:bookmarkStart w:id="12" w:name="figure2a"/>
      <w:bookmarkStart w:id="13" w:name="IDX"/>
      <w:bookmarkEnd w:id="9"/>
      <w:bookmarkEnd w:id="10"/>
      <w:bookmarkEnd w:id="11"/>
      <w:bookmarkEnd w:id="12"/>
      <w:bookmarkEnd w:id="13"/>
    </w:p>
    <w:p w:rsidR="008D7ECA" w:rsidRPr="0077771A" w:rsidRDefault="00D51E8B" w:rsidP="0041229C">
      <w:pPr>
        <w:jc w:val="both"/>
        <w:rPr>
          <w:rFonts w:ascii="Times New Roman" w:hAnsi="Times New Roman"/>
          <w:i/>
          <w:iCs/>
          <w:szCs w:val="24"/>
        </w:rPr>
      </w:pPr>
      <w:r w:rsidRPr="00852A8F">
        <w:rPr>
          <w:rFonts w:ascii="Times New Roman" w:hAnsi="Times New Roman"/>
          <w:iCs/>
          <w:szCs w:val="24"/>
        </w:rPr>
        <w:t xml:space="preserve">The SERAPHIN </w:t>
      </w:r>
      <w:r w:rsidRPr="0077771A">
        <w:rPr>
          <w:rFonts w:ascii="Times New Roman" w:hAnsi="Times New Roman"/>
          <w:iCs/>
          <w:szCs w:val="24"/>
        </w:rPr>
        <w:t>study was not powered to assess the effect on mortality</w:t>
      </w:r>
      <w:r w:rsidRPr="0077771A">
        <w:rPr>
          <w:rFonts w:ascii="Times New Roman" w:hAnsi="Times New Roman"/>
          <w:szCs w:val="24"/>
        </w:rPr>
        <w:t xml:space="preserve">. </w:t>
      </w:r>
      <w:r w:rsidRPr="0077771A">
        <w:rPr>
          <w:rFonts w:ascii="Times New Roman" w:hAnsi="Times New Roman"/>
          <w:lang w:val="en-CA"/>
        </w:rPr>
        <w:t xml:space="preserve">Treatment with OPSUMIT 10 mg resulted in a </w:t>
      </w:r>
      <w:r w:rsidR="00190F6A" w:rsidRPr="0077771A">
        <w:rPr>
          <w:rFonts w:ascii="Times New Roman" w:hAnsi="Times New Roman"/>
          <w:lang w:val="en-CA"/>
        </w:rPr>
        <w:t xml:space="preserve">statistically non-significant </w:t>
      </w:r>
      <w:r w:rsidRPr="0077771A">
        <w:rPr>
          <w:rFonts w:ascii="Times New Roman" w:hAnsi="Times New Roman"/>
          <w:lang w:val="en-CA"/>
        </w:rPr>
        <w:t>36% relative risk reduction (HR 0.64, 97.5% CI 0.29-</w:t>
      </w:r>
      <w:r w:rsidR="00B009BA">
        <w:rPr>
          <w:rFonts w:ascii="Times New Roman" w:hAnsi="Times New Roman"/>
          <w:lang w:val="en-CA"/>
        </w:rPr>
        <w:t>1.42</w:t>
      </w:r>
      <w:r w:rsidRPr="0077771A">
        <w:rPr>
          <w:rFonts w:ascii="Times New Roman" w:hAnsi="Times New Roman"/>
          <w:lang w:val="en-CA"/>
        </w:rPr>
        <w:t xml:space="preserve">; </w:t>
      </w:r>
      <w:proofErr w:type="spellStart"/>
      <w:r w:rsidRPr="0077771A">
        <w:rPr>
          <w:rFonts w:ascii="Times New Roman" w:hAnsi="Times New Roman"/>
          <w:lang w:val="en-CA"/>
        </w:rPr>
        <w:t>logrank</w:t>
      </w:r>
      <w:proofErr w:type="spellEnd"/>
      <w:r w:rsidRPr="0077771A">
        <w:rPr>
          <w:rFonts w:ascii="Times New Roman" w:hAnsi="Times New Roman"/>
          <w:lang w:val="en-CA"/>
        </w:rPr>
        <w:t xml:space="preserve"> p=0.2037) in the occurrence of death of all causes up to EOT</w:t>
      </w:r>
      <w:r w:rsidRPr="0077771A">
        <w:rPr>
          <w:rFonts w:ascii="Times New Roman" w:hAnsi="Times New Roman"/>
          <w:color w:val="222222"/>
          <w:shd w:val="clear" w:color="auto" w:fill="FFFFFF"/>
        </w:rPr>
        <w:t xml:space="preserve"> regardless of prior worsening. </w:t>
      </w:r>
      <w:r w:rsidR="000B7833" w:rsidRPr="0077771A">
        <w:rPr>
          <w:rFonts w:ascii="Times New Roman" w:hAnsi="Times New Roman"/>
          <w:szCs w:val="24"/>
        </w:rPr>
        <w:t xml:space="preserve">The number of deaths of all causes up to EOS on </w:t>
      </w:r>
      <w:proofErr w:type="spellStart"/>
      <w:r w:rsidR="000B7833" w:rsidRPr="0077771A">
        <w:rPr>
          <w:rFonts w:ascii="Times New Roman" w:hAnsi="Times New Roman"/>
          <w:szCs w:val="24"/>
        </w:rPr>
        <w:t>macitentan</w:t>
      </w:r>
      <w:proofErr w:type="spellEnd"/>
      <w:r w:rsidR="000B7833" w:rsidRPr="0077771A">
        <w:rPr>
          <w:rFonts w:ascii="Times New Roman" w:hAnsi="Times New Roman"/>
          <w:szCs w:val="24"/>
        </w:rPr>
        <w:t xml:space="preserve"> 10 mg was 35 versus 44 on placebo (HR 0.77; 97.5% CI: 0.46 to 1.28</w:t>
      </w:r>
      <w:r w:rsidR="005B0BF9" w:rsidRPr="0077771A">
        <w:rPr>
          <w:rFonts w:ascii="Times New Roman" w:hAnsi="Times New Roman"/>
          <w:szCs w:val="24"/>
        </w:rPr>
        <w:t xml:space="preserve">; </w:t>
      </w:r>
      <w:proofErr w:type="spellStart"/>
      <w:r w:rsidR="005B0BF9" w:rsidRPr="0077771A">
        <w:rPr>
          <w:rFonts w:ascii="Times New Roman" w:hAnsi="Times New Roman"/>
          <w:szCs w:val="24"/>
        </w:rPr>
        <w:t>logrank</w:t>
      </w:r>
      <w:proofErr w:type="spellEnd"/>
      <w:r w:rsidR="005B0BF9" w:rsidRPr="0077771A">
        <w:rPr>
          <w:rFonts w:ascii="Times New Roman" w:hAnsi="Times New Roman"/>
          <w:szCs w:val="24"/>
        </w:rPr>
        <w:t xml:space="preserve"> p=0.2509</w:t>
      </w:r>
      <w:r w:rsidR="000B7833" w:rsidRPr="0077771A">
        <w:rPr>
          <w:rFonts w:ascii="Times New Roman" w:hAnsi="Times New Roman"/>
          <w:szCs w:val="24"/>
        </w:rPr>
        <w:t>).</w:t>
      </w:r>
      <w:r w:rsidR="008D7ECA" w:rsidRPr="0077771A">
        <w:rPr>
          <w:rFonts w:ascii="Times New Roman" w:hAnsi="Times New Roman"/>
          <w:i/>
          <w:iCs/>
          <w:szCs w:val="24"/>
        </w:rPr>
        <w:t xml:space="preserve"> </w:t>
      </w:r>
    </w:p>
    <w:p w:rsidR="00762B34" w:rsidRDefault="00762B34" w:rsidP="0041229C">
      <w:pPr>
        <w:jc w:val="both"/>
      </w:pPr>
    </w:p>
    <w:p w:rsidR="0041229C" w:rsidRPr="00D046DF" w:rsidRDefault="0041229C" w:rsidP="0041229C">
      <w:pPr>
        <w:jc w:val="both"/>
      </w:pPr>
      <w:r w:rsidRPr="00D046DF">
        <w:t>The risk of PAH</w:t>
      </w:r>
      <w:r w:rsidR="00EB1D49">
        <w:t>-</w:t>
      </w:r>
      <w:r w:rsidRPr="00D046DF">
        <w:t>related death or hospitali</w:t>
      </w:r>
      <w:r w:rsidR="00814429">
        <w:t>s</w:t>
      </w:r>
      <w:r w:rsidRPr="00D046DF">
        <w:t xml:space="preserve">ation for PAH up to </w:t>
      </w:r>
      <w:r w:rsidR="00EB1D49">
        <w:t xml:space="preserve">the </w:t>
      </w:r>
      <w:r w:rsidRPr="00D046DF">
        <w:t xml:space="preserve">end of double-blind treatment was reduced by 50% in patients receiving </w:t>
      </w:r>
      <w:proofErr w:type="spellStart"/>
      <w:r w:rsidRPr="00D046DF">
        <w:t>macitentan</w:t>
      </w:r>
      <w:proofErr w:type="spellEnd"/>
      <w:r w:rsidRPr="00D046DF">
        <w:t xml:space="preserve"> 10</w:t>
      </w:r>
      <w:r>
        <w:t xml:space="preserve"> mg</w:t>
      </w:r>
      <w:r w:rsidRPr="00D046DF">
        <w:t xml:space="preserve"> </w:t>
      </w:r>
      <w:r w:rsidR="00491ECA">
        <w:t xml:space="preserve">(50 events) </w:t>
      </w:r>
      <w:r>
        <w:t>(HR</w:t>
      </w:r>
      <w:r w:rsidRPr="00D046DF">
        <w:t xml:space="preserve"> 0.50</w:t>
      </w:r>
      <w:r>
        <w:t>;</w:t>
      </w:r>
      <w:r w:rsidRPr="00D046DF">
        <w:t xml:space="preserve"> 97.5% </w:t>
      </w:r>
      <w:r>
        <w:t>CI</w:t>
      </w:r>
      <w:r w:rsidRPr="00D046DF">
        <w:t xml:space="preserve"> 0.3</w:t>
      </w:r>
      <w:r>
        <w:t>4–</w:t>
      </w:r>
      <w:r w:rsidRPr="00D046DF">
        <w:t>0.7</w:t>
      </w:r>
      <w:r>
        <w:t>5</w:t>
      </w:r>
      <w:r w:rsidRPr="00D046DF">
        <w:t xml:space="preserve">; </w:t>
      </w:r>
      <w:proofErr w:type="spellStart"/>
      <w:r>
        <w:t>logrank</w:t>
      </w:r>
      <w:proofErr w:type="spellEnd"/>
      <w:r>
        <w:t xml:space="preserve"> </w:t>
      </w:r>
      <w:r w:rsidRPr="00D046DF">
        <w:t>p</w:t>
      </w:r>
      <w:r>
        <w:t xml:space="preserve"> </w:t>
      </w:r>
      <w:r w:rsidRPr="00D046DF">
        <w:t>&lt;</w:t>
      </w:r>
      <w:r>
        <w:t xml:space="preserve"> </w:t>
      </w:r>
      <w:r w:rsidRPr="00D046DF">
        <w:t>0.0001)</w:t>
      </w:r>
      <w:r w:rsidR="000B7833">
        <w:t xml:space="preserve"> compared to placebo (84 events)</w:t>
      </w:r>
      <w:r w:rsidRPr="00D046DF">
        <w:t xml:space="preserve"> [</w:t>
      </w:r>
      <w:r>
        <w:fldChar w:fldCharType="begin"/>
      </w:r>
      <w:r>
        <w:instrText xml:space="preserve"> REF _Ref335803764 \h </w:instrText>
      </w:r>
      <w:r>
        <w:fldChar w:fldCharType="separate"/>
      </w:r>
      <w:r w:rsidR="00997763">
        <w:t xml:space="preserve">Figure 3 </w:t>
      </w:r>
      <w:r>
        <w:fldChar w:fldCharType="end"/>
      </w:r>
      <w:r w:rsidR="00F07C6B">
        <w:t>and Table 2</w:t>
      </w:r>
      <w:r w:rsidRPr="00D046DF">
        <w:t>].</w:t>
      </w:r>
      <w:r w:rsidR="000B7833">
        <w:t xml:space="preserve"> </w:t>
      </w:r>
    </w:p>
    <w:p w:rsidR="0041229C" w:rsidRPr="006B0EC7" w:rsidRDefault="00F07C6B" w:rsidP="0041229C">
      <w:pPr>
        <w:pStyle w:val="HdFig1"/>
        <w:keepLines/>
      </w:pPr>
      <w:bookmarkStart w:id="14" w:name="figure4"/>
      <w:bookmarkStart w:id="15" w:name="_Ref335803764"/>
      <w:bookmarkStart w:id="16" w:name="_Toc335802996"/>
      <w:bookmarkStart w:id="17" w:name="_Toc336439155"/>
      <w:bookmarkEnd w:id="14"/>
      <w:r>
        <w:lastRenderedPageBreak/>
        <w:t xml:space="preserve">Figure 3 </w:t>
      </w:r>
      <w:bookmarkEnd w:id="15"/>
      <w:r w:rsidR="0041229C">
        <w:tab/>
        <w:t>Kaplan-Meier estimates of risk of death due to PAH or hospitalization for PAH in SERAPHIN</w:t>
      </w:r>
      <w:bookmarkEnd w:id="16"/>
      <w:bookmarkEnd w:id="17"/>
    </w:p>
    <w:p w:rsidR="0041229C" w:rsidRDefault="0076680B" w:rsidP="0041229C">
      <w:pPr>
        <w:widowControl w:val="0"/>
        <w:autoSpaceDE w:val="0"/>
        <w:autoSpaceDN w:val="0"/>
        <w:adjustRightInd w:val="0"/>
        <w:jc w:val="both"/>
        <w:rPr>
          <w:szCs w:val="24"/>
        </w:rPr>
      </w:pPr>
      <w:r>
        <w:rPr>
          <w:noProof/>
          <w:szCs w:val="24"/>
          <w:lang w:val="en-US"/>
        </w:rPr>
        <w:pict>
          <v:shape id="_x0000_i1028" type="#_x0000_t75" style="width:356.85pt;height:325.55pt;visibility:visible">
            <v:imagedata r:id="rId12" o:title="DHPHBG_OPSUMIT_A"/>
          </v:shape>
        </w:pict>
      </w:r>
    </w:p>
    <w:p w:rsidR="001F1CF5" w:rsidRDefault="001F1CF5" w:rsidP="0041229C">
      <w:pPr>
        <w:jc w:val="both"/>
        <w:rPr>
          <w:rFonts w:ascii="Times New Roman" w:hAnsi="Times New Roman"/>
          <w:b/>
          <w:bCs/>
          <w:szCs w:val="24"/>
          <w:lang w:val="en-US"/>
        </w:rPr>
      </w:pPr>
    </w:p>
    <w:p w:rsidR="001F1CF5" w:rsidRPr="0077771A" w:rsidRDefault="001F1CF5" w:rsidP="00BC628B">
      <w:pPr>
        <w:tabs>
          <w:tab w:val="left" w:pos="993"/>
        </w:tabs>
        <w:spacing w:after="120"/>
        <w:rPr>
          <w:rFonts w:ascii="Times New Roman" w:hAnsi="Times New Roman"/>
          <w:b/>
        </w:rPr>
      </w:pPr>
      <w:r w:rsidRPr="0077771A">
        <w:rPr>
          <w:rFonts w:ascii="Times New Roman" w:hAnsi="Times New Roman"/>
          <w:b/>
        </w:rPr>
        <w:t xml:space="preserve">Table </w:t>
      </w:r>
      <w:r w:rsidR="00CD4965" w:rsidRPr="0077771A">
        <w:rPr>
          <w:rFonts w:ascii="Times New Roman" w:hAnsi="Times New Roman"/>
          <w:b/>
        </w:rPr>
        <w:t>2</w:t>
      </w:r>
      <w:r w:rsidRPr="0077771A">
        <w:rPr>
          <w:rFonts w:ascii="Times New Roman" w:hAnsi="Times New Roman"/>
          <w:b/>
        </w:rPr>
        <w:t xml:space="preserve"> Summary of Death due to PAH and Hospitali</w:t>
      </w:r>
      <w:r w:rsidR="000B7833" w:rsidRPr="0077771A">
        <w:rPr>
          <w:rFonts w:ascii="Times New Roman" w:hAnsi="Times New Roman"/>
          <w:b/>
        </w:rPr>
        <w:t>s</w:t>
      </w:r>
      <w:r w:rsidRPr="0077771A">
        <w:rPr>
          <w:rFonts w:ascii="Times New Roman" w:hAnsi="Times New Roman"/>
          <w:b/>
        </w:rPr>
        <w:t>ation due to PAH</w:t>
      </w:r>
    </w:p>
    <w:p w:rsidR="001F1CF5" w:rsidRPr="0077771A" w:rsidRDefault="001F1CF5" w:rsidP="0041229C">
      <w:pPr>
        <w:jc w:val="both"/>
        <w:rPr>
          <w:rFonts w:ascii="Times New Roman" w:hAnsi="Times New Roman"/>
          <w:b/>
          <w:b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47"/>
        <w:gridCol w:w="2222"/>
      </w:tblGrid>
      <w:tr w:rsidR="001F1CF5" w:rsidRPr="00FB52A6" w:rsidTr="006914A8">
        <w:tc>
          <w:tcPr>
            <w:tcW w:w="3936" w:type="dxa"/>
          </w:tcPr>
          <w:p w:rsidR="001F1CF5" w:rsidRPr="00FB52A6" w:rsidRDefault="001F1CF5" w:rsidP="006914A8">
            <w:pPr>
              <w:jc w:val="both"/>
              <w:rPr>
                <w:sz w:val="22"/>
                <w:szCs w:val="22"/>
              </w:rPr>
            </w:pPr>
          </w:p>
        </w:tc>
        <w:tc>
          <w:tcPr>
            <w:tcW w:w="1747" w:type="dxa"/>
          </w:tcPr>
          <w:p w:rsidR="001F1CF5" w:rsidRPr="00FB52A6" w:rsidRDefault="001F1CF5" w:rsidP="006914A8">
            <w:pPr>
              <w:autoSpaceDE w:val="0"/>
              <w:autoSpaceDN w:val="0"/>
              <w:adjustRightInd w:val="0"/>
              <w:rPr>
                <w:rFonts w:ascii="Times New Roman" w:hAnsi="Times New Roman"/>
                <w:b/>
                <w:bCs/>
                <w:sz w:val="22"/>
                <w:szCs w:val="22"/>
                <w:lang w:val="en-US"/>
              </w:rPr>
            </w:pPr>
            <w:r w:rsidRPr="00FB52A6">
              <w:rPr>
                <w:rFonts w:ascii="Times New Roman" w:hAnsi="Times New Roman"/>
                <w:b/>
                <w:bCs/>
                <w:sz w:val="22"/>
                <w:szCs w:val="22"/>
                <w:lang w:val="en-US"/>
              </w:rPr>
              <w:t>Placebo</w:t>
            </w:r>
          </w:p>
          <w:p w:rsidR="001F1CF5" w:rsidRPr="00FB52A6" w:rsidRDefault="001F1CF5" w:rsidP="006914A8">
            <w:pPr>
              <w:autoSpaceDE w:val="0"/>
              <w:autoSpaceDN w:val="0"/>
              <w:adjustRightInd w:val="0"/>
              <w:rPr>
                <w:rFonts w:ascii="Times New Roman" w:hAnsi="Times New Roman"/>
                <w:b/>
                <w:bCs/>
                <w:sz w:val="22"/>
                <w:szCs w:val="22"/>
                <w:lang w:val="en-US"/>
              </w:rPr>
            </w:pPr>
            <w:r w:rsidRPr="00FB52A6">
              <w:rPr>
                <w:rFonts w:ascii="Times New Roman" w:hAnsi="Times New Roman"/>
                <w:b/>
                <w:bCs/>
                <w:sz w:val="22"/>
                <w:szCs w:val="22"/>
                <w:lang w:val="en-US"/>
              </w:rPr>
              <w:t>(N=250)</w:t>
            </w:r>
          </w:p>
          <w:p w:rsidR="001F1CF5" w:rsidRPr="00FB52A6" w:rsidRDefault="001F1CF5" w:rsidP="006914A8">
            <w:pPr>
              <w:jc w:val="both"/>
              <w:rPr>
                <w:sz w:val="22"/>
                <w:szCs w:val="22"/>
              </w:rPr>
            </w:pPr>
            <w:r w:rsidRPr="00FB52A6">
              <w:rPr>
                <w:rFonts w:ascii="Times New Roman" w:hAnsi="Times New Roman"/>
                <w:b/>
                <w:bCs/>
                <w:sz w:val="22"/>
                <w:szCs w:val="22"/>
                <w:lang w:val="en-US"/>
              </w:rPr>
              <w:t>n (%)</w:t>
            </w:r>
          </w:p>
        </w:tc>
        <w:tc>
          <w:tcPr>
            <w:tcW w:w="2222" w:type="dxa"/>
          </w:tcPr>
          <w:p w:rsidR="001F1CF5" w:rsidRPr="00FB52A6" w:rsidRDefault="001F1CF5" w:rsidP="006914A8">
            <w:pPr>
              <w:autoSpaceDE w:val="0"/>
              <w:autoSpaceDN w:val="0"/>
              <w:adjustRightInd w:val="0"/>
              <w:rPr>
                <w:rFonts w:ascii="Times New Roman" w:hAnsi="Times New Roman"/>
                <w:b/>
                <w:bCs/>
                <w:sz w:val="22"/>
                <w:szCs w:val="22"/>
                <w:lang w:val="en-US"/>
              </w:rPr>
            </w:pPr>
            <w:r w:rsidRPr="00FB52A6">
              <w:rPr>
                <w:rFonts w:ascii="Times New Roman" w:hAnsi="Times New Roman"/>
                <w:b/>
                <w:bCs/>
                <w:sz w:val="22"/>
                <w:szCs w:val="22"/>
                <w:lang w:val="en-US"/>
              </w:rPr>
              <w:t>OPSUMIT 10 mg</w:t>
            </w:r>
          </w:p>
          <w:p w:rsidR="001F1CF5" w:rsidRPr="00FB52A6" w:rsidRDefault="001F1CF5" w:rsidP="006914A8">
            <w:pPr>
              <w:autoSpaceDE w:val="0"/>
              <w:autoSpaceDN w:val="0"/>
              <w:adjustRightInd w:val="0"/>
              <w:rPr>
                <w:rFonts w:ascii="Times New Roman" w:hAnsi="Times New Roman"/>
                <w:b/>
                <w:bCs/>
                <w:sz w:val="22"/>
                <w:szCs w:val="22"/>
                <w:lang w:val="en-US"/>
              </w:rPr>
            </w:pPr>
            <w:r w:rsidRPr="00FB52A6">
              <w:rPr>
                <w:rFonts w:ascii="Times New Roman" w:hAnsi="Times New Roman"/>
                <w:b/>
                <w:bCs/>
                <w:sz w:val="22"/>
                <w:szCs w:val="22"/>
                <w:lang w:val="en-US"/>
              </w:rPr>
              <w:t>(N=242)</w:t>
            </w:r>
          </w:p>
          <w:p w:rsidR="001F1CF5" w:rsidRPr="00FB52A6" w:rsidRDefault="001F1CF5" w:rsidP="006914A8">
            <w:pPr>
              <w:jc w:val="both"/>
              <w:rPr>
                <w:sz w:val="22"/>
                <w:szCs w:val="22"/>
              </w:rPr>
            </w:pPr>
            <w:r w:rsidRPr="00FB52A6">
              <w:rPr>
                <w:rFonts w:ascii="Times New Roman" w:hAnsi="Times New Roman"/>
                <w:b/>
                <w:bCs/>
                <w:sz w:val="22"/>
                <w:szCs w:val="22"/>
                <w:lang w:val="en-US"/>
              </w:rPr>
              <w:t>n (%)</w:t>
            </w:r>
          </w:p>
        </w:tc>
      </w:tr>
      <w:tr w:rsidR="001F1CF5" w:rsidRPr="00FB52A6" w:rsidTr="006914A8">
        <w:tc>
          <w:tcPr>
            <w:tcW w:w="3936" w:type="dxa"/>
          </w:tcPr>
          <w:p w:rsidR="001F1CF5" w:rsidRPr="00FB52A6" w:rsidRDefault="001F1CF5" w:rsidP="000B7833">
            <w:pPr>
              <w:jc w:val="both"/>
              <w:rPr>
                <w:sz w:val="22"/>
                <w:szCs w:val="22"/>
              </w:rPr>
            </w:pPr>
            <w:r w:rsidRPr="00FB52A6">
              <w:rPr>
                <w:rFonts w:ascii="TimesNewRomanPSMT" w:hAnsi="TimesNewRomanPSMT" w:cs="TimesNewRomanPSMT"/>
                <w:sz w:val="22"/>
                <w:szCs w:val="22"/>
                <w:lang w:val="en-US"/>
              </w:rPr>
              <w:t xml:space="preserve">Death due to PAH or </w:t>
            </w:r>
            <w:proofErr w:type="spellStart"/>
            <w:r w:rsidRPr="00FB52A6">
              <w:rPr>
                <w:rFonts w:ascii="TimesNewRomanPSMT" w:hAnsi="TimesNewRomanPSMT" w:cs="TimesNewRomanPSMT"/>
                <w:sz w:val="22"/>
                <w:szCs w:val="22"/>
                <w:lang w:val="en-US"/>
              </w:rPr>
              <w:t>hospitali</w:t>
            </w:r>
            <w:r w:rsidR="000B7833" w:rsidRPr="00FB52A6">
              <w:rPr>
                <w:rFonts w:ascii="TimesNewRomanPSMT" w:hAnsi="TimesNewRomanPSMT" w:cs="TimesNewRomanPSMT"/>
                <w:sz w:val="22"/>
                <w:szCs w:val="22"/>
                <w:lang w:val="en-US"/>
              </w:rPr>
              <w:t>s</w:t>
            </w:r>
            <w:r w:rsidRPr="00FB52A6">
              <w:rPr>
                <w:rFonts w:ascii="TimesNewRomanPSMT" w:hAnsi="TimesNewRomanPSMT" w:cs="TimesNewRomanPSMT"/>
                <w:sz w:val="22"/>
                <w:szCs w:val="22"/>
                <w:lang w:val="en-US"/>
              </w:rPr>
              <w:t>ation</w:t>
            </w:r>
            <w:proofErr w:type="spellEnd"/>
            <w:r w:rsidRPr="00FB52A6">
              <w:rPr>
                <w:rFonts w:ascii="TimesNewRomanPSMT" w:hAnsi="TimesNewRomanPSMT" w:cs="TimesNewRomanPSMT"/>
                <w:sz w:val="22"/>
                <w:szCs w:val="22"/>
                <w:lang w:val="en-US"/>
              </w:rPr>
              <w:t xml:space="preserve"> for PAH</w:t>
            </w:r>
          </w:p>
        </w:tc>
        <w:tc>
          <w:tcPr>
            <w:tcW w:w="1747" w:type="dxa"/>
          </w:tcPr>
          <w:p w:rsidR="001F1CF5" w:rsidRPr="00FB52A6" w:rsidRDefault="001F1CF5" w:rsidP="006914A8">
            <w:pPr>
              <w:jc w:val="both"/>
              <w:rPr>
                <w:sz w:val="22"/>
                <w:szCs w:val="22"/>
              </w:rPr>
            </w:pPr>
            <w:r w:rsidRPr="00FB52A6">
              <w:rPr>
                <w:rFonts w:ascii="TimesNewRomanPSMT" w:hAnsi="TimesNewRomanPSMT" w:cs="TimesNewRomanPSMT"/>
                <w:sz w:val="22"/>
                <w:szCs w:val="22"/>
                <w:lang w:val="en-US"/>
              </w:rPr>
              <w:t>84 (33.6)</w:t>
            </w:r>
          </w:p>
        </w:tc>
        <w:tc>
          <w:tcPr>
            <w:tcW w:w="2222" w:type="dxa"/>
          </w:tcPr>
          <w:p w:rsidR="001F1CF5" w:rsidRPr="00FB52A6" w:rsidRDefault="001F1CF5" w:rsidP="006914A8">
            <w:pPr>
              <w:jc w:val="both"/>
              <w:rPr>
                <w:sz w:val="22"/>
                <w:szCs w:val="22"/>
              </w:rPr>
            </w:pPr>
            <w:r w:rsidRPr="00FB52A6">
              <w:rPr>
                <w:rFonts w:ascii="TimesNewRomanPSMT" w:hAnsi="TimesNewRomanPSMT" w:cs="TimesNewRomanPSMT"/>
                <w:sz w:val="22"/>
                <w:szCs w:val="22"/>
                <w:lang w:val="en-US"/>
              </w:rPr>
              <w:t>50 (20.7)</w:t>
            </w:r>
          </w:p>
        </w:tc>
      </w:tr>
      <w:tr w:rsidR="001F1CF5" w:rsidRPr="00FB52A6" w:rsidTr="006914A8">
        <w:tc>
          <w:tcPr>
            <w:tcW w:w="3936" w:type="dxa"/>
          </w:tcPr>
          <w:p w:rsidR="001F1CF5" w:rsidRPr="00FB52A6" w:rsidRDefault="001F1CF5" w:rsidP="006914A8">
            <w:pPr>
              <w:autoSpaceDE w:val="0"/>
              <w:autoSpaceDN w:val="0"/>
              <w:adjustRightInd w:val="0"/>
              <w:rPr>
                <w:rFonts w:ascii="TimesNewRomanPSMT" w:hAnsi="TimesNewRomanPSMT" w:cs="TimesNewRomanPSMT"/>
                <w:sz w:val="22"/>
                <w:szCs w:val="22"/>
                <w:lang w:val="en-US"/>
              </w:rPr>
            </w:pPr>
            <w:r w:rsidRPr="00FB52A6">
              <w:rPr>
                <w:rFonts w:ascii="TimesNewRomanPSMT" w:hAnsi="TimesNewRomanPSMT" w:cs="TimesNewRomanPSMT"/>
                <w:sz w:val="22"/>
                <w:szCs w:val="22"/>
                <w:lang w:val="en-US"/>
              </w:rPr>
              <w:t>Component as first event</w:t>
            </w:r>
          </w:p>
          <w:p w:rsidR="001F1CF5" w:rsidRPr="00FB52A6" w:rsidRDefault="001F1CF5" w:rsidP="006914A8">
            <w:pPr>
              <w:autoSpaceDE w:val="0"/>
              <w:autoSpaceDN w:val="0"/>
              <w:adjustRightInd w:val="0"/>
              <w:rPr>
                <w:rFonts w:ascii="TimesNewRomanPSMT" w:hAnsi="TimesNewRomanPSMT" w:cs="TimesNewRomanPSMT"/>
                <w:sz w:val="22"/>
                <w:szCs w:val="22"/>
                <w:lang w:val="en-US"/>
              </w:rPr>
            </w:pPr>
            <w:r w:rsidRPr="00FB52A6">
              <w:rPr>
                <w:rFonts w:ascii="TimesNewRomanPSMT" w:hAnsi="TimesNewRomanPSMT" w:cs="TimesNewRomanPSMT"/>
                <w:sz w:val="22"/>
                <w:szCs w:val="22"/>
                <w:lang w:val="en-US"/>
              </w:rPr>
              <w:t>Death due to PAH</w:t>
            </w:r>
          </w:p>
          <w:p w:rsidR="001F1CF5" w:rsidRPr="00FB52A6" w:rsidRDefault="001F1CF5" w:rsidP="000B7833">
            <w:pPr>
              <w:jc w:val="both"/>
              <w:rPr>
                <w:sz w:val="22"/>
                <w:szCs w:val="22"/>
              </w:rPr>
            </w:pPr>
            <w:proofErr w:type="spellStart"/>
            <w:r w:rsidRPr="00FB52A6">
              <w:rPr>
                <w:rFonts w:ascii="TimesNewRomanPSMT" w:hAnsi="TimesNewRomanPSMT" w:cs="TimesNewRomanPSMT"/>
                <w:sz w:val="22"/>
                <w:szCs w:val="22"/>
                <w:lang w:val="en-US"/>
              </w:rPr>
              <w:t>Hospitali</w:t>
            </w:r>
            <w:r w:rsidR="000B7833" w:rsidRPr="00FB52A6">
              <w:rPr>
                <w:rFonts w:ascii="TimesNewRomanPSMT" w:hAnsi="TimesNewRomanPSMT" w:cs="TimesNewRomanPSMT"/>
                <w:sz w:val="22"/>
                <w:szCs w:val="22"/>
                <w:lang w:val="en-US"/>
              </w:rPr>
              <w:t>s</w:t>
            </w:r>
            <w:r w:rsidRPr="00FB52A6">
              <w:rPr>
                <w:rFonts w:ascii="TimesNewRomanPSMT" w:hAnsi="TimesNewRomanPSMT" w:cs="TimesNewRomanPSMT"/>
                <w:sz w:val="22"/>
                <w:szCs w:val="22"/>
                <w:lang w:val="en-US"/>
              </w:rPr>
              <w:t>ation</w:t>
            </w:r>
            <w:proofErr w:type="spellEnd"/>
            <w:r w:rsidRPr="00FB52A6">
              <w:rPr>
                <w:rFonts w:ascii="TimesNewRomanPSMT" w:hAnsi="TimesNewRomanPSMT" w:cs="TimesNewRomanPSMT"/>
                <w:sz w:val="22"/>
                <w:szCs w:val="22"/>
                <w:lang w:val="en-US"/>
              </w:rPr>
              <w:t xml:space="preserve"> for PAH</w:t>
            </w:r>
          </w:p>
        </w:tc>
        <w:tc>
          <w:tcPr>
            <w:tcW w:w="1747" w:type="dxa"/>
          </w:tcPr>
          <w:p w:rsidR="001F1CF5" w:rsidRPr="00FB52A6" w:rsidRDefault="001F1CF5" w:rsidP="006914A8">
            <w:pPr>
              <w:jc w:val="both"/>
              <w:rPr>
                <w:sz w:val="22"/>
                <w:szCs w:val="22"/>
              </w:rPr>
            </w:pPr>
          </w:p>
          <w:p w:rsidR="001F1CF5" w:rsidRPr="00FB52A6" w:rsidRDefault="001F1CF5" w:rsidP="006914A8">
            <w:pPr>
              <w:autoSpaceDE w:val="0"/>
              <w:autoSpaceDN w:val="0"/>
              <w:adjustRightInd w:val="0"/>
              <w:rPr>
                <w:rFonts w:ascii="TimesNewRomanPSMT" w:hAnsi="TimesNewRomanPSMT" w:cs="TimesNewRomanPSMT"/>
                <w:sz w:val="22"/>
                <w:szCs w:val="22"/>
                <w:lang w:val="en-US"/>
              </w:rPr>
            </w:pPr>
            <w:r w:rsidRPr="00FB52A6">
              <w:rPr>
                <w:rFonts w:ascii="TimesNewRomanPSMT" w:hAnsi="TimesNewRomanPSMT" w:cs="TimesNewRomanPSMT"/>
                <w:sz w:val="22"/>
                <w:szCs w:val="22"/>
                <w:lang w:val="en-US"/>
              </w:rPr>
              <w:t>5 (2.0)</w:t>
            </w:r>
          </w:p>
          <w:p w:rsidR="001F1CF5" w:rsidRPr="00FB52A6" w:rsidRDefault="001F1CF5" w:rsidP="006914A8">
            <w:pPr>
              <w:jc w:val="both"/>
              <w:rPr>
                <w:sz w:val="22"/>
                <w:szCs w:val="22"/>
              </w:rPr>
            </w:pPr>
            <w:r w:rsidRPr="00FB52A6">
              <w:rPr>
                <w:rFonts w:ascii="TimesNewRomanPSMT" w:hAnsi="TimesNewRomanPSMT" w:cs="TimesNewRomanPSMT"/>
                <w:sz w:val="22"/>
                <w:szCs w:val="22"/>
                <w:lang w:val="en-US"/>
              </w:rPr>
              <w:t>79 (31.6)</w:t>
            </w:r>
          </w:p>
        </w:tc>
        <w:tc>
          <w:tcPr>
            <w:tcW w:w="2222" w:type="dxa"/>
          </w:tcPr>
          <w:p w:rsidR="001F1CF5" w:rsidRPr="00FB52A6" w:rsidRDefault="001F1CF5" w:rsidP="006914A8">
            <w:pPr>
              <w:jc w:val="both"/>
              <w:rPr>
                <w:sz w:val="22"/>
                <w:szCs w:val="22"/>
              </w:rPr>
            </w:pPr>
          </w:p>
          <w:p w:rsidR="001F1CF5" w:rsidRPr="00FB52A6" w:rsidRDefault="001F1CF5" w:rsidP="006914A8">
            <w:pPr>
              <w:autoSpaceDE w:val="0"/>
              <w:autoSpaceDN w:val="0"/>
              <w:adjustRightInd w:val="0"/>
              <w:rPr>
                <w:rFonts w:ascii="TimesNewRomanPSMT" w:hAnsi="TimesNewRomanPSMT" w:cs="TimesNewRomanPSMT"/>
                <w:sz w:val="22"/>
                <w:szCs w:val="22"/>
                <w:lang w:val="en-US"/>
              </w:rPr>
            </w:pPr>
            <w:r w:rsidRPr="00FB52A6">
              <w:rPr>
                <w:rFonts w:ascii="TimesNewRomanPSMT" w:hAnsi="TimesNewRomanPSMT" w:cs="TimesNewRomanPSMT"/>
                <w:sz w:val="22"/>
                <w:szCs w:val="22"/>
                <w:lang w:val="en-US"/>
              </w:rPr>
              <w:t>5 (2.1)</w:t>
            </w:r>
          </w:p>
          <w:p w:rsidR="001F1CF5" w:rsidRPr="00FB52A6" w:rsidRDefault="001F1CF5" w:rsidP="006914A8">
            <w:pPr>
              <w:jc w:val="both"/>
              <w:rPr>
                <w:sz w:val="22"/>
                <w:szCs w:val="22"/>
              </w:rPr>
            </w:pPr>
            <w:r w:rsidRPr="00FB52A6">
              <w:rPr>
                <w:rFonts w:ascii="TimesNewRomanPSMT" w:hAnsi="TimesNewRomanPSMT" w:cs="TimesNewRomanPSMT"/>
                <w:sz w:val="22"/>
                <w:szCs w:val="22"/>
                <w:lang w:val="en-US"/>
              </w:rPr>
              <w:t>45 (18.6)</w:t>
            </w:r>
          </w:p>
        </w:tc>
      </w:tr>
    </w:tbl>
    <w:p w:rsidR="00647F04" w:rsidRPr="00647F04" w:rsidRDefault="00647F04" w:rsidP="00647F04">
      <w:pPr>
        <w:rPr>
          <w:rFonts w:ascii="Times New Roman" w:hAnsi="Times New Roman"/>
          <w:szCs w:val="24"/>
        </w:rPr>
      </w:pPr>
    </w:p>
    <w:p w:rsidR="00647F04" w:rsidRPr="00597E3C" w:rsidRDefault="00647F04" w:rsidP="00E25094">
      <w:pPr>
        <w:pStyle w:val="PlainText"/>
        <w:keepNext/>
        <w:rPr>
          <w:rFonts w:ascii="Times New Roman" w:hAnsi="Times New Roman"/>
          <w:b/>
          <w:sz w:val="24"/>
          <w:lang w:val="en-GB"/>
        </w:rPr>
      </w:pPr>
      <w:r w:rsidRPr="00597E3C">
        <w:rPr>
          <w:rFonts w:ascii="Times New Roman" w:hAnsi="Times New Roman"/>
          <w:b/>
          <w:sz w:val="24"/>
          <w:lang w:val="en-GB"/>
        </w:rPr>
        <w:t>Symptomatic endpoints</w:t>
      </w:r>
    </w:p>
    <w:p w:rsidR="00647F04" w:rsidRPr="00647F04" w:rsidRDefault="00647F04" w:rsidP="00E25094">
      <w:pPr>
        <w:keepNext/>
        <w:jc w:val="both"/>
        <w:rPr>
          <w:rFonts w:ascii="Times New Roman" w:hAnsi="Times New Roman"/>
          <w:szCs w:val="24"/>
        </w:rPr>
      </w:pPr>
      <w:r w:rsidRPr="00647F04">
        <w:rPr>
          <w:rFonts w:ascii="Times New Roman" w:hAnsi="Times New Roman"/>
          <w:szCs w:val="24"/>
        </w:rPr>
        <w:t xml:space="preserve">Exercise capacity was evaluated as a secondary endpoint. Treatment with </w:t>
      </w: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10</w:t>
      </w:r>
      <w:r w:rsidR="00527F9F">
        <w:rPr>
          <w:rFonts w:ascii="Times New Roman" w:hAnsi="Times New Roman"/>
          <w:szCs w:val="24"/>
        </w:rPr>
        <w:t xml:space="preserve"> </w:t>
      </w:r>
      <w:r w:rsidRPr="00647F04">
        <w:rPr>
          <w:rFonts w:ascii="Times New Roman" w:hAnsi="Times New Roman"/>
          <w:szCs w:val="24"/>
        </w:rPr>
        <w:t>mg at Month</w:t>
      </w:r>
      <w:r w:rsidR="00B31C79">
        <w:rPr>
          <w:rFonts w:ascii="Times New Roman" w:hAnsi="Times New Roman"/>
          <w:szCs w:val="24"/>
        </w:rPr>
        <w:t xml:space="preserve"> </w:t>
      </w:r>
      <w:r w:rsidRPr="00647F04">
        <w:rPr>
          <w:rFonts w:ascii="Times New Roman" w:hAnsi="Times New Roman"/>
          <w:szCs w:val="24"/>
        </w:rPr>
        <w:t>6 resulted in a placebo-corrected mean increase in</w:t>
      </w:r>
      <w:r w:rsidR="001731C8">
        <w:rPr>
          <w:rFonts w:ascii="Times New Roman" w:hAnsi="Times New Roman"/>
          <w:szCs w:val="24"/>
        </w:rPr>
        <w:t xml:space="preserve"> Six Minute Walk Distance</w:t>
      </w:r>
      <w:r w:rsidRPr="00647F04">
        <w:rPr>
          <w:rFonts w:ascii="Times New Roman" w:hAnsi="Times New Roman"/>
          <w:szCs w:val="24"/>
        </w:rPr>
        <w:t xml:space="preserve"> </w:t>
      </w:r>
      <w:r w:rsidR="00491ECA">
        <w:rPr>
          <w:rFonts w:ascii="Times New Roman" w:hAnsi="Times New Roman"/>
          <w:szCs w:val="24"/>
        </w:rPr>
        <w:t>(</w:t>
      </w:r>
      <w:r w:rsidRPr="00647F04">
        <w:rPr>
          <w:rFonts w:ascii="Times New Roman" w:hAnsi="Times New Roman"/>
          <w:szCs w:val="24"/>
        </w:rPr>
        <w:t>6MWD</w:t>
      </w:r>
      <w:r w:rsidR="00491ECA">
        <w:rPr>
          <w:rFonts w:ascii="Times New Roman" w:hAnsi="Times New Roman"/>
          <w:szCs w:val="24"/>
        </w:rPr>
        <w:t>)</w:t>
      </w:r>
      <w:r w:rsidRPr="00647F04">
        <w:rPr>
          <w:rFonts w:ascii="Times New Roman" w:hAnsi="Times New Roman"/>
          <w:szCs w:val="24"/>
        </w:rPr>
        <w:t xml:space="preserve"> of 22</w:t>
      </w:r>
      <w:r w:rsidR="00EB1D49">
        <w:rPr>
          <w:rFonts w:ascii="Times New Roman" w:hAnsi="Times New Roman"/>
          <w:szCs w:val="24"/>
        </w:rPr>
        <w:t xml:space="preserve"> </w:t>
      </w:r>
      <w:r w:rsidRPr="00647F04">
        <w:rPr>
          <w:rFonts w:ascii="Times New Roman" w:hAnsi="Times New Roman"/>
          <w:szCs w:val="24"/>
        </w:rPr>
        <w:t>meters (97.5% CI 3–41). Evaluation of 6MWD by functional class resulted in a placebo-corrected mean increase from baseline to Month 6 in FC III/IV patients of 37</w:t>
      </w:r>
      <w:r w:rsidR="00EB1D49">
        <w:rPr>
          <w:rFonts w:ascii="Times New Roman" w:hAnsi="Times New Roman"/>
          <w:szCs w:val="24"/>
        </w:rPr>
        <w:t xml:space="preserve"> </w:t>
      </w:r>
      <w:r w:rsidRPr="00647F04">
        <w:rPr>
          <w:rFonts w:ascii="Times New Roman" w:hAnsi="Times New Roman"/>
          <w:szCs w:val="24"/>
        </w:rPr>
        <w:t>met</w:t>
      </w:r>
      <w:r w:rsidR="0048693A">
        <w:rPr>
          <w:rFonts w:ascii="Times New Roman" w:hAnsi="Times New Roman"/>
          <w:szCs w:val="24"/>
        </w:rPr>
        <w:t>re</w:t>
      </w:r>
      <w:r w:rsidRPr="00647F04">
        <w:rPr>
          <w:rFonts w:ascii="Times New Roman" w:hAnsi="Times New Roman"/>
          <w:szCs w:val="24"/>
        </w:rPr>
        <w:t>s (97.5% CI 5–69) and in FC I/II of 12 met</w:t>
      </w:r>
      <w:r w:rsidR="0048693A">
        <w:rPr>
          <w:rFonts w:ascii="Times New Roman" w:hAnsi="Times New Roman"/>
          <w:szCs w:val="24"/>
        </w:rPr>
        <w:t>re</w:t>
      </w:r>
      <w:r w:rsidRPr="00647F04">
        <w:rPr>
          <w:rFonts w:ascii="Times New Roman" w:hAnsi="Times New Roman"/>
          <w:szCs w:val="24"/>
        </w:rPr>
        <w:t xml:space="preserve">s (97.5% CI </w:t>
      </w:r>
      <w:r w:rsidRPr="00647F04">
        <w:rPr>
          <w:rFonts w:ascii="Times New Roman" w:hAnsi="Times New Roman"/>
          <w:szCs w:val="24"/>
        </w:rPr>
        <w:sym w:font="Symbol" w:char="F02D"/>
      </w:r>
      <w:r w:rsidRPr="00647F04">
        <w:rPr>
          <w:rFonts w:ascii="Times New Roman" w:hAnsi="Times New Roman"/>
          <w:szCs w:val="24"/>
        </w:rPr>
        <w:t xml:space="preserve">8–33). The increase in 6MWD achieved with </w:t>
      </w: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was maintained for the duration of the study. </w:t>
      </w:r>
    </w:p>
    <w:p w:rsidR="00647F04" w:rsidRPr="00647F04" w:rsidRDefault="00647F04" w:rsidP="00EB1D49">
      <w:pPr>
        <w:jc w:val="both"/>
        <w:rPr>
          <w:rFonts w:ascii="Times New Roman" w:hAnsi="Times New Roman"/>
          <w:szCs w:val="24"/>
        </w:rPr>
      </w:pPr>
    </w:p>
    <w:p w:rsidR="00647F04" w:rsidRPr="00647F04" w:rsidRDefault="009228BB" w:rsidP="0077771A">
      <w:pPr>
        <w:jc w:val="both"/>
        <w:rPr>
          <w:rFonts w:ascii="Times New Roman" w:hAnsi="Times New Roman"/>
          <w:szCs w:val="24"/>
        </w:rPr>
      </w:pPr>
      <w:r>
        <w:rPr>
          <w:rFonts w:ascii="Times New Roman" w:hAnsi="Times New Roman"/>
          <w:szCs w:val="24"/>
        </w:rPr>
        <w:t xml:space="preserve">Treatment with </w:t>
      </w:r>
      <w:proofErr w:type="spellStart"/>
      <w:r>
        <w:rPr>
          <w:rFonts w:ascii="Times New Roman" w:hAnsi="Times New Roman"/>
          <w:szCs w:val="24"/>
        </w:rPr>
        <w:t>macitentan</w:t>
      </w:r>
      <w:proofErr w:type="spellEnd"/>
      <w:r>
        <w:rPr>
          <w:rFonts w:ascii="Times New Roman" w:hAnsi="Times New Roman"/>
          <w:szCs w:val="24"/>
        </w:rPr>
        <w:t xml:space="preserve"> 10</w:t>
      </w:r>
      <w:r w:rsidR="00527F9F">
        <w:rPr>
          <w:rFonts w:ascii="Times New Roman" w:hAnsi="Times New Roman"/>
          <w:szCs w:val="24"/>
        </w:rPr>
        <w:t xml:space="preserve"> </w:t>
      </w:r>
      <w:r w:rsidR="00647F04" w:rsidRPr="00647F04">
        <w:rPr>
          <w:rFonts w:ascii="Times New Roman" w:hAnsi="Times New Roman"/>
          <w:szCs w:val="24"/>
        </w:rPr>
        <w:t>mg led to a 74% higher chance of WHO FC improvement relative to placebo (risk ratio 1.74; 97.5% CI 1.10–2.74</w:t>
      </w:r>
      <w:r>
        <w:rPr>
          <w:rFonts w:ascii="Times New Roman" w:hAnsi="Times New Roman"/>
          <w:szCs w:val="24"/>
        </w:rPr>
        <w:t xml:space="preserve">). Treatment </w:t>
      </w:r>
      <w:r>
        <w:rPr>
          <w:rFonts w:ascii="Times New Roman" w:hAnsi="Times New Roman"/>
          <w:szCs w:val="24"/>
        </w:rPr>
        <w:lastRenderedPageBreak/>
        <w:t xml:space="preserve">with </w:t>
      </w:r>
      <w:proofErr w:type="spellStart"/>
      <w:r>
        <w:rPr>
          <w:rFonts w:ascii="Times New Roman" w:hAnsi="Times New Roman"/>
          <w:szCs w:val="24"/>
        </w:rPr>
        <w:t>macitentan</w:t>
      </w:r>
      <w:proofErr w:type="spellEnd"/>
      <w:r>
        <w:rPr>
          <w:rFonts w:ascii="Times New Roman" w:hAnsi="Times New Roman"/>
          <w:szCs w:val="24"/>
        </w:rPr>
        <w:t xml:space="preserve"> 10</w:t>
      </w:r>
      <w:r w:rsidR="00527F9F">
        <w:rPr>
          <w:rFonts w:ascii="Times New Roman" w:hAnsi="Times New Roman"/>
          <w:szCs w:val="24"/>
        </w:rPr>
        <w:t xml:space="preserve"> </w:t>
      </w:r>
      <w:r w:rsidR="00647F04" w:rsidRPr="00647F04">
        <w:rPr>
          <w:rFonts w:ascii="Times New Roman" w:hAnsi="Times New Roman"/>
          <w:szCs w:val="24"/>
        </w:rPr>
        <w:t>mg led to an improvement of at least one WHO FC at Month 6 in 22% of patients compared to 13% of patients treated with placebo.</w:t>
      </w:r>
      <w:r w:rsidR="00647F04" w:rsidRPr="00647F04" w:rsidDel="00645B24">
        <w:rPr>
          <w:rFonts w:ascii="Times New Roman" w:hAnsi="Times New Roman"/>
          <w:szCs w:val="24"/>
        </w:rPr>
        <w:t xml:space="preserve"> </w:t>
      </w:r>
    </w:p>
    <w:p w:rsidR="00647F04" w:rsidRPr="00647F04" w:rsidRDefault="00647F04" w:rsidP="0077771A">
      <w:pPr>
        <w:jc w:val="both"/>
        <w:rPr>
          <w:rFonts w:ascii="Times New Roman" w:hAnsi="Times New Roman"/>
          <w:szCs w:val="24"/>
        </w:rPr>
      </w:pPr>
    </w:p>
    <w:p w:rsidR="00647F04" w:rsidRPr="00647F04" w:rsidRDefault="00647F04" w:rsidP="0077771A">
      <w:pPr>
        <w:jc w:val="both"/>
        <w:rPr>
          <w:rFonts w:ascii="Times New Roman" w:hAnsi="Times New Roman"/>
          <w:szCs w:val="24"/>
        </w:rPr>
      </w:pPr>
      <w:proofErr w:type="spellStart"/>
      <w:r w:rsidRPr="00647F04">
        <w:rPr>
          <w:rFonts w:ascii="Times New Roman" w:hAnsi="Times New Roman"/>
          <w:szCs w:val="24"/>
        </w:rPr>
        <w:t>Macitentan</w:t>
      </w:r>
      <w:proofErr w:type="spellEnd"/>
      <w:r w:rsidRPr="00647F04">
        <w:rPr>
          <w:rFonts w:ascii="Times New Roman" w:hAnsi="Times New Roman"/>
          <w:szCs w:val="24"/>
        </w:rPr>
        <w:t xml:space="preserve"> 10</w:t>
      </w:r>
      <w:r w:rsidR="00EB1D49">
        <w:rPr>
          <w:rFonts w:ascii="Times New Roman" w:hAnsi="Times New Roman"/>
          <w:szCs w:val="24"/>
        </w:rPr>
        <w:t xml:space="preserve"> </w:t>
      </w:r>
      <w:r w:rsidRPr="00647F04">
        <w:rPr>
          <w:rFonts w:ascii="Times New Roman" w:hAnsi="Times New Roman"/>
          <w:szCs w:val="24"/>
        </w:rPr>
        <w:t xml:space="preserve">mg improved quality of life assessed by the SF-36 questionnaire.  </w:t>
      </w:r>
    </w:p>
    <w:p w:rsidR="00647F04" w:rsidRPr="00647F04" w:rsidRDefault="00647F04" w:rsidP="0077771A">
      <w:pPr>
        <w:autoSpaceDE w:val="0"/>
        <w:autoSpaceDN w:val="0"/>
        <w:adjustRightInd w:val="0"/>
        <w:jc w:val="both"/>
        <w:rPr>
          <w:rFonts w:ascii="Times New Roman" w:hAnsi="Times New Roman"/>
          <w:snapToGrid w:val="0"/>
          <w:szCs w:val="24"/>
        </w:rPr>
      </w:pPr>
    </w:p>
    <w:p w:rsidR="00647F04" w:rsidRPr="00597E3C" w:rsidRDefault="00647F04" w:rsidP="0077771A">
      <w:pPr>
        <w:pStyle w:val="PlainText"/>
        <w:keepNext/>
        <w:jc w:val="both"/>
        <w:rPr>
          <w:rFonts w:ascii="Times New Roman" w:hAnsi="Times New Roman"/>
          <w:b/>
          <w:sz w:val="24"/>
          <w:lang w:val="en-GB"/>
        </w:rPr>
      </w:pPr>
      <w:r w:rsidRPr="00597E3C">
        <w:rPr>
          <w:rFonts w:ascii="Times New Roman" w:hAnsi="Times New Roman"/>
          <w:b/>
          <w:sz w:val="24"/>
          <w:lang w:val="en-GB"/>
        </w:rPr>
        <w:t>Hemodynamic endpoints</w:t>
      </w:r>
    </w:p>
    <w:p w:rsidR="00647F04" w:rsidRPr="00647F04" w:rsidRDefault="00647F04" w:rsidP="0077771A">
      <w:pPr>
        <w:jc w:val="both"/>
        <w:rPr>
          <w:rFonts w:ascii="Times New Roman" w:hAnsi="Times New Roman"/>
          <w:szCs w:val="24"/>
        </w:rPr>
      </w:pPr>
      <w:r w:rsidRPr="00647F04">
        <w:rPr>
          <w:rFonts w:ascii="Times New Roman" w:hAnsi="Times New Roman"/>
          <w:szCs w:val="24"/>
        </w:rPr>
        <w:t>Hemodynamic parameters were assessed in a subset of patients (placebo, N</w:t>
      </w:r>
      <w:r w:rsidR="00527F9F">
        <w:rPr>
          <w:rFonts w:ascii="Times New Roman" w:hAnsi="Times New Roman"/>
          <w:szCs w:val="24"/>
        </w:rPr>
        <w:t xml:space="preserve"> </w:t>
      </w:r>
      <w:r w:rsidRPr="00647F04">
        <w:rPr>
          <w:rFonts w:ascii="Times New Roman" w:hAnsi="Times New Roman"/>
          <w:szCs w:val="24"/>
        </w:rPr>
        <w:t>=</w:t>
      </w:r>
      <w:r w:rsidR="00527F9F">
        <w:rPr>
          <w:rFonts w:ascii="Times New Roman" w:hAnsi="Times New Roman"/>
          <w:szCs w:val="24"/>
        </w:rPr>
        <w:t xml:space="preserve"> </w:t>
      </w:r>
      <w:r w:rsidRPr="00647F04">
        <w:rPr>
          <w:rFonts w:ascii="Times New Roman" w:hAnsi="Times New Roman"/>
          <w:szCs w:val="24"/>
        </w:rPr>
        <w:t xml:space="preserve">67, </w:t>
      </w:r>
      <w:proofErr w:type="spellStart"/>
      <w:r w:rsidRPr="00647F04">
        <w:rPr>
          <w:rFonts w:ascii="Times New Roman" w:hAnsi="Times New Roman"/>
          <w:szCs w:val="24"/>
        </w:rPr>
        <w:t>macitentan</w:t>
      </w:r>
      <w:proofErr w:type="spellEnd"/>
      <w:r w:rsidR="00E11D46">
        <w:rPr>
          <w:rFonts w:ascii="Times New Roman" w:hAnsi="Times New Roman"/>
          <w:szCs w:val="24"/>
        </w:rPr>
        <w:t xml:space="preserve"> </w:t>
      </w:r>
      <w:r w:rsidRPr="00647F04">
        <w:rPr>
          <w:rFonts w:ascii="Times New Roman" w:hAnsi="Times New Roman"/>
          <w:szCs w:val="24"/>
        </w:rPr>
        <w:t>10</w:t>
      </w:r>
      <w:r w:rsidR="00527F9F">
        <w:rPr>
          <w:rFonts w:ascii="Times New Roman" w:hAnsi="Times New Roman"/>
          <w:szCs w:val="24"/>
        </w:rPr>
        <w:t xml:space="preserve"> </w:t>
      </w:r>
      <w:r w:rsidRPr="00647F04">
        <w:rPr>
          <w:rFonts w:ascii="Times New Roman" w:hAnsi="Times New Roman"/>
          <w:szCs w:val="24"/>
        </w:rPr>
        <w:t>mg, N</w:t>
      </w:r>
      <w:r w:rsidR="00527F9F">
        <w:rPr>
          <w:rFonts w:ascii="Times New Roman" w:hAnsi="Times New Roman"/>
          <w:szCs w:val="24"/>
        </w:rPr>
        <w:t xml:space="preserve"> </w:t>
      </w:r>
      <w:r w:rsidRPr="00647F04">
        <w:rPr>
          <w:rFonts w:ascii="Times New Roman" w:hAnsi="Times New Roman"/>
          <w:szCs w:val="24"/>
        </w:rPr>
        <w:t>=</w:t>
      </w:r>
      <w:r w:rsidR="00527F9F">
        <w:rPr>
          <w:rFonts w:ascii="Times New Roman" w:hAnsi="Times New Roman"/>
          <w:szCs w:val="24"/>
        </w:rPr>
        <w:t xml:space="preserve"> </w:t>
      </w:r>
      <w:r w:rsidRPr="00647F04">
        <w:rPr>
          <w:rFonts w:ascii="Times New Roman" w:hAnsi="Times New Roman"/>
          <w:szCs w:val="24"/>
        </w:rPr>
        <w:t>57) after 6 months of treatment. Pati</w:t>
      </w:r>
      <w:r w:rsidR="00E11D46">
        <w:rPr>
          <w:rFonts w:ascii="Times New Roman" w:hAnsi="Times New Roman"/>
          <w:szCs w:val="24"/>
        </w:rPr>
        <w:t xml:space="preserve">ents treated with </w:t>
      </w:r>
      <w:proofErr w:type="spellStart"/>
      <w:r w:rsidR="00E11D46">
        <w:rPr>
          <w:rFonts w:ascii="Times New Roman" w:hAnsi="Times New Roman"/>
          <w:szCs w:val="24"/>
        </w:rPr>
        <w:t>macitentan</w:t>
      </w:r>
      <w:proofErr w:type="spellEnd"/>
      <w:r w:rsidR="00E11D46">
        <w:rPr>
          <w:rFonts w:ascii="Times New Roman" w:hAnsi="Times New Roman"/>
          <w:szCs w:val="24"/>
        </w:rPr>
        <w:t xml:space="preserve"> 10</w:t>
      </w:r>
      <w:r w:rsidR="00EB1D49">
        <w:rPr>
          <w:rFonts w:ascii="Times New Roman" w:hAnsi="Times New Roman"/>
          <w:szCs w:val="24"/>
        </w:rPr>
        <w:t xml:space="preserve"> </w:t>
      </w:r>
      <w:r w:rsidRPr="00647F04">
        <w:rPr>
          <w:rFonts w:ascii="Times New Roman" w:hAnsi="Times New Roman"/>
          <w:szCs w:val="24"/>
        </w:rPr>
        <w:t>mg achieved a median reduction of 36.5% (CI 21.7–49.2%) in pulmonary vascular resistance and an increase</w:t>
      </w:r>
      <w:r w:rsidR="00E11D46">
        <w:rPr>
          <w:rFonts w:ascii="Times New Roman" w:hAnsi="Times New Roman"/>
          <w:szCs w:val="24"/>
        </w:rPr>
        <w:t xml:space="preserve"> of 0.58</w:t>
      </w:r>
      <w:r w:rsidR="00EB1D49">
        <w:rPr>
          <w:rFonts w:ascii="Times New Roman" w:hAnsi="Times New Roman"/>
          <w:szCs w:val="24"/>
        </w:rPr>
        <w:t xml:space="preserve"> </w:t>
      </w:r>
      <w:r w:rsidRPr="00647F04">
        <w:rPr>
          <w:rFonts w:ascii="Times New Roman" w:hAnsi="Times New Roman"/>
          <w:szCs w:val="24"/>
        </w:rPr>
        <w:t>L/min/m</w:t>
      </w:r>
      <w:r w:rsidRPr="00647F04">
        <w:rPr>
          <w:rFonts w:ascii="Times New Roman" w:hAnsi="Times New Roman"/>
          <w:szCs w:val="24"/>
          <w:vertAlign w:val="superscript"/>
        </w:rPr>
        <w:t>2</w:t>
      </w:r>
      <w:r w:rsidRPr="00647F04">
        <w:rPr>
          <w:rFonts w:ascii="Times New Roman" w:hAnsi="Times New Roman"/>
          <w:szCs w:val="24"/>
        </w:rPr>
        <w:t xml:space="preserve"> (CI 0.28–0.93 L/min/m</w:t>
      </w:r>
      <w:r w:rsidRPr="00647F04">
        <w:rPr>
          <w:rFonts w:ascii="Times New Roman" w:hAnsi="Times New Roman"/>
          <w:szCs w:val="24"/>
          <w:vertAlign w:val="superscript"/>
        </w:rPr>
        <w:t>2</w:t>
      </w:r>
      <w:r w:rsidRPr="00647F04">
        <w:rPr>
          <w:rFonts w:ascii="Times New Roman" w:hAnsi="Times New Roman"/>
          <w:szCs w:val="24"/>
        </w:rPr>
        <w:t xml:space="preserve">) in cardiac index compared to placebo.  </w:t>
      </w:r>
    </w:p>
    <w:p w:rsidR="00E24754" w:rsidRPr="00647F04" w:rsidRDefault="00E24754" w:rsidP="0077771A">
      <w:pPr>
        <w:autoSpaceDE w:val="0"/>
        <w:autoSpaceDN w:val="0"/>
        <w:adjustRightInd w:val="0"/>
        <w:jc w:val="both"/>
        <w:rPr>
          <w:rFonts w:ascii="Times New Roman" w:hAnsi="Times New Roman"/>
          <w:snapToGrid w:val="0"/>
          <w:szCs w:val="24"/>
        </w:rPr>
      </w:pPr>
    </w:p>
    <w:p w:rsidR="001C35B2" w:rsidRDefault="001C35B2" w:rsidP="0077771A">
      <w:pPr>
        <w:pStyle w:val="Heading1"/>
        <w:ind w:right="-61"/>
        <w:jc w:val="both"/>
      </w:pPr>
      <w:r>
        <w:t>INDICATION</w:t>
      </w:r>
      <w:r w:rsidR="00B31C79">
        <w:t>S</w:t>
      </w:r>
    </w:p>
    <w:p w:rsidR="00ED0B3C" w:rsidRPr="00ED0B3C" w:rsidRDefault="00ED0B3C" w:rsidP="0077771A">
      <w:pPr>
        <w:jc w:val="both"/>
      </w:pPr>
    </w:p>
    <w:p w:rsidR="00ED0B3C" w:rsidRDefault="00ED0B3C" w:rsidP="0077771A">
      <w:pPr>
        <w:jc w:val="both"/>
        <w:rPr>
          <w:szCs w:val="24"/>
        </w:rPr>
      </w:pPr>
      <w:r w:rsidRPr="007A773A">
        <w:rPr>
          <w:szCs w:val="24"/>
        </w:rPr>
        <w:t xml:space="preserve">OPSUMIT, as </w:t>
      </w:r>
      <w:proofErr w:type="spellStart"/>
      <w:r w:rsidRPr="007A773A">
        <w:rPr>
          <w:szCs w:val="24"/>
        </w:rPr>
        <w:t>monotherapy</w:t>
      </w:r>
      <w:proofErr w:type="spellEnd"/>
      <w:r w:rsidRPr="007A773A">
        <w:rPr>
          <w:szCs w:val="24"/>
        </w:rPr>
        <w:t xml:space="preserve"> or in combination with approved PAH treatments (phosphodiesterase-5 inhibitors or </w:t>
      </w:r>
      <w:r w:rsidR="002376B8">
        <w:rPr>
          <w:szCs w:val="24"/>
        </w:rPr>
        <w:t xml:space="preserve">inhaled </w:t>
      </w:r>
      <w:proofErr w:type="spellStart"/>
      <w:r w:rsidRPr="007A773A">
        <w:rPr>
          <w:szCs w:val="24"/>
        </w:rPr>
        <w:t>prostanoids</w:t>
      </w:r>
      <w:proofErr w:type="spellEnd"/>
      <w:r w:rsidRPr="007A773A">
        <w:rPr>
          <w:szCs w:val="24"/>
        </w:rPr>
        <w:t>),</w:t>
      </w:r>
      <w:r w:rsidRPr="00717EE5">
        <w:rPr>
          <w:szCs w:val="24"/>
        </w:rPr>
        <w:t xml:space="preserve"> is indicated for the</w:t>
      </w:r>
      <w:r w:rsidR="00852A8F">
        <w:rPr>
          <w:szCs w:val="24"/>
        </w:rPr>
        <w:t xml:space="preserve"> </w:t>
      </w:r>
      <w:r w:rsidR="00852A8F" w:rsidRPr="00717EE5">
        <w:rPr>
          <w:szCs w:val="24"/>
        </w:rPr>
        <w:t>treatment</w:t>
      </w:r>
      <w:r w:rsidRPr="00717EE5">
        <w:rPr>
          <w:szCs w:val="24"/>
        </w:rPr>
        <w:t xml:space="preserve"> of</w:t>
      </w:r>
      <w:r>
        <w:rPr>
          <w:szCs w:val="24"/>
        </w:rPr>
        <w:t>:</w:t>
      </w:r>
    </w:p>
    <w:p w:rsidR="00004B2B" w:rsidRDefault="00ED0B3C" w:rsidP="0077771A">
      <w:pPr>
        <w:numPr>
          <w:ilvl w:val="0"/>
          <w:numId w:val="16"/>
        </w:numPr>
        <w:jc w:val="both"/>
      </w:pPr>
      <w:r>
        <w:t xml:space="preserve">idiopathic </w:t>
      </w:r>
      <w:r w:rsidR="00004B2B">
        <w:t>pulmonary arterial hypertension</w:t>
      </w:r>
    </w:p>
    <w:p w:rsidR="00ED0B3C" w:rsidRDefault="00ED0B3C" w:rsidP="0077771A">
      <w:pPr>
        <w:numPr>
          <w:ilvl w:val="0"/>
          <w:numId w:val="16"/>
        </w:numPr>
        <w:jc w:val="both"/>
      </w:pPr>
      <w:r>
        <w:t>heritable pulmonary arterial</w:t>
      </w:r>
      <w:r w:rsidR="002376B8">
        <w:t xml:space="preserve"> </w:t>
      </w:r>
      <w:r>
        <w:t>hypertension</w:t>
      </w:r>
    </w:p>
    <w:p w:rsidR="00ED0B3C" w:rsidRDefault="00ED0B3C" w:rsidP="0077771A">
      <w:pPr>
        <w:numPr>
          <w:ilvl w:val="0"/>
          <w:numId w:val="16"/>
        </w:numPr>
        <w:jc w:val="both"/>
      </w:pPr>
      <w:r>
        <w:t>pulmonary arterial hypertension associated with connective tissue disease</w:t>
      </w:r>
    </w:p>
    <w:p w:rsidR="00ED0B3C" w:rsidRDefault="00ED0B3C" w:rsidP="0077771A">
      <w:pPr>
        <w:numPr>
          <w:ilvl w:val="0"/>
          <w:numId w:val="16"/>
        </w:numPr>
        <w:jc w:val="both"/>
      </w:pPr>
      <w:r>
        <w:t>pulmonary arterial hypertension associate</w:t>
      </w:r>
      <w:r w:rsidR="009A2DE7">
        <w:t>d</w:t>
      </w:r>
      <w:r>
        <w:t xml:space="preserve"> with congenital heart disease with repaired shunts</w:t>
      </w:r>
    </w:p>
    <w:p w:rsidR="00ED0B3C" w:rsidRDefault="00ED0B3C" w:rsidP="0077771A">
      <w:pPr>
        <w:ind w:left="360"/>
        <w:jc w:val="both"/>
      </w:pPr>
      <w:r>
        <w:t>in patients with WHO Functi</w:t>
      </w:r>
      <w:r w:rsidR="009A2DE7">
        <w:t>o</w:t>
      </w:r>
      <w:r>
        <w:t xml:space="preserve">nal class II, III or IV symptoms.  </w:t>
      </w:r>
    </w:p>
    <w:p w:rsidR="00647F04" w:rsidRDefault="00647F04" w:rsidP="0077771A">
      <w:pPr>
        <w:ind w:right="-61"/>
        <w:jc w:val="both"/>
        <w:rPr>
          <w:rFonts w:ascii="Arial" w:hAnsi="Arial" w:cs="Arial"/>
        </w:rPr>
      </w:pPr>
    </w:p>
    <w:p w:rsidR="001C35B2" w:rsidRDefault="001C35B2" w:rsidP="0077771A">
      <w:pPr>
        <w:pStyle w:val="Heading1"/>
        <w:ind w:right="-61"/>
        <w:jc w:val="both"/>
      </w:pPr>
      <w:r>
        <w:t>CONTRAINDICATIONS</w:t>
      </w:r>
    </w:p>
    <w:p w:rsidR="00597E3C" w:rsidRPr="00597E3C" w:rsidRDefault="00597E3C" w:rsidP="0077771A">
      <w:pPr>
        <w:jc w:val="both"/>
      </w:pPr>
    </w:p>
    <w:p w:rsidR="00BC628B" w:rsidRDefault="00AC1A15" w:rsidP="0077771A">
      <w:pPr>
        <w:spacing w:after="120"/>
        <w:jc w:val="both"/>
        <w:outlineLvl w:val="0"/>
      </w:pPr>
      <w:r>
        <w:t>OPSUMIT</w:t>
      </w:r>
      <w:r w:rsidR="00BC628B">
        <w:t xml:space="preserve"> is contraindicated in:</w:t>
      </w:r>
    </w:p>
    <w:p w:rsidR="00841126" w:rsidRDefault="00A13AB7" w:rsidP="0077771A">
      <w:pPr>
        <w:numPr>
          <w:ilvl w:val="0"/>
          <w:numId w:val="17"/>
        </w:numPr>
        <w:spacing w:after="120"/>
        <w:jc w:val="both"/>
        <w:outlineLvl w:val="0"/>
      </w:pPr>
      <w:r>
        <w:t>W</w:t>
      </w:r>
      <w:r w:rsidR="00837DF1">
        <w:t>omen who are or may become pregnant</w:t>
      </w:r>
      <w:r w:rsidR="00A76EA4">
        <w:t xml:space="preserve"> </w:t>
      </w:r>
      <w:r>
        <w:t>(</w:t>
      </w:r>
      <w:r w:rsidR="00706AD1">
        <w:t xml:space="preserve">See </w:t>
      </w:r>
      <w:r w:rsidR="00A76EA4">
        <w:t>Boxed Warning and Use in p</w:t>
      </w:r>
      <w:r>
        <w:t>regnancy).</w:t>
      </w:r>
      <w:r w:rsidR="00837DF1">
        <w:t xml:space="preserve"> </w:t>
      </w:r>
    </w:p>
    <w:p w:rsidR="00BC628B" w:rsidRPr="00A76EA4" w:rsidRDefault="00BC628B" w:rsidP="0077771A">
      <w:pPr>
        <w:numPr>
          <w:ilvl w:val="0"/>
          <w:numId w:val="17"/>
        </w:numPr>
        <w:spacing w:after="120"/>
        <w:jc w:val="both"/>
        <w:outlineLvl w:val="0"/>
        <w:rPr>
          <w:szCs w:val="22"/>
        </w:rPr>
      </w:pPr>
      <w:r w:rsidRPr="00A76EA4">
        <w:rPr>
          <w:szCs w:val="22"/>
        </w:rPr>
        <w:t>Women of child-bearing potential who are not using reliab</w:t>
      </w:r>
      <w:r w:rsidR="00A76EA4" w:rsidRPr="00A76EA4">
        <w:rPr>
          <w:szCs w:val="22"/>
        </w:rPr>
        <w:t xml:space="preserve">le contraception (See </w:t>
      </w:r>
      <w:r w:rsidR="00AC1A15">
        <w:rPr>
          <w:szCs w:val="22"/>
        </w:rPr>
        <w:t xml:space="preserve">Use in </w:t>
      </w:r>
      <w:r w:rsidR="00A76EA4" w:rsidRPr="00A76EA4">
        <w:rPr>
          <w:szCs w:val="22"/>
        </w:rPr>
        <w:t xml:space="preserve">Women of </w:t>
      </w:r>
      <w:r w:rsidR="00A76EA4">
        <w:rPr>
          <w:szCs w:val="22"/>
        </w:rPr>
        <w:t>c</w:t>
      </w:r>
      <w:r w:rsidR="00A76EA4" w:rsidRPr="00A76EA4">
        <w:rPr>
          <w:szCs w:val="22"/>
        </w:rPr>
        <w:t xml:space="preserve">hild-bearing </w:t>
      </w:r>
      <w:r w:rsidR="00A76EA4">
        <w:rPr>
          <w:szCs w:val="22"/>
        </w:rPr>
        <w:t>p</w:t>
      </w:r>
      <w:r w:rsidRPr="00A76EA4">
        <w:rPr>
          <w:szCs w:val="22"/>
        </w:rPr>
        <w:t xml:space="preserve">otential). Women must not become pregnant for at least 3 months after stopping treatment with </w:t>
      </w:r>
      <w:r w:rsidR="00911CDD">
        <w:rPr>
          <w:szCs w:val="22"/>
        </w:rPr>
        <w:t>OPSUMIT</w:t>
      </w:r>
      <w:r w:rsidRPr="00A76EA4">
        <w:rPr>
          <w:szCs w:val="22"/>
        </w:rPr>
        <w:t xml:space="preserve">. </w:t>
      </w:r>
    </w:p>
    <w:p w:rsidR="00D2789C" w:rsidRDefault="00D2789C" w:rsidP="0077771A">
      <w:pPr>
        <w:numPr>
          <w:ilvl w:val="0"/>
          <w:numId w:val="17"/>
        </w:numPr>
        <w:spacing w:after="120"/>
        <w:jc w:val="both"/>
        <w:rPr>
          <w:noProof/>
          <w:szCs w:val="22"/>
        </w:rPr>
      </w:pPr>
      <w:r w:rsidRPr="00717EE5">
        <w:rPr>
          <w:noProof/>
          <w:szCs w:val="22"/>
        </w:rPr>
        <w:t xml:space="preserve">Hypersensitivity to the active substance or to any of the excipients listed in </w:t>
      </w:r>
      <w:r w:rsidR="00841126">
        <w:rPr>
          <w:noProof/>
          <w:szCs w:val="22"/>
        </w:rPr>
        <w:t>DESCRIPTION</w:t>
      </w:r>
      <w:r w:rsidRPr="00717EE5">
        <w:rPr>
          <w:noProof/>
          <w:szCs w:val="22"/>
        </w:rPr>
        <w:t>.</w:t>
      </w:r>
    </w:p>
    <w:p w:rsidR="00081244" w:rsidRDefault="00081244" w:rsidP="0077771A">
      <w:pPr>
        <w:numPr>
          <w:ilvl w:val="0"/>
          <w:numId w:val="17"/>
        </w:numPr>
        <w:spacing w:after="120"/>
        <w:jc w:val="both"/>
        <w:rPr>
          <w:noProof/>
          <w:szCs w:val="22"/>
        </w:rPr>
      </w:pPr>
      <w:r>
        <w:rPr>
          <w:noProof/>
          <w:szCs w:val="22"/>
        </w:rPr>
        <w:t xml:space="preserve">Patients with severe hepatic impairment (with or without cirrhosis) (See </w:t>
      </w:r>
      <w:r w:rsidR="00491ECA">
        <w:rPr>
          <w:noProof/>
          <w:szCs w:val="22"/>
        </w:rPr>
        <w:t>PRECAUTIONS</w:t>
      </w:r>
      <w:r>
        <w:rPr>
          <w:noProof/>
          <w:szCs w:val="22"/>
        </w:rPr>
        <w:t>).</w:t>
      </w:r>
    </w:p>
    <w:p w:rsidR="00081244" w:rsidRPr="00717EE5" w:rsidRDefault="00081244" w:rsidP="0077771A">
      <w:pPr>
        <w:numPr>
          <w:ilvl w:val="0"/>
          <w:numId w:val="17"/>
        </w:numPr>
        <w:jc w:val="both"/>
        <w:rPr>
          <w:noProof/>
          <w:szCs w:val="22"/>
        </w:rPr>
      </w:pPr>
      <w:r>
        <w:rPr>
          <w:noProof/>
          <w:szCs w:val="22"/>
        </w:rPr>
        <w:t>Patients with baseline values of hepatic aminotransferases (aspartate aminotransferase [AST] and/or alanine aminotransferase [ALT]) greater than 3 times the Upper Limit of Normal (ULN) (</w:t>
      </w:r>
      <w:r w:rsidR="00706AD1">
        <w:rPr>
          <w:noProof/>
          <w:szCs w:val="22"/>
        </w:rPr>
        <w:t>See PRECAUTIONS</w:t>
      </w:r>
      <w:r>
        <w:rPr>
          <w:noProof/>
          <w:szCs w:val="22"/>
        </w:rPr>
        <w:t>).</w:t>
      </w:r>
    </w:p>
    <w:p w:rsidR="00D2789C" w:rsidRDefault="00D2789C" w:rsidP="0077771A">
      <w:pPr>
        <w:keepNext/>
        <w:jc w:val="both"/>
        <w:outlineLvl w:val="0"/>
        <w:rPr>
          <w:u w:val="single"/>
        </w:rPr>
      </w:pPr>
    </w:p>
    <w:p w:rsidR="001C35B2" w:rsidRDefault="001C35B2" w:rsidP="0077771A">
      <w:pPr>
        <w:pStyle w:val="Heading1"/>
        <w:ind w:right="-61"/>
        <w:jc w:val="both"/>
      </w:pPr>
      <w:r>
        <w:t>PRECAUTIONS</w:t>
      </w:r>
    </w:p>
    <w:p w:rsidR="00713983" w:rsidRDefault="00713983" w:rsidP="0077771A">
      <w:pPr>
        <w:autoSpaceDE w:val="0"/>
        <w:autoSpaceDN w:val="0"/>
        <w:adjustRightInd w:val="0"/>
        <w:jc w:val="both"/>
        <w:rPr>
          <w:rFonts w:ascii="TimesNewRomanPSMT" w:hAnsi="TimesNewRomanPSMT" w:cs="TimesNewRomanPSMT"/>
          <w:szCs w:val="24"/>
          <w:lang w:val="en-US"/>
        </w:rPr>
      </w:pPr>
    </w:p>
    <w:p w:rsidR="00673CB5" w:rsidRPr="00004B2B" w:rsidRDefault="00673CB5" w:rsidP="0077771A">
      <w:pPr>
        <w:autoSpaceDE w:val="0"/>
        <w:autoSpaceDN w:val="0"/>
        <w:adjustRightInd w:val="0"/>
        <w:jc w:val="both"/>
        <w:rPr>
          <w:rFonts w:ascii="Times New Roman" w:hAnsi="Times New Roman"/>
          <w:szCs w:val="24"/>
          <w:lang w:val="en-US"/>
        </w:rPr>
      </w:pPr>
      <w:proofErr w:type="spellStart"/>
      <w:r w:rsidRPr="00004B2B">
        <w:rPr>
          <w:rFonts w:ascii="Times New Roman" w:hAnsi="Times New Roman"/>
          <w:szCs w:val="24"/>
          <w:lang w:val="en-US"/>
        </w:rPr>
        <w:t>Macitentan</w:t>
      </w:r>
      <w:proofErr w:type="spellEnd"/>
      <w:r w:rsidRPr="00004B2B">
        <w:rPr>
          <w:rFonts w:ascii="Times New Roman" w:hAnsi="Times New Roman"/>
          <w:szCs w:val="24"/>
          <w:lang w:val="en-US"/>
        </w:rPr>
        <w:t xml:space="preserve"> has only been studied in a limited number of patients with WHO functional class IV sympto</w:t>
      </w:r>
      <w:r w:rsidR="00BC1C56" w:rsidRPr="00004B2B">
        <w:rPr>
          <w:rFonts w:ascii="Times New Roman" w:hAnsi="Times New Roman"/>
          <w:szCs w:val="24"/>
          <w:lang w:val="en-US"/>
        </w:rPr>
        <w:t>m</w:t>
      </w:r>
      <w:r w:rsidRPr="00004B2B">
        <w:rPr>
          <w:rFonts w:ascii="Times New Roman" w:hAnsi="Times New Roman"/>
          <w:szCs w:val="24"/>
          <w:lang w:val="en-US"/>
        </w:rPr>
        <w:t>s.</w:t>
      </w:r>
    </w:p>
    <w:p w:rsidR="00935907" w:rsidRPr="00004B2B" w:rsidRDefault="00935907" w:rsidP="0077771A">
      <w:pPr>
        <w:autoSpaceDE w:val="0"/>
        <w:autoSpaceDN w:val="0"/>
        <w:adjustRightInd w:val="0"/>
        <w:jc w:val="both"/>
        <w:rPr>
          <w:rFonts w:ascii="Times New Roman" w:hAnsi="Times New Roman"/>
          <w:szCs w:val="24"/>
          <w:lang w:val="en-US"/>
        </w:rPr>
      </w:pPr>
    </w:p>
    <w:p w:rsidR="00935907" w:rsidRPr="00004B2B" w:rsidRDefault="00935907" w:rsidP="0077771A">
      <w:pPr>
        <w:autoSpaceDE w:val="0"/>
        <w:autoSpaceDN w:val="0"/>
        <w:adjustRightInd w:val="0"/>
        <w:jc w:val="both"/>
        <w:rPr>
          <w:rFonts w:ascii="Times New Roman" w:hAnsi="Times New Roman"/>
          <w:szCs w:val="24"/>
          <w:lang w:val="en-US"/>
        </w:rPr>
      </w:pPr>
      <w:proofErr w:type="spellStart"/>
      <w:r w:rsidRPr="00004B2B">
        <w:rPr>
          <w:rFonts w:ascii="Times New Roman" w:hAnsi="Times New Roman"/>
          <w:szCs w:val="24"/>
          <w:lang w:val="en-US"/>
        </w:rPr>
        <w:t>Macitentan</w:t>
      </w:r>
      <w:proofErr w:type="spellEnd"/>
      <w:r w:rsidRPr="00004B2B">
        <w:rPr>
          <w:rFonts w:ascii="Times New Roman" w:hAnsi="Times New Roman"/>
          <w:szCs w:val="24"/>
          <w:lang w:val="en-US"/>
        </w:rPr>
        <w:t xml:space="preserve"> has only been studied in a limited number of patients with PAH due to HIV, drugs or toxins.</w:t>
      </w:r>
    </w:p>
    <w:p w:rsidR="00673CB5" w:rsidRPr="00004B2B" w:rsidRDefault="00673CB5" w:rsidP="0077771A">
      <w:pPr>
        <w:autoSpaceDE w:val="0"/>
        <w:autoSpaceDN w:val="0"/>
        <w:adjustRightInd w:val="0"/>
        <w:jc w:val="both"/>
        <w:rPr>
          <w:rFonts w:ascii="Times New Roman" w:hAnsi="Times New Roman"/>
          <w:szCs w:val="24"/>
          <w:lang w:val="en-US"/>
        </w:rPr>
      </w:pPr>
    </w:p>
    <w:p w:rsidR="00713983" w:rsidRPr="00004B2B" w:rsidRDefault="00713983" w:rsidP="0077771A">
      <w:pPr>
        <w:jc w:val="both"/>
        <w:rPr>
          <w:rFonts w:ascii="Times New Roman" w:hAnsi="Times New Roman"/>
          <w:noProof/>
          <w:szCs w:val="22"/>
        </w:rPr>
      </w:pPr>
      <w:r w:rsidRPr="00004B2B">
        <w:rPr>
          <w:rFonts w:ascii="Times New Roman" w:hAnsi="Times New Roman"/>
          <w:noProof/>
          <w:szCs w:val="22"/>
        </w:rPr>
        <w:t>The efficacy and safety of macitentan when co-administered with epoprostenol has not been specifically studied in controlled clinical trials.</w:t>
      </w:r>
    </w:p>
    <w:p w:rsidR="00713983" w:rsidRDefault="00713983" w:rsidP="0077771A">
      <w:pPr>
        <w:jc w:val="both"/>
        <w:rPr>
          <w:lang w:val="en-US"/>
        </w:rPr>
      </w:pPr>
    </w:p>
    <w:p w:rsidR="0046339F" w:rsidRPr="00527F9F" w:rsidRDefault="0046339F" w:rsidP="0077771A">
      <w:pPr>
        <w:keepNext/>
        <w:jc w:val="both"/>
        <w:outlineLvl w:val="0"/>
        <w:rPr>
          <w:b/>
        </w:rPr>
      </w:pPr>
      <w:r w:rsidRPr="00527F9F">
        <w:rPr>
          <w:b/>
        </w:rPr>
        <w:t xml:space="preserve">Liver function </w:t>
      </w:r>
    </w:p>
    <w:p w:rsidR="00190F6A" w:rsidRPr="00F5652F" w:rsidRDefault="00190F6A" w:rsidP="0077771A">
      <w:pPr>
        <w:shd w:val="clear" w:color="auto" w:fill="FFFFFF"/>
        <w:jc w:val="both"/>
        <w:rPr>
          <w:rFonts w:ascii="Times New Roman" w:hAnsi="Times New Roman"/>
          <w:color w:val="000000"/>
          <w:szCs w:val="24"/>
          <w:lang w:val="en-US"/>
        </w:rPr>
      </w:pPr>
      <w:r w:rsidRPr="00F5652F">
        <w:rPr>
          <w:rFonts w:ascii="Times New Roman" w:hAnsi="Times New Roman"/>
          <w:color w:val="000000"/>
          <w:szCs w:val="24"/>
          <w:lang w:val="en-US"/>
        </w:rPr>
        <w:t xml:space="preserve">Hepatic enzyme elevations, and in some cases serious hepatic events, potentially related to therapy have been observed with </w:t>
      </w:r>
      <w:proofErr w:type="spellStart"/>
      <w:r w:rsidRPr="00F5652F">
        <w:rPr>
          <w:rFonts w:ascii="Times New Roman" w:hAnsi="Times New Roman"/>
          <w:color w:val="000000"/>
          <w:szCs w:val="24"/>
          <w:lang w:val="en-US"/>
        </w:rPr>
        <w:t>endothelin</w:t>
      </w:r>
      <w:proofErr w:type="spellEnd"/>
      <w:r w:rsidRPr="00F5652F">
        <w:rPr>
          <w:rFonts w:ascii="Times New Roman" w:hAnsi="Times New Roman"/>
          <w:color w:val="000000"/>
          <w:szCs w:val="24"/>
          <w:lang w:val="en-US"/>
        </w:rPr>
        <w:t xml:space="preserve"> receptor antagonists (ERAs).</w:t>
      </w:r>
    </w:p>
    <w:p w:rsidR="0046339F" w:rsidRDefault="0046339F" w:rsidP="0077771A">
      <w:pPr>
        <w:autoSpaceDE w:val="0"/>
        <w:autoSpaceDN w:val="0"/>
        <w:adjustRightInd w:val="0"/>
        <w:jc w:val="both"/>
        <w:rPr>
          <w:szCs w:val="24"/>
        </w:rPr>
      </w:pPr>
    </w:p>
    <w:p w:rsidR="0046339F" w:rsidRDefault="0046339F" w:rsidP="0077771A">
      <w:pPr>
        <w:autoSpaceDE w:val="0"/>
        <w:autoSpaceDN w:val="0"/>
        <w:adjustRightInd w:val="0"/>
        <w:jc w:val="both"/>
        <w:rPr>
          <w:szCs w:val="24"/>
        </w:rPr>
      </w:pPr>
      <w:r w:rsidRPr="009A2DE7">
        <w:rPr>
          <w:szCs w:val="24"/>
        </w:rPr>
        <w:t xml:space="preserve">The incidence of aminotransferase elevations (ALT/AST) &gt; 3 × ULN was 3.4% on </w:t>
      </w:r>
      <w:proofErr w:type="spellStart"/>
      <w:r w:rsidRPr="009A2DE7">
        <w:rPr>
          <w:szCs w:val="24"/>
        </w:rPr>
        <w:t>macitentan</w:t>
      </w:r>
      <w:proofErr w:type="spellEnd"/>
      <w:r w:rsidRPr="009A2DE7">
        <w:rPr>
          <w:szCs w:val="24"/>
        </w:rPr>
        <w:t xml:space="preserve"> 10 mg and 4.5% on placebo in a double-blind study in patients with PAH. The incidence of elevations in ALT &gt; 3 × ULN were 3.4% on </w:t>
      </w:r>
      <w:proofErr w:type="spellStart"/>
      <w:r w:rsidRPr="009A2DE7">
        <w:rPr>
          <w:szCs w:val="24"/>
        </w:rPr>
        <w:t>macitentan</w:t>
      </w:r>
      <w:proofErr w:type="spellEnd"/>
      <w:r w:rsidRPr="009A2DE7">
        <w:rPr>
          <w:szCs w:val="24"/>
        </w:rPr>
        <w:t xml:space="preserve"> 10 mg and 1.6% on placebo</w:t>
      </w:r>
      <w:r>
        <w:rPr>
          <w:szCs w:val="24"/>
        </w:rPr>
        <w:t xml:space="preserve"> </w:t>
      </w:r>
      <w:r w:rsidRPr="009A2DE7">
        <w:rPr>
          <w:szCs w:val="24"/>
        </w:rPr>
        <w:t xml:space="preserve">(see </w:t>
      </w:r>
      <w:r>
        <w:rPr>
          <w:szCs w:val="24"/>
        </w:rPr>
        <w:t>ADVERSE EFFECTS</w:t>
      </w:r>
      <w:r w:rsidRPr="009A2DE7">
        <w:rPr>
          <w:szCs w:val="24"/>
        </w:rPr>
        <w:t>).</w:t>
      </w:r>
      <w:r>
        <w:rPr>
          <w:szCs w:val="24"/>
        </w:rPr>
        <w:t xml:space="preserve"> The incidence of ALT </w:t>
      </w:r>
      <w:r w:rsidRPr="009A2DE7">
        <w:rPr>
          <w:szCs w:val="24"/>
        </w:rPr>
        <w:t>&gt; </w:t>
      </w:r>
      <w:r>
        <w:rPr>
          <w:szCs w:val="24"/>
        </w:rPr>
        <w:t>8</w:t>
      </w:r>
      <w:r w:rsidRPr="009A2DE7">
        <w:rPr>
          <w:szCs w:val="24"/>
        </w:rPr>
        <w:t> × ULN</w:t>
      </w:r>
      <w:r>
        <w:rPr>
          <w:szCs w:val="24"/>
        </w:rPr>
        <w:t xml:space="preserve"> were 2.1% on </w:t>
      </w:r>
      <w:proofErr w:type="spellStart"/>
      <w:r>
        <w:rPr>
          <w:szCs w:val="24"/>
        </w:rPr>
        <w:t>macitentan</w:t>
      </w:r>
      <w:proofErr w:type="spellEnd"/>
      <w:r>
        <w:rPr>
          <w:szCs w:val="24"/>
        </w:rPr>
        <w:t xml:space="preserve"> 10 mg and 0.4% on placebo.  </w:t>
      </w:r>
    </w:p>
    <w:p w:rsidR="0046339F" w:rsidRDefault="0046339F" w:rsidP="0077771A">
      <w:pPr>
        <w:autoSpaceDE w:val="0"/>
        <w:autoSpaceDN w:val="0"/>
        <w:adjustRightInd w:val="0"/>
        <w:jc w:val="both"/>
        <w:rPr>
          <w:szCs w:val="24"/>
        </w:rPr>
      </w:pPr>
    </w:p>
    <w:p w:rsidR="0046339F" w:rsidRDefault="0046339F" w:rsidP="0077771A">
      <w:pPr>
        <w:autoSpaceDE w:val="0"/>
        <w:autoSpaceDN w:val="0"/>
        <w:adjustRightInd w:val="0"/>
        <w:jc w:val="both"/>
        <w:rPr>
          <w:szCs w:val="24"/>
        </w:rPr>
      </w:pPr>
      <w:proofErr w:type="spellStart"/>
      <w:r w:rsidRPr="009A2DE7">
        <w:rPr>
          <w:szCs w:val="24"/>
        </w:rPr>
        <w:t>Opsumit</w:t>
      </w:r>
      <w:proofErr w:type="spellEnd"/>
      <w:r w:rsidRPr="009A2DE7">
        <w:rPr>
          <w:szCs w:val="24"/>
        </w:rPr>
        <w:t xml:space="preserve"> is not to be initiated in patients with severe hepatic impairment or elevated aminotransferases (&gt; 3 × ULN) (see </w:t>
      </w:r>
      <w:r w:rsidR="002E04AC">
        <w:rPr>
          <w:szCs w:val="24"/>
        </w:rPr>
        <w:t>CONTRAINDICATIONS</w:t>
      </w:r>
      <w:r w:rsidRPr="009A2DE7">
        <w:rPr>
          <w:szCs w:val="24"/>
        </w:rPr>
        <w:t xml:space="preserve">) and is not recommended in patients with moderate hepatic impairment. Liver enzyme tests should be obtained prior to initiation of </w:t>
      </w:r>
      <w:proofErr w:type="spellStart"/>
      <w:r w:rsidRPr="009A2DE7">
        <w:rPr>
          <w:szCs w:val="24"/>
        </w:rPr>
        <w:t>macitentan</w:t>
      </w:r>
      <w:proofErr w:type="spellEnd"/>
      <w:r w:rsidRPr="009A2DE7">
        <w:rPr>
          <w:szCs w:val="24"/>
        </w:rPr>
        <w:t xml:space="preserve"> and monthly monitoring of aminotransferases during treatment with </w:t>
      </w:r>
      <w:proofErr w:type="spellStart"/>
      <w:r w:rsidRPr="009A2DE7">
        <w:rPr>
          <w:szCs w:val="24"/>
        </w:rPr>
        <w:t>macitentan</w:t>
      </w:r>
      <w:proofErr w:type="spellEnd"/>
      <w:r w:rsidRPr="009A2DE7">
        <w:rPr>
          <w:szCs w:val="24"/>
        </w:rPr>
        <w:t xml:space="preserve"> is recommended.</w:t>
      </w:r>
      <w:r>
        <w:rPr>
          <w:szCs w:val="24"/>
        </w:rPr>
        <w:t xml:space="preserve"> Patients should be monitored for signs of hepatic injury. </w:t>
      </w:r>
    </w:p>
    <w:p w:rsidR="0046339F" w:rsidRPr="009A2DE7" w:rsidRDefault="0046339F" w:rsidP="0077771A">
      <w:pPr>
        <w:autoSpaceDE w:val="0"/>
        <w:autoSpaceDN w:val="0"/>
        <w:adjustRightInd w:val="0"/>
        <w:jc w:val="both"/>
        <w:rPr>
          <w:szCs w:val="24"/>
        </w:rPr>
      </w:pPr>
    </w:p>
    <w:p w:rsidR="0046339F" w:rsidRPr="009A2DE7" w:rsidRDefault="0046339F" w:rsidP="0077771A">
      <w:pPr>
        <w:autoSpaceDE w:val="0"/>
        <w:autoSpaceDN w:val="0"/>
        <w:adjustRightInd w:val="0"/>
        <w:jc w:val="both"/>
        <w:rPr>
          <w:szCs w:val="24"/>
        </w:rPr>
      </w:pPr>
      <w:r w:rsidRPr="009A2DE7">
        <w:rPr>
          <w:szCs w:val="24"/>
        </w:rPr>
        <w:t xml:space="preserve">If clinically relevant aminotransferase elevations occur, or if elevations are accompanied by an increase in bilirubin &gt;2 </w:t>
      </w:r>
      <w:r w:rsidRPr="009A2DE7">
        <w:rPr>
          <w:szCs w:val="24"/>
        </w:rPr>
        <w:sym w:font="Symbol" w:char="F0B4"/>
      </w:r>
      <w:r w:rsidRPr="009A2DE7">
        <w:rPr>
          <w:szCs w:val="24"/>
        </w:rPr>
        <w:t xml:space="preserve"> ULN, or by clinical symptoms of hepatic injury</w:t>
      </w:r>
      <w:r>
        <w:rPr>
          <w:szCs w:val="24"/>
        </w:rPr>
        <w:t xml:space="preserve"> (e.g. jaundice)</w:t>
      </w:r>
      <w:r w:rsidRPr="009A2DE7">
        <w:rPr>
          <w:szCs w:val="24"/>
        </w:rPr>
        <w:t xml:space="preserve">, </w:t>
      </w:r>
      <w:proofErr w:type="spellStart"/>
      <w:r w:rsidRPr="009A2DE7">
        <w:rPr>
          <w:szCs w:val="24"/>
        </w:rPr>
        <w:t>macitentan</w:t>
      </w:r>
      <w:proofErr w:type="spellEnd"/>
      <w:r w:rsidRPr="009A2DE7">
        <w:rPr>
          <w:szCs w:val="24"/>
        </w:rPr>
        <w:t xml:space="preserve"> treatment should be discontinued. Re</w:t>
      </w:r>
      <w:r>
        <w:rPr>
          <w:szCs w:val="24"/>
        </w:rPr>
        <w:t>-</w:t>
      </w:r>
      <w:r w:rsidRPr="009A2DE7">
        <w:rPr>
          <w:szCs w:val="24"/>
        </w:rPr>
        <w:t xml:space="preserve">initiation of </w:t>
      </w:r>
      <w:proofErr w:type="spellStart"/>
      <w:r w:rsidRPr="009A2DE7">
        <w:rPr>
          <w:szCs w:val="24"/>
        </w:rPr>
        <w:t>macitentan</w:t>
      </w:r>
      <w:proofErr w:type="spellEnd"/>
      <w:r w:rsidRPr="009A2DE7">
        <w:rPr>
          <w:szCs w:val="24"/>
        </w:rPr>
        <w:t xml:space="preserve"> may be considered following the return of hepatic enzyme levels to within the normal range in patients who have not experienced clinical symptoms of hepatic injury</w:t>
      </w:r>
      <w:r>
        <w:rPr>
          <w:szCs w:val="24"/>
        </w:rPr>
        <w:t xml:space="preserve"> and following the advice of a liver specialist</w:t>
      </w:r>
      <w:r w:rsidRPr="009A2DE7">
        <w:rPr>
          <w:szCs w:val="24"/>
        </w:rPr>
        <w:t>.</w:t>
      </w:r>
    </w:p>
    <w:p w:rsidR="0046339F" w:rsidRPr="009A2DE7" w:rsidRDefault="0046339F" w:rsidP="0077771A">
      <w:pPr>
        <w:autoSpaceDE w:val="0"/>
        <w:autoSpaceDN w:val="0"/>
        <w:adjustRightInd w:val="0"/>
        <w:jc w:val="both"/>
        <w:rPr>
          <w:szCs w:val="24"/>
        </w:rPr>
      </w:pPr>
    </w:p>
    <w:p w:rsidR="0046339F" w:rsidRPr="005D4FBC" w:rsidRDefault="0046339F" w:rsidP="0077771A">
      <w:pPr>
        <w:jc w:val="both"/>
        <w:rPr>
          <w:color w:val="000000"/>
          <w:szCs w:val="24"/>
        </w:rPr>
      </w:pPr>
      <w:r w:rsidRPr="005D4FBC">
        <w:rPr>
          <w:color w:val="000000"/>
          <w:szCs w:val="24"/>
        </w:rPr>
        <w:t xml:space="preserve">Caution should be exercised when OPSUMIT is used concomitantly with medicinal products known to be associated with hepatic injury as the additive </w:t>
      </w:r>
      <w:r>
        <w:rPr>
          <w:color w:val="000000"/>
          <w:szCs w:val="24"/>
        </w:rPr>
        <w:t>e</w:t>
      </w:r>
      <w:r w:rsidRPr="005D4FBC">
        <w:rPr>
          <w:color w:val="000000"/>
          <w:szCs w:val="24"/>
        </w:rPr>
        <w:t>ffects of OPSUMIT with these agents are not known</w:t>
      </w:r>
      <w:r>
        <w:rPr>
          <w:color w:val="000000"/>
          <w:szCs w:val="24"/>
        </w:rPr>
        <w:t>.</w:t>
      </w:r>
    </w:p>
    <w:p w:rsidR="0046339F" w:rsidRDefault="0046339F" w:rsidP="0077771A">
      <w:pPr>
        <w:jc w:val="both"/>
      </w:pPr>
    </w:p>
    <w:p w:rsidR="0046339F" w:rsidRPr="00527F9F" w:rsidRDefault="0046339F" w:rsidP="0077771A">
      <w:pPr>
        <w:keepNext/>
        <w:jc w:val="both"/>
        <w:outlineLvl w:val="0"/>
        <w:rPr>
          <w:b/>
        </w:rPr>
      </w:pPr>
      <w:r>
        <w:rPr>
          <w:b/>
        </w:rPr>
        <w:t>Haematological Changes</w:t>
      </w:r>
    </w:p>
    <w:p w:rsidR="0046339F" w:rsidRPr="00004B2B" w:rsidRDefault="0046339F" w:rsidP="0077771A">
      <w:pPr>
        <w:autoSpaceDE w:val="0"/>
        <w:autoSpaceDN w:val="0"/>
        <w:adjustRightInd w:val="0"/>
        <w:jc w:val="both"/>
        <w:rPr>
          <w:rFonts w:ascii="Times New Roman" w:hAnsi="Times New Roman"/>
        </w:rPr>
      </w:pPr>
      <w:r w:rsidRPr="00004B2B">
        <w:rPr>
          <w:rFonts w:ascii="Times New Roman" w:hAnsi="Times New Roman"/>
          <w:szCs w:val="24"/>
          <w:lang w:val="en-US"/>
        </w:rPr>
        <w:t xml:space="preserve">Decreases in </w:t>
      </w:r>
      <w:proofErr w:type="spellStart"/>
      <w:r w:rsidRPr="00004B2B">
        <w:rPr>
          <w:rFonts w:ascii="Times New Roman" w:hAnsi="Times New Roman"/>
          <w:szCs w:val="24"/>
          <w:lang w:val="en-US"/>
        </w:rPr>
        <w:t>haemoglobin</w:t>
      </w:r>
      <w:proofErr w:type="spellEnd"/>
      <w:r w:rsidRPr="00004B2B">
        <w:rPr>
          <w:rFonts w:ascii="Times New Roman" w:hAnsi="Times New Roman"/>
          <w:szCs w:val="24"/>
          <w:lang w:val="en-US"/>
        </w:rPr>
        <w:t xml:space="preserve"> concentration and </w:t>
      </w:r>
      <w:proofErr w:type="spellStart"/>
      <w:r w:rsidRPr="00004B2B">
        <w:rPr>
          <w:rFonts w:ascii="Times New Roman" w:hAnsi="Times New Roman"/>
          <w:szCs w:val="24"/>
          <w:lang w:val="en-US"/>
        </w:rPr>
        <w:t>haematocrit</w:t>
      </w:r>
      <w:proofErr w:type="spellEnd"/>
      <w:r w:rsidRPr="00004B2B">
        <w:rPr>
          <w:rFonts w:ascii="Times New Roman" w:hAnsi="Times New Roman"/>
          <w:szCs w:val="24"/>
          <w:lang w:val="en-US"/>
        </w:rPr>
        <w:t xml:space="preserve"> have occurred following administration of other ERAs and were observed in clinical studies with OPSUMIT</w:t>
      </w:r>
      <w:r w:rsidRPr="00004B2B">
        <w:rPr>
          <w:rFonts w:ascii="Times New Roman" w:hAnsi="Times New Roman"/>
        </w:rPr>
        <w:t xml:space="preserve"> (see ADVERSE EFFECTS).</w:t>
      </w:r>
    </w:p>
    <w:p w:rsidR="0046339F" w:rsidRPr="00004B2B" w:rsidRDefault="0046339F" w:rsidP="0077771A">
      <w:pPr>
        <w:autoSpaceDE w:val="0"/>
        <w:autoSpaceDN w:val="0"/>
        <w:adjustRightInd w:val="0"/>
        <w:jc w:val="both"/>
        <w:rPr>
          <w:rFonts w:ascii="Times New Roman" w:hAnsi="Times New Roman"/>
        </w:rPr>
      </w:pPr>
    </w:p>
    <w:p w:rsidR="0046339F" w:rsidRDefault="0046339F" w:rsidP="0077771A">
      <w:pPr>
        <w:jc w:val="both"/>
        <w:rPr>
          <w:lang w:val="en-US"/>
        </w:rPr>
      </w:pPr>
      <w:r w:rsidRPr="00004B2B">
        <w:rPr>
          <w:rFonts w:ascii="Times New Roman" w:hAnsi="Times New Roman"/>
        </w:rPr>
        <w:t xml:space="preserve">In placebo-controlled studies, </w:t>
      </w:r>
      <w:proofErr w:type="spellStart"/>
      <w:r w:rsidRPr="00004B2B">
        <w:rPr>
          <w:rFonts w:ascii="Times New Roman" w:hAnsi="Times New Roman"/>
          <w:szCs w:val="22"/>
        </w:rPr>
        <w:t>macitentan</w:t>
      </w:r>
      <w:proofErr w:type="spellEnd"/>
      <w:r w:rsidRPr="00004B2B">
        <w:rPr>
          <w:rFonts w:ascii="Times New Roman" w:hAnsi="Times New Roman"/>
          <w:szCs w:val="22"/>
        </w:rPr>
        <w:t>-</w:t>
      </w:r>
      <w:r w:rsidRPr="00004B2B">
        <w:rPr>
          <w:rFonts w:ascii="Times New Roman" w:hAnsi="Times New Roman"/>
        </w:rPr>
        <w:t xml:space="preserve">related decreases in haemoglobin concentration </w:t>
      </w:r>
      <w:r w:rsidRPr="00004B2B">
        <w:rPr>
          <w:rFonts w:ascii="Times New Roman" w:hAnsi="Times New Roman"/>
          <w:bCs/>
          <w:iCs/>
          <w:szCs w:val="24"/>
          <w:lang w:val="en-US"/>
        </w:rPr>
        <w:t xml:space="preserve">were not progressive, </w:t>
      </w:r>
      <w:proofErr w:type="spellStart"/>
      <w:r w:rsidRPr="00004B2B">
        <w:rPr>
          <w:rFonts w:ascii="Times New Roman" w:hAnsi="Times New Roman"/>
          <w:bCs/>
          <w:iCs/>
          <w:szCs w:val="24"/>
          <w:lang w:val="en-US"/>
        </w:rPr>
        <w:t>stabilised</w:t>
      </w:r>
      <w:proofErr w:type="spellEnd"/>
      <w:r w:rsidRPr="00004B2B">
        <w:rPr>
          <w:rFonts w:ascii="Times New Roman" w:hAnsi="Times New Roman"/>
          <w:bCs/>
          <w:iCs/>
          <w:szCs w:val="24"/>
          <w:lang w:val="en-US"/>
        </w:rPr>
        <w:t xml:space="preserve"> after the first 4-12 weeks of treatment and</w:t>
      </w:r>
      <w:r w:rsidRPr="00004B2B">
        <w:rPr>
          <w:rFonts w:ascii="Times New Roman" w:hAnsi="Times New Roman"/>
          <w:b/>
          <w:bCs/>
          <w:i/>
          <w:iCs/>
          <w:szCs w:val="24"/>
          <w:lang w:val="en-US"/>
        </w:rPr>
        <w:t xml:space="preserve"> </w:t>
      </w:r>
      <w:r w:rsidRPr="00004B2B">
        <w:rPr>
          <w:rFonts w:ascii="Times New Roman" w:hAnsi="Times New Roman"/>
        </w:rPr>
        <w:t xml:space="preserve">remained stable during chronic treatment. Cases of anaemia requiring blood cell transfusion have been reported with </w:t>
      </w:r>
      <w:r w:rsidRPr="00004B2B">
        <w:rPr>
          <w:rFonts w:ascii="Times New Roman" w:hAnsi="Times New Roman"/>
          <w:szCs w:val="22"/>
        </w:rPr>
        <w:t>OPSUMIT</w:t>
      </w:r>
      <w:r w:rsidRPr="00004B2B" w:rsidDel="008A2440">
        <w:rPr>
          <w:rFonts w:ascii="Times New Roman" w:hAnsi="Times New Roman"/>
        </w:rPr>
        <w:t xml:space="preserve"> </w:t>
      </w:r>
      <w:r w:rsidRPr="00004B2B">
        <w:rPr>
          <w:rFonts w:ascii="Times New Roman" w:hAnsi="Times New Roman"/>
        </w:rPr>
        <w:t xml:space="preserve">and other ERAs. Initiation of </w:t>
      </w:r>
      <w:r w:rsidRPr="00004B2B">
        <w:rPr>
          <w:rFonts w:ascii="Times New Roman" w:hAnsi="Times New Roman"/>
          <w:szCs w:val="22"/>
        </w:rPr>
        <w:t>OPSUMIT</w:t>
      </w:r>
      <w:r w:rsidRPr="00004B2B" w:rsidDel="008A2440">
        <w:rPr>
          <w:rFonts w:ascii="Times New Roman" w:hAnsi="Times New Roman"/>
        </w:rPr>
        <w:t xml:space="preserve"> </w:t>
      </w:r>
      <w:r w:rsidRPr="00004B2B">
        <w:rPr>
          <w:rFonts w:ascii="Times New Roman" w:hAnsi="Times New Roman"/>
        </w:rPr>
        <w:t>is not recommended in patients with clinically significant anaemia. It is recommended that haemoglobin concentrations be measured prior to initiation of treatment and tests repeated during treatment as clinically indicated.</w:t>
      </w:r>
    </w:p>
    <w:p w:rsidR="0046339F" w:rsidRDefault="0046339F" w:rsidP="0046339F">
      <w:pPr>
        <w:rPr>
          <w:b/>
          <w:szCs w:val="22"/>
        </w:rPr>
      </w:pPr>
    </w:p>
    <w:p w:rsidR="0046339F" w:rsidRPr="00527F9F" w:rsidRDefault="0046339F" w:rsidP="0046339F">
      <w:pPr>
        <w:rPr>
          <w:b/>
          <w:szCs w:val="22"/>
        </w:rPr>
      </w:pPr>
      <w:r w:rsidRPr="00527F9F">
        <w:rPr>
          <w:b/>
          <w:szCs w:val="22"/>
        </w:rPr>
        <w:t>Patients with renal impairment</w:t>
      </w:r>
    </w:p>
    <w:p w:rsidR="0046339F" w:rsidRPr="00EA01BC" w:rsidRDefault="0046339F" w:rsidP="0046339F">
      <w:pPr>
        <w:autoSpaceDE w:val="0"/>
        <w:autoSpaceDN w:val="0"/>
        <w:adjustRightInd w:val="0"/>
        <w:jc w:val="both"/>
      </w:pPr>
      <w:r w:rsidRPr="00EA01BC">
        <w:rPr>
          <w:rFonts w:ascii="Times New Roman" w:hAnsi="Times New Roman"/>
          <w:iCs/>
          <w:szCs w:val="24"/>
          <w:lang w:val="en-US"/>
        </w:rPr>
        <w:t xml:space="preserve">Patients with renal impairment may </w:t>
      </w:r>
      <w:r w:rsidRPr="00EA01BC">
        <w:rPr>
          <w:rFonts w:ascii="Times New Roman" w:hAnsi="Times New Roman"/>
          <w:bCs/>
          <w:iCs/>
          <w:szCs w:val="24"/>
          <w:lang w:val="en-US"/>
        </w:rPr>
        <w:t xml:space="preserve">run a higher risk of </w:t>
      </w:r>
      <w:r w:rsidRPr="00EA01BC">
        <w:rPr>
          <w:rFonts w:ascii="Times New Roman" w:hAnsi="Times New Roman"/>
          <w:iCs/>
          <w:szCs w:val="24"/>
          <w:lang w:val="en-US"/>
        </w:rPr>
        <w:t>experienc</w:t>
      </w:r>
      <w:r>
        <w:rPr>
          <w:rFonts w:ascii="Times New Roman" w:hAnsi="Times New Roman"/>
          <w:iCs/>
          <w:szCs w:val="24"/>
          <w:lang w:val="en-US"/>
        </w:rPr>
        <w:t>ing</w:t>
      </w:r>
      <w:r w:rsidRPr="00EA01BC">
        <w:rPr>
          <w:rFonts w:ascii="Times New Roman" w:hAnsi="Times New Roman"/>
          <w:iCs/>
          <w:szCs w:val="24"/>
          <w:lang w:val="en-US"/>
        </w:rPr>
        <w:t xml:space="preserve"> </w:t>
      </w:r>
      <w:r>
        <w:rPr>
          <w:rFonts w:ascii="Times New Roman" w:hAnsi="Times New Roman"/>
          <w:iCs/>
          <w:szCs w:val="24"/>
          <w:lang w:val="en-US"/>
        </w:rPr>
        <w:t xml:space="preserve">hypotension </w:t>
      </w:r>
      <w:r w:rsidRPr="00EA01BC">
        <w:rPr>
          <w:rFonts w:ascii="Times New Roman" w:hAnsi="Times New Roman"/>
          <w:bCs/>
          <w:iCs/>
          <w:szCs w:val="24"/>
          <w:lang w:val="en-US"/>
        </w:rPr>
        <w:t xml:space="preserve">and </w:t>
      </w:r>
      <w:proofErr w:type="spellStart"/>
      <w:r w:rsidRPr="00EA01BC">
        <w:rPr>
          <w:rFonts w:ascii="Times New Roman" w:hAnsi="Times New Roman"/>
          <w:bCs/>
          <w:iCs/>
          <w:szCs w:val="24"/>
          <w:lang w:val="en-US"/>
        </w:rPr>
        <w:t>anaemia</w:t>
      </w:r>
      <w:proofErr w:type="spellEnd"/>
      <w:r w:rsidRPr="00EA01BC">
        <w:rPr>
          <w:rFonts w:ascii="Times New Roman" w:hAnsi="Times New Roman"/>
          <w:bCs/>
          <w:iCs/>
          <w:szCs w:val="24"/>
          <w:lang w:val="en-US"/>
        </w:rPr>
        <w:t xml:space="preserve"> during</w:t>
      </w:r>
      <w:r>
        <w:rPr>
          <w:rFonts w:ascii="Times New Roman" w:hAnsi="Times New Roman"/>
          <w:bCs/>
          <w:iCs/>
          <w:szCs w:val="24"/>
          <w:lang w:val="en-US"/>
        </w:rPr>
        <w:t xml:space="preserve"> </w:t>
      </w:r>
      <w:r w:rsidRPr="00EA01BC">
        <w:rPr>
          <w:rFonts w:ascii="Times New Roman" w:hAnsi="Times New Roman"/>
          <w:bCs/>
          <w:iCs/>
          <w:szCs w:val="24"/>
          <w:lang w:val="en-US"/>
        </w:rPr>
        <w:t xml:space="preserve">treatment with </w:t>
      </w:r>
      <w:proofErr w:type="spellStart"/>
      <w:r>
        <w:rPr>
          <w:rFonts w:ascii="Times New Roman" w:hAnsi="Times New Roman"/>
          <w:bCs/>
          <w:iCs/>
          <w:szCs w:val="24"/>
          <w:lang w:val="en-US"/>
        </w:rPr>
        <w:t>macitentan</w:t>
      </w:r>
      <w:proofErr w:type="spellEnd"/>
      <w:r w:rsidRPr="00EA01BC">
        <w:rPr>
          <w:rFonts w:ascii="Times New Roman" w:hAnsi="Times New Roman"/>
          <w:iCs/>
          <w:szCs w:val="24"/>
          <w:lang w:val="en-US"/>
        </w:rPr>
        <w:t xml:space="preserve">. </w:t>
      </w:r>
      <w:r w:rsidRPr="00EA01BC">
        <w:rPr>
          <w:rFonts w:ascii="Times New Roman" w:hAnsi="Times New Roman"/>
          <w:bCs/>
          <w:iCs/>
          <w:szCs w:val="24"/>
          <w:lang w:val="en-US"/>
        </w:rPr>
        <w:t xml:space="preserve">Therefore, </w:t>
      </w:r>
      <w:r w:rsidRPr="00EA01BC">
        <w:rPr>
          <w:rFonts w:ascii="Times New Roman" w:hAnsi="Times New Roman"/>
          <w:iCs/>
          <w:szCs w:val="24"/>
          <w:lang w:val="en-US"/>
        </w:rPr>
        <w:t xml:space="preserve">monitoring </w:t>
      </w:r>
      <w:r w:rsidRPr="00EA01BC">
        <w:rPr>
          <w:rFonts w:ascii="Times New Roman" w:hAnsi="Times New Roman"/>
          <w:bCs/>
          <w:iCs/>
          <w:szCs w:val="24"/>
          <w:lang w:val="en-US"/>
        </w:rPr>
        <w:t>of blood pressure and</w:t>
      </w:r>
      <w:r>
        <w:rPr>
          <w:rFonts w:ascii="Times New Roman" w:hAnsi="Times New Roman"/>
          <w:bCs/>
          <w:iCs/>
          <w:szCs w:val="24"/>
          <w:lang w:val="en-US"/>
        </w:rPr>
        <w:t xml:space="preserve"> </w:t>
      </w:r>
      <w:proofErr w:type="spellStart"/>
      <w:r w:rsidRPr="00EA01BC">
        <w:rPr>
          <w:rFonts w:ascii="Times New Roman" w:hAnsi="Times New Roman"/>
          <w:bCs/>
          <w:iCs/>
          <w:szCs w:val="24"/>
          <w:lang w:val="en-US"/>
        </w:rPr>
        <w:t>haemoglobin</w:t>
      </w:r>
      <w:proofErr w:type="spellEnd"/>
      <w:r w:rsidRPr="00EA01BC">
        <w:rPr>
          <w:rFonts w:ascii="Times New Roman" w:hAnsi="Times New Roman"/>
          <w:bCs/>
          <w:iCs/>
          <w:szCs w:val="24"/>
          <w:lang w:val="en-US"/>
        </w:rPr>
        <w:t xml:space="preserve"> </w:t>
      </w:r>
      <w:r w:rsidRPr="00EA01BC">
        <w:rPr>
          <w:rFonts w:ascii="Times New Roman" w:hAnsi="Times New Roman"/>
          <w:iCs/>
          <w:szCs w:val="24"/>
          <w:lang w:val="en-US"/>
        </w:rPr>
        <w:t xml:space="preserve">should be considered. </w:t>
      </w:r>
      <w:r w:rsidRPr="00EA01BC">
        <w:rPr>
          <w:rFonts w:ascii="Times New Roman" w:hAnsi="Times New Roman"/>
          <w:bCs/>
          <w:iCs/>
          <w:szCs w:val="24"/>
          <w:lang w:val="en-US"/>
        </w:rPr>
        <w:t>There is no clinical experience with the use</w:t>
      </w:r>
      <w:r>
        <w:rPr>
          <w:rFonts w:ascii="Times New Roman" w:hAnsi="Times New Roman"/>
          <w:bCs/>
          <w:iCs/>
          <w:szCs w:val="24"/>
          <w:lang w:val="en-US"/>
        </w:rPr>
        <w:t xml:space="preserve"> </w:t>
      </w:r>
      <w:r w:rsidRPr="00EA01BC">
        <w:rPr>
          <w:rFonts w:ascii="Times New Roman" w:hAnsi="Times New Roman"/>
          <w:bCs/>
          <w:iCs/>
          <w:szCs w:val="24"/>
          <w:lang w:val="en-US"/>
        </w:rPr>
        <w:t>of OPSUMIT in patients with severe renal impairment. Caution is</w:t>
      </w:r>
      <w:r>
        <w:rPr>
          <w:rFonts w:ascii="Times New Roman" w:hAnsi="Times New Roman"/>
          <w:bCs/>
          <w:iCs/>
          <w:szCs w:val="24"/>
          <w:lang w:val="en-US"/>
        </w:rPr>
        <w:t xml:space="preserve"> </w:t>
      </w:r>
      <w:r w:rsidRPr="00EA01BC">
        <w:rPr>
          <w:rFonts w:ascii="Times New Roman" w:hAnsi="Times New Roman"/>
          <w:bCs/>
          <w:iCs/>
          <w:szCs w:val="24"/>
          <w:lang w:val="en-US"/>
        </w:rPr>
        <w:t xml:space="preserve">recommended in this </w:t>
      </w:r>
      <w:r w:rsidRPr="00EA01BC">
        <w:rPr>
          <w:rFonts w:ascii="Times New Roman" w:hAnsi="Times New Roman"/>
          <w:bCs/>
          <w:iCs/>
          <w:szCs w:val="24"/>
          <w:lang w:val="en-US"/>
        </w:rPr>
        <w:lastRenderedPageBreak/>
        <w:t>population. There is no experience with the use of</w:t>
      </w:r>
      <w:r>
        <w:rPr>
          <w:rFonts w:ascii="Times New Roman" w:hAnsi="Times New Roman"/>
          <w:bCs/>
          <w:iCs/>
          <w:szCs w:val="24"/>
          <w:lang w:val="en-US"/>
        </w:rPr>
        <w:t xml:space="preserve"> </w:t>
      </w:r>
      <w:r w:rsidRPr="00EA01BC">
        <w:rPr>
          <w:rFonts w:ascii="Times New Roman" w:hAnsi="Times New Roman"/>
          <w:bCs/>
          <w:iCs/>
          <w:szCs w:val="24"/>
          <w:lang w:val="en-US"/>
        </w:rPr>
        <w:t>OPSUMIT in patients undergoing dialysis, therefore OPSUMIT is not</w:t>
      </w:r>
      <w:r>
        <w:rPr>
          <w:rFonts w:ascii="Times New Roman" w:hAnsi="Times New Roman"/>
          <w:bCs/>
          <w:iCs/>
          <w:szCs w:val="24"/>
          <w:lang w:val="en-US"/>
        </w:rPr>
        <w:t xml:space="preserve"> </w:t>
      </w:r>
      <w:r w:rsidRPr="00EA01BC">
        <w:rPr>
          <w:rFonts w:ascii="Times New Roman" w:hAnsi="Times New Roman"/>
          <w:bCs/>
          <w:iCs/>
          <w:szCs w:val="24"/>
          <w:lang w:val="en-US"/>
        </w:rPr>
        <w:t>recommended in this population</w:t>
      </w:r>
      <w:r w:rsidRPr="00EA01BC">
        <w:rPr>
          <w:rFonts w:ascii="Times New Roman" w:hAnsi="Times New Roman"/>
          <w:bCs/>
          <w:szCs w:val="24"/>
          <w:lang w:val="en-US"/>
        </w:rPr>
        <w:t>.</w:t>
      </w:r>
    </w:p>
    <w:p w:rsidR="0046339F" w:rsidRDefault="0046339F" w:rsidP="0046339F">
      <w:pPr>
        <w:rPr>
          <w:noProof/>
          <w:szCs w:val="22"/>
          <w:u w:val="single"/>
        </w:rPr>
      </w:pPr>
    </w:p>
    <w:p w:rsidR="0046339F" w:rsidRPr="00713983" w:rsidRDefault="0046339F" w:rsidP="0046339F">
      <w:pPr>
        <w:keepNext/>
        <w:jc w:val="both"/>
        <w:outlineLvl w:val="0"/>
        <w:rPr>
          <w:b/>
        </w:rPr>
      </w:pPr>
      <w:r w:rsidRPr="00713983">
        <w:rPr>
          <w:b/>
        </w:rPr>
        <w:t>Fluid retention</w:t>
      </w:r>
    </w:p>
    <w:p w:rsidR="0046339F" w:rsidRDefault="0046339F" w:rsidP="0046339F">
      <w:pPr>
        <w:jc w:val="both"/>
        <w:rPr>
          <w:color w:val="000000"/>
          <w:szCs w:val="24"/>
        </w:rPr>
      </w:pPr>
      <w:r w:rsidRPr="00713983">
        <w:rPr>
          <w:color w:val="000000"/>
          <w:szCs w:val="24"/>
        </w:rPr>
        <w:t>Oedema or fluid retention has been observed with ERAs and may also be a clinical consequence of PAH. OPSUMIT</w:t>
      </w:r>
      <w:r w:rsidRPr="00713983" w:rsidDel="00253539">
        <w:rPr>
          <w:color w:val="000000"/>
          <w:szCs w:val="24"/>
        </w:rPr>
        <w:t xml:space="preserve"> </w:t>
      </w:r>
      <w:r w:rsidRPr="00713983">
        <w:rPr>
          <w:color w:val="000000"/>
          <w:szCs w:val="24"/>
        </w:rPr>
        <w:t>10 mg was not associated with increased incidences of treatment-emergent oedema or fluid retention in a long-term placebo-controlled trial [see ADVERSE EFFECTS].</w:t>
      </w:r>
    </w:p>
    <w:p w:rsidR="0046339F" w:rsidRPr="00713983" w:rsidRDefault="0046339F" w:rsidP="0046339F">
      <w:pPr>
        <w:jc w:val="both"/>
        <w:rPr>
          <w:color w:val="000000"/>
          <w:szCs w:val="24"/>
        </w:rPr>
      </w:pPr>
    </w:p>
    <w:p w:rsidR="0046339F" w:rsidRDefault="0046339F" w:rsidP="0046339F">
      <w:pPr>
        <w:jc w:val="both"/>
        <w:rPr>
          <w:color w:val="000000"/>
          <w:szCs w:val="24"/>
        </w:rPr>
      </w:pPr>
      <w:r w:rsidRPr="00713983">
        <w:rPr>
          <w:color w:val="000000"/>
          <w:szCs w:val="24"/>
        </w:rPr>
        <w:t xml:space="preserve">If clinically significant fluid retention develops during therapy with OPSUMIT, with or without associated weight gain, further evaluation should be undertaken to determine the cause, such </w:t>
      </w:r>
      <w:r>
        <w:rPr>
          <w:color w:val="000000"/>
          <w:szCs w:val="24"/>
        </w:rPr>
        <w:t xml:space="preserve">as </w:t>
      </w:r>
      <w:r w:rsidRPr="00713983">
        <w:rPr>
          <w:color w:val="000000"/>
          <w:szCs w:val="24"/>
        </w:rPr>
        <w:t>underlying heart failure, and the possible need for specific treatment should be considered.</w:t>
      </w:r>
    </w:p>
    <w:p w:rsidR="0046339F" w:rsidRDefault="0046339F" w:rsidP="0046339F">
      <w:pPr>
        <w:keepNext/>
        <w:jc w:val="both"/>
        <w:outlineLvl w:val="0"/>
        <w:rPr>
          <w:b/>
        </w:rPr>
      </w:pPr>
    </w:p>
    <w:p w:rsidR="0046339F" w:rsidRPr="00527F9F" w:rsidRDefault="0046339F" w:rsidP="0046339F">
      <w:pPr>
        <w:keepNext/>
        <w:jc w:val="both"/>
        <w:outlineLvl w:val="0"/>
        <w:rPr>
          <w:b/>
        </w:rPr>
      </w:pPr>
      <w:r w:rsidRPr="00527F9F">
        <w:rPr>
          <w:b/>
        </w:rPr>
        <w:t xml:space="preserve">Pulmonary </w:t>
      </w:r>
      <w:proofErr w:type="spellStart"/>
      <w:r w:rsidRPr="00527F9F">
        <w:rPr>
          <w:b/>
        </w:rPr>
        <w:t>veno</w:t>
      </w:r>
      <w:proofErr w:type="spellEnd"/>
      <w:r w:rsidRPr="00527F9F">
        <w:rPr>
          <w:b/>
        </w:rPr>
        <w:t>-occlusive disease</w:t>
      </w:r>
    </w:p>
    <w:p w:rsidR="0046339F" w:rsidRDefault="0046339F" w:rsidP="0046339F">
      <w:pPr>
        <w:autoSpaceDE w:val="0"/>
        <w:autoSpaceDN w:val="0"/>
        <w:adjustRightInd w:val="0"/>
        <w:jc w:val="both"/>
        <w:rPr>
          <w:rFonts w:ascii="TimesNewRoman,Italic" w:hAnsi="TimesNewRoman,Italic" w:cs="TimesNewRoman,Italic"/>
          <w:i/>
          <w:iCs/>
          <w:sz w:val="21"/>
          <w:szCs w:val="21"/>
          <w:lang w:val="en-US"/>
        </w:rPr>
      </w:pPr>
      <w:r>
        <w:t xml:space="preserve">Cases of pulmonary oedema have been reported with vasodilators (mainly </w:t>
      </w:r>
      <w:proofErr w:type="spellStart"/>
      <w:r>
        <w:t>prostacyclins</w:t>
      </w:r>
      <w:proofErr w:type="spellEnd"/>
      <w:r>
        <w:t xml:space="preserve">) when used in patients with pulmonary </w:t>
      </w:r>
      <w:proofErr w:type="spellStart"/>
      <w:r>
        <w:t>veno</w:t>
      </w:r>
      <w:proofErr w:type="spellEnd"/>
      <w:r>
        <w:t xml:space="preserve">-occlusive disease. Consequently, if signs of pulmonary oedema occur when </w:t>
      </w:r>
      <w:r>
        <w:rPr>
          <w:szCs w:val="22"/>
        </w:rPr>
        <w:t>OPSUMIT</w:t>
      </w:r>
      <w:r w:rsidDel="008A2440">
        <w:t xml:space="preserve"> </w:t>
      </w:r>
      <w:r>
        <w:t xml:space="preserve">is administered in patients with PAH, the possibility of pulmonary </w:t>
      </w:r>
      <w:proofErr w:type="spellStart"/>
      <w:r>
        <w:t>veno</w:t>
      </w:r>
      <w:proofErr w:type="spellEnd"/>
      <w:r>
        <w:t xml:space="preserve">-occlusive disease should be considered. Discontinuation of OPSUMIT should be considered in patients with treatment-related pulmonary </w:t>
      </w:r>
      <w:proofErr w:type="spellStart"/>
      <w:r>
        <w:t>veno</w:t>
      </w:r>
      <w:proofErr w:type="spellEnd"/>
      <w:r>
        <w:t xml:space="preserve">-occlusive disease. </w:t>
      </w:r>
    </w:p>
    <w:p w:rsidR="0046339F" w:rsidRPr="00713983" w:rsidRDefault="0046339F" w:rsidP="0046339F">
      <w:pPr>
        <w:jc w:val="both"/>
        <w:rPr>
          <w:color w:val="000000"/>
          <w:szCs w:val="24"/>
        </w:rPr>
      </w:pPr>
    </w:p>
    <w:p w:rsidR="0046339F" w:rsidRPr="00713983" w:rsidRDefault="0046339F" w:rsidP="0046339F">
      <w:pPr>
        <w:keepNext/>
        <w:jc w:val="both"/>
        <w:outlineLvl w:val="0"/>
        <w:rPr>
          <w:b/>
        </w:rPr>
      </w:pPr>
      <w:r w:rsidRPr="00713983">
        <w:rPr>
          <w:b/>
        </w:rPr>
        <w:t>Use in Patients with pre-existing hypotension</w:t>
      </w:r>
    </w:p>
    <w:p w:rsidR="0046339F" w:rsidRPr="00713983" w:rsidRDefault="0046339F" w:rsidP="0046339F">
      <w:pPr>
        <w:autoSpaceDE w:val="0"/>
        <w:autoSpaceDN w:val="0"/>
        <w:adjustRightInd w:val="0"/>
        <w:jc w:val="both"/>
      </w:pPr>
      <w:r w:rsidRPr="000346DD">
        <w:rPr>
          <w:lang w:val="en-GB"/>
        </w:rPr>
        <w:t>Hypotension has been associated with the use of</w:t>
      </w:r>
      <w:r>
        <w:rPr>
          <w:lang w:val="en-GB"/>
        </w:rPr>
        <w:t xml:space="preserve"> </w:t>
      </w:r>
      <w:r w:rsidRPr="000346DD">
        <w:rPr>
          <w:lang w:val="en-GB"/>
        </w:rPr>
        <w:t>ERAs.</w:t>
      </w:r>
      <w:r>
        <w:rPr>
          <w:lang w:val="en-GB"/>
        </w:rPr>
        <w:t xml:space="preserve"> </w:t>
      </w:r>
      <w:r w:rsidRPr="00713983">
        <w:t xml:space="preserve">Caution should be exercised when initiating </w:t>
      </w:r>
      <w:proofErr w:type="spellStart"/>
      <w:r w:rsidRPr="00713983">
        <w:t>macitentan</w:t>
      </w:r>
      <w:proofErr w:type="spellEnd"/>
      <w:r w:rsidRPr="00713983">
        <w:t xml:space="preserve"> in patients with pre-existing hypotension and blood pressure in such patients should be monitored closely.</w:t>
      </w:r>
    </w:p>
    <w:p w:rsidR="0046339F" w:rsidRPr="00713983" w:rsidRDefault="0046339F" w:rsidP="0046339F">
      <w:pPr>
        <w:jc w:val="both"/>
        <w:rPr>
          <w:lang w:val="en-US"/>
        </w:rPr>
      </w:pPr>
    </w:p>
    <w:p w:rsidR="0046339F" w:rsidRPr="00B737C2" w:rsidRDefault="0046339F" w:rsidP="0046339F">
      <w:pPr>
        <w:keepNext/>
        <w:jc w:val="both"/>
        <w:outlineLvl w:val="0"/>
        <w:rPr>
          <w:rFonts w:ascii="Times New Roman" w:hAnsi="Times New Roman"/>
          <w:b/>
        </w:rPr>
      </w:pPr>
      <w:r w:rsidRPr="00B737C2">
        <w:rPr>
          <w:rFonts w:ascii="Times New Roman" w:hAnsi="Times New Roman"/>
          <w:b/>
        </w:rPr>
        <w:t>Use in the Elderly</w:t>
      </w:r>
    </w:p>
    <w:p w:rsidR="0046339F" w:rsidRPr="00004B2B" w:rsidRDefault="0046339F" w:rsidP="0046339F">
      <w:pPr>
        <w:autoSpaceDE w:val="0"/>
        <w:autoSpaceDN w:val="0"/>
        <w:adjustRightInd w:val="0"/>
        <w:jc w:val="both"/>
        <w:rPr>
          <w:rFonts w:ascii="Times New Roman" w:hAnsi="Times New Roman"/>
          <w:u w:val="single"/>
        </w:rPr>
      </w:pPr>
      <w:r w:rsidRPr="00004B2B">
        <w:rPr>
          <w:rFonts w:ascii="Times New Roman" w:hAnsi="Times New Roman"/>
          <w:szCs w:val="24"/>
          <w:lang w:val="en-US"/>
        </w:rPr>
        <w:t xml:space="preserve">Of the total number of subjects in the clinical study of OPSUMIT for PAH, 14% were 65 and over. No overall differences in safety or effectiveness were observed between these subjects and younger subjects. </w:t>
      </w:r>
      <w:r w:rsidRPr="00004B2B">
        <w:rPr>
          <w:rFonts w:ascii="Times New Roman" w:hAnsi="Times New Roman"/>
          <w:lang w:val="en-GB"/>
        </w:rPr>
        <w:t>Limited data are available in those &gt;75 years of age, therefore caution is recommended.</w:t>
      </w:r>
    </w:p>
    <w:p w:rsidR="0046339F" w:rsidRDefault="0046339F" w:rsidP="0046339F">
      <w:pPr>
        <w:keepNext/>
        <w:jc w:val="both"/>
        <w:outlineLvl w:val="0"/>
        <w:rPr>
          <w:u w:val="single"/>
        </w:rPr>
      </w:pPr>
    </w:p>
    <w:p w:rsidR="0046339F" w:rsidRPr="00527F9F" w:rsidRDefault="0046339F" w:rsidP="0046339F">
      <w:pPr>
        <w:jc w:val="both"/>
        <w:rPr>
          <w:b/>
          <w:noProof/>
          <w:szCs w:val="22"/>
        </w:rPr>
      </w:pPr>
      <w:r w:rsidRPr="00527F9F">
        <w:rPr>
          <w:b/>
          <w:noProof/>
          <w:szCs w:val="22"/>
        </w:rPr>
        <w:t>Paediatric population</w:t>
      </w:r>
    </w:p>
    <w:p w:rsidR="0046339F" w:rsidRPr="00717EE5" w:rsidRDefault="0046339F" w:rsidP="0046339F">
      <w:pPr>
        <w:jc w:val="both"/>
        <w:outlineLvl w:val="0"/>
        <w:rPr>
          <w:szCs w:val="22"/>
        </w:rPr>
      </w:pPr>
      <w:r w:rsidRPr="00717EE5">
        <w:rPr>
          <w:szCs w:val="22"/>
        </w:rPr>
        <w:t xml:space="preserve">The safety and efficacy of </w:t>
      </w:r>
      <w:r>
        <w:rPr>
          <w:szCs w:val="22"/>
        </w:rPr>
        <w:t>OPSUMIT</w:t>
      </w:r>
      <w:r w:rsidRPr="00717EE5">
        <w:rPr>
          <w:szCs w:val="22"/>
        </w:rPr>
        <w:t xml:space="preserve"> in children below the age of 12 years have not yet been established.</w:t>
      </w:r>
      <w:r>
        <w:rPr>
          <w:szCs w:val="22"/>
        </w:rPr>
        <w:t xml:space="preserve"> There is no data available on the effects of </w:t>
      </w:r>
      <w:proofErr w:type="spellStart"/>
      <w:r>
        <w:rPr>
          <w:szCs w:val="22"/>
        </w:rPr>
        <w:t>macitentan</w:t>
      </w:r>
      <w:proofErr w:type="spellEnd"/>
      <w:r>
        <w:rPr>
          <w:szCs w:val="22"/>
        </w:rPr>
        <w:t xml:space="preserve"> on growth and development in paediatric patients. There is limited clinical experience in paediatric patients aged 12 and above (see </w:t>
      </w:r>
      <w:r w:rsidR="006058E8">
        <w:rPr>
          <w:szCs w:val="22"/>
        </w:rPr>
        <w:t>DOSAGE and ADMINISTRATION</w:t>
      </w:r>
      <w:r>
        <w:rPr>
          <w:szCs w:val="22"/>
        </w:rPr>
        <w:t xml:space="preserve">).  </w:t>
      </w:r>
    </w:p>
    <w:p w:rsidR="0046339F" w:rsidRDefault="0046339F" w:rsidP="0046339F">
      <w:pPr>
        <w:keepNext/>
        <w:jc w:val="both"/>
        <w:outlineLvl w:val="0"/>
        <w:rPr>
          <w:rFonts w:ascii="Times New Roman" w:hAnsi="Times New Roman"/>
          <w:u w:val="single"/>
        </w:rPr>
      </w:pPr>
    </w:p>
    <w:p w:rsidR="0046339F" w:rsidRPr="006058E8" w:rsidRDefault="0046339F" w:rsidP="0046339F">
      <w:pPr>
        <w:jc w:val="both"/>
        <w:rPr>
          <w:rFonts w:ascii="Times New Roman" w:hAnsi="Times New Roman"/>
          <w:b/>
          <w:szCs w:val="24"/>
          <w:lang w:val="en-US"/>
        </w:rPr>
      </w:pPr>
      <w:proofErr w:type="spellStart"/>
      <w:r w:rsidRPr="006058E8">
        <w:rPr>
          <w:rFonts w:ascii="Times New Roman" w:hAnsi="Times New Roman"/>
          <w:b/>
          <w:szCs w:val="24"/>
          <w:lang w:val="en-US"/>
        </w:rPr>
        <w:t>Genotoxicity</w:t>
      </w:r>
      <w:proofErr w:type="spellEnd"/>
    </w:p>
    <w:p w:rsidR="0046339F" w:rsidRPr="006058E8" w:rsidRDefault="0046339F" w:rsidP="0046339F">
      <w:pPr>
        <w:jc w:val="both"/>
        <w:rPr>
          <w:rFonts w:ascii="Times New Roman" w:hAnsi="Times New Roman"/>
          <w:szCs w:val="24"/>
          <w:lang w:val="en-US"/>
        </w:rPr>
      </w:pPr>
      <w:proofErr w:type="spellStart"/>
      <w:r w:rsidRPr="006058E8">
        <w:rPr>
          <w:rFonts w:ascii="Times New Roman" w:hAnsi="Times New Roman"/>
          <w:szCs w:val="24"/>
          <w:lang w:val="en-US"/>
        </w:rPr>
        <w:t>Macitentan</w:t>
      </w:r>
      <w:proofErr w:type="spellEnd"/>
      <w:r w:rsidRPr="006058E8">
        <w:rPr>
          <w:rFonts w:ascii="Times New Roman" w:hAnsi="Times New Roman"/>
          <w:szCs w:val="24"/>
          <w:lang w:val="en-US"/>
        </w:rPr>
        <w:t xml:space="preserve"> was not </w:t>
      </w:r>
      <w:proofErr w:type="spellStart"/>
      <w:r w:rsidRPr="006058E8">
        <w:rPr>
          <w:rFonts w:ascii="Times New Roman" w:hAnsi="Times New Roman"/>
          <w:szCs w:val="24"/>
          <w:lang w:val="en-US"/>
        </w:rPr>
        <w:t>genotoxic</w:t>
      </w:r>
      <w:proofErr w:type="spellEnd"/>
      <w:r w:rsidRPr="006058E8">
        <w:rPr>
          <w:rFonts w:ascii="Times New Roman" w:hAnsi="Times New Roman"/>
          <w:szCs w:val="24"/>
          <w:lang w:val="en-US"/>
        </w:rPr>
        <w:t xml:space="preserve"> in a standard battery of in vitro and in vivo assays.</w:t>
      </w:r>
    </w:p>
    <w:p w:rsidR="0046339F" w:rsidRPr="006058E8" w:rsidRDefault="0046339F" w:rsidP="0046339F">
      <w:pPr>
        <w:keepNext/>
        <w:jc w:val="both"/>
        <w:outlineLvl w:val="0"/>
        <w:rPr>
          <w:rFonts w:ascii="Times New Roman" w:hAnsi="Times New Roman"/>
          <w:u w:val="single"/>
        </w:rPr>
      </w:pPr>
    </w:p>
    <w:p w:rsidR="0046339F" w:rsidRPr="006058E8" w:rsidRDefault="0046339F" w:rsidP="0046339F">
      <w:pPr>
        <w:jc w:val="both"/>
        <w:rPr>
          <w:rFonts w:ascii="Times New Roman" w:hAnsi="Times New Roman"/>
          <w:b/>
          <w:szCs w:val="24"/>
          <w:lang w:val="en-US"/>
        </w:rPr>
      </w:pPr>
      <w:r w:rsidRPr="006058E8">
        <w:rPr>
          <w:rFonts w:ascii="Times New Roman" w:hAnsi="Times New Roman"/>
          <w:b/>
          <w:szCs w:val="24"/>
          <w:lang w:val="en-US"/>
        </w:rPr>
        <w:t xml:space="preserve">Carcinogenicity </w:t>
      </w:r>
    </w:p>
    <w:p w:rsidR="0046339F" w:rsidRPr="006058E8" w:rsidRDefault="0046339F" w:rsidP="0046339F">
      <w:pPr>
        <w:jc w:val="both"/>
        <w:rPr>
          <w:rFonts w:ascii="Times New Roman" w:hAnsi="Times New Roman"/>
          <w:szCs w:val="24"/>
          <w:lang w:val="en-US"/>
        </w:rPr>
      </w:pPr>
      <w:r w:rsidRPr="006058E8">
        <w:rPr>
          <w:rFonts w:ascii="Times New Roman" w:hAnsi="Times New Roman"/>
          <w:szCs w:val="24"/>
          <w:lang w:val="en-US"/>
        </w:rPr>
        <w:t>Studies of 2 years duration did not reveal a carcinogenic potential at exposures 18-fold and 140-fold the human exposure in rats and mice, respectively.</w:t>
      </w:r>
    </w:p>
    <w:p w:rsidR="0046339F" w:rsidRDefault="0046339F" w:rsidP="0067160F">
      <w:pPr>
        <w:rPr>
          <w:lang w:val="en-US"/>
        </w:rPr>
      </w:pPr>
    </w:p>
    <w:p w:rsidR="0046339F" w:rsidRDefault="0046339F" w:rsidP="0046339F">
      <w:pPr>
        <w:jc w:val="both"/>
        <w:rPr>
          <w:b/>
          <w:noProof/>
          <w:szCs w:val="22"/>
        </w:rPr>
      </w:pPr>
      <w:r>
        <w:rPr>
          <w:b/>
          <w:noProof/>
          <w:szCs w:val="22"/>
        </w:rPr>
        <w:t xml:space="preserve">Effects on Fertility </w:t>
      </w:r>
    </w:p>
    <w:p w:rsidR="0046339F" w:rsidRPr="00527F9F" w:rsidRDefault="0046339F" w:rsidP="0046339F">
      <w:pPr>
        <w:jc w:val="both"/>
        <w:rPr>
          <w:b/>
          <w:noProof/>
          <w:szCs w:val="22"/>
        </w:rPr>
      </w:pPr>
      <w:r w:rsidRPr="00527F9F">
        <w:rPr>
          <w:b/>
          <w:noProof/>
          <w:szCs w:val="22"/>
        </w:rPr>
        <w:t>Male fertility</w:t>
      </w:r>
    </w:p>
    <w:p w:rsidR="0046339F" w:rsidRDefault="0046339F" w:rsidP="0046339F">
      <w:pPr>
        <w:jc w:val="both"/>
      </w:pPr>
      <w:r>
        <w:t xml:space="preserve">Reversible testicular tubular dilatation was </w:t>
      </w:r>
      <w:r w:rsidRPr="00FB09DB">
        <w:t>observed in chronic toxicity studies</w:t>
      </w:r>
      <w:r>
        <w:t xml:space="preserve"> at exposures greater than 7</w:t>
      </w:r>
      <w:r>
        <w:noBreakHyphen/>
        <w:t>fold and 23</w:t>
      </w:r>
      <w:r>
        <w:noBreakHyphen/>
        <w:t xml:space="preserve">fold the human exposure in rats and dogs, </w:t>
      </w:r>
      <w:r>
        <w:lastRenderedPageBreak/>
        <w:t xml:space="preserve">respectively. After 2 years of treatment, tubular atrophy was seen in rats at 4-fold the human exposure. </w:t>
      </w:r>
      <w:r w:rsidRPr="00FB09DB">
        <w:t xml:space="preserve">The clinical relevance of this finding cannot be excluded. </w:t>
      </w:r>
      <w:proofErr w:type="spellStart"/>
      <w:r>
        <w:t>Macitentan</w:t>
      </w:r>
      <w:proofErr w:type="spellEnd"/>
      <w:r>
        <w:t xml:space="preserve"> did not </w:t>
      </w:r>
      <w:r w:rsidRPr="00A65CF9">
        <w:t>affect</w:t>
      </w:r>
      <w:r>
        <w:t xml:space="preserve"> </w:t>
      </w:r>
      <w:r w:rsidRPr="00A65CF9">
        <w:t>male or female fertility</w:t>
      </w:r>
      <w:r>
        <w:t xml:space="preserve"> in rats at exposures ranging from approximately 18- to 44-fold the human exposure, respectively. In a 26-week study in male rats treated with </w:t>
      </w:r>
      <w:proofErr w:type="spellStart"/>
      <w:r>
        <w:t>macitentan</w:t>
      </w:r>
      <w:proofErr w:type="spellEnd"/>
      <w:r>
        <w:t xml:space="preserve">, there was no effect </w:t>
      </w:r>
      <w:r w:rsidRPr="00E43D91">
        <w:t xml:space="preserve">on sperm </w:t>
      </w:r>
      <w:r>
        <w:t>count or motility but there was a dose-dependent increase in the incidence of morphologically abnormal sperm at or above 7-fold the human exposure</w:t>
      </w:r>
      <w:r w:rsidRPr="00A65CF9">
        <w:t>.</w:t>
      </w:r>
      <w:r>
        <w:t xml:space="preserve"> No testicular findings were noted in mice after treatment up to 2 years.</w:t>
      </w:r>
    </w:p>
    <w:p w:rsidR="0046339F" w:rsidRPr="00EA5BC1" w:rsidRDefault="0046339F" w:rsidP="0046339F">
      <w:pPr>
        <w:keepNext/>
        <w:jc w:val="both"/>
        <w:outlineLvl w:val="0"/>
        <w:rPr>
          <w:szCs w:val="24"/>
          <w:u w:val="single"/>
        </w:rPr>
      </w:pPr>
    </w:p>
    <w:p w:rsidR="0046339F" w:rsidRPr="00EA5BC1" w:rsidRDefault="0046339F" w:rsidP="0046339F">
      <w:pPr>
        <w:keepNext/>
        <w:jc w:val="both"/>
        <w:outlineLvl w:val="0"/>
        <w:rPr>
          <w:szCs w:val="24"/>
        </w:rPr>
      </w:pPr>
      <w:r>
        <w:rPr>
          <w:szCs w:val="24"/>
        </w:rPr>
        <w:t>Exploratory study results</w:t>
      </w:r>
      <w:r w:rsidRPr="00EA5BC1">
        <w:rPr>
          <w:szCs w:val="24"/>
        </w:rPr>
        <w:t xml:space="preserve"> in healthy subjects with 12 weeks of treatment duration</w:t>
      </w:r>
      <w:r>
        <w:rPr>
          <w:szCs w:val="24"/>
        </w:rPr>
        <w:t xml:space="preserve"> showed that</w:t>
      </w:r>
      <w:r w:rsidRPr="00EA5BC1">
        <w:rPr>
          <w:szCs w:val="24"/>
        </w:rPr>
        <w:t xml:space="preserve"> 10 mg </w:t>
      </w:r>
      <w:proofErr w:type="spellStart"/>
      <w:r w:rsidRPr="00EA5BC1">
        <w:rPr>
          <w:szCs w:val="24"/>
        </w:rPr>
        <w:t>macitentan</w:t>
      </w:r>
      <w:proofErr w:type="spellEnd"/>
      <w:r w:rsidRPr="00EA5BC1">
        <w:rPr>
          <w:szCs w:val="24"/>
        </w:rPr>
        <w:t xml:space="preserve"> was associated with a </w:t>
      </w:r>
      <w:r>
        <w:rPr>
          <w:szCs w:val="24"/>
        </w:rPr>
        <w:t xml:space="preserve">28% mean reduction in sperm concentration which is not considered </w:t>
      </w:r>
      <w:r w:rsidRPr="00EA5BC1">
        <w:rPr>
          <w:szCs w:val="24"/>
        </w:rPr>
        <w:t>clinically relevant. Changes in sperm morphology and motility were within the range of the variability of the measurements.</w:t>
      </w:r>
    </w:p>
    <w:p w:rsidR="0046339F" w:rsidRPr="0067160F" w:rsidRDefault="0046339F" w:rsidP="0067160F">
      <w:pPr>
        <w:rPr>
          <w:lang w:val="en-US"/>
        </w:rPr>
      </w:pPr>
    </w:p>
    <w:p w:rsidR="00911BEB" w:rsidRPr="00527F9F" w:rsidRDefault="00911BEB" w:rsidP="00911BEB">
      <w:pPr>
        <w:pStyle w:val="Heading3"/>
        <w:rPr>
          <w:rFonts w:ascii="Times New Roman" w:hAnsi="Times New Roman" w:cs="Times New Roman"/>
          <w:b/>
          <w:szCs w:val="24"/>
          <w:u w:val="none"/>
          <w:lang w:val="en"/>
        </w:rPr>
      </w:pPr>
      <w:r w:rsidRPr="00527F9F">
        <w:rPr>
          <w:rFonts w:ascii="Times New Roman" w:hAnsi="Times New Roman" w:cs="Times New Roman"/>
          <w:b/>
          <w:szCs w:val="24"/>
          <w:u w:val="none"/>
        </w:rPr>
        <w:t xml:space="preserve">Use in </w:t>
      </w:r>
      <w:r w:rsidR="000270B4" w:rsidRPr="00527F9F">
        <w:rPr>
          <w:rFonts w:ascii="Times New Roman" w:hAnsi="Times New Roman" w:cs="Times New Roman"/>
          <w:b/>
          <w:szCs w:val="24"/>
          <w:u w:val="none"/>
        </w:rPr>
        <w:t>p</w:t>
      </w:r>
      <w:r w:rsidRPr="00527F9F">
        <w:rPr>
          <w:rFonts w:ascii="Times New Roman" w:hAnsi="Times New Roman" w:cs="Times New Roman"/>
          <w:b/>
          <w:szCs w:val="24"/>
          <w:u w:val="none"/>
        </w:rPr>
        <w:t>regnancy</w:t>
      </w:r>
      <w:r w:rsidRPr="00527F9F">
        <w:rPr>
          <w:rFonts w:ascii="Times New Roman" w:hAnsi="Times New Roman" w:cs="Times New Roman"/>
          <w:b/>
          <w:szCs w:val="24"/>
          <w:u w:val="none"/>
          <w:lang w:val="en"/>
        </w:rPr>
        <w:t xml:space="preserve"> (Category X)</w:t>
      </w:r>
    </w:p>
    <w:p w:rsidR="00911CDD" w:rsidRDefault="00911CDD" w:rsidP="00E94507">
      <w:pPr>
        <w:autoSpaceDE w:val="0"/>
        <w:autoSpaceDN w:val="0"/>
        <w:adjustRightInd w:val="0"/>
        <w:jc w:val="both"/>
      </w:pPr>
      <w:r>
        <w:t xml:space="preserve">Due to a high mortality risk to both mother and foetus, pregnancy is considered contraindicated in PAH. </w:t>
      </w:r>
    </w:p>
    <w:p w:rsidR="00FB09DB" w:rsidRDefault="00FB09DB" w:rsidP="00E94507">
      <w:pPr>
        <w:autoSpaceDE w:val="0"/>
        <w:autoSpaceDN w:val="0"/>
        <w:adjustRightInd w:val="0"/>
        <w:jc w:val="both"/>
      </w:pPr>
    </w:p>
    <w:p w:rsidR="00E16A96" w:rsidRDefault="0064556B" w:rsidP="00E94507">
      <w:pPr>
        <w:autoSpaceDE w:val="0"/>
        <w:autoSpaceDN w:val="0"/>
        <w:adjustRightInd w:val="0"/>
        <w:jc w:val="both"/>
      </w:pPr>
      <w:r>
        <w:t xml:space="preserve">Teratogenicity is a class effect of </w:t>
      </w:r>
      <w:proofErr w:type="spellStart"/>
      <w:r>
        <w:t>endo</w:t>
      </w:r>
      <w:r w:rsidR="00914D52">
        <w:t>the</w:t>
      </w:r>
      <w:r>
        <w:t>lin</w:t>
      </w:r>
      <w:proofErr w:type="spellEnd"/>
      <w:r>
        <w:t xml:space="preserve"> receptor antagonists.</w:t>
      </w:r>
      <w:r w:rsidR="00440125">
        <w:t xml:space="preserve"> </w:t>
      </w:r>
    </w:p>
    <w:p w:rsidR="00E16A96" w:rsidRDefault="00E16A96" w:rsidP="00E94507">
      <w:pPr>
        <w:autoSpaceDE w:val="0"/>
        <w:autoSpaceDN w:val="0"/>
        <w:adjustRightInd w:val="0"/>
        <w:jc w:val="both"/>
      </w:pPr>
    </w:p>
    <w:p w:rsidR="008E3D3B" w:rsidRDefault="008E3D3B" w:rsidP="00E94507">
      <w:pPr>
        <w:jc w:val="both"/>
        <w:rPr>
          <w:noProof/>
          <w:szCs w:val="22"/>
        </w:rPr>
      </w:pPr>
      <w:r w:rsidRPr="008E3D3B">
        <w:rPr>
          <w:noProof/>
          <w:szCs w:val="22"/>
        </w:rPr>
        <w:t xml:space="preserve">There are no data on the use of macitentan in pregnant women. </w:t>
      </w:r>
      <w:r w:rsidR="00890258">
        <w:rPr>
          <w:noProof/>
          <w:szCs w:val="22"/>
        </w:rPr>
        <w:t>OPSUMIT</w:t>
      </w:r>
      <w:r w:rsidRPr="008E3D3B">
        <w:rPr>
          <w:noProof/>
          <w:szCs w:val="22"/>
        </w:rPr>
        <w:t xml:space="preserve"> is contraindicated during pregnancy and in women of childbearing potential who are not using reliable contraception. If </w:t>
      </w:r>
      <w:r w:rsidR="00890258">
        <w:rPr>
          <w:noProof/>
          <w:szCs w:val="22"/>
        </w:rPr>
        <w:t>OPSUMIT</w:t>
      </w:r>
      <w:r w:rsidR="00890258" w:rsidRPr="008E3D3B">
        <w:rPr>
          <w:noProof/>
          <w:szCs w:val="22"/>
        </w:rPr>
        <w:t xml:space="preserve"> </w:t>
      </w:r>
      <w:r w:rsidRPr="008E3D3B">
        <w:rPr>
          <w:noProof/>
          <w:szCs w:val="22"/>
        </w:rPr>
        <w:t xml:space="preserve">is used during pregnancy, or if the patient becomes pregnant while taking </w:t>
      </w:r>
      <w:r w:rsidR="00890258">
        <w:rPr>
          <w:noProof/>
          <w:szCs w:val="22"/>
        </w:rPr>
        <w:t>OPSUMIT</w:t>
      </w:r>
      <w:r w:rsidRPr="008E3D3B">
        <w:rPr>
          <w:noProof/>
          <w:szCs w:val="22"/>
        </w:rPr>
        <w:t>, advise the patient of the potential harm to the foetus.</w:t>
      </w:r>
      <w:r w:rsidR="00533A9C">
        <w:rPr>
          <w:noProof/>
          <w:szCs w:val="22"/>
        </w:rPr>
        <w:t xml:space="preserve"> </w:t>
      </w:r>
    </w:p>
    <w:p w:rsidR="00533A9C" w:rsidRDefault="00533A9C" w:rsidP="008E3D3B">
      <w:pPr>
        <w:jc w:val="both"/>
        <w:rPr>
          <w:noProof/>
          <w:szCs w:val="22"/>
        </w:rPr>
      </w:pPr>
    </w:p>
    <w:p w:rsidR="00533A9C" w:rsidRPr="008E3D3B" w:rsidRDefault="00533A9C" w:rsidP="008E3D3B">
      <w:pPr>
        <w:jc w:val="both"/>
        <w:rPr>
          <w:noProof/>
          <w:szCs w:val="22"/>
        </w:rPr>
      </w:pPr>
      <w:r w:rsidRPr="008E3D3B">
        <w:rPr>
          <w:noProof/>
          <w:szCs w:val="22"/>
        </w:rPr>
        <w:t>Macitentan was teratogenic in rabbits and rats at all doses tested.</w:t>
      </w:r>
      <w:r>
        <w:rPr>
          <w:noProof/>
          <w:szCs w:val="22"/>
        </w:rPr>
        <w:t xml:space="preserve"> </w:t>
      </w:r>
      <w:r w:rsidRPr="00533A9C">
        <w:rPr>
          <w:noProof/>
          <w:szCs w:val="22"/>
        </w:rPr>
        <w:t>In both rabbits and rats, there were cardiovascular and mandibular arch fusion abnormalities. Administration of macitentan to female rats from late pregnancy through lactation caused reduced pup survival and impairment of the male fertility of the offs</w:t>
      </w:r>
      <w:r w:rsidR="0046339F">
        <w:rPr>
          <w:noProof/>
          <w:szCs w:val="22"/>
        </w:rPr>
        <w:t xml:space="preserve">pring at all dose levels tested. </w:t>
      </w:r>
    </w:p>
    <w:p w:rsidR="00911BEB" w:rsidRDefault="00911BEB" w:rsidP="00EB1D49">
      <w:pPr>
        <w:jc w:val="both"/>
        <w:outlineLvl w:val="0"/>
        <w:rPr>
          <w:szCs w:val="22"/>
          <w:u w:val="single"/>
        </w:rPr>
      </w:pPr>
    </w:p>
    <w:p w:rsidR="00911BEB" w:rsidRPr="00527F9F" w:rsidRDefault="00253539" w:rsidP="00EB1D49">
      <w:pPr>
        <w:jc w:val="both"/>
        <w:outlineLvl w:val="0"/>
        <w:rPr>
          <w:b/>
          <w:szCs w:val="22"/>
        </w:rPr>
      </w:pPr>
      <w:r w:rsidRPr="00527F9F">
        <w:rPr>
          <w:b/>
          <w:szCs w:val="22"/>
        </w:rPr>
        <w:t>Use in w</w:t>
      </w:r>
      <w:r w:rsidR="00911BEB" w:rsidRPr="00527F9F">
        <w:rPr>
          <w:b/>
          <w:szCs w:val="22"/>
        </w:rPr>
        <w:t>omen of child-bearing potential</w:t>
      </w:r>
    </w:p>
    <w:p w:rsidR="006C29B0" w:rsidRDefault="00AB33C8" w:rsidP="006C29B0">
      <w:pPr>
        <w:autoSpaceDE w:val="0"/>
        <w:autoSpaceDN w:val="0"/>
        <w:adjustRightInd w:val="0"/>
        <w:jc w:val="both"/>
      </w:pPr>
      <w:r>
        <w:rPr>
          <w:sz w:val="23"/>
          <w:szCs w:val="23"/>
        </w:rPr>
        <w:t xml:space="preserve">In females of child bearing potential, pregnancy should be excluded before the start of treatment with </w:t>
      </w:r>
      <w:proofErr w:type="spellStart"/>
      <w:r>
        <w:rPr>
          <w:sz w:val="23"/>
          <w:szCs w:val="23"/>
        </w:rPr>
        <w:t>macitentan</w:t>
      </w:r>
      <w:proofErr w:type="spellEnd"/>
      <w:r>
        <w:rPr>
          <w:sz w:val="23"/>
          <w:szCs w:val="23"/>
        </w:rPr>
        <w:t xml:space="preserve"> and prevented thereafter by the use of two reliable methods of contraception. If necessary, patients should discuss with their doctor or gynaecologist which methods would be most suitable for them. </w:t>
      </w:r>
      <w:r w:rsidR="006C29B0" w:rsidRPr="008E3D3B">
        <w:t xml:space="preserve">. </w:t>
      </w:r>
      <w:r w:rsidR="006C29B0" w:rsidRPr="00FB09DB">
        <w:rPr>
          <w:szCs w:val="24"/>
        </w:rPr>
        <w:t xml:space="preserve">Given the </w:t>
      </w:r>
      <w:proofErr w:type="spellStart"/>
      <w:r w:rsidR="006C29B0" w:rsidRPr="00FB09DB">
        <w:rPr>
          <w:szCs w:val="24"/>
        </w:rPr>
        <w:t>teratogenic</w:t>
      </w:r>
      <w:proofErr w:type="spellEnd"/>
      <w:r w:rsidR="006C29B0" w:rsidRPr="00FB09DB">
        <w:rPr>
          <w:szCs w:val="24"/>
        </w:rPr>
        <w:t xml:space="preserve"> nature of the drug, </w:t>
      </w:r>
      <w:r w:rsidR="006C29B0" w:rsidRPr="00D83C60">
        <w:rPr>
          <w:szCs w:val="24"/>
        </w:rPr>
        <w:t>women</w:t>
      </w:r>
      <w:r w:rsidR="006C29B0" w:rsidRPr="00717EE5">
        <w:rPr>
          <w:szCs w:val="24"/>
        </w:rPr>
        <w:t xml:space="preserve"> should not become pregnant for </w:t>
      </w:r>
      <w:r w:rsidR="006C29B0">
        <w:rPr>
          <w:szCs w:val="24"/>
        </w:rPr>
        <w:t>3</w:t>
      </w:r>
      <w:r w:rsidR="006C29B0" w:rsidRPr="00717EE5">
        <w:rPr>
          <w:szCs w:val="24"/>
        </w:rPr>
        <w:t xml:space="preserve"> month</w:t>
      </w:r>
      <w:r w:rsidR="006C29B0">
        <w:rPr>
          <w:szCs w:val="24"/>
        </w:rPr>
        <w:t>s</w:t>
      </w:r>
      <w:r w:rsidR="006C29B0" w:rsidRPr="00717EE5">
        <w:rPr>
          <w:szCs w:val="24"/>
        </w:rPr>
        <w:t xml:space="preserve"> after discontinuation of </w:t>
      </w:r>
      <w:r w:rsidR="006C29B0">
        <w:rPr>
          <w:szCs w:val="24"/>
        </w:rPr>
        <w:t>OPSUMIT</w:t>
      </w:r>
      <w:r w:rsidR="006C29B0" w:rsidRPr="00717EE5">
        <w:rPr>
          <w:szCs w:val="24"/>
        </w:rPr>
        <w:t xml:space="preserve">. </w:t>
      </w:r>
      <w:r w:rsidR="006C29B0" w:rsidRPr="00717EE5">
        <w:rPr>
          <w:bCs/>
        </w:rPr>
        <w:t>M</w:t>
      </w:r>
      <w:r w:rsidR="006C29B0" w:rsidRPr="00717EE5">
        <w:t xml:space="preserve">onthly pregnancy tests during treatment with </w:t>
      </w:r>
      <w:r w:rsidR="006C29B0">
        <w:rPr>
          <w:szCs w:val="24"/>
        </w:rPr>
        <w:t>OPSUMIT</w:t>
      </w:r>
      <w:r w:rsidR="006C29B0" w:rsidRPr="00717EE5">
        <w:t xml:space="preserve"> are recommended to allow the early detection of pregnancy</w:t>
      </w:r>
      <w:r w:rsidR="006C29B0">
        <w:t>.</w:t>
      </w:r>
    </w:p>
    <w:p w:rsidR="00B8367B" w:rsidRDefault="00B8367B" w:rsidP="00B8367B">
      <w:pPr>
        <w:autoSpaceDE w:val="0"/>
        <w:autoSpaceDN w:val="0"/>
        <w:adjustRightInd w:val="0"/>
        <w:jc w:val="both"/>
      </w:pPr>
    </w:p>
    <w:p w:rsidR="00B8367B" w:rsidRPr="008E3D3B" w:rsidRDefault="00B8367B" w:rsidP="00B8367B">
      <w:pPr>
        <w:autoSpaceDE w:val="0"/>
        <w:autoSpaceDN w:val="0"/>
        <w:adjustRightInd w:val="0"/>
        <w:jc w:val="both"/>
        <w:rPr>
          <w:rFonts w:ascii="TimesNewRomanPSMT" w:hAnsi="TimesNewRomanPSMT" w:cs="TimesNewRomanPSMT"/>
          <w:szCs w:val="24"/>
        </w:rPr>
      </w:pPr>
      <w:r>
        <w:t xml:space="preserve">It is not known </w:t>
      </w:r>
      <w:r w:rsidR="00432673">
        <w:t xml:space="preserve">whether </w:t>
      </w:r>
      <w:proofErr w:type="spellStart"/>
      <w:r w:rsidR="00BB712F">
        <w:t>macitentan</w:t>
      </w:r>
      <w:proofErr w:type="spellEnd"/>
      <w:r w:rsidR="00432673">
        <w:t xml:space="preserve"> is present in semen. It is therefore not known whether there is the potential for f</w:t>
      </w:r>
      <w:r w:rsidR="00BB712F">
        <w:t>o</w:t>
      </w:r>
      <w:r w:rsidR="00432673">
        <w:t xml:space="preserve">etal harm (teratogenicity) resulting from transfer of </w:t>
      </w:r>
      <w:proofErr w:type="spellStart"/>
      <w:r w:rsidR="00BB712F">
        <w:t>macitentan</w:t>
      </w:r>
      <w:proofErr w:type="spellEnd"/>
      <w:r w:rsidR="00432673">
        <w:t xml:space="preserve"> via semen.</w:t>
      </w:r>
    </w:p>
    <w:p w:rsidR="00911BEB" w:rsidRDefault="00911BEB" w:rsidP="00911BEB">
      <w:pPr>
        <w:rPr>
          <w:noProof/>
          <w:szCs w:val="22"/>
          <w:u w:val="single"/>
        </w:rPr>
      </w:pPr>
    </w:p>
    <w:p w:rsidR="00911BEB" w:rsidRPr="00527F9F" w:rsidRDefault="000F26A5" w:rsidP="00911BEB">
      <w:pPr>
        <w:rPr>
          <w:b/>
          <w:noProof/>
          <w:szCs w:val="22"/>
        </w:rPr>
      </w:pPr>
      <w:r>
        <w:rPr>
          <w:b/>
          <w:noProof/>
          <w:szCs w:val="22"/>
        </w:rPr>
        <w:t xml:space="preserve">Use in Lactation </w:t>
      </w:r>
    </w:p>
    <w:p w:rsidR="00911BEB" w:rsidRDefault="00911BEB" w:rsidP="00EB1D49">
      <w:pPr>
        <w:jc w:val="both"/>
        <w:rPr>
          <w:rFonts w:eastAsia="SimSun"/>
          <w:szCs w:val="22"/>
          <w:lang w:eastAsia="zh-CN"/>
        </w:rPr>
      </w:pPr>
      <w:r w:rsidRPr="00717EE5">
        <w:t xml:space="preserve">It is not known whether </w:t>
      </w:r>
      <w:r w:rsidR="00253539">
        <w:rPr>
          <w:szCs w:val="22"/>
        </w:rPr>
        <w:t>OPSUMIT</w:t>
      </w:r>
      <w:r w:rsidR="00253539" w:rsidRPr="00717EE5" w:rsidDel="005631B8">
        <w:rPr>
          <w:szCs w:val="22"/>
        </w:rPr>
        <w:t xml:space="preserve"> </w:t>
      </w:r>
      <w:r w:rsidRPr="00717EE5">
        <w:t xml:space="preserve">is excreted into human breast milk. In rats, </w:t>
      </w:r>
      <w:r w:rsidR="00253539">
        <w:rPr>
          <w:szCs w:val="22"/>
        </w:rPr>
        <w:t>OPSUMIT</w:t>
      </w:r>
      <w:r w:rsidR="00253539" w:rsidRPr="00717EE5" w:rsidDel="005631B8">
        <w:rPr>
          <w:szCs w:val="22"/>
        </w:rPr>
        <w:t xml:space="preserve"> </w:t>
      </w:r>
      <w:r w:rsidRPr="00717EE5">
        <w:t>and its metabolites were excre</w:t>
      </w:r>
      <w:r>
        <w:t>ted into milk during lactation</w:t>
      </w:r>
      <w:r w:rsidRPr="00717EE5">
        <w:t>. Breast-</w:t>
      </w:r>
      <w:r w:rsidRPr="00717EE5">
        <w:lastRenderedPageBreak/>
        <w:t xml:space="preserve">feeding is not recommended during treatment with </w:t>
      </w:r>
      <w:r w:rsidR="005631B8">
        <w:rPr>
          <w:szCs w:val="22"/>
        </w:rPr>
        <w:t>OPSUMIT</w:t>
      </w:r>
      <w:r w:rsidRPr="00717EE5">
        <w:rPr>
          <w:szCs w:val="22"/>
        </w:rPr>
        <w:t xml:space="preserve">. </w:t>
      </w:r>
      <w:r w:rsidRPr="00717EE5">
        <w:rPr>
          <w:rFonts w:eastAsia="SimSun"/>
          <w:szCs w:val="22"/>
          <w:lang w:eastAsia="zh-CN"/>
        </w:rPr>
        <w:t>A risk to newborns/infants cannot be excluded.</w:t>
      </w:r>
    </w:p>
    <w:p w:rsidR="0041229C" w:rsidRDefault="0041229C" w:rsidP="00733AF2">
      <w:pPr>
        <w:rPr>
          <w:noProof/>
          <w:szCs w:val="22"/>
          <w:u w:val="single"/>
        </w:rPr>
      </w:pPr>
    </w:p>
    <w:p w:rsidR="001C35B2" w:rsidRDefault="00B31C79" w:rsidP="00365338">
      <w:pPr>
        <w:ind w:right="-61"/>
        <w:rPr>
          <w:rFonts w:ascii="Arial" w:hAnsi="Arial" w:cs="Arial"/>
          <w:b/>
          <w:bCs/>
        </w:rPr>
      </w:pPr>
      <w:r>
        <w:rPr>
          <w:rFonts w:ascii="Arial" w:hAnsi="Arial" w:cs="Arial"/>
          <w:b/>
          <w:bCs/>
        </w:rPr>
        <w:t>INTERACT</w:t>
      </w:r>
      <w:r w:rsidR="0041229C">
        <w:rPr>
          <w:rFonts w:ascii="Arial" w:hAnsi="Arial" w:cs="Arial"/>
          <w:b/>
          <w:bCs/>
        </w:rPr>
        <w:t>IO</w:t>
      </w:r>
      <w:r>
        <w:rPr>
          <w:rFonts w:ascii="Arial" w:hAnsi="Arial" w:cs="Arial"/>
          <w:b/>
          <w:bCs/>
        </w:rPr>
        <w:t>NS WITH OTHER MEDICINES</w:t>
      </w:r>
    </w:p>
    <w:p w:rsidR="00D35480" w:rsidRDefault="00D35480" w:rsidP="00365338">
      <w:pPr>
        <w:ind w:right="-61"/>
        <w:rPr>
          <w:rFonts w:ascii="Arial" w:hAnsi="Arial" w:cs="Arial"/>
          <w:b/>
          <w:bCs/>
        </w:rPr>
      </w:pPr>
    </w:p>
    <w:p w:rsidR="00733AF2" w:rsidRPr="00527F9F" w:rsidRDefault="00733AF2" w:rsidP="00733AF2">
      <w:pPr>
        <w:rPr>
          <w:b/>
        </w:rPr>
      </w:pPr>
      <w:r w:rsidRPr="00527F9F">
        <w:rPr>
          <w:b/>
          <w:i/>
        </w:rPr>
        <w:t>In vitro</w:t>
      </w:r>
      <w:r w:rsidRPr="00527F9F">
        <w:rPr>
          <w:b/>
        </w:rPr>
        <w:t xml:space="preserve"> studies</w:t>
      </w:r>
    </w:p>
    <w:p w:rsidR="00733AF2" w:rsidRPr="00717EE5" w:rsidRDefault="00733AF2" w:rsidP="007707E6">
      <w:pPr>
        <w:jc w:val="both"/>
        <w:outlineLvl w:val="0"/>
        <w:rPr>
          <w:szCs w:val="24"/>
        </w:rPr>
      </w:pPr>
      <w:r w:rsidRPr="00717EE5">
        <w:rPr>
          <w:szCs w:val="24"/>
        </w:rPr>
        <w:t xml:space="preserve">The metabolism of </w:t>
      </w:r>
      <w:proofErr w:type="spellStart"/>
      <w:r w:rsidRPr="00717EE5">
        <w:rPr>
          <w:szCs w:val="24"/>
        </w:rPr>
        <w:t>macitentan</w:t>
      </w:r>
      <w:proofErr w:type="spellEnd"/>
      <w:r w:rsidRPr="00717EE5">
        <w:rPr>
          <w:szCs w:val="24"/>
        </w:rPr>
        <w:t xml:space="preserve"> to its active metabolite is cataly</w:t>
      </w:r>
      <w:r w:rsidR="0048693A">
        <w:rPr>
          <w:szCs w:val="24"/>
        </w:rPr>
        <w:t>s</w:t>
      </w:r>
      <w:r w:rsidRPr="00717EE5">
        <w:rPr>
          <w:szCs w:val="24"/>
        </w:rPr>
        <w:t xml:space="preserve">ed by CYP3A4 and to a minor extent by CYP2C19. </w:t>
      </w:r>
    </w:p>
    <w:p w:rsidR="00733AF2" w:rsidRPr="00717EE5" w:rsidRDefault="00733AF2" w:rsidP="007707E6">
      <w:pPr>
        <w:jc w:val="both"/>
        <w:outlineLvl w:val="0"/>
        <w:rPr>
          <w:szCs w:val="24"/>
        </w:rPr>
      </w:pPr>
    </w:p>
    <w:p w:rsidR="00733AF2" w:rsidRPr="00717EE5" w:rsidRDefault="00733AF2" w:rsidP="007707E6">
      <w:pPr>
        <w:jc w:val="both"/>
        <w:outlineLvl w:val="0"/>
        <w:rPr>
          <w:szCs w:val="24"/>
        </w:rPr>
      </w:pPr>
      <w:proofErr w:type="spellStart"/>
      <w:r w:rsidRPr="00717EE5">
        <w:rPr>
          <w:szCs w:val="24"/>
        </w:rPr>
        <w:t>Macitentan</w:t>
      </w:r>
      <w:proofErr w:type="spellEnd"/>
      <w:r w:rsidRPr="00717EE5">
        <w:rPr>
          <w:szCs w:val="24"/>
        </w:rPr>
        <w:t xml:space="preserve"> and its active metabolite do not have relevant inhibitory or inducing effects on CYP enzymes. </w:t>
      </w:r>
    </w:p>
    <w:p w:rsidR="00733AF2" w:rsidRPr="00717EE5" w:rsidRDefault="00733AF2" w:rsidP="007707E6">
      <w:pPr>
        <w:jc w:val="both"/>
        <w:outlineLvl w:val="0"/>
        <w:rPr>
          <w:szCs w:val="24"/>
        </w:rPr>
      </w:pPr>
    </w:p>
    <w:p w:rsidR="00733AF2" w:rsidRPr="00717EE5" w:rsidRDefault="00733AF2" w:rsidP="007707E6">
      <w:pPr>
        <w:jc w:val="both"/>
        <w:outlineLvl w:val="0"/>
        <w:rPr>
          <w:szCs w:val="24"/>
        </w:rPr>
      </w:pPr>
      <w:proofErr w:type="spellStart"/>
      <w:r w:rsidRPr="00717EE5">
        <w:rPr>
          <w:szCs w:val="24"/>
        </w:rPr>
        <w:t>Macitentan</w:t>
      </w:r>
      <w:proofErr w:type="spellEnd"/>
      <w:r w:rsidRPr="00717EE5">
        <w:rPr>
          <w:szCs w:val="24"/>
        </w:rPr>
        <w:t xml:space="preserve"> is neither a substrate nor an inhibitor of the multi-drug resistance protein (P</w:t>
      </w:r>
      <w:r w:rsidRPr="00717EE5">
        <w:rPr>
          <w:szCs w:val="24"/>
        </w:rPr>
        <w:noBreakHyphen/>
      </w:r>
      <w:proofErr w:type="spellStart"/>
      <w:r w:rsidRPr="00717EE5">
        <w:rPr>
          <w:szCs w:val="24"/>
        </w:rPr>
        <w:t>gp</w:t>
      </w:r>
      <w:proofErr w:type="spellEnd"/>
      <w:r w:rsidRPr="00717EE5">
        <w:rPr>
          <w:szCs w:val="24"/>
        </w:rPr>
        <w:t xml:space="preserve">, MDR-1). </w:t>
      </w:r>
      <w:proofErr w:type="spellStart"/>
      <w:r w:rsidRPr="00717EE5">
        <w:rPr>
          <w:szCs w:val="24"/>
        </w:rPr>
        <w:t>Macitentan</w:t>
      </w:r>
      <w:proofErr w:type="spellEnd"/>
      <w:r w:rsidRPr="00717EE5">
        <w:rPr>
          <w:szCs w:val="24"/>
        </w:rPr>
        <w:t xml:space="preserve"> and its active metabolite are neither substrates nor inhibitors of the organic anion transporting polypeptides (OATP1B1 and OATP1B3) at clinically relevant concentrations.</w:t>
      </w:r>
    </w:p>
    <w:p w:rsidR="00733AF2" w:rsidRPr="00717EE5" w:rsidRDefault="00733AF2" w:rsidP="00733AF2">
      <w:pPr>
        <w:outlineLvl w:val="0"/>
        <w:rPr>
          <w:szCs w:val="24"/>
        </w:rPr>
      </w:pPr>
    </w:p>
    <w:p w:rsidR="00733AF2" w:rsidRPr="00717EE5" w:rsidRDefault="00733AF2" w:rsidP="007707E6">
      <w:pPr>
        <w:jc w:val="both"/>
        <w:outlineLvl w:val="0"/>
        <w:rPr>
          <w:szCs w:val="24"/>
        </w:rPr>
      </w:pPr>
      <w:r>
        <w:rPr>
          <w:szCs w:val="24"/>
        </w:rPr>
        <w:t>A</w:t>
      </w:r>
      <w:r w:rsidRPr="00717EE5">
        <w:rPr>
          <w:szCs w:val="24"/>
        </w:rPr>
        <w:t>t clinically relevant concentrations</w:t>
      </w:r>
      <w:r>
        <w:rPr>
          <w:szCs w:val="24"/>
        </w:rPr>
        <w:t>,</w:t>
      </w:r>
      <w:r w:rsidRPr="00717EE5">
        <w:rPr>
          <w:szCs w:val="24"/>
        </w:rPr>
        <w:t xml:space="preserve"> </w:t>
      </w:r>
      <w:proofErr w:type="spellStart"/>
      <w:r>
        <w:rPr>
          <w:szCs w:val="24"/>
        </w:rPr>
        <w:t>m</w:t>
      </w:r>
      <w:r w:rsidRPr="00717EE5">
        <w:rPr>
          <w:szCs w:val="24"/>
        </w:rPr>
        <w:t>acitentan</w:t>
      </w:r>
      <w:proofErr w:type="spellEnd"/>
      <w:r w:rsidRPr="00717EE5">
        <w:rPr>
          <w:szCs w:val="24"/>
        </w:rPr>
        <w:t xml:space="preserve"> and its active metabolite do not interact with proteins involved in hepatic bile salt transport, i.e., the bile salt export pump (BSEP) and the sodium-dependent </w:t>
      </w:r>
      <w:proofErr w:type="spellStart"/>
      <w:r w:rsidRPr="00717EE5">
        <w:rPr>
          <w:szCs w:val="24"/>
        </w:rPr>
        <w:t>taurocholate</w:t>
      </w:r>
      <w:proofErr w:type="spellEnd"/>
      <w:r w:rsidRPr="00717EE5">
        <w:rPr>
          <w:szCs w:val="24"/>
        </w:rPr>
        <w:t xml:space="preserve"> co-transporting polypeptide (NTCP).</w:t>
      </w:r>
    </w:p>
    <w:p w:rsidR="00733AF2" w:rsidRPr="00717EE5" w:rsidRDefault="00733AF2" w:rsidP="00733AF2">
      <w:pPr>
        <w:outlineLvl w:val="0"/>
        <w:rPr>
          <w:szCs w:val="24"/>
        </w:rPr>
      </w:pPr>
    </w:p>
    <w:p w:rsidR="00733AF2" w:rsidRPr="00527F9F" w:rsidRDefault="00733AF2" w:rsidP="00E25094">
      <w:pPr>
        <w:keepNext/>
        <w:rPr>
          <w:rFonts w:ascii="Times New Roman" w:hAnsi="Times New Roman"/>
          <w:b/>
          <w:szCs w:val="24"/>
        </w:rPr>
      </w:pPr>
      <w:r w:rsidRPr="00527F9F">
        <w:rPr>
          <w:rFonts w:ascii="Times New Roman" w:hAnsi="Times New Roman"/>
          <w:b/>
          <w:i/>
          <w:szCs w:val="24"/>
        </w:rPr>
        <w:t>In vivo</w:t>
      </w:r>
      <w:r w:rsidRPr="00527F9F">
        <w:rPr>
          <w:rFonts w:ascii="Times New Roman" w:hAnsi="Times New Roman"/>
          <w:b/>
          <w:szCs w:val="24"/>
        </w:rPr>
        <w:t xml:space="preserve"> studies</w:t>
      </w:r>
    </w:p>
    <w:p w:rsidR="00733AF2" w:rsidRPr="00B31C79" w:rsidRDefault="00733AF2" w:rsidP="00E25094">
      <w:pPr>
        <w:pStyle w:val="Default"/>
        <w:keepNext/>
        <w:jc w:val="both"/>
        <w:rPr>
          <w:i/>
          <w:color w:val="auto"/>
          <w:lang w:val="en-GB"/>
        </w:rPr>
      </w:pPr>
      <w:r w:rsidRPr="00B31C79">
        <w:rPr>
          <w:i/>
          <w:lang w:val="en-GB"/>
        </w:rPr>
        <w:t>Warfarin:</w:t>
      </w:r>
      <w:r w:rsidRPr="00B31C79">
        <w:rPr>
          <w:lang w:val="en-GB"/>
        </w:rPr>
        <w:t xml:space="preserve"> </w:t>
      </w:r>
      <w:proofErr w:type="spellStart"/>
      <w:r w:rsidRPr="00B31C79">
        <w:rPr>
          <w:color w:val="auto"/>
          <w:lang w:val="en-GB"/>
        </w:rPr>
        <w:t>Macitentan</w:t>
      </w:r>
      <w:proofErr w:type="spellEnd"/>
      <w:r w:rsidRPr="00B31C79">
        <w:rPr>
          <w:color w:val="auto"/>
          <w:lang w:val="en-GB"/>
        </w:rPr>
        <w:t xml:space="preserve"> given as multiple doses of 10</w:t>
      </w:r>
      <w:r w:rsidR="00597E3C">
        <w:rPr>
          <w:color w:val="auto"/>
          <w:lang w:val="en-GB"/>
        </w:rPr>
        <w:t xml:space="preserve"> </w:t>
      </w:r>
      <w:r w:rsidRPr="00B31C79">
        <w:rPr>
          <w:color w:val="auto"/>
          <w:lang w:val="en-GB"/>
        </w:rPr>
        <w:t>mg once daily had no effect on exposure to S</w:t>
      </w:r>
      <w:r w:rsidRPr="00B31C79">
        <w:rPr>
          <w:color w:val="auto"/>
          <w:lang w:val="en-GB"/>
        </w:rPr>
        <w:noBreakHyphen/>
        <w:t>warfarin (CYP2C9 substrate) or R-warfarin (CYP3A4 substrate) after a single dose of 25</w:t>
      </w:r>
      <w:r w:rsidR="00527F9F">
        <w:rPr>
          <w:color w:val="auto"/>
          <w:lang w:val="en-GB"/>
        </w:rPr>
        <w:t xml:space="preserve"> </w:t>
      </w:r>
      <w:r w:rsidRPr="00B31C79">
        <w:rPr>
          <w:color w:val="auto"/>
          <w:lang w:val="en-GB"/>
        </w:rPr>
        <w:t xml:space="preserve">mg warfarin. The </w:t>
      </w:r>
      <w:proofErr w:type="spellStart"/>
      <w:r w:rsidRPr="00B31C79">
        <w:rPr>
          <w:color w:val="auto"/>
          <w:lang w:val="en-GB"/>
        </w:rPr>
        <w:t>pharmacodynamic</w:t>
      </w:r>
      <w:proofErr w:type="spellEnd"/>
      <w:r w:rsidRPr="00B31C79">
        <w:rPr>
          <w:color w:val="auto"/>
          <w:lang w:val="en-GB"/>
        </w:rPr>
        <w:t xml:space="preserve"> effect of warfarin on International Normalized Ratio (INR) was not affected by </w:t>
      </w:r>
      <w:proofErr w:type="spellStart"/>
      <w:r w:rsidRPr="00B31C79">
        <w:rPr>
          <w:color w:val="auto"/>
          <w:lang w:val="en-GB"/>
        </w:rPr>
        <w:t>macitentan</w:t>
      </w:r>
      <w:proofErr w:type="spellEnd"/>
      <w:r w:rsidRPr="00B31C79">
        <w:rPr>
          <w:color w:val="auto"/>
          <w:lang w:val="en-GB"/>
        </w:rPr>
        <w:t xml:space="preserve">. The pharmacokinetics of </w:t>
      </w:r>
      <w:proofErr w:type="spellStart"/>
      <w:r w:rsidRPr="00B31C79">
        <w:rPr>
          <w:color w:val="auto"/>
          <w:lang w:val="en-GB"/>
        </w:rPr>
        <w:t>macitentan</w:t>
      </w:r>
      <w:proofErr w:type="spellEnd"/>
      <w:r w:rsidRPr="00B31C79">
        <w:rPr>
          <w:color w:val="auto"/>
          <w:lang w:val="en-GB"/>
        </w:rPr>
        <w:t xml:space="preserve"> and its active metabolite were not affected by warfarin</w:t>
      </w:r>
      <w:r w:rsidRPr="00B31C79">
        <w:rPr>
          <w:lang w:val="en-GB"/>
        </w:rPr>
        <w:t>.</w:t>
      </w:r>
    </w:p>
    <w:p w:rsidR="00733AF2" w:rsidRPr="00B31C79" w:rsidRDefault="00733AF2" w:rsidP="00733AF2">
      <w:pPr>
        <w:rPr>
          <w:rFonts w:ascii="Times New Roman" w:hAnsi="Times New Roman"/>
          <w:szCs w:val="24"/>
        </w:rPr>
      </w:pPr>
    </w:p>
    <w:p w:rsidR="00733AF2" w:rsidRPr="00B31C79" w:rsidRDefault="00733AF2" w:rsidP="007707E6">
      <w:pPr>
        <w:jc w:val="both"/>
        <w:rPr>
          <w:rFonts w:ascii="Times New Roman" w:hAnsi="Times New Roman"/>
          <w:szCs w:val="24"/>
        </w:rPr>
      </w:pPr>
      <w:r w:rsidRPr="00B31C79">
        <w:rPr>
          <w:rFonts w:ascii="Times New Roman" w:hAnsi="Times New Roman"/>
          <w:i/>
          <w:szCs w:val="24"/>
        </w:rPr>
        <w:t>Sildenafil:</w:t>
      </w:r>
      <w:r w:rsidRPr="00B31C79">
        <w:rPr>
          <w:rFonts w:ascii="Times New Roman" w:hAnsi="Times New Roman"/>
          <w:szCs w:val="24"/>
        </w:rPr>
        <w:t xml:space="preserve"> At steady-state, the exposure to sildenafil 20</w:t>
      </w:r>
      <w:r w:rsidR="00527F9F">
        <w:rPr>
          <w:rFonts w:ascii="Times New Roman" w:hAnsi="Times New Roman"/>
          <w:szCs w:val="24"/>
        </w:rPr>
        <w:t xml:space="preserve"> </w:t>
      </w:r>
      <w:r w:rsidRPr="00B31C79">
        <w:rPr>
          <w:rFonts w:ascii="Times New Roman" w:hAnsi="Times New Roman"/>
          <w:szCs w:val="24"/>
        </w:rPr>
        <w:t xml:space="preserve">mg </w:t>
      </w:r>
      <w:proofErr w:type="spellStart"/>
      <w:r w:rsidRPr="00B31C79">
        <w:rPr>
          <w:rFonts w:ascii="Times New Roman" w:hAnsi="Times New Roman"/>
          <w:szCs w:val="24"/>
        </w:rPr>
        <w:t>t.i.d</w:t>
      </w:r>
      <w:proofErr w:type="spellEnd"/>
      <w:r w:rsidRPr="00B31C79">
        <w:rPr>
          <w:rFonts w:ascii="Times New Roman" w:hAnsi="Times New Roman"/>
          <w:szCs w:val="24"/>
        </w:rPr>
        <w:t xml:space="preserve">. was increased by 15% during concomitant administration of </w:t>
      </w:r>
      <w:proofErr w:type="spellStart"/>
      <w:r w:rsidRPr="00B31C79">
        <w:rPr>
          <w:rFonts w:ascii="Times New Roman" w:hAnsi="Times New Roman"/>
          <w:szCs w:val="24"/>
        </w:rPr>
        <w:t>macitentan</w:t>
      </w:r>
      <w:proofErr w:type="spellEnd"/>
      <w:r w:rsidRPr="00B31C79">
        <w:rPr>
          <w:rFonts w:ascii="Times New Roman" w:hAnsi="Times New Roman"/>
          <w:szCs w:val="24"/>
        </w:rPr>
        <w:t xml:space="preserve"> 10</w:t>
      </w:r>
      <w:r w:rsidR="00527F9F">
        <w:rPr>
          <w:rFonts w:ascii="Times New Roman" w:hAnsi="Times New Roman"/>
          <w:szCs w:val="24"/>
        </w:rPr>
        <w:t xml:space="preserve"> </w:t>
      </w:r>
      <w:r w:rsidRPr="00B31C79">
        <w:rPr>
          <w:rFonts w:ascii="Times New Roman" w:hAnsi="Times New Roman"/>
          <w:szCs w:val="24"/>
        </w:rPr>
        <w:t xml:space="preserve">mg once daily. Sildenafil, a CYP3A4 substrate, did not affect the pharmacokinetics of </w:t>
      </w:r>
      <w:proofErr w:type="spellStart"/>
      <w:r w:rsidRPr="00B31C79">
        <w:rPr>
          <w:rFonts w:ascii="Times New Roman" w:hAnsi="Times New Roman"/>
          <w:szCs w:val="24"/>
        </w:rPr>
        <w:t>macitentan</w:t>
      </w:r>
      <w:proofErr w:type="spellEnd"/>
      <w:r w:rsidRPr="00B31C79">
        <w:rPr>
          <w:rFonts w:ascii="Times New Roman" w:hAnsi="Times New Roman"/>
          <w:szCs w:val="24"/>
        </w:rPr>
        <w:t xml:space="preserve">, while there was a 15% reduction in the exposure to the active metabolite of </w:t>
      </w:r>
      <w:proofErr w:type="spellStart"/>
      <w:r w:rsidRPr="00B31C79">
        <w:rPr>
          <w:rFonts w:ascii="Times New Roman" w:hAnsi="Times New Roman"/>
          <w:szCs w:val="24"/>
        </w:rPr>
        <w:t>macitentan</w:t>
      </w:r>
      <w:proofErr w:type="spellEnd"/>
      <w:r w:rsidRPr="00B31C79">
        <w:rPr>
          <w:rFonts w:ascii="Times New Roman" w:hAnsi="Times New Roman"/>
          <w:szCs w:val="24"/>
        </w:rPr>
        <w:t xml:space="preserve">. These changes are not considered clinically relevant. In a placebo-controlled trial in patients with PAH, the efficacy and safety of </w:t>
      </w:r>
      <w:proofErr w:type="spellStart"/>
      <w:r w:rsidRPr="00B31C79">
        <w:rPr>
          <w:rFonts w:ascii="Times New Roman" w:hAnsi="Times New Roman"/>
          <w:szCs w:val="24"/>
        </w:rPr>
        <w:t>macitentan</w:t>
      </w:r>
      <w:proofErr w:type="spellEnd"/>
      <w:r w:rsidRPr="00B31C79">
        <w:rPr>
          <w:rFonts w:ascii="Times New Roman" w:hAnsi="Times New Roman"/>
          <w:szCs w:val="24"/>
        </w:rPr>
        <w:t xml:space="preserve"> in combination with sildenafil were demonstrated.</w:t>
      </w:r>
    </w:p>
    <w:p w:rsidR="00733AF2" w:rsidRPr="00B31C79" w:rsidRDefault="00733AF2" w:rsidP="00733AF2">
      <w:pPr>
        <w:rPr>
          <w:rFonts w:ascii="Times New Roman" w:hAnsi="Times New Roman"/>
          <w:szCs w:val="24"/>
        </w:rPr>
      </w:pPr>
    </w:p>
    <w:p w:rsidR="008F6470" w:rsidRDefault="005F3C91" w:rsidP="00042131">
      <w:pPr>
        <w:autoSpaceDE w:val="0"/>
        <w:autoSpaceDN w:val="0"/>
        <w:adjustRightInd w:val="0"/>
        <w:jc w:val="both"/>
      </w:pPr>
      <w:r>
        <w:rPr>
          <w:rFonts w:ascii="Times New Roman" w:hAnsi="Times New Roman"/>
          <w:i/>
          <w:szCs w:val="24"/>
        </w:rPr>
        <w:t>Strong CYP3A4 inhibitors</w:t>
      </w:r>
      <w:r w:rsidR="00733AF2" w:rsidRPr="00B31C79">
        <w:rPr>
          <w:rFonts w:ascii="Times New Roman" w:hAnsi="Times New Roman"/>
          <w:i/>
          <w:szCs w:val="24"/>
        </w:rPr>
        <w:t>:</w:t>
      </w:r>
      <w:r w:rsidR="00733AF2" w:rsidRPr="00B31C79">
        <w:rPr>
          <w:rFonts w:ascii="Times New Roman" w:hAnsi="Times New Roman"/>
          <w:szCs w:val="24"/>
        </w:rPr>
        <w:t xml:space="preserve"> In the presence of ketoconazole 400</w:t>
      </w:r>
      <w:r w:rsidR="00527F9F">
        <w:rPr>
          <w:rFonts w:ascii="Times New Roman" w:hAnsi="Times New Roman"/>
          <w:szCs w:val="24"/>
        </w:rPr>
        <w:t xml:space="preserve"> </w:t>
      </w:r>
      <w:r w:rsidR="00733AF2" w:rsidRPr="00B31C79">
        <w:rPr>
          <w:rFonts w:ascii="Times New Roman" w:hAnsi="Times New Roman"/>
          <w:szCs w:val="24"/>
        </w:rPr>
        <w:t xml:space="preserve">mg </w:t>
      </w:r>
      <w:r w:rsidR="00D43BDF">
        <w:rPr>
          <w:rFonts w:ascii="Times New Roman" w:hAnsi="Times New Roman"/>
          <w:szCs w:val="24"/>
        </w:rPr>
        <w:t xml:space="preserve">once </w:t>
      </w:r>
      <w:r w:rsidR="00733AF2" w:rsidRPr="00B31C79">
        <w:rPr>
          <w:rFonts w:ascii="Times New Roman" w:hAnsi="Times New Roman"/>
          <w:szCs w:val="24"/>
        </w:rPr>
        <w:t xml:space="preserve">daily, a strong CYP3A4 inhibitor, exposure to </w:t>
      </w:r>
      <w:proofErr w:type="spellStart"/>
      <w:r w:rsidR="00733AF2" w:rsidRPr="00B31C79">
        <w:rPr>
          <w:rFonts w:ascii="Times New Roman" w:hAnsi="Times New Roman"/>
          <w:szCs w:val="24"/>
        </w:rPr>
        <w:t>macitentan</w:t>
      </w:r>
      <w:proofErr w:type="spellEnd"/>
      <w:r w:rsidR="00733AF2" w:rsidRPr="00B31C79">
        <w:rPr>
          <w:rFonts w:ascii="Times New Roman" w:hAnsi="Times New Roman"/>
          <w:szCs w:val="24"/>
        </w:rPr>
        <w:t xml:space="preserve"> increased approximately 2-fold. </w:t>
      </w:r>
      <w:r w:rsidR="00D43BDF" w:rsidRPr="00CB77E0">
        <w:rPr>
          <w:szCs w:val="22"/>
        </w:rPr>
        <w:t xml:space="preserve">The predicted increase was approximately </w:t>
      </w:r>
      <w:r w:rsidR="00D43BDF" w:rsidRPr="004E59E6">
        <w:rPr>
          <w:szCs w:val="22"/>
        </w:rPr>
        <w:t>3</w:t>
      </w:r>
      <w:r w:rsidR="00D43BDF">
        <w:rPr>
          <w:szCs w:val="22"/>
        </w:rPr>
        <w:t>-</w:t>
      </w:r>
      <w:r w:rsidR="00D43BDF" w:rsidRPr="004E59E6">
        <w:rPr>
          <w:szCs w:val="22"/>
        </w:rPr>
        <w:t>fold</w:t>
      </w:r>
      <w:r w:rsidR="00D43BDF" w:rsidRPr="00CB77E0">
        <w:rPr>
          <w:szCs w:val="22"/>
        </w:rPr>
        <w:t xml:space="preserve"> in the presence of ketoconazole 200 mg twice daily using physiologically based pharmacokinetic (</w:t>
      </w:r>
      <w:r w:rsidR="00D43BDF" w:rsidRPr="00CB77E0">
        <w:rPr>
          <w:bCs/>
          <w:szCs w:val="22"/>
        </w:rPr>
        <w:t>PBPK</w:t>
      </w:r>
      <w:r w:rsidR="00D43BDF" w:rsidRPr="00CB77E0">
        <w:rPr>
          <w:szCs w:val="22"/>
        </w:rPr>
        <w:t xml:space="preserve">) </w:t>
      </w:r>
      <w:r w:rsidR="00D43BDF" w:rsidRPr="00CB77E0">
        <w:rPr>
          <w:bCs/>
          <w:szCs w:val="22"/>
        </w:rPr>
        <w:t>modelling</w:t>
      </w:r>
      <w:r w:rsidR="00D43BDF" w:rsidRPr="00CB77E0">
        <w:rPr>
          <w:szCs w:val="22"/>
        </w:rPr>
        <w:t>.</w:t>
      </w:r>
      <w:r w:rsidR="00D43BDF">
        <w:rPr>
          <w:szCs w:val="22"/>
        </w:rPr>
        <w:t xml:space="preserve"> </w:t>
      </w:r>
      <w:r w:rsidR="00733AF2" w:rsidRPr="00B31C79">
        <w:rPr>
          <w:rFonts w:ascii="Times New Roman" w:hAnsi="Times New Roman"/>
          <w:szCs w:val="24"/>
        </w:rPr>
        <w:t xml:space="preserve">Exposure to the active metabolite of </w:t>
      </w:r>
      <w:proofErr w:type="spellStart"/>
      <w:r w:rsidR="00733AF2" w:rsidRPr="00B31C79">
        <w:rPr>
          <w:rFonts w:ascii="Times New Roman" w:hAnsi="Times New Roman"/>
          <w:szCs w:val="24"/>
        </w:rPr>
        <w:t>macitentan</w:t>
      </w:r>
      <w:proofErr w:type="spellEnd"/>
      <w:r w:rsidR="00733AF2" w:rsidRPr="00B31C79">
        <w:rPr>
          <w:rFonts w:ascii="Times New Roman" w:hAnsi="Times New Roman"/>
          <w:szCs w:val="24"/>
        </w:rPr>
        <w:t xml:space="preserve"> was reduced by 26%.</w:t>
      </w:r>
      <w:r w:rsidR="00D43BDF">
        <w:rPr>
          <w:rFonts w:ascii="Times New Roman" w:hAnsi="Times New Roman"/>
          <w:szCs w:val="24"/>
        </w:rPr>
        <w:t xml:space="preserve"> </w:t>
      </w:r>
      <w:r w:rsidR="00D43BDF" w:rsidRPr="00CB77E0">
        <w:t xml:space="preserve">Caution should be exercised when </w:t>
      </w:r>
      <w:proofErr w:type="spellStart"/>
      <w:r w:rsidR="00D43BDF" w:rsidRPr="00CB77E0">
        <w:t>macitentan</w:t>
      </w:r>
      <w:proofErr w:type="spellEnd"/>
      <w:r w:rsidR="00D43BDF" w:rsidRPr="00CB77E0">
        <w:t xml:space="preserve"> is administered concomitantly with strong CYP3A4 inhibitors</w:t>
      </w:r>
      <w:r w:rsidR="008F6470">
        <w:t xml:space="preserve"> (</w:t>
      </w:r>
      <w:r w:rsidR="008F6470">
        <w:rPr>
          <w:rFonts w:eastAsia="SimSun"/>
          <w:szCs w:val="22"/>
        </w:rPr>
        <w:t xml:space="preserve">e.g., </w:t>
      </w:r>
      <w:r w:rsidR="008F6470" w:rsidRPr="00396578">
        <w:rPr>
          <w:noProof/>
        </w:rPr>
        <w:t>itraconazole, ketoconazole, voriconazole</w:t>
      </w:r>
      <w:r w:rsidR="008F6470" w:rsidRPr="00396578">
        <w:rPr>
          <w:rFonts w:eastAsia="SimSun"/>
          <w:szCs w:val="22"/>
        </w:rPr>
        <w:t xml:space="preserve">, </w:t>
      </w:r>
      <w:r w:rsidR="008F6470" w:rsidRPr="00396578">
        <w:rPr>
          <w:noProof/>
        </w:rPr>
        <w:t xml:space="preserve">clarithromycin, </w:t>
      </w:r>
      <w:r w:rsidR="008F6470">
        <w:rPr>
          <w:noProof/>
        </w:rPr>
        <w:t>ritonavir, and saquinavir)</w:t>
      </w:r>
      <w:r w:rsidR="00D43BDF">
        <w:t xml:space="preserve">. </w:t>
      </w:r>
    </w:p>
    <w:p w:rsidR="009A7EEB" w:rsidRDefault="009A7EEB" w:rsidP="00E16A96">
      <w:pPr>
        <w:autoSpaceDE w:val="0"/>
        <w:autoSpaceDN w:val="0"/>
        <w:adjustRightInd w:val="0"/>
        <w:rPr>
          <w:rFonts w:ascii="Times New Roman" w:hAnsi="Times New Roman"/>
          <w:szCs w:val="24"/>
        </w:rPr>
      </w:pPr>
    </w:p>
    <w:p w:rsidR="00733AF2" w:rsidRPr="00987B00" w:rsidRDefault="007E0348" w:rsidP="00042131">
      <w:pPr>
        <w:autoSpaceDE w:val="0"/>
        <w:autoSpaceDN w:val="0"/>
        <w:adjustRightInd w:val="0"/>
        <w:jc w:val="both"/>
        <w:rPr>
          <w:rFonts w:ascii="Times New Roman" w:hAnsi="Times New Roman"/>
          <w:szCs w:val="24"/>
        </w:rPr>
      </w:pPr>
      <w:r w:rsidRPr="009A7EEB">
        <w:rPr>
          <w:rFonts w:ascii="Times New Roman" w:hAnsi="Times New Roman"/>
          <w:i/>
          <w:szCs w:val="24"/>
        </w:rPr>
        <w:t>HIV drugs</w:t>
      </w:r>
      <w:r>
        <w:rPr>
          <w:rFonts w:ascii="Times New Roman" w:hAnsi="Times New Roman"/>
          <w:szCs w:val="24"/>
        </w:rPr>
        <w:t xml:space="preserve">: </w:t>
      </w:r>
      <w:r w:rsidRPr="00987B00">
        <w:rPr>
          <w:rFonts w:ascii="Times New Roman" w:hAnsi="Times New Roman"/>
          <w:szCs w:val="24"/>
        </w:rPr>
        <w:t xml:space="preserve">Effects of other strong CYP3A4 inhibitors such as ritonavir on </w:t>
      </w:r>
      <w:proofErr w:type="spellStart"/>
      <w:r w:rsidRPr="00987B00">
        <w:rPr>
          <w:rFonts w:ascii="Times New Roman" w:hAnsi="Times New Roman"/>
          <w:szCs w:val="24"/>
        </w:rPr>
        <w:t>macitentan</w:t>
      </w:r>
      <w:proofErr w:type="spellEnd"/>
      <w:r w:rsidRPr="00987B00">
        <w:rPr>
          <w:rFonts w:ascii="Times New Roman" w:hAnsi="Times New Roman"/>
          <w:szCs w:val="24"/>
        </w:rPr>
        <w:t xml:space="preserve"> were not studied, but are likely to result in an increase in </w:t>
      </w:r>
      <w:proofErr w:type="spellStart"/>
      <w:r w:rsidRPr="00987B00">
        <w:rPr>
          <w:rFonts w:ascii="Times New Roman" w:hAnsi="Times New Roman"/>
          <w:szCs w:val="24"/>
        </w:rPr>
        <w:t>macitentan</w:t>
      </w:r>
      <w:proofErr w:type="spellEnd"/>
      <w:r w:rsidRPr="00987B00">
        <w:rPr>
          <w:rFonts w:ascii="Times New Roman" w:hAnsi="Times New Roman"/>
          <w:szCs w:val="24"/>
        </w:rPr>
        <w:t xml:space="preserve"> exposure at steady state similar to that seen with ketoconazole</w:t>
      </w:r>
      <w:r w:rsidR="002D37AA">
        <w:rPr>
          <w:rFonts w:ascii="Times New Roman" w:hAnsi="Times New Roman"/>
          <w:szCs w:val="24"/>
        </w:rPr>
        <w:t xml:space="preserve"> </w:t>
      </w:r>
    </w:p>
    <w:p w:rsidR="00BC3E5E" w:rsidRPr="00987B00" w:rsidRDefault="00BC3E5E" w:rsidP="00987B00">
      <w:pPr>
        <w:autoSpaceDE w:val="0"/>
        <w:autoSpaceDN w:val="0"/>
        <w:adjustRightInd w:val="0"/>
        <w:rPr>
          <w:rFonts w:ascii="Times New Roman" w:hAnsi="Times New Roman"/>
          <w:szCs w:val="24"/>
        </w:rPr>
      </w:pPr>
    </w:p>
    <w:p w:rsidR="00733AF2" w:rsidRPr="00717EE5" w:rsidRDefault="00733AF2" w:rsidP="007707E6">
      <w:pPr>
        <w:jc w:val="both"/>
      </w:pPr>
      <w:r w:rsidRPr="00717EE5">
        <w:rPr>
          <w:i/>
        </w:rPr>
        <w:t>Cyclosporine A:</w:t>
      </w:r>
      <w:r w:rsidRPr="00717EE5">
        <w:t xml:space="preserve"> Concomitant treatment with cyclosporine A 100</w:t>
      </w:r>
      <w:r w:rsidR="00527F9F">
        <w:t xml:space="preserve"> </w:t>
      </w:r>
      <w:r w:rsidRPr="00717EE5">
        <w:t xml:space="preserve">mg </w:t>
      </w:r>
      <w:proofErr w:type="spellStart"/>
      <w:r w:rsidRPr="00717EE5">
        <w:t>b.i.d</w:t>
      </w:r>
      <w:proofErr w:type="spellEnd"/>
      <w:r w:rsidRPr="00717EE5">
        <w:t xml:space="preserve">., a combined CYP3A4 and OATP inhibitor, did not alter the steady-state exposure to </w:t>
      </w:r>
      <w:proofErr w:type="spellStart"/>
      <w:r w:rsidRPr="00717EE5">
        <w:t>macitentan</w:t>
      </w:r>
      <w:proofErr w:type="spellEnd"/>
      <w:r w:rsidRPr="00717EE5">
        <w:t xml:space="preserve"> and its active metabolite to a clinically relevant extent.</w:t>
      </w:r>
    </w:p>
    <w:p w:rsidR="00733AF2" w:rsidRPr="00717EE5" w:rsidRDefault="00733AF2" w:rsidP="007707E6">
      <w:pPr>
        <w:jc w:val="both"/>
      </w:pPr>
    </w:p>
    <w:p w:rsidR="00733AF2" w:rsidRPr="00717EE5" w:rsidRDefault="008F6470" w:rsidP="00E94507">
      <w:pPr>
        <w:autoSpaceDE w:val="0"/>
        <w:autoSpaceDN w:val="0"/>
        <w:adjustRightInd w:val="0"/>
        <w:jc w:val="both"/>
      </w:pPr>
      <w:r>
        <w:rPr>
          <w:i/>
        </w:rPr>
        <w:t>St</w:t>
      </w:r>
      <w:r w:rsidR="0048693A">
        <w:rPr>
          <w:i/>
        </w:rPr>
        <w:t>r</w:t>
      </w:r>
      <w:r>
        <w:rPr>
          <w:i/>
        </w:rPr>
        <w:t>ong CYP3A4 inducers</w:t>
      </w:r>
      <w:r w:rsidR="00733AF2" w:rsidRPr="00717EE5">
        <w:rPr>
          <w:i/>
        </w:rPr>
        <w:t>:</w:t>
      </w:r>
      <w:r w:rsidR="00733AF2" w:rsidRPr="00717EE5">
        <w:t xml:space="preserve"> Concomitant treatment with rifampicin 600</w:t>
      </w:r>
      <w:r w:rsidR="00527F9F">
        <w:t xml:space="preserve"> </w:t>
      </w:r>
      <w:r w:rsidR="00733AF2" w:rsidRPr="00717EE5">
        <w:t xml:space="preserve">mg daily, a potent inducer of CYP3A4, reduced the steady-state exposure to </w:t>
      </w:r>
      <w:proofErr w:type="spellStart"/>
      <w:r w:rsidR="00733AF2" w:rsidRPr="00717EE5">
        <w:t>macitentan</w:t>
      </w:r>
      <w:proofErr w:type="spellEnd"/>
      <w:r w:rsidR="00733AF2" w:rsidRPr="00717EE5">
        <w:t xml:space="preserve"> by 79% but did not affect the exposure to the active metabolite. Reduced efficacy of </w:t>
      </w:r>
      <w:proofErr w:type="spellStart"/>
      <w:r w:rsidR="00733AF2" w:rsidRPr="00717EE5">
        <w:t>macitentan</w:t>
      </w:r>
      <w:proofErr w:type="spellEnd"/>
      <w:r w:rsidR="00733AF2" w:rsidRPr="00717EE5">
        <w:t xml:space="preserve"> in the presence of a potent inducer of CYP3A4 such as rifampicin should be considered.</w:t>
      </w:r>
      <w:r w:rsidR="00D43BDF">
        <w:t xml:space="preserve"> The combination of </w:t>
      </w:r>
      <w:proofErr w:type="spellStart"/>
      <w:r w:rsidR="00D43BDF">
        <w:t>macitentan</w:t>
      </w:r>
      <w:proofErr w:type="spellEnd"/>
      <w:r w:rsidR="00D43BDF">
        <w:t xml:space="preserve"> with strong CYP3A4 inducers</w:t>
      </w:r>
      <w:r>
        <w:t xml:space="preserve"> </w:t>
      </w:r>
      <w:r w:rsidRPr="00396578">
        <w:t xml:space="preserve">(e.g., rifampicin, St. John’s </w:t>
      </w:r>
      <w:proofErr w:type="spellStart"/>
      <w:r w:rsidRPr="00396578">
        <w:t>wort</w:t>
      </w:r>
      <w:proofErr w:type="spellEnd"/>
      <w:r w:rsidRPr="00396578">
        <w:t xml:space="preserve">, carbamazepine, and phenytoin) </w:t>
      </w:r>
      <w:r w:rsidR="00D43BDF">
        <w:t>should be avoided</w:t>
      </w:r>
      <w:r w:rsidR="00E16A96">
        <w:rPr>
          <w:rFonts w:ascii="TimesNewRomanPSMT" w:hAnsi="TimesNewRomanPSMT" w:cs="TimesNewRomanPSMT"/>
          <w:szCs w:val="24"/>
          <w:lang w:val="en-US"/>
        </w:rPr>
        <w:t>.</w:t>
      </w:r>
    </w:p>
    <w:p w:rsidR="00733AF2" w:rsidRPr="00717EE5" w:rsidRDefault="00733AF2" w:rsidP="007707E6">
      <w:pPr>
        <w:jc w:val="both"/>
      </w:pPr>
    </w:p>
    <w:p w:rsidR="00733AF2" w:rsidRPr="00717EE5" w:rsidRDefault="00733AF2" w:rsidP="007707E6">
      <w:pPr>
        <w:jc w:val="both"/>
        <w:rPr>
          <w:szCs w:val="22"/>
        </w:rPr>
      </w:pPr>
      <w:r w:rsidRPr="00717EE5">
        <w:rPr>
          <w:i/>
          <w:szCs w:val="22"/>
        </w:rPr>
        <w:t>Hormonal contraceptives:</w:t>
      </w:r>
      <w:r w:rsidRPr="00717EE5">
        <w:rPr>
          <w:szCs w:val="22"/>
        </w:rPr>
        <w:t xml:space="preserve"> </w:t>
      </w:r>
      <w:proofErr w:type="spellStart"/>
      <w:r w:rsidRPr="00717EE5">
        <w:rPr>
          <w:color w:val="000000"/>
          <w:szCs w:val="22"/>
        </w:rPr>
        <w:t>Macitentan</w:t>
      </w:r>
      <w:proofErr w:type="spellEnd"/>
      <w:r w:rsidRPr="00717EE5">
        <w:rPr>
          <w:color w:val="000000"/>
          <w:szCs w:val="22"/>
        </w:rPr>
        <w:t xml:space="preserve"> does not affect the exposure to CYP3A4 substrates. No reduced efficacy of hormonal contraceptives is expected.</w:t>
      </w:r>
    </w:p>
    <w:p w:rsidR="00733AF2" w:rsidRPr="00717EE5" w:rsidRDefault="00733AF2" w:rsidP="007707E6">
      <w:pPr>
        <w:jc w:val="both"/>
        <w:rPr>
          <w:noProof/>
          <w:szCs w:val="22"/>
          <w:u w:val="single"/>
        </w:rPr>
      </w:pPr>
    </w:p>
    <w:p w:rsidR="001C35B2" w:rsidRPr="004E01DD" w:rsidRDefault="001C35B2" w:rsidP="00365338">
      <w:pPr>
        <w:pStyle w:val="Heading1"/>
        <w:ind w:right="-61"/>
      </w:pPr>
      <w:r>
        <w:t xml:space="preserve">ADVERSE </w:t>
      </w:r>
      <w:r w:rsidR="00FB6DFD" w:rsidRPr="004E01DD">
        <w:rPr>
          <w:szCs w:val="24"/>
        </w:rPr>
        <w:t>EFFECTS</w:t>
      </w:r>
    </w:p>
    <w:p w:rsidR="00733AF2" w:rsidRDefault="00733AF2" w:rsidP="00733AF2">
      <w:pPr>
        <w:pStyle w:val="PlainText"/>
        <w:keepNext/>
        <w:rPr>
          <w:rFonts w:ascii="Times New Roman" w:hAnsi="Times New Roman"/>
          <w:sz w:val="22"/>
          <w:u w:val="single"/>
          <w:lang w:val="en-GB"/>
        </w:rPr>
      </w:pPr>
    </w:p>
    <w:p w:rsidR="00733AF2" w:rsidRPr="00527F9F" w:rsidRDefault="00733AF2" w:rsidP="00733AF2">
      <w:pPr>
        <w:pStyle w:val="PlainText"/>
        <w:keepNext/>
        <w:rPr>
          <w:rFonts w:ascii="Times New Roman" w:hAnsi="Times New Roman"/>
          <w:b/>
          <w:sz w:val="22"/>
          <w:lang w:val="en-GB"/>
        </w:rPr>
      </w:pPr>
      <w:r w:rsidRPr="00527F9F">
        <w:rPr>
          <w:rFonts w:ascii="Times New Roman" w:hAnsi="Times New Roman"/>
          <w:b/>
          <w:sz w:val="22"/>
          <w:lang w:val="en-GB"/>
        </w:rPr>
        <w:t>Experience from clinical studies</w:t>
      </w:r>
    </w:p>
    <w:p w:rsidR="00841126" w:rsidRDefault="00841126" w:rsidP="00733AF2">
      <w:pPr>
        <w:rPr>
          <w:b/>
          <w:i/>
          <w:szCs w:val="22"/>
        </w:rPr>
      </w:pPr>
    </w:p>
    <w:p w:rsidR="006C3394" w:rsidRPr="001679C7" w:rsidRDefault="006C3394" w:rsidP="001679C7">
      <w:pPr>
        <w:pStyle w:val="Default"/>
        <w:jc w:val="both"/>
      </w:pPr>
      <w:r w:rsidRPr="001679C7">
        <w:t xml:space="preserve">The safety of </w:t>
      </w:r>
      <w:proofErr w:type="spellStart"/>
      <w:r w:rsidRPr="001679C7">
        <w:t>macitentan</w:t>
      </w:r>
      <w:proofErr w:type="spellEnd"/>
      <w:r w:rsidRPr="001679C7">
        <w:t xml:space="preserve"> has been evaluated in a long-term placebo-controlled trial of 742 patients with symptomatic PAH. The mean treatment duration was 103.9 weeks in the </w:t>
      </w:r>
      <w:proofErr w:type="spellStart"/>
      <w:r w:rsidRPr="001679C7">
        <w:t>macitentan</w:t>
      </w:r>
      <w:proofErr w:type="spellEnd"/>
      <w:r w:rsidRPr="001679C7">
        <w:t xml:space="preserve"> 10 mg group, and 85.3 weeks in the placebo group. The majority of adverse events were mild to moderate in intensity. The most commonly reported adverse </w:t>
      </w:r>
      <w:r w:rsidR="009350E0">
        <w:t xml:space="preserve">events </w:t>
      </w:r>
      <w:r w:rsidRPr="001679C7">
        <w:t xml:space="preserve">were </w:t>
      </w:r>
      <w:proofErr w:type="spellStart"/>
      <w:r w:rsidRPr="001679C7">
        <w:t>nasopharyngitis</w:t>
      </w:r>
      <w:proofErr w:type="spellEnd"/>
      <w:r w:rsidRPr="001679C7">
        <w:t xml:space="preserve"> (14.0% </w:t>
      </w:r>
      <w:proofErr w:type="spellStart"/>
      <w:r w:rsidRPr="001679C7">
        <w:t>vs</w:t>
      </w:r>
      <w:proofErr w:type="spellEnd"/>
      <w:r w:rsidRPr="001679C7">
        <w:t xml:space="preserve"> 10.4%), headache (13.6% </w:t>
      </w:r>
      <w:proofErr w:type="spellStart"/>
      <w:r w:rsidRPr="001679C7">
        <w:t>vs</w:t>
      </w:r>
      <w:proofErr w:type="spellEnd"/>
      <w:r w:rsidRPr="001679C7">
        <w:t xml:space="preserve"> 8.8%) and </w:t>
      </w:r>
      <w:proofErr w:type="spellStart"/>
      <w:r w:rsidRPr="001679C7">
        <w:t>anaemia</w:t>
      </w:r>
      <w:proofErr w:type="spellEnd"/>
      <w:r w:rsidRPr="001679C7">
        <w:t xml:space="preserve"> (13.2% </w:t>
      </w:r>
      <w:proofErr w:type="spellStart"/>
      <w:r w:rsidRPr="001679C7">
        <w:t>vs</w:t>
      </w:r>
      <w:proofErr w:type="spellEnd"/>
      <w:r w:rsidRPr="001679C7">
        <w:t xml:space="preserve"> 3.2%) (Table </w:t>
      </w:r>
      <w:r w:rsidR="00E27C20">
        <w:t>3</w:t>
      </w:r>
      <w:r w:rsidRPr="001679C7">
        <w:t xml:space="preserve">). </w:t>
      </w:r>
    </w:p>
    <w:p w:rsidR="006C3394" w:rsidRDefault="006C3394" w:rsidP="001679C7">
      <w:pPr>
        <w:pStyle w:val="Default"/>
        <w:jc w:val="both"/>
      </w:pPr>
    </w:p>
    <w:p w:rsidR="005F2D5A" w:rsidRPr="005F2D5A" w:rsidRDefault="005F2D5A" w:rsidP="005F2D5A">
      <w:pPr>
        <w:pStyle w:val="Default"/>
        <w:jc w:val="both"/>
      </w:pPr>
      <w:r w:rsidRPr="005F2D5A">
        <w:t xml:space="preserve">Table 4 presents adverse </w:t>
      </w:r>
      <w:r w:rsidR="009E2640">
        <w:t>reactions</w:t>
      </w:r>
      <w:r w:rsidRPr="005F2D5A">
        <w:t xml:space="preserve"> occurring in </w:t>
      </w:r>
      <w:proofErr w:type="spellStart"/>
      <w:r w:rsidRPr="005F2D5A">
        <w:t>macitentan</w:t>
      </w:r>
      <w:proofErr w:type="spellEnd"/>
      <w:r w:rsidRPr="005F2D5A">
        <w:t>-treated subjects at an incidence &lt; 3 % and with a placebo-corrected difference ≥ 1 % (during treatment and up to 28 days after treatment discontinuation)</w:t>
      </w:r>
      <w:r>
        <w:t xml:space="preserve">. Adverse </w:t>
      </w:r>
      <w:r w:rsidR="009E2640">
        <w:t>reactions</w:t>
      </w:r>
      <w:r>
        <w:t xml:space="preserve"> are </w:t>
      </w:r>
      <w:r w:rsidRPr="005F2D5A">
        <w:t>listed by system organ class and frequency category, using the convention: common (≥ 1/100 and &lt; 1/10).</w:t>
      </w:r>
      <w:r w:rsidR="00A828BA" w:rsidRPr="00A828BA">
        <w:t xml:space="preserve"> Within each frequency group, adverse reactions are presented in order of decreasing seriousness. </w:t>
      </w:r>
      <w:r w:rsidRPr="005F2D5A">
        <w:t xml:space="preserve"> </w:t>
      </w:r>
    </w:p>
    <w:p w:rsidR="005F2D5A" w:rsidRPr="001679C7" w:rsidRDefault="005F2D5A" w:rsidP="001679C7">
      <w:pPr>
        <w:pStyle w:val="Default"/>
        <w:jc w:val="both"/>
      </w:pPr>
    </w:p>
    <w:p w:rsidR="006C3394" w:rsidRPr="001679C7" w:rsidRDefault="006C3394" w:rsidP="001679C7">
      <w:pPr>
        <w:pStyle w:val="Default"/>
        <w:jc w:val="both"/>
      </w:pPr>
      <w:r w:rsidRPr="001679C7">
        <w:t xml:space="preserve">Frequency determination does not account for other factors including varying study duration, pre-existing conditions, and baseline patient characteristics. </w:t>
      </w:r>
    </w:p>
    <w:p w:rsidR="006C3394" w:rsidRPr="0077771A" w:rsidRDefault="006C3394" w:rsidP="006C3394">
      <w:pPr>
        <w:pStyle w:val="Default"/>
      </w:pPr>
    </w:p>
    <w:p w:rsidR="009350E0" w:rsidRPr="0077771A" w:rsidRDefault="009350E0" w:rsidP="009350E0">
      <w:pPr>
        <w:spacing w:before="120" w:after="120" w:line="260" w:lineRule="atLeast"/>
        <w:ind w:left="1531" w:hanging="1531"/>
        <w:jc w:val="both"/>
        <w:rPr>
          <w:rFonts w:ascii="Times New Roman" w:eastAsia="Calibri" w:hAnsi="Times New Roman"/>
          <w:szCs w:val="24"/>
          <w:lang w:val="en-GB"/>
        </w:rPr>
      </w:pPr>
      <w:r w:rsidRPr="0077771A">
        <w:rPr>
          <w:rFonts w:ascii="Times New Roman" w:eastAsia="Calibri" w:hAnsi="Times New Roman"/>
          <w:b/>
          <w:szCs w:val="24"/>
          <w:lang w:val="en-GB"/>
        </w:rPr>
        <w:t>Table 3</w:t>
      </w:r>
      <w:r w:rsidRPr="0077771A">
        <w:rPr>
          <w:rFonts w:ascii="Times New Roman" w:eastAsia="Calibri" w:hAnsi="Times New Roman"/>
          <w:b/>
          <w:szCs w:val="24"/>
          <w:lang w:val="en-GB"/>
        </w:rPr>
        <w:tab/>
        <w:t xml:space="preserve">Adverse events occurring in ≥ 3 % of </w:t>
      </w:r>
      <w:proofErr w:type="spellStart"/>
      <w:r w:rsidRPr="0077771A">
        <w:rPr>
          <w:rFonts w:ascii="Times New Roman" w:eastAsia="Calibri" w:hAnsi="Times New Roman"/>
          <w:b/>
          <w:szCs w:val="24"/>
          <w:lang w:val="en-GB"/>
        </w:rPr>
        <w:t>macitentan</w:t>
      </w:r>
      <w:proofErr w:type="spellEnd"/>
      <w:r w:rsidRPr="0077771A">
        <w:rPr>
          <w:rFonts w:ascii="Times New Roman" w:eastAsia="Calibri" w:hAnsi="Times New Roman"/>
          <w:b/>
          <w:szCs w:val="24"/>
          <w:lang w:val="en-GB"/>
        </w:rPr>
        <w:t>-treated subjects and at a greater incidence than placebo (during treatment and up to 28 days after treatment discontinuation)</w:t>
      </w:r>
    </w:p>
    <w:tbl>
      <w:tblPr>
        <w:tblW w:w="5000" w:type="pct"/>
        <w:tblLook w:val="04A0" w:firstRow="1" w:lastRow="0" w:firstColumn="1" w:lastColumn="0" w:noHBand="0" w:noVBand="1"/>
      </w:tblPr>
      <w:tblGrid>
        <w:gridCol w:w="4245"/>
        <w:gridCol w:w="1071"/>
        <w:gridCol w:w="1071"/>
        <w:gridCol w:w="1071"/>
        <w:gridCol w:w="1067"/>
      </w:tblGrid>
      <w:tr w:rsidR="009350E0" w:rsidRPr="009350E0" w:rsidTr="00F30D0A">
        <w:tc>
          <w:tcPr>
            <w:tcW w:w="2490" w:type="pct"/>
            <w:vMerge w:val="restar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b/>
                <w:sz w:val="22"/>
                <w:szCs w:val="22"/>
                <w:lang w:val="en-GB"/>
              </w:rPr>
            </w:pPr>
            <w:r w:rsidRPr="009350E0">
              <w:rPr>
                <w:rFonts w:ascii="Times New Roman" w:eastAsia="Calibri" w:hAnsi="Times New Roman"/>
                <w:b/>
                <w:sz w:val="22"/>
                <w:szCs w:val="22"/>
                <w:lang w:val="en-GB"/>
              </w:rPr>
              <w:t xml:space="preserve">System Organ Class / </w:t>
            </w:r>
          </w:p>
          <w:p w:rsidR="009350E0" w:rsidRPr="009350E0" w:rsidRDefault="009350E0" w:rsidP="00F30D0A">
            <w:pPr>
              <w:spacing w:line="260" w:lineRule="atLeast"/>
              <w:ind w:left="340"/>
              <w:jc w:val="both"/>
              <w:rPr>
                <w:rFonts w:ascii="Times New Roman" w:eastAsia="Calibri" w:hAnsi="Times New Roman"/>
                <w:b/>
                <w:sz w:val="22"/>
                <w:szCs w:val="22"/>
                <w:lang w:val="en-GB"/>
              </w:rPr>
            </w:pPr>
            <w:r w:rsidRPr="009350E0">
              <w:rPr>
                <w:rFonts w:ascii="Times New Roman" w:eastAsia="Calibri" w:hAnsi="Times New Roman"/>
                <w:b/>
                <w:sz w:val="22"/>
                <w:szCs w:val="22"/>
                <w:lang w:val="en-GB"/>
              </w:rPr>
              <w:t>Preferred Term</w:t>
            </w:r>
          </w:p>
        </w:tc>
        <w:tc>
          <w:tcPr>
            <w:tcW w:w="1256" w:type="pct"/>
            <w:gridSpan w:val="2"/>
            <w:tcBorders>
              <w:top w:val="single" w:sz="4" w:space="0" w:color="auto"/>
            </w:tcBorders>
            <w:shd w:val="clear" w:color="auto" w:fill="auto"/>
          </w:tcPr>
          <w:p w:rsidR="009350E0" w:rsidRPr="009350E0" w:rsidRDefault="009350E0" w:rsidP="00F30D0A">
            <w:pPr>
              <w:spacing w:line="260" w:lineRule="atLeast"/>
              <w:jc w:val="center"/>
              <w:rPr>
                <w:rFonts w:ascii="Times New Roman" w:eastAsia="Calibri" w:hAnsi="Times New Roman"/>
                <w:b/>
                <w:sz w:val="22"/>
                <w:szCs w:val="22"/>
                <w:lang w:val="en-GB"/>
              </w:rPr>
            </w:pPr>
            <w:r w:rsidRPr="009350E0">
              <w:rPr>
                <w:rFonts w:ascii="Times New Roman" w:eastAsia="Calibri" w:hAnsi="Times New Roman"/>
                <w:b/>
                <w:sz w:val="22"/>
                <w:szCs w:val="22"/>
                <w:lang w:val="en-GB"/>
              </w:rPr>
              <w:t>Placebo</w:t>
            </w:r>
          </w:p>
          <w:p w:rsidR="009350E0" w:rsidRPr="009350E0" w:rsidRDefault="009350E0" w:rsidP="00F30D0A">
            <w:pPr>
              <w:spacing w:line="260" w:lineRule="atLeast"/>
              <w:jc w:val="center"/>
              <w:rPr>
                <w:rFonts w:ascii="Times New Roman" w:eastAsia="Calibri" w:hAnsi="Times New Roman"/>
                <w:b/>
                <w:sz w:val="22"/>
                <w:szCs w:val="22"/>
                <w:lang w:val="en-GB"/>
              </w:rPr>
            </w:pPr>
          </w:p>
          <w:p w:rsidR="009350E0" w:rsidRPr="009350E0" w:rsidRDefault="009350E0" w:rsidP="00F30D0A">
            <w:pPr>
              <w:spacing w:line="260" w:lineRule="atLeast"/>
              <w:jc w:val="center"/>
              <w:rPr>
                <w:rFonts w:ascii="Times New Roman" w:eastAsia="Calibri" w:hAnsi="Times New Roman"/>
                <w:b/>
                <w:sz w:val="22"/>
                <w:szCs w:val="22"/>
                <w:lang w:val="en-GB"/>
              </w:rPr>
            </w:pPr>
            <w:r w:rsidRPr="009350E0">
              <w:rPr>
                <w:rFonts w:ascii="Times New Roman" w:eastAsia="Calibri" w:hAnsi="Times New Roman"/>
                <w:b/>
                <w:sz w:val="22"/>
                <w:szCs w:val="22"/>
                <w:lang w:val="en-GB"/>
              </w:rPr>
              <w:t>N=249</w:t>
            </w:r>
          </w:p>
        </w:tc>
        <w:tc>
          <w:tcPr>
            <w:tcW w:w="1254" w:type="pct"/>
            <w:gridSpan w:val="2"/>
            <w:tcBorders>
              <w:top w:val="single" w:sz="4" w:space="0" w:color="auto"/>
            </w:tcBorders>
            <w:shd w:val="clear" w:color="auto" w:fill="auto"/>
          </w:tcPr>
          <w:p w:rsidR="009350E0" w:rsidRPr="009350E0" w:rsidRDefault="009350E0" w:rsidP="00F30D0A">
            <w:pPr>
              <w:spacing w:line="260" w:lineRule="atLeast"/>
              <w:jc w:val="center"/>
              <w:rPr>
                <w:rFonts w:ascii="Times New Roman" w:eastAsia="Calibri" w:hAnsi="Times New Roman"/>
                <w:b/>
                <w:sz w:val="22"/>
                <w:szCs w:val="22"/>
                <w:lang w:val="en-GB"/>
              </w:rPr>
            </w:pPr>
            <w:proofErr w:type="spellStart"/>
            <w:r w:rsidRPr="009350E0">
              <w:rPr>
                <w:rFonts w:ascii="Times New Roman" w:eastAsia="Calibri" w:hAnsi="Times New Roman"/>
                <w:b/>
                <w:sz w:val="22"/>
                <w:szCs w:val="22"/>
                <w:lang w:val="en-GB"/>
              </w:rPr>
              <w:t>Macitentan</w:t>
            </w:r>
            <w:proofErr w:type="spellEnd"/>
          </w:p>
          <w:p w:rsidR="009350E0" w:rsidRPr="009350E0" w:rsidRDefault="009350E0" w:rsidP="00F30D0A">
            <w:pPr>
              <w:spacing w:line="260" w:lineRule="atLeast"/>
              <w:jc w:val="center"/>
              <w:rPr>
                <w:rFonts w:ascii="Times New Roman" w:eastAsia="Calibri" w:hAnsi="Times New Roman"/>
                <w:b/>
                <w:sz w:val="22"/>
                <w:szCs w:val="22"/>
                <w:lang w:val="en-GB"/>
              </w:rPr>
            </w:pPr>
            <w:r w:rsidRPr="009350E0">
              <w:rPr>
                <w:rFonts w:ascii="Times New Roman" w:eastAsia="Calibri" w:hAnsi="Times New Roman"/>
                <w:b/>
                <w:sz w:val="22"/>
                <w:szCs w:val="22"/>
                <w:lang w:val="en-GB"/>
              </w:rPr>
              <w:t>10 mg</w:t>
            </w:r>
          </w:p>
          <w:p w:rsidR="009350E0" w:rsidRPr="009350E0" w:rsidRDefault="009350E0" w:rsidP="00F30D0A">
            <w:pPr>
              <w:spacing w:line="260" w:lineRule="atLeast"/>
              <w:jc w:val="center"/>
              <w:rPr>
                <w:rFonts w:ascii="Times New Roman" w:eastAsia="Calibri" w:hAnsi="Times New Roman"/>
                <w:b/>
                <w:sz w:val="22"/>
                <w:szCs w:val="22"/>
                <w:lang w:val="en-GB"/>
              </w:rPr>
            </w:pPr>
            <w:r w:rsidRPr="009350E0">
              <w:rPr>
                <w:rFonts w:ascii="Times New Roman" w:eastAsia="Calibri" w:hAnsi="Times New Roman"/>
                <w:b/>
                <w:sz w:val="22"/>
                <w:szCs w:val="22"/>
                <w:lang w:val="en-GB"/>
              </w:rPr>
              <w:t>N=242</w:t>
            </w:r>
          </w:p>
        </w:tc>
      </w:tr>
      <w:tr w:rsidR="009350E0" w:rsidRPr="009350E0" w:rsidTr="00F30D0A">
        <w:tc>
          <w:tcPr>
            <w:tcW w:w="2490" w:type="pct"/>
            <w:vMerge/>
            <w:tcBorders>
              <w:bottom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No.</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No.</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Blood and lymphatic system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Anaemia</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3.2%</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32</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13.2%</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Thrombocytopenia</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7</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2.8%</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12</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5.0%</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Gastrointestinal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Diarrhoea</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17</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6.8%</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22</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9.1%</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Abdominal pain upper</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4.4%</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4.5%</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 xml:space="preserve">General disorders and administration site </w:t>
            </w:r>
            <w:r w:rsidRPr="009350E0">
              <w:rPr>
                <w:rFonts w:ascii="Times New Roman" w:eastAsia="Calibri" w:hAnsi="Times New Roman"/>
                <w:sz w:val="22"/>
                <w:szCs w:val="22"/>
                <w:lang w:val="en-GB"/>
              </w:rPr>
              <w:lastRenderedPageBreak/>
              <w:t>conditions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lastRenderedPageBreak/>
              <w:t>Oedema peripheral</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45</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18.1%</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44</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18.2%</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Pyrexia</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9</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3.6%</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9</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3.7%</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Infections and infestations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Upper respiratory tract infection</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13.3%</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37</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15.3%</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proofErr w:type="spellStart"/>
            <w:r w:rsidRPr="009350E0">
              <w:rPr>
                <w:rFonts w:ascii="Times New Roman" w:eastAsia="Calibri" w:hAnsi="Times New Roman"/>
                <w:sz w:val="22"/>
                <w:szCs w:val="22"/>
                <w:lang w:val="en-GB"/>
              </w:rPr>
              <w:t>Nasopharyngitis</w:t>
            </w:r>
            <w:proofErr w:type="spellEnd"/>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10.4%</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34</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14.0%</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Bronchitis</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28</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11.6%</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Urinary tract infection</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21</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8.7%</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Respiratory tract infection viral</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9</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15</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6.2%</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Pharyngitis</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7</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2.8%</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15</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6.2%</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Influenza</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5.8%</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Sinusitis</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6</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2.4%</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4.5%</w:t>
            </w: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Gastroenteritis</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1.2%</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Rhinitis</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0.8%</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Metabolism and nutrition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Hypokalaemia</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5.6%</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14</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5.8%</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Musculoskeletal and connective tissue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Arthralgia</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10</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4.0%</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4.5%</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Myalgia</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1.6%</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Nervous system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Headache</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22</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8.8%</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13.6%</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Psychiatric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Insomnia</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10</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4.0%</w:t>
            </w:r>
          </w:p>
        </w:tc>
        <w:tc>
          <w:tcPr>
            <w:tcW w:w="628"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17</w:t>
            </w:r>
          </w:p>
        </w:tc>
        <w:tc>
          <w:tcPr>
            <w:tcW w:w="626" w:type="pct"/>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7.0%</w:t>
            </w: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Depression</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3.2%</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Skin and subcutaneous tissue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Skin ulcer</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1.2%</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8</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3.3%</w:t>
            </w:r>
          </w:p>
        </w:tc>
      </w:tr>
      <w:tr w:rsidR="009350E0" w:rsidRPr="009350E0" w:rsidTr="00F30D0A">
        <w:tc>
          <w:tcPr>
            <w:tcW w:w="2490" w:type="pct"/>
            <w:tcBorders>
              <w:top w:val="single" w:sz="4" w:space="0" w:color="auto"/>
            </w:tcBorders>
            <w:shd w:val="clear" w:color="auto" w:fill="auto"/>
          </w:tcPr>
          <w:p w:rsidR="009350E0" w:rsidRPr="009350E0" w:rsidRDefault="009350E0" w:rsidP="00F30D0A">
            <w:pPr>
              <w:spacing w:line="260" w:lineRule="atLeast"/>
              <w:jc w:val="both"/>
              <w:rPr>
                <w:rFonts w:ascii="Times New Roman" w:eastAsia="Calibri" w:hAnsi="Times New Roman"/>
                <w:sz w:val="22"/>
                <w:szCs w:val="22"/>
                <w:lang w:val="en-GB"/>
              </w:rPr>
            </w:pPr>
            <w:r w:rsidRPr="009350E0">
              <w:rPr>
                <w:rFonts w:ascii="Times New Roman" w:eastAsia="Calibri" w:hAnsi="Times New Roman"/>
                <w:sz w:val="22"/>
                <w:szCs w:val="22"/>
                <w:lang w:val="en-GB"/>
              </w:rPr>
              <w:t>Vascular disorders</w:t>
            </w: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8"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c>
          <w:tcPr>
            <w:tcW w:w="626" w:type="pct"/>
            <w:tcBorders>
              <w:top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p>
        </w:tc>
      </w:tr>
      <w:tr w:rsidR="009350E0" w:rsidRPr="009350E0" w:rsidTr="00F30D0A">
        <w:tc>
          <w:tcPr>
            <w:tcW w:w="2490" w:type="pct"/>
            <w:tcBorders>
              <w:bottom w:val="single" w:sz="4" w:space="0" w:color="auto"/>
            </w:tcBorders>
            <w:shd w:val="clear" w:color="auto" w:fill="auto"/>
          </w:tcPr>
          <w:p w:rsidR="009350E0" w:rsidRPr="009350E0" w:rsidRDefault="009350E0" w:rsidP="00F30D0A">
            <w:pPr>
              <w:spacing w:line="260" w:lineRule="atLeast"/>
              <w:ind w:firstLine="340"/>
              <w:jc w:val="both"/>
              <w:rPr>
                <w:rFonts w:ascii="Times New Roman" w:eastAsia="Calibri" w:hAnsi="Times New Roman"/>
                <w:sz w:val="22"/>
                <w:szCs w:val="22"/>
                <w:lang w:val="en-GB"/>
              </w:rPr>
            </w:pPr>
            <w:r w:rsidRPr="009350E0">
              <w:rPr>
                <w:rFonts w:ascii="Times New Roman" w:eastAsia="Calibri" w:hAnsi="Times New Roman"/>
                <w:sz w:val="22"/>
                <w:szCs w:val="22"/>
                <w:lang w:val="en-GB"/>
              </w:rPr>
              <w:t>Hypotension</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11</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4.4%</w:t>
            </w:r>
          </w:p>
        </w:tc>
        <w:tc>
          <w:tcPr>
            <w:tcW w:w="628"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15</w:t>
            </w:r>
          </w:p>
        </w:tc>
        <w:tc>
          <w:tcPr>
            <w:tcW w:w="626" w:type="pct"/>
            <w:tcBorders>
              <w:bottom w:val="single" w:sz="4" w:space="0" w:color="auto"/>
            </w:tcBorders>
            <w:shd w:val="clear" w:color="auto" w:fill="auto"/>
          </w:tcPr>
          <w:p w:rsidR="009350E0" w:rsidRPr="009350E0" w:rsidRDefault="009350E0" w:rsidP="00F30D0A">
            <w:pPr>
              <w:spacing w:line="260" w:lineRule="atLeast"/>
              <w:jc w:val="right"/>
              <w:rPr>
                <w:rFonts w:ascii="Times New Roman" w:eastAsia="Calibri" w:hAnsi="Times New Roman"/>
                <w:sz w:val="22"/>
                <w:szCs w:val="22"/>
                <w:lang w:val="en-GB"/>
              </w:rPr>
            </w:pPr>
            <w:r w:rsidRPr="009350E0">
              <w:rPr>
                <w:rFonts w:ascii="Times New Roman" w:eastAsia="Calibri" w:hAnsi="Times New Roman"/>
                <w:sz w:val="22"/>
                <w:szCs w:val="22"/>
                <w:lang w:val="en-GB"/>
              </w:rPr>
              <w:t>6.2%</w:t>
            </w:r>
          </w:p>
        </w:tc>
      </w:tr>
    </w:tbl>
    <w:p w:rsidR="009350E0" w:rsidRDefault="009350E0" w:rsidP="006C3394">
      <w:pPr>
        <w:rPr>
          <w:b/>
          <w:sz w:val="22"/>
          <w:szCs w:val="22"/>
          <w:u w:val="single"/>
        </w:rPr>
      </w:pPr>
    </w:p>
    <w:p w:rsidR="001E1D36" w:rsidRPr="0077771A" w:rsidRDefault="001E1D36" w:rsidP="001E1D36">
      <w:pPr>
        <w:spacing w:before="120" w:after="120" w:line="260" w:lineRule="atLeast"/>
        <w:ind w:left="1531" w:hanging="1531"/>
        <w:jc w:val="both"/>
        <w:rPr>
          <w:rFonts w:ascii="Times New Roman" w:eastAsia="Calibri" w:hAnsi="Times New Roman"/>
          <w:b/>
          <w:szCs w:val="24"/>
          <w:lang w:val="en-GB"/>
        </w:rPr>
      </w:pPr>
      <w:r w:rsidRPr="0077771A">
        <w:rPr>
          <w:b/>
          <w:szCs w:val="24"/>
          <w:lang w:val="en-GB"/>
        </w:rPr>
        <w:t>Table 4</w:t>
      </w:r>
      <w:r w:rsidRPr="0077771A">
        <w:rPr>
          <w:b/>
          <w:szCs w:val="24"/>
          <w:lang w:val="en-GB"/>
        </w:rPr>
        <w:tab/>
        <w:t xml:space="preserve">Adverse </w:t>
      </w:r>
      <w:r w:rsidR="009E2640" w:rsidRPr="0077771A">
        <w:rPr>
          <w:b/>
          <w:szCs w:val="24"/>
          <w:lang w:val="en-GB"/>
        </w:rPr>
        <w:t>reactions</w:t>
      </w:r>
      <w:r w:rsidRPr="0077771A">
        <w:rPr>
          <w:b/>
          <w:szCs w:val="24"/>
          <w:lang w:val="en-GB"/>
        </w:rPr>
        <w:t xml:space="preserve"> occurring in </w:t>
      </w:r>
      <w:proofErr w:type="spellStart"/>
      <w:r w:rsidRPr="0077771A">
        <w:rPr>
          <w:b/>
          <w:szCs w:val="24"/>
          <w:lang w:val="en-GB"/>
        </w:rPr>
        <w:t>macitentan</w:t>
      </w:r>
      <w:proofErr w:type="spellEnd"/>
      <w:r w:rsidRPr="0077771A">
        <w:rPr>
          <w:b/>
          <w:szCs w:val="24"/>
          <w:lang w:val="en-GB"/>
        </w:rPr>
        <w:t>-treated subjects at an incidence &lt; 3 % and with a placebo-corrected difference ≥ 1 % (during treatment and up to 28 days after treatment discontinuation)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678"/>
      </w:tblGrid>
      <w:tr w:rsidR="001E1D36" w:rsidRPr="00F30D0A" w:rsidTr="00F30D0A">
        <w:tc>
          <w:tcPr>
            <w:tcW w:w="3544" w:type="dxa"/>
            <w:shd w:val="clear" w:color="auto" w:fill="auto"/>
          </w:tcPr>
          <w:p w:rsidR="001E1D36" w:rsidRPr="00F30D0A" w:rsidRDefault="001E1D36" w:rsidP="00F30D0A">
            <w:pPr>
              <w:ind w:left="176"/>
              <w:jc w:val="both"/>
              <w:rPr>
                <w:rFonts w:ascii="Times New Roman" w:eastAsia="Calibri" w:hAnsi="Times New Roman"/>
                <w:b/>
                <w:sz w:val="22"/>
                <w:szCs w:val="22"/>
                <w:lang w:val="en-GB"/>
              </w:rPr>
            </w:pPr>
            <w:r w:rsidRPr="00F30D0A">
              <w:rPr>
                <w:rFonts w:ascii="Times New Roman" w:eastAsia="Calibri" w:hAnsi="Times New Roman"/>
                <w:b/>
                <w:sz w:val="22"/>
                <w:szCs w:val="22"/>
                <w:lang w:val="en-GB"/>
              </w:rPr>
              <w:t>System Organ Class</w:t>
            </w:r>
          </w:p>
        </w:tc>
        <w:tc>
          <w:tcPr>
            <w:tcW w:w="4678" w:type="dxa"/>
            <w:shd w:val="clear" w:color="auto" w:fill="auto"/>
          </w:tcPr>
          <w:p w:rsidR="001E1D36" w:rsidRPr="00F30D0A" w:rsidRDefault="001E1D36" w:rsidP="00F30D0A">
            <w:pPr>
              <w:jc w:val="both"/>
              <w:rPr>
                <w:rFonts w:ascii="Times New Roman" w:eastAsia="Calibri" w:hAnsi="Times New Roman"/>
                <w:b/>
                <w:sz w:val="22"/>
                <w:szCs w:val="22"/>
                <w:lang w:val="en-GB"/>
              </w:rPr>
            </w:pPr>
            <w:r w:rsidRPr="00F30D0A">
              <w:rPr>
                <w:rFonts w:ascii="Times New Roman" w:eastAsia="Calibri" w:hAnsi="Times New Roman"/>
                <w:b/>
                <w:sz w:val="22"/>
                <w:szCs w:val="22"/>
                <w:lang w:val="en-GB"/>
              </w:rPr>
              <w:t xml:space="preserve">Common </w:t>
            </w:r>
            <w:r w:rsidRPr="00F30D0A">
              <w:rPr>
                <w:rFonts w:ascii="Times New Roman" w:eastAsia="Calibri" w:hAnsi="Times New Roman"/>
                <w:b/>
                <w:sz w:val="22"/>
                <w:szCs w:val="22"/>
                <w:lang w:val="en-GB"/>
              </w:rPr>
              <w:br/>
              <w:t>≥ 1/100 and &lt; 1/10)</w:t>
            </w:r>
          </w:p>
        </w:tc>
      </w:tr>
      <w:tr w:rsidR="001E1D36" w:rsidRPr="00F30D0A" w:rsidTr="00F30D0A">
        <w:tc>
          <w:tcPr>
            <w:tcW w:w="3544"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 xml:space="preserve">Eye disorders </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Conjunctivitis</w:t>
            </w:r>
          </w:p>
        </w:tc>
      </w:tr>
      <w:tr w:rsidR="001E1D36" w:rsidRPr="00F30D0A" w:rsidTr="00F30D0A">
        <w:trPr>
          <w:trHeight w:val="779"/>
        </w:trPr>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Gastrointestinal disorders</w:t>
            </w:r>
          </w:p>
        </w:tc>
        <w:tc>
          <w:tcPr>
            <w:tcW w:w="4678" w:type="dxa"/>
            <w:shd w:val="clear" w:color="auto" w:fill="auto"/>
          </w:tcPr>
          <w:p w:rsidR="001E1D36" w:rsidRPr="00F30D0A" w:rsidRDefault="001E1D36" w:rsidP="00F33710">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 xml:space="preserve">Abdominal pain, </w:t>
            </w:r>
            <w:r w:rsidR="00F33710" w:rsidRPr="00F30D0A">
              <w:rPr>
                <w:rFonts w:ascii="Times New Roman" w:eastAsia="Calibri" w:hAnsi="Times New Roman"/>
                <w:sz w:val="22"/>
                <w:szCs w:val="22"/>
                <w:lang w:val="en-GB"/>
              </w:rPr>
              <w:t>Irritable bowel syndrome</w:t>
            </w:r>
            <w:r w:rsidR="00F33710">
              <w:rPr>
                <w:rFonts w:ascii="Times New Roman" w:eastAsia="Calibri" w:hAnsi="Times New Roman"/>
                <w:sz w:val="22"/>
                <w:szCs w:val="22"/>
                <w:lang w:val="en-GB"/>
              </w:rPr>
              <w:t>,</w:t>
            </w:r>
            <w:r w:rsidR="00F33710" w:rsidRPr="00F30D0A">
              <w:rPr>
                <w:rFonts w:ascii="Times New Roman" w:eastAsia="Calibri" w:hAnsi="Times New Roman"/>
                <w:sz w:val="22"/>
                <w:szCs w:val="22"/>
                <w:lang w:val="en-GB"/>
              </w:rPr>
              <w:t xml:space="preserve"> </w:t>
            </w:r>
            <w:r w:rsidRPr="00F30D0A">
              <w:rPr>
                <w:rFonts w:ascii="Times New Roman" w:eastAsia="Calibri" w:hAnsi="Times New Roman"/>
                <w:sz w:val="22"/>
                <w:szCs w:val="22"/>
                <w:lang w:val="en-GB"/>
              </w:rPr>
              <w:t xml:space="preserve">Haemorrhoids </w:t>
            </w:r>
          </w:p>
        </w:tc>
      </w:tr>
      <w:tr w:rsidR="001E1D36" w:rsidRPr="00F30D0A" w:rsidTr="00F30D0A">
        <w:tc>
          <w:tcPr>
            <w:tcW w:w="3544" w:type="dxa"/>
            <w:shd w:val="clear" w:color="auto" w:fill="auto"/>
          </w:tcPr>
          <w:p w:rsidR="001E1D36" w:rsidRPr="00F30D0A" w:rsidRDefault="001E1D36" w:rsidP="00F30D0A">
            <w:pPr>
              <w:ind w:left="34"/>
              <w:rPr>
                <w:rFonts w:ascii="Times New Roman" w:eastAsia="Calibri" w:hAnsi="Times New Roman"/>
                <w:sz w:val="22"/>
                <w:szCs w:val="22"/>
                <w:lang w:val="en-GB"/>
              </w:rPr>
            </w:pPr>
            <w:proofErr w:type="spellStart"/>
            <w:r w:rsidRPr="00F30D0A">
              <w:rPr>
                <w:rFonts w:ascii="Times New Roman" w:eastAsia="Calibri" w:hAnsi="Times New Roman"/>
                <w:sz w:val="22"/>
                <w:szCs w:val="22"/>
                <w:lang w:val="en-GB"/>
              </w:rPr>
              <w:t>Hepatobiliary</w:t>
            </w:r>
            <w:proofErr w:type="spellEnd"/>
            <w:r w:rsidRPr="00F30D0A">
              <w:rPr>
                <w:rFonts w:ascii="Times New Roman" w:eastAsia="Calibri" w:hAnsi="Times New Roman"/>
                <w:sz w:val="22"/>
                <w:szCs w:val="22"/>
                <w:lang w:val="en-GB"/>
              </w:rPr>
              <w:t xml:space="preserve">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proofErr w:type="spellStart"/>
            <w:r w:rsidRPr="00F30D0A">
              <w:rPr>
                <w:rFonts w:ascii="Times New Roman" w:eastAsia="Calibri" w:hAnsi="Times New Roman"/>
                <w:sz w:val="22"/>
                <w:szCs w:val="22"/>
                <w:lang w:val="en-GB"/>
              </w:rPr>
              <w:t>Cholelithiasis</w:t>
            </w:r>
            <w:proofErr w:type="spellEnd"/>
          </w:p>
        </w:tc>
      </w:tr>
      <w:tr w:rsidR="001E1D36" w:rsidRPr="00F30D0A" w:rsidTr="00F30D0A">
        <w:trPr>
          <w:trHeight w:val="576"/>
        </w:trPr>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Infections and infestations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Lower respiratory tract infection</w:t>
            </w:r>
            <w:r w:rsidR="00BF13DF" w:rsidRPr="00F30D0A">
              <w:rPr>
                <w:rFonts w:ascii="Times New Roman" w:eastAsia="Calibri" w:hAnsi="Times New Roman"/>
                <w:sz w:val="22"/>
                <w:szCs w:val="22"/>
                <w:lang w:val="en-GB"/>
              </w:rPr>
              <w:t>,</w:t>
            </w:r>
            <w:r w:rsidRPr="00F30D0A">
              <w:rPr>
                <w:rFonts w:ascii="Times New Roman" w:eastAsia="Calibri" w:hAnsi="Times New Roman"/>
                <w:sz w:val="22"/>
                <w:szCs w:val="22"/>
                <w:lang w:val="en-GB"/>
              </w:rPr>
              <w:t xml:space="preserve"> Gastroenteritis viral, </w:t>
            </w:r>
            <w:proofErr w:type="spellStart"/>
            <w:r w:rsidRPr="00F30D0A">
              <w:rPr>
                <w:rFonts w:ascii="Times New Roman" w:eastAsia="Calibri" w:hAnsi="Times New Roman"/>
                <w:sz w:val="22"/>
                <w:szCs w:val="22"/>
                <w:lang w:val="en-GB"/>
              </w:rPr>
              <w:t>Tracheitis</w:t>
            </w:r>
            <w:proofErr w:type="spellEnd"/>
            <w:r w:rsidRPr="00F30D0A">
              <w:rPr>
                <w:rFonts w:ascii="Times New Roman" w:eastAsia="Calibri" w:hAnsi="Times New Roman"/>
                <w:sz w:val="22"/>
                <w:szCs w:val="22"/>
                <w:lang w:val="en-GB"/>
              </w:rPr>
              <w:t>, Tonsillitis</w:t>
            </w:r>
          </w:p>
        </w:tc>
      </w:tr>
      <w:tr w:rsidR="001E1D36" w:rsidRPr="00F30D0A" w:rsidTr="00824749">
        <w:trPr>
          <w:trHeight w:val="623"/>
        </w:trPr>
        <w:tc>
          <w:tcPr>
            <w:tcW w:w="3544"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Investigations</w:t>
            </w:r>
          </w:p>
        </w:tc>
        <w:tc>
          <w:tcPr>
            <w:tcW w:w="4678" w:type="dxa"/>
            <w:shd w:val="clear" w:color="auto" w:fill="auto"/>
          </w:tcPr>
          <w:p w:rsidR="001E1D36" w:rsidRPr="00F30D0A" w:rsidRDefault="00F33710" w:rsidP="00F33710">
            <w:pPr>
              <w:ind w:left="34"/>
              <w:rPr>
                <w:rFonts w:ascii="Times New Roman" w:eastAsia="Calibri" w:hAnsi="Times New Roman"/>
                <w:sz w:val="22"/>
                <w:szCs w:val="22"/>
                <w:lang w:val="en-GB"/>
              </w:rPr>
            </w:pPr>
            <w:r>
              <w:rPr>
                <w:rFonts w:ascii="Times New Roman" w:eastAsia="Calibri" w:hAnsi="Times New Roman"/>
                <w:sz w:val="22"/>
                <w:szCs w:val="22"/>
                <w:lang w:val="en-GB"/>
              </w:rPr>
              <w:t>Haemoglobin decreased,</w:t>
            </w:r>
            <w:r w:rsidR="001E1D36" w:rsidRPr="00F30D0A">
              <w:rPr>
                <w:rFonts w:ascii="Times New Roman" w:eastAsia="Calibri" w:hAnsi="Times New Roman"/>
                <w:sz w:val="22"/>
                <w:szCs w:val="22"/>
                <w:lang w:val="en-GB"/>
              </w:rPr>
              <w:t xml:space="preserve"> Haematocrit decreased</w:t>
            </w:r>
            <w:r>
              <w:rPr>
                <w:rFonts w:ascii="Times New Roman" w:eastAsia="Calibri" w:hAnsi="Times New Roman"/>
                <w:sz w:val="22"/>
                <w:szCs w:val="22"/>
                <w:lang w:val="en-GB"/>
              </w:rPr>
              <w:t>,</w:t>
            </w:r>
            <w:r w:rsidRPr="00F30D0A">
              <w:rPr>
                <w:rFonts w:ascii="Times New Roman" w:eastAsia="Calibri" w:hAnsi="Times New Roman"/>
                <w:sz w:val="22"/>
                <w:szCs w:val="22"/>
                <w:lang w:val="en-GB"/>
              </w:rPr>
              <w:t xml:space="preserve"> Blood urea increased</w:t>
            </w:r>
          </w:p>
        </w:tc>
      </w:tr>
      <w:tr w:rsidR="001E1D36" w:rsidRPr="00F30D0A" w:rsidTr="00F30D0A">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Metabolism and nutrition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Hyperkalaemia</w:t>
            </w:r>
          </w:p>
        </w:tc>
      </w:tr>
      <w:tr w:rsidR="001E1D36" w:rsidRPr="00F30D0A" w:rsidTr="00F30D0A">
        <w:trPr>
          <w:trHeight w:val="516"/>
        </w:trPr>
        <w:tc>
          <w:tcPr>
            <w:tcW w:w="3544" w:type="dxa"/>
            <w:shd w:val="clear" w:color="auto" w:fill="auto"/>
          </w:tcPr>
          <w:p w:rsidR="001E1D36" w:rsidRPr="00F30D0A" w:rsidRDefault="001E1D36" w:rsidP="00BF13DF">
            <w:pPr>
              <w:rPr>
                <w:rFonts w:ascii="Times New Roman" w:eastAsia="Calibri" w:hAnsi="Times New Roman"/>
                <w:sz w:val="22"/>
                <w:szCs w:val="22"/>
                <w:lang w:val="en-US"/>
              </w:rPr>
            </w:pPr>
            <w:r w:rsidRPr="00F30D0A">
              <w:rPr>
                <w:rFonts w:ascii="Times New Roman" w:eastAsia="Calibri" w:hAnsi="Times New Roman"/>
                <w:sz w:val="22"/>
                <w:szCs w:val="22"/>
                <w:lang w:val="en-GB"/>
              </w:rPr>
              <w:t>Musculoskeletal and connective tissue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Systemic sclerosis</w:t>
            </w:r>
            <w:r w:rsidR="00F33710">
              <w:rPr>
                <w:rFonts w:ascii="Times New Roman" w:eastAsia="Calibri" w:hAnsi="Times New Roman"/>
                <w:sz w:val="22"/>
                <w:szCs w:val="22"/>
                <w:lang w:val="en-GB"/>
              </w:rPr>
              <w:t>,</w:t>
            </w:r>
            <w:r w:rsidR="00F33710" w:rsidRPr="00F30D0A">
              <w:rPr>
                <w:rFonts w:ascii="Times New Roman" w:eastAsia="Calibri" w:hAnsi="Times New Roman"/>
                <w:sz w:val="22"/>
                <w:szCs w:val="22"/>
                <w:lang w:val="en-GB"/>
              </w:rPr>
              <w:t xml:space="preserve"> </w:t>
            </w:r>
            <w:proofErr w:type="spellStart"/>
            <w:r w:rsidR="00F33710" w:rsidRPr="00F30D0A">
              <w:rPr>
                <w:rFonts w:ascii="Times New Roman" w:eastAsia="Calibri" w:hAnsi="Times New Roman"/>
                <w:sz w:val="22"/>
                <w:szCs w:val="22"/>
                <w:lang w:val="en-GB"/>
              </w:rPr>
              <w:t>Costochondritis</w:t>
            </w:r>
            <w:proofErr w:type="spellEnd"/>
          </w:p>
        </w:tc>
      </w:tr>
      <w:tr w:rsidR="001E1D36" w:rsidRPr="00F30D0A" w:rsidTr="00F30D0A">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Nervous system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Migraine</w:t>
            </w:r>
          </w:p>
        </w:tc>
      </w:tr>
      <w:tr w:rsidR="001E1D36" w:rsidRPr="00CE6FD3" w:rsidTr="00F30D0A">
        <w:trPr>
          <w:trHeight w:val="568"/>
        </w:trPr>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lastRenderedPageBreak/>
              <w:t>Reproductive system and breast disorders</w:t>
            </w:r>
          </w:p>
        </w:tc>
        <w:tc>
          <w:tcPr>
            <w:tcW w:w="4678" w:type="dxa"/>
            <w:shd w:val="clear" w:color="auto" w:fill="auto"/>
          </w:tcPr>
          <w:p w:rsidR="001E1D36" w:rsidRPr="00F33710" w:rsidRDefault="001E1D36" w:rsidP="00F30D0A">
            <w:pPr>
              <w:ind w:left="34"/>
              <w:rPr>
                <w:rFonts w:ascii="Times New Roman" w:eastAsia="Calibri" w:hAnsi="Times New Roman"/>
                <w:sz w:val="22"/>
                <w:szCs w:val="22"/>
                <w:lang w:val="it-IT"/>
              </w:rPr>
            </w:pPr>
            <w:r w:rsidRPr="00F33710">
              <w:rPr>
                <w:rFonts w:ascii="Times New Roman" w:eastAsia="Calibri" w:hAnsi="Times New Roman"/>
                <w:sz w:val="22"/>
                <w:szCs w:val="22"/>
                <w:lang w:val="it-IT"/>
              </w:rPr>
              <w:t>Metrorrhagia, Menorrhagia, Ovarian cyst</w:t>
            </w:r>
            <w:r w:rsidR="00F33710">
              <w:rPr>
                <w:rFonts w:ascii="Times New Roman" w:eastAsia="Calibri" w:hAnsi="Times New Roman"/>
                <w:sz w:val="22"/>
                <w:szCs w:val="22"/>
                <w:lang w:val="it-IT"/>
              </w:rPr>
              <w:t>,</w:t>
            </w:r>
            <w:r w:rsidR="00F33710" w:rsidRPr="00F33710">
              <w:rPr>
                <w:rFonts w:ascii="Times New Roman" w:eastAsia="Calibri" w:hAnsi="Times New Roman"/>
                <w:sz w:val="22"/>
                <w:szCs w:val="22"/>
                <w:lang w:val="it-IT"/>
              </w:rPr>
              <w:t xml:space="preserve"> Gynaecomastia</w:t>
            </w:r>
          </w:p>
        </w:tc>
      </w:tr>
      <w:tr w:rsidR="001E1D36" w:rsidRPr="00F30D0A" w:rsidTr="00F30D0A">
        <w:trPr>
          <w:trHeight w:val="779"/>
        </w:trPr>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 xml:space="preserve">Respiratory, thoracic and </w:t>
            </w:r>
            <w:proofErr w:type="spellStart"/>
            <w:r w:rsidRPr="00F30D0A">
              <w:rPr>
                <w:rFonts w:ascii="Times New Roman" w:eastAsia="Calibri" w:hAnsi="Times New Roman"/>
                <w:sz w:val="22"/>
                <w:szCs w:val="22"/>
                <w:lang w:val="en-GB"/>
              </w:rPr>
              <w:t>mediastinal</w:t>
            </w:r>
            <w:proofErr w:type="spellEnd"/>
            <w:r w:rsidRPr="00F30D0A">
              <w:rPr>
                <w:rFonts w:ascii="Times New Roman" w:eastAsia="Calibri" w:hAnsi="Times New Roman"/>
                <w:sz w:val="22"/>
                <w:szCs w:val="22"/>
                <w:lang w:val="en-GB"/>
              </w:rPr>
              <w:t xml:space="preserve">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 xml:space="preserve">Rhinorrhoea, Productive cough, Bronchial </w:t>
            </w:r>
            <w:proofErr w:type="spellStart"/>
            <w:r w:rsidRPr="00F30D0A">
              <w:rPr>
                <w:rFonts w:ascii="Times New Roman" w:eastAsia="Calibri" w:hAnsi="Times New Roman"/>
                <w:sz w:val="22"/>
                <w:szCs w:val="22"/>
                <w:lang w:val="en-GB"/>
              </w:rPr>
              <w:t>hyperreactivity</w:t>
            </w:r>
            <w:proofErr w:type="spellEnd"/>
          </w:p>
        </w:tc>
      </w:tr>
      <w:tr w:rsidR="001E1D36" w:rsidRPr="00F30D0A" w:rsidTr="00F30D0A">
        <w:trPr>
          <w:trHeight w:val="580"/>
        </w:trPr>
        <w:tc>
          <w:tcPr>
            <w:tcW w:w="3544" w:type="dxa"/>
            <w:shd w:val="clear" w:color="auto" w:fill="auto"/>
          </w:tcPr>
          <w:p w:rsidR="001E1D36" w:rsidRPr="00F30D0A" w:rsidRDefault="001E1D36" w:rsidP="00F30D0A">
            <w:pPr>
              <w:ind w:firstLine="34"/>
              <w:rPr>
                <w:rFonts w:ascii="Times New Roman" w:eastAsia="Calibri" w:hAnsi="Times New Roman"/>
                <w:sz w:val="22"/>
                <w:szCs w:val="22"/>
                <w:lang w:val="en-GB"/>
              </w:rPr>
            </w:pPr>
            <w:r w:rsidRPr="00F30D0A">
              <w:rPr>
                <w:rFonts w:ascii="Times New Roman" w:eastAsia="Calibri" w:hAnsi="Times New Roman"/>
                <w:sz w:val="22"/>
                <w:szCs w:val="22"/>
                <w:lang w:val="en-GB"/>
              </w:rPr>
              <w:t>Skin and subcutaneous tissue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 xml:space="preserve">Pruritus, Eczema, </w:t>
            </w:r>
            <w:proofErr w:type="spellStart"/>
            <w:r w:rsidRPr="00F30D0A">
              <w:rPr>
                <w:rFonts w:ascii="Times New Roman" w:eastAsia="Calibri" w:hAnsi="Times New Roman"/>
                <w:sz w:val="22"/>
                <w:szCs w:val="22"/>
                <w:lang w:val="en-GB"/>
              </w:rPr>
              <w:t>Urticaria</w:t>
            </w:r>
            <w:proofErr w:type="spellEnd"/>
          </w:p>
        </w:tc>
      </w:tr>
      <w:tr w:rsidR="001E1D36" w:rsidRPr="00F30D0A" w:rsidTr="00F30D0A">
        <w:tc>
          <w:tcPr>
            <w:tcW w:w="3544" w:type="dxa"/>
            <w:shd w:val="clear" w:color="auto" w:fill="auto"/>
          </w:tcPr>
          <w:p w:rsidR="001E1D36" w:rsidRPr="00F30D0A" w:rsidRDefault="001E1D36" w:rsidP="00BF13DF">
            <w:pPr>
              <w:rPr>
                <w:rFonts w:ascii="Times New Roman" w:eastAsia="Calibri" w:hAnsi="Times New Roman"/>
                <w:sz w:val="22"/>
                <w:szCs w:val="22"/>
                <w:lang w:val="en-GB"/>
              </w:rPr>
            </w:pPr>
            <w:r w:rsidRPr="00F30D0A">
              <w:rPr>
                <w:rFonts w:ascii="Times New Roman" w:eastAsia="Calibri" w:hAnsi="Times New Roman"/>
                <w:sz w:val="22"/>
                <w:szCs w:val="22"/>
                <w:lang w:val="en-GB"/>
              </w:rPr>
              <w:t>Vascular disorders</w:t>
            </w:r>
          </w:p>
        </w:tc>
        <w:tc>
          <w:tcPr>
            <w:tcW w:w="4678" w:type="dxa"/>
            <w:shd w:val="clear" w:color="auto" w:fill="auto"/>
          </w:tcPr>
          <w:p w:rsidR="001E1D36" w:rsidRPr="00F30D0A" w:rsidRDefault="001E1D36" w:rsidP="00F30D0A">
            <w:pPr>
              <w:ind w:left="34"/>
              <w:rPr>
                <w:rFonts w:ascii="Times New Roman" w:eastAsia="Calibri" w:hAnsi="Times New Roman"/>
                <w:sz w:val="22"/>
                <w:szCs w:val="22"/>
                <w:lang w:val="en-GB"/>
              </w:rPr>
            </w:pPr>
            <w:r w:rsidRPr="00F30D0A">
              <w:rPr>
                <w:rFonts w:ascii="Times New Roman" w:eastAsia="Calibri" w:hAnsi="Times New Roman"/>
                <w:sz w:val="22"/>
                <w:szCs w:val="22"/>
                <w:lang w:val="en-GB"/>
              </w:rPr>
              <w:t>Flushing</w:t>
            </w:r>
          </w:p>
        </w:tc>
      </w:tr>
    </w:tbl>
    <w:p w:rsidR="006C3394" w:rsidRDefault="006C3394" w:rsidP="006C3394">
      <w:pPr>
        <w:rPr>
          <w:rFonts w:ascii="Times New Roman" w:hAnsi="Times New Roman"/>
          <w:b/>
          <w:szCs w:val="22"/>
        </w:rPr>
      </w:pPr>
    </w:p>
    <w:p w:rsidR="00733AF2" w:rsidRPr="00597E3C" w:rsidRDefault="00733AF2" w:rsidP="00733AF2">
      <w:pPr>
        <w:rPr>
          <w:rFonts w:ascii="Times New Roman" w:hAnsi="Times New Roman"/>
          <w:b/>
          <w:szCs w:val="22"/>
        </w:rPr>
      </w:pPr>
      <w:r w:rsidRPr="00597E3C">
        <w:rPr>
          <w:rFonts w:ascii="Times New Roman" w:hAnsi="Times New Roman"/>
          <w:b/>
          <w:szCs w:val="22"/>
        </w:rPr>
        <w:t>Laboratory abnormalities</w:t>
      </w:r>
    </w:p>
    <w:p w:rsidR="00733AF2" w:rsidRPr="00BB2887" w:rsidRDefault="00733AF2" w:rsidP="00733AF2">
      <w:pPr>
        <w:rPr>
          <w:i/>
        </w:rPr>
      </w:pPr>
      <w:r w:rsidRPr="00BB2887">
        <w:rPr>
          <w:i/>
        </w:rPr>
        <w:t>Liver aminotransferases</w:t>
      </w:r>
    </w:p>
    <w:p w:rsidR="00452B4C" w:rsidRPr="00004B2B" w:rsidRDefault="00452B4C" w:rsidP="0048693A">
      <w:pPr>
        <w:autoSpaceDE w:val="0"/>
        <w:autoSpaceDN w:val="0"/>
        <w:adjustRightInd w:val="0"/>
        <w:jc w:val="both"/>
        <w:rPr>
          <w:rFonts w:ascii="Times New Roman" w:hAnsi="Times New Roman"/>
          <w:szCs w:val="24"/>
          <w:lang w:val="en-US"/>
        </w:rPr>
      </w:pPr>
      <w:r w:rsidRPr="00004B2B">
        <w:rPr>
          <w:rFonts w:ascii="Times New Roman" w:hAnsi="Times New Roman"/>
          <w:szCs w:val="24"/>
          <w:lang w:val="en-US"/>
        </w:rPr>
        <w:t>The incidence of elevated aminotransferases in the study of OPSUMIT in PAH is shown in Table</w:t>
      </w:r>
      <w:r w:rsidR="009350E0" w:rsidRPr="00004B2B">
        <w:rPr>
          <w:rFonts w:ascii="Times New Roman" w:hAnsi="Times New Roman"/>
          <w:szCs w:val="24"/>
          <w:lang w:val="en-US"/>
        </w:rPr>
        <w:t>s</w:t>
      </w:r>
      <w:r w:rsidRPr="00004B2B">
        <w:rPr>
          <w:rFonts w:ascii="Times New Roman" w:hAnsi="Times New Roman"/>
          <w:szCs w:val="24"/>
          <w:lang w:val="en-US"/>
        </w:rPr>
        <w:t xml:space="preserve"> </w:t>
      </w:r>
      <w:r w:rsidR="00AF3085" w:rsidRPr="00004B2B">
        <w:rPr>
          <w:rFonts w:ascii="Times New Roman" w:hAnsi="Times New Roman"/>
          <w:szCs w:val="24"/>
          <w:lang w:val="en-US"/>
        </w:rPr>
        <w:t>5</w:t>
      </w:r>
      <w:r w:rsidR="009350E0" w:rsidRPr="00004B2B">
        <w:rPr>
          <w:rFonts w:ascii="Times New Roman" w:hAnsi="Times New Roman"/>
          <w:szCs w:val="24"/>
          <w:lang w:val="en-US"/>
        </w:rPr>
        <w:t xml:space="preserve"> and </w:t>
      </w:r>
      <w:r w:rsidR="00AF3085" w:rsidRPr="00004B2B">
        <w:rPr>
          <w:rFonts w:ascii="Times New Roman" w:hAnsi="Times New Roman"/>
          <w:szCs w:val="24"/>
          <w:lang w:val="en-US"/>
        </w:rPr>
        <w:t>6</w:t>
      </w:r>
      <w:r w:rsidRPr="00004B2B">
        <w:rPr>
          <w:rFonts w:ascii="Times New Roman" w:hAnsi="Times New Roman"/>
          <w:szCs w:val="24"/>
          <w:lang w:val="en-US"/>
        </w:rPr>
        <w:t>.</w:t>
      </w:r>
    </w:p>
    <w:p w:rsidR="009350E0" w:rsidRDefault="009350E0" w:rsidP="00452B4C">
      <w:pPr>
        <w:autoSpaceDE w:val="0"/>
        <w:autoSpaceDN w:val="0"/>
        <w:adjustRightInd w:val="0"/>
      </w:pPr>
    </w:p>
    <w:p w:rsidR="00AF3085" w:rsidRPr="0077771A" w:rsidRDefault="00AF3085" w:rsidP="00AF3085">
      <w:pPr>
        <w:spacing w:after="120"/>
        <w:ind w:left="1418"/>
        <w:jc w:val="both"/>
        <w:rPr>
          <w:rFonts w:ascii="Times New Roman" w:hAnsi="Times New Roman"/>
          <w:b/>
          <w:szCs w:val="24"/>
        </w:rPr>
      </w:pPr>
      <w:r w:rsidRPr="0077771A">
        <w:rPr>
          <w:rFonts w:ascii="Times New Roman" w:hAnsi="Times New Roman"/>
          <w:b/>
          <w:szCs w:val="24"/>
        </w:rPr>
        <w:t xml:space="preserve">Table 5 Incidence of Elevated Aminotransferases (ALT/AST) in the SERAPHIN Study </w:t>
      </w:r>
    </w:p>
    <w:tbl>
      <w:tblPr>
        <w:tblW w:w="6415" w:type="dxa"/>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68"/>
        <w:gridCol w:w="1945"/>
      </w:tblGrid>
      <w:tr w:rsidR="00AF3085" w:rsidRPr="00AF3085" w:rsidTr="00F30D0A">
        <w:trPr>
          <w:cantSplit/>
          <w:trHeight w:val="521"/>
          <w:tblHeader/>
        </w:trPr>
        <w:tc>
          <w:tcPr>
            <w:tcW w:w="2202" w:type="dxa"/>
            <w:shd w:val="clear" w:color="auto" w:fill="auto"/>
            <w:vAlign w:val="bottom"/>
          </w:tcPr>
          <w:p w:rsidR="00AF3085" w:rsidRPr="00AF3085" w:rsidRDefault="00AF3085" w:rsidP="00AF3085">
            <w:pPr>
              <w:ind w:left="425"/>
              <w:jc w:val="both"/>
              <w:rPr>
                <w:rFonts w:ascii="Times New Roman" w:hAnsi="Times New Roman"/>
                <w:sz w:val="22"/>
                <w:szCs w:val="22"/>
              </w:rPr>
            </w:pP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OPSUMIT 10 mg</w:t>
            </w:r>
          </w:p>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(N=242)</w:t>
            </w:r>
          </w:p>
        </w:tc>
        <w:tc>
          <w:tcPr>
            <w:tcW w:w="1945" w:type="dxa"/>
            <w:shd w:val="clear" w:color="auto" w:fill="auto"/>
          </w:tcPr>
          <w:p w:rsidR="00AF3085" w:rsidRPr="00AF3085" w:rsidRDefault="00AF3085" w:rsidP="00AF3085">
            <w:pPr>
              <w:ind w:left="474"/>
              <w:jc w:val="center"/>
              <w:rPr>
                <w:rFonts w:ascii="Times New Roman" w:hAnsi="Times New Roman"/>
                <w:sz w:val="22"/>
                <w:szCs w:val="22"/>
              </w:rPr>
            </w:pPr>
            <w:r w:rsidRPr="00AF3085">
              <w:rPr>
                <w:rFonts w:ascii="Times New Roman" w:hAnsi="Times New Roman"/>
                <w:sz w:val="22"/>
                <w:szCs w:val="22"/>
              </w:rPr>
              <w:t>Placebo</w:t>
            </w:r>
          </w:p>
          <w:p w:rsidR="00AF3085" w:rsidRPr="00AF3085" w:rsidRDefault="00AF3085" w:rsidP="00AF3085">
            <w:pPr>
              <w:ind w:left="474"/>
              <w:jc w:val="center"/>
              <w:rPr>
                <w:rFonts w:ascii="Times New Roman" w:hAnsi="Times New Roman"/>
                <w:sz w:val="22"/>
                <w:szCs w:val="22"/>
              </w:rPr>
            </w:pPr>
            <w:r w:rsidRPr="00AF3085">
              <w:rPr>
                <w:rFonts w:ascii="Times New Roman" w:hAnsi="Times New Roman"/>
                <w:sz w:val="22"/>
                <w:szCs w:val="22"/>
              </w:rPr>
              <w:t>(N=249)</w:t>
            </w:r>
          </w:p>
        </w:tc>
      </w:tr>
      <w:tr w:rsidR="00AF3085" w:rsidRPr="00AF3085" w:rsidTr="00F30D0A">
        <w:trPr>
          <w:cantSplit/>
          <w:trHeight w:val="64"/>
        </w:trPr>
        <w:tc>
          <w:tcPr>
            <w:tcW w:w="2202"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&gt;3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3.4%</w:t>
            </w:r>
          </w:p>
        </w:tc>
        <w:tc>
          <w:tcPr>
            <w:tcW w:w="1945" w:type="dxa"/>
            <w:shd w:val="clear" w:color="auto" w:fill="auto"/>
          </w:tcPr>
          <w:p w:rsidR="00AF3085" w:rsidRPr="00AF3085" w:rsidRDefault="00AF3085" w:rsidP="00AF3085">
            <w:pPr>
              <w:ind w:left="474"/>
              <w:jc w:val="center"/>
              <w:rPr>
                <w:rFonts w:ascii="Times New Roman" w:hAnsi="Times New Roman"/>
                <w:sz w:val="22"/>
                <w:szCs w:val="22"/>
              </w:rPr>
            </w:pPr>
            <w:r w:rsidRPr="00AF3085">
              <w:rPr>
                <w:rFonts w:ascii="Times New Roman" w:hAnsi="Times New Roman"/>
                <w:sz w:val="22"/>
                <w:szCs w:val="22"/>
              </w:rPr>
              <w:t>4.5%</w:t>
            </w:r>
          </w:p>
        </w:tc>
      </w:tr>
      <w:tr w:rsidR="00AF3085" w:rsidRPr="00AF3085" w:rsidTr="00F30D0A">
        <w:trPr>
          <w:cantSplit/>
        </w:trPr>
        <w:tc>
          <w:tcPr>
            <w:tcW w:w="2202"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&gt;5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2.5%</w:t>
            </w:r>
          </w:p>
        </w:tc>
        <w:tc>
          <w:tcPr>
            <w:tcW w:w="1945" w:type="dxa"/>
            <w:shd w:val="clear" w:color="auto" w:fill="auto"/>
          </w:tcPr>
          <w:p w:rsidR="00AF3085" w:rsidRPr="00AF3085" w:rsidRDefault="00AF3085" w:rsidP="00AF3085">
            <w:pPr>
              <w:ind w:left="474"/>
              <w:jc w:val="center"/>
              <w:rPr>
                <w:rFonts w:ascii="Times New Roman" w:hAnsi="Times New Roman"/>
                <w:sz w:val="22"/>
                <w:szCs w:val="22"/>
              </w:rPr>
            </w:pPr>
            <w:r w:rsidRPr="00AF3085">
              <w:rPr>
                <w:rFonts w:ascii="Times New Roman" w:hAnsi="Times New Roman"/>
                <w:sz w:val="22"/>
                <w:szCs w:val="22"/>
              </w:rPr>
              <w:t>2%</w:t>
            </w:r>
          </w:p>
        </w:tc>
      </w:tr>
      <w:tr w:rsidR="00AF3085" w:rsidRPr="00AF3085" w:rsidTr="00F30D0A">
        <w:trPr>
          <w:cantSplit/>
        </w:trPr>
        <w:tc>
          <w:tcPr>
            <w:tcW w:w="2202"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&gt;8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2.1%</w:t>
            </w:r>
          </w:p>
        </w:tc>
        <w:tc>
          <w:tcPr>
            <w:tcW w:w="1945" w:type="dxa"/>
            <w:shd w:val="clear" w:color="auto" w:fill="auto"/>
          </w:tcPr>
          <w:p w:rsidR="00AF3085" w:rsidRPr="00AF3085" w:rsidRDefault="00AF3085" w:rsidP="00AF3085">
            <w:pPr>
              <w:ind w:left="474"/>
              <w:jc w:val="center"/>
              <w:rPr>
                <w:rFonts w:ascii="Times New Roman" w:hAnsi="Times New Roman"/>
                <w:sz w:val="22"/>
                <w:szCs w:val="22"/>
              </w:rPr>
            </w:pPr>
            <w:r w:rsidRPr="00AF3085">
              <w:rPr>
                <w:rFonts w:ascii="Times New Roman" w:hAnsi="Times New Roman"/>
                <w:sz w:val="22"/>
                <w:szCs w:val="22"/>
              </w:rPr>
              <w:t>0.4%</w:t>
            </w:r>
          </w:p>
        </w:tc>
      </w:tr>
    </w:tbl>
    <w:p w:rsidR="00AF3085" w:rsidRPr="00AF3085" w:rsidRDefault="00AF3085" w:rsidP="00AF3085">
      <w:pPr>
        <w:spacing w:after="120"/>
        <w:ind w:left="1418"/>
        <w:jc w:val="both"/>
        <w:rPr>
          <w:rFonts w:ascii="Times New Roman" w:hAnsi="Times New Roman"/>
          <w:sz w:val="22"/>
          <w:szCs w:val="22"/>
        </w:rPr>
      </w:pPr>
    </w:p>
    <w:p w:rsidR="00AF3085" w:rsidRPr="0077771A" w:rsidRDefault="00AF3085" w:rsidP="00AF3085">
      <w:pPr>
        <w:spacing w:after="120"/>
        <w:ind w:left="1418"/>
        <w:jc w:val="both"/>
        <w:rPr>
          <w:rFonts w:ascii="Times New Roman" w:hAnsi="Times New Roman"/>
          <w:b/>
          <w:szCs w:val="24"/>
        </w:rPr>
      </w:pPr>
      <w:r w:rsidRPr="0077771A">
        <w:rPr>
          <w:rFonts w:ascii="Times New Roman" w:hAnsi="Times New Roman"/>
          <w:b/>
          <w:szCs w:val="24"/>
        </w:rPr>
        <w:t xml:space="preserve">Table 6 Incidence of Elevated ALT in the SERAPHIN Study </w:t>
      </w:r>
    </w:p>
    <w:tbl>
      <w:tblPr>
        <w:tblW w:w="0" w:type="auto"/>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2268"/>
        <w:gridCol w:w="1984"/>
      </w:tblGrid>
      <w:tr w:rsidR="00AF3085" w:rsidRPr="00AF3085" w:rsidTr="00F30D0A">
        <w:trPr>
          <w:cantSplit/>
          <w:trHeight w:val="521"/>
          <w:tblHeader/>
        </w:trPr>
        <w:tc>
          <w:tcPr>
            <w:tcW w:w="2248" w:type="dxa"/>
            <w:shd w:val="clear" w:color="auto" w:fill="auto"/>
            <w:vAlign w:val="bottom"/>
          </w:tcPr>
          <w:p w:rsidR="00AF3085" w:rsidRPr="00AF3085" w:rsidRDefault="00AF3085" w:rsidP="00AF3085">
            <w:pPr>
              <w:ind w:left="425"/>
              <w:jc w:val="both"/>
              <w:rPr>
                <w:rFonts w:ascii="Times New Roman" w:hAnsi="Times New Roman"/>
                <w:sz w:val="22"/>
                <w:szCs w:val="22"/>
              </w:rPr>
            </w:pP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OPSUMIT 10 mg</w:t>
            </w:r>
          </w:p>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(N=242)</w:t>
            </w:r>
          </w:p>
        </w:tc>
        <w:tc>
          <w:tcPr>
            <w:tcW w:w="1984" w:type="dxa"/>
            <w:shd w:val="clear" w:color="auto" w:fill="auto"/>
          </w:tcPr>
          <w:p w:rsidR="00AF3085" w:rsidRPr="00AF3085" w:rsidRDefault="00AF3085" w:rsidP="00AF3085">
            <w:pPr>
              <w:ind w:left="616"/>
              <w:jc w:val="center"/>
              <w:rPr>
                <w:rFonts w:ascii="Times New Roman" w:hAnsi="Times New Roman"/>
                <w:sz w:val="22"/>
                <w:szCs w:val="22"/>
              </w:rPr>
            </w:pPr>
            <w:r w:rsidRPr="00AF3085">
              <w:rPr>
                <w:rFonts w:ascii="Times New Roman" w:hAnsi="Times New Roman"/>
                <w:sz w:val="22"/>
                <w:szCs w:val="22"/>
              </w:rPr>
              <w:t>Placebo</w:t>
            </w:r>
          </w:p>
          <w:p w:rsidR="00AF3085" w:rsidRPr="00AF3085" w:rsidRDefault="00AF3085" w:rsidP="00AF3085">
            <w:pPr>
              <w:ind w:left="616"/>
              <w:jc w:val="center"/>
              <w:rPr>
                <w:rFonts w:ascii="Times New Roman" w:hAnsi="Times New Roman"/>
                <w:sz w:val="22"/>
                <w:szCs w:val="22"/>
              </w:rPr>
            </w:pPr>
            <w:r w:rsidRPr="00AF3085">
              <w:rPr>
                <w:rFonts w:ascii="Times New Roman" w:hAnsi="Times New Roman"/>
                <w:sz w:val="22"/>
                <w:szCs w:val="22"/>
              </w:rPr>
              <w:t>(N=249)</w:t>
            </w:r>
          </w:p>
        </w:tc>
      </w:tr>
      <w:tr w:rsidR="00AF3085" w:rsidRPr="00AF3085" w:rsidTr="00F30D0A">
        <w:trPr>
          <w:cantSplit/>
          <w:trHeight w:val="64"/>
        </w:trPr>
        <w:tc>
          <w:tcPr>
            <w:tcW w:w="2248"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&gt;3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3.4%</w:t>
            </w:r>
          </w:p>
        </w:tc>
        <w:tc>
          <w:tcPr>
            <w:tcW w:w="1984" w:type="dxa"/>
            <w:shd w:val="clear" w:color="auto" w:fill="auto"/>
          </w:tcPr>
          <w:p w:rsidR="00AF3085" w:rsidRPr="00AF3085" w:rsidRDefault="00AF3085" w:rsidP="00AF3085">
            <w:pPr>
              <w:ind w:left="616"/>
              <w:jc w:val="center"/>
              <w:rPr>
                <w:rFonts w:ascii="Times New Roman" w:hAnsi="Times New Roman"/>
                <w:sz w:val="22"/>
                <w:szCs w:val="22"/>
              </w:rPr>
            </w:pPr>
            <w:r w:rsidRPr="00AF3085">
              <w:rPr>
                <w:rFonts w:ascii="Times New Roman" w:hAnsi="Times New Roman"/>
                <w:sz w:val="22"/>
                <w:szCs w:val="22"/>
              </w:rPr>
              <w:t>1.6%</w:t>
            </w:r>
          </w:p>
        </w:tc>
      </w:tr>
      <w:tr w:rsidR="00AF3085" w:rsidRPr="00AF3085" w:rsidTr="00F30D0A">
        <w:trPr>
          <w:cantSplit/>
        </w:trPr>
        <w:tc>
          <w:tcPr>
            <w:tcW w:w="2248"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&gt;5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2.5%</w:t>
            </w:r>
          </w:p>
        </w:tc>
        <w:tc>
          <w:tcPr>
            <w:tcW w:w="1984" w:type="dxa"/>
            <w:shd w:val="clear" w:color="auto" w:fill="auto"/>
          </w:tcPr>
          <w:p w:rsidR="00AF3085" w:rsidRPr="00AF3085" w:rsidRDefault="00AF3085" w:rsidP="00AF3085">
            <w:pPr>
              <w:ind w:left="616"/>
              <w:jc w:val="center"/>
              <w:rPr>
                <w:rFonts w:ascii="Times New Roman" w:hAnsi="Times New Roman"/>
                <w:sz w:val="22"/>
                <w:szCs w:val="22"/>
              </w:rPr>
            </w:pPr>
            <w:r w:rsidRPr="00AF3085">
              <w:rPr>
                <w:rFonts w:ascii="Times New Roman" w:hAnsi="Times New Roman"/>
                <w:sz w:val="22"/>
                <w:szCs w:val="22"/>
              </w:rPr>
              <w:t>1.2%</w:t>
            </w:r>
          </w:p>
        </w:tc>
      </w:tr>
      <w:tr w:rsidR="00AF3085" w:rsidRPr="00AF3085" w:rsidTr="00F30D0A">
        <w:trPr>
          <w:cantSplit/>
        </w:trPr>
        <w:tc>
          <w:tcPr>
            <w:tcW w:w="2248" w:type="dxa"/>
            <w:shd w:val="clear" w:color="auto" w:fill="auto"/>
          </w:tcPr>
          <w:p w:rsidR="00AF3085" w:rsidRPr="00AF3085" w:rsidRDefault="00AF3085" w:rsidP="00AF3085">
            <w:pPr>
              <w:ind w:left="425"/>
              <w:jc w:val="both"/>
              <w:rPr>
                <w:rFonts w:ascii="Times New Roman" w:hAnsi="Times New Roman"/>
                <w:sz w:val="22"/>
                <w:szCs w:val="22"/>
              </w:rPr>
            </w:pPr>
            <w:r w:rsidRPr="00AF3085">
              <w:rPr>
                <w:rFonts w:ascii="Times New Roman" w:hAnsi="Times New Roman"/>
                <w:sz w:val="22"/>
                <w:szCs w:val="22"/>
              </w:rPr>
              <w:t>&gt;8 x ULN</w:t>
            </w:r>
          </w:p>
        </w:tc>
        <w:tc>
          <w:tcPr>
            <w:tcW w:w="2268" w:type="dxa"/>
            <w:shd w:val="clear" w:color="auto" w:fill="auto"/>
          </w:tcPr>
          <w:p w:rsidR="00AF3085" w:rsidRPr="00AF3085" w:rsidRDefault="00AF3085" w:rsidP="00AF3085">
            <w:pPr>
              <w:ind w:left="449"/>
              <w:jc w:val="center"/>
              <w:rPr>
                <w:rFonts w:ascii="Times New Roman" w:hAnsi="Times New Roman"/>
                <w:sz w:val="22"/>
                <w:szCs w:val="22"/>
              </w:rPr>
            </w:pPr>
            <w:r w:rsidRPr="00AF3085">
              <w:rPr>
                <w:rFonts w:ascii="Times New Roman" w:hAnsi="Times New Roman"/>
                <w:sz w:val="22"/>
                <w:szCs w:val="22"/>
              </w:rPr>
              <w:t>2.1%</w:t>
            </w:r>
          </w:p>
        </w:tc>
        <w:tc>
          <w:tcPr>
            <w:tcW w:w="1984" w:type="dxa"/>
            <w:shd w:val="clear" w:color="auto" w:fill="auto"/>
          </w:tcPr>
          <w:p w:rsidR="00AF3085" w:rsidRPr="00AF3085" w:rsidRDefault="00AF3085" w:rsidP="00AF3085">
            <w:pPr>
              <w:ind w:left="616"/>
              <w:jc w:val="center"/>
              <w:rPr>
                <w:rFonts w:ascii="Times New Roman" w:hAnsi="Times New Roman"/>
                <w:sz w:val="22"/>
                <w:szCs w:val="22"/>
              </w:rPr>
            </w:pPr>
            <w:r w:rsidRPr="00AF3085">
              <w:rPr>
                <w:rFonts w:ascii="Times New Roman" w:hAnsi="Times New Roman"/>
                <w:sz w:val="22"/>
                <w:szCs w:val="22"/>
              </w:rPr>
              <w:t>0.4%</w:t>
            </w:r>
          </w:p>
        </w:tc>
      </w:tr>
    </w:tbl>
    <w:p w:rsidR="00AF3085" w:rsidRPr="00AF3085" w:rsidRDefault="00AF3085" w:rsidP="00AF3085">
      <w:pPr>
        <w:spacing w:after="120"/>
        <w:ind w:left="1418"/>
        <w:jc w:val="both"/>
        <w:rPr>
          <w:rFonts w:ascii="Times New Roman" w:hAnsi="Times New Roman"/>
          <w:sz w:val="22"/>
          <w:szCs w:val="22"/>
        </w:rPr>
      </w:pPr>
    </w:p>
    <w:p w:rsidR="009350E0" w:rsidRPr="00004B2B" w:rsidRDefault="009350E0" w:rsidP="0048693A">
      <w:pPr>
        <w:autoSpaceDE w:val="0"/>
        <w:autoSpaceDN w:val="0"/>
        <w:adjustRightInd w:val="0"/>
        <w:jc w:val="both"/>
        <w:rPr>
          <w:rFonts w:ascii="Times New Roman" w:eastAsia="Calibri" w:hAnsi="Times New Roman"/>
          <w:szCs w:val="24"/>
          <w:lang w:val="en-US"/>
        </w:rPr>
      </w:pPr>
      <w:r w:rsidRPr="00004B2B">
        <w:rPr>
          <w:rFonts w:ascii="Times New Roman" w:eastAsia="Calibri" w:hAnsi="Times New Roman"/>
          <w:szCs w:val="24"/>
          <w:lang w:val="en-US"/>
        </w:rPr>
        <w:t xml:space="preserve">In </w:t>
      </w:r>
      <w:r w:rsidR="009E2640" w:rsidRPr="00004B2B">
        <w:rPr>
          <w:rFonts w:ascii="Times New Roman" w:hAnsi="Times New Roman"/>
        </w:rPr>
        <w:t>a double-blind study in patients with PAH</w:t>
      </w:r>
      <w:r w:rsidRPr="00004B2B">
        <w:rPr>
          <w:rFonts w:ascii="Times New Roman" w:eastAsia="Calibri" w:hAnsi="Times New Roman"/>
          <w:szCs w:val="24"/>
          <w:lang w:val="en-US"/>
        </w:rPr>
        <w:t xml:space="preserve">, discontinuations for hepatic adverse events were 3.3% in the OPSUMIT 10 mg group vs. 1.6% for placebo. </w:t>
      </w:r>
    </w:p>
    <w:p w:rsidR="00733AF2" w:rsidRPr="00717EE5" w:rsidRDefault="00733AF2" w:rsidP="00733AF2"/>
    <w:p w:rsidR="00733AF2" w:rsidRPr="00BB2887" w:rsidRDefault="00733AF2" w:rsidP="00733AF2">
      <w:pPr>
        <w:rPr>
          <w:i/>
        </w:rPr>
      </w:pPr>
      <w:r w:rsidRPr="00BB2887">
        <w:rPr>
          <w:i/>
        </w:rPr>
        <w:t>Haemoglobin</w:t>
      </w:r>
    </w:p>
    <w:p w:rsidR="00733AF2" w:rsidRPr="00717EE5" w:rsidRDefault="00733AF2" w:rsidP="00733AF2">
      <w:pPr>
        <w:jc w:val="both"/>
      </w:pPr>
      <w:r w:rsidRPr="00717EE5">
        <w:t xml:space="preserve">In a double-blind study in patients with PAH, </w:t>
      </w:r>
      <w:proofErr w:type="spellStart"/>
      <w:r>
        <w:t>macitentan</w:t>
      </w:r>
      <w:proofErr w:type="spellEnd"/>
      <w:r>
        <w:t xml:space="preserve"> 10 mg was associated with a mean decrease in haemoglobin versus placebo of 1</w:t>
      </w:r>
      <w:r w:rsidR="005B2390">
        <w:t>0</w:t>
      </w:r>
      <w:r>
        <w:t xml:space="preserve"> g/L. A</w:t>
      </w:r>
      <w:r w:rsidRPr="00717EE5">
        <w:t xml:space="preserve"> decrease from baseline in h</w:t>
      </w:r>
      <w:r>
        <w:t>a</w:t>
      </w:r>
      <w:r w:rsidRPr="00717EE5">
        <w:t>emoglobin concentration to below 10</w:t>
      </w:r>
      <w:r w:rsidR="005B2390">
        <w:t>0</w:t>
      </w:r>
      <w:r w:rsidRPr="00717EE5">
        <w:t xml:space="preserve"> g/L was reported in 8.7% of patients treated with </w:t>
      </w:r>
      <w:proofErr w:type="spellStart"/>
      <w:r w:rsidRPr="00717EE5">
        <w:t>macitentan</w:t>
      </w:r>
      <w:proofErr w:type="spellEnd"/>
      <w:r w:rsidRPr="00717EE5">
        <w:t xml:space="preserve"> 10</w:t>
      </w:r>
      <w:r w:rsidR="00527F9F">
        <w:t xml:space="preserve"> </w:t>
      </w:r>
      <w:r w:rsidRPr="00717EE5">
        <w:t>mg and 3.4% of placebo-treated patients.</w:t>
      </w:r>
    </w:p>
    <w:p w:rsidR="00733AF2" w:rsidRDefault="00733AF2" w:rsidP="00733AF2"/>
    <w:p w:rsidR="00B332C0" w:rsidRPr="00B332C0" w:rsidRDefault="00B332C0" w:rsidP="00841141">
      <w:pPr>
        <w:autoSpaceDE w:val="0"/>
        <w:autoSpaceDN w:val="0"/>
        <w:adjustRightInd w:val="0"/>
        <w:rPr>
          <w:rFonts w:ascii="Times New Roman" w:hAnsi="Times New Roman"/>
          <w:i/>
          <w:iCs/>
          <w:szCs w:val="24"/>
          <w:lang w:val="en-US"/>
        </w:rPr>
      </w:pPr>
      <w:r w:rsidRPr="00B332C0">
        <w:rPr>
          <w:rFonts w:ascii="Times New Roman" w:hAnsi="Times New Roman"/>
          <w:i/>
          <w:iCs/>
          <w:szCs w:val="24"/>
          <w:lang w:val="en-US"/>
        </w:rPr>
        <w:t>White blood cells</w:t>
      </w:r>
    </w:p>
    <w:p w:rsidR="00841141" w:rsidRPr="00841141" w:rsidRDefault="00B332C0" w:rsidP="00E94507">
      <w:pPr>
        <w:autoSpaceDE w:val="0"/>
        <w:autoSpaceDN w:val="0"/>
        <w:adjustRightInd w:val="0"/>
        <w:jc w:val="both"/>
        <w:rPr>
          <w:rFonts w:ascii="Times New Roman" w:hAnsi="Times New Roman"/>
          <w:iCs/>
          <w:szCs w:val="24"/>
          <w:lang w:val="en-US"/>
        </w:rPr>
      </w:pPr>
      <w:r w:rsidRPr="00B332C0">
        <w:rPr>
          <w:rFonts w:ascii="Times New Roman" w:hAnsi="Times New Roman"/>
          <w:iCs/>
          <w:szCs w:val="24"/>
          <w:lang w:val="en-US"/>
        </w:rPr>
        <w:t xml:space="preserve">In a double-blind study in patients with PAH, </w:t>
      </w:r>
      <w:proofErr w:type="spellStart"/>
      <w:r w:rsidRPr="00B332C0">
        <w:rPr>
          <w:rFonts w:ascii="Times New Roman" w:hAnsi="Times New Roman"/>
          <w:iCs/>
          <w:szCs w:val="24"/>
          <w:lang w:val="en-US"/>
        </w:rPr>
        <w:t>macitentan</w:t>
      </w:r>
      <w:proofErr w:type="spellEnd"/>
      <w:r w:rsidRPr="00B332C0">
        <w:rPr>
          <w:rFonts w:ascii="Times New Roman" w:hAnsi="Times New Roman"/>
          <w:iCs/>
          <w:szCs w:val="24"/>
          <w:lang w:val="en-US"/>
        </w:rPr>
        <w:t xml:space="preserve"> 10 mg was associated with a decrease in mean leucocyte count from baseline of 0.7 × 10</w:t>
      </w:r>
      <w:r w:rsidRPr="00B332C0">
        <w:rPr>
          <w:rFonts w:ascii="Times New Roman" w:hAnsi="Times New Roman"/>
          <w:iCs/>
          <w:szCs w:val="24"/>
          <w:vertAlign w:val="superscript"/>
          <w:lang w:val="en-US"/>
        </w:rPr>
        <w:t>9</w:t>
      </w:r>
      <w:r w:rsidRPr="00B332C0">
        <w:rPr>
          <w:rFonts w:ascii="Times New Roman" w:hAnsi="Times New Roman"/>
          <w:iCs/>
          <w:szCs w:val="24"/>
          <w:lang w:val="en-US"/>
        </w:rPr>
        <w:t>/L versus no change in placebo-treated patients.</w:t>
      </w:r>
    </w:p>
    <w:p w:rsidR="00841141" w:rsidRDefault="00841141" w:rsidP="00E94507">
      <w:pPr>
        <w:autoSpaceDE w:val="0"/>
        <w:autoSpaceDN w:val="0"/>
        <w:adjustRightInd w:val="0"/>
        <w:jc w:val="both"/>
        <w:rPr>
          <w:rFonts w:ascii="Times New Roman" w:hAnsi="Times New Roman"/>
          <w:iCs/>
          <w:szCs w:val="24"/>
          <w:lang w:val="en-US"/>
        </w:rPr>
      </w:pPr>
    </w:p>
    <w:p w:rsidR="00B332C0" w:rsidRPr="00B332C0" w:rsidRDefault="00B332C0" w:rsidP="00E94507">
      <w:pPr>
        <w:autoSpaceDE w:val="0"/>
        <w:autoSpaceDN w:val="0"/>
        <w:adjustRightInd w:val="0"/>
        <w:jc w:val="both"/>
        <w:rPr>
          <w:rFonts w:ascii="Times New Roman" w:hAnsi="Times New Roman"/>
          <w:i/>
          <w:iCs/>
          <w:szCs w:val="24"/>
          <w:lang w:val="en-US"/>
        </w:rPr>
      </w:pPr>
      <w:r w:rsidRPr="00B332C0">
        <w:rPr>
          <w:rFonts w:ascii="Times New Roman" w:hAnsi="Times New Roman"/>
          <w:i/>
          <w:iCs/>
          <w:szCs w:val="24"/>
          <w:lang w:val="en-US"/>
        </w:rPr>
        <w:t>Platelets</w:t>
      </w:r>
    </w:p>
    <w:p w:rsidR="00B332C0" w:rsidRPr="00B332C0" w:rsidRDefault="00B332C0" w:rsidP="00E94507">
      <w:pPr>
        <w:autoSpaceDE w:val="0"/>
        <w:autoSpaceDN w:val="0"/>
        <w:adjustRightInd w:val="0"/>
        <w:jc w:val="both"/>
        <w:rPr>
          <w:rFonts w:ascii="Times New Roman" w:hAnsi="Times New Roman"/>
          <w:iCs/>
          <w:szCs w:val="24"/>
          <w:lang w:val="en-US"/>
        </w:rPr>
      </w:pPr>
      <w:r w:rsidRPr="00B332C0">
        <w:rPr>
          <w:rFonts w:ascii="Times New Roman" w:hAnsi="Times New Roman"/>
          <w:iCs/>
          <w:szCs w:val="24"/>
          <w:lang w:val="en-US"/>
        </w:rPr>
        <w:t xml:space="preserve">In a double-blind study in patients with PAH, </w:t>
      </w:r>
      <w:proofErr w:type="spellStart"/>
      <w:r w:rsidRPr="00B332C0">
        <w:rPr>
          <w:rFonts w:ascii="Times New Roman" w:hAnsi="Times New Roman"/>
          <w:iCs/>
          <w:szCs w:val="24"/>
          <w:lang w:val="en-US"/>
        </w:rPr>
        <w:t>macitentan</w:t>
      </w:r>
      <w:proofErr w:type="spellEnd"/>
      <w:r w:rsidRPr="00B332C0">
        <w:rPr>
          <w:rFonts w:ascii="Times New Roman" w:hAnsi="Times New Roman"/>
          <w:iCs/>
          <w:szCs w:val="24"/>
          <w:lang w:val="en-US"/>
        </w:rPr>
        <w:t xml:space="preserve"> 10 mg was associated with a decrease in mean platelet count of 17 × 10</w:t>
      </w:r>
      <w:r w:rsidRPr="00B332C0">
        <w:rPr>
          <w:rFonts w:ascii="Times New Roman" w:hAnsi="Times New Roman"/>
          <w:iCs/>
          <w:szCs w:val="24"/>
          <w:vertAlign w:val="superscript"/>
          <w:lang w:val="en-US"/>
        </w:rPr>
        <w:t>9</w:t>
      </w:r>
      <w:r w:rsidRPr="00B332C0">
        <w:rPr>
          <w:rFonts w:ascii="Times New Roman" w:hAnsi="Times New Roman"/>
          <w:iCs/>
          <w:szCs w:val="24"/>
          <w:lang w:val="en-US"/>
        </w:rPr>
        <w:t>/L, versus a mean decrease of 11 × 10</w:t>
      </w:r>
      <w:r w:rsidRPr="00B332C0">
        <w:rPr>
          <w:rFonts w:ascii="Times New Roman" w:hAnsi="Times New Roman"/>
          <w:iCs/>
          <w:szCs w:val="24"/>
          <w:vertAlign w:val="superscript"/>
          <w:lang w:val="en-US"/>
        </w:rPr>
        <w:t>9</w:t>
      </w:r>
      <w:r w:rsidRPr="00B332C0">
        <w:rPr>
          <w:rFonts w:ascii="Times New Roman" w:hAnsi="Times New Roman"/>
          <w:iCs/>
          <w:szCs w:val="24"/>
          <w:lang w:val="en-US"/>
        </w:rPr>
        <w:t>/L in placebo-treated patients.</w:t>
      </w:r>
    </w:p>
    <w:p w:rsidR="00841141" w:rsidRPr="009A7EEB" w:rsidRDefault="00841141" w:rsidP="00733AF2"/>
    <w:p w:rsidR="001C35B2" w:rsidRDefault="001C35B2" w:rsidP="00365338">
      <w:pPr>
        <w:pStyle w:val="Heading1"/>
        <w:ind w:right="-61"/>
      </w:pPr>
      <w:r>
        <w:lastRenderedPageBreak/>
        <w:t>DOSAGE AND ADMINISTRATION</w:t>
      </w:r>
    </w:p>
    <w:p w:rsidR="000270B4" w:rsidRPr="000270B4" w:rsidRDefault="000270B4" w:rsidP="000270B4"/>
    <w:p w:rsidR="00733AF2" w:rsidRPr="00717EE5" w:rsidRDefault="00733AF2" w:rsidP="007707E6">
      <w:pPr>
        <w:autoSpaceDE w:val="0"/>
        <w:autoSpaceDN w:val="0"/>
        <w:adjustRightInd w:val="0"/>
        <w:jc w:val="both"/>
        <w:rPr>
          <w:rFonts w:eastAsia="SimSun"/>
          <w:szCs w:val="22"/>
        </w:rPr>
      </w:pPr>
      <w:r w:rsidRPr="00717EE5">
        <w:rPr>
          <w:rFonts w:eastAsia="SimSun"/>
          <w:szCs w:val="22"/>
        </w:rPr>
        <w:t xml:space="preserve">Treatment </w:t>
      </w:r>
      <w:r w:rsidR="00AB3873">
        <w:rPr>
          <w:rFonts w:eastAsia="SimSun"/>
          <w:szCs w:val="22"/>
        </w:rPr>
        <w:t xml:space="preserve">with OPSUMIT </w:t>
      </w:r>
      <w:r w:rsidRPr="00717EE5">
        <w:rPr>
          <w:rFonts w:eastAsia="SimSun"/>
          <w:szCs w:val="22"/>
        </w:rPr>
        <w:t xml:space="preserve">should only be initiated and monitored by a physician experienced in the treatment of </w:t>
      </w:r>
      <w:r w:rsidR="007707E6">
        <w:rPr>
          <w:rFonts w:eastAsia="SimSun"/>
          <w:szCs w:val="22"/>
        </w:rPr>
        <w:t>PAH</w:t>
      </w:r>
      <w:r w:rsidRPr="00717EE5">
        <w:rPr>
          <w:rFonts w:eastAsia="SimSun"/>
          <w:szCs w:val="22"/>
        </w:rPr>
        <w:t>.</w:t>
      </w:r>
    </w:p>
    <w:p w:rsidR="00733AF2" w:rsidRPr="00717EE5" w:rsidRDefault="00733AF2" w:rsidP="007707E6">
      <w:pPr>
        <w:jc w:val="both"/>
        <w:rPr>
          <w:szCs w:val="22"/>
          <w:u w:val="single"/>
        </w:rPr>
      </w:pPr>
    </w:p>
    <w:p w:rsidR="00B31C79" w:rsidRPr="00527F9F" w:rsidRDefault="00733AF2" w:rsidP="007707E6">
      <w:pPr>
        <w:jc w:val="both"/>
        <w:rPr>
          <w:b/>
          <w:szCs w:val="22"/>
        </w:rPr>
      </w:pPr>
      <w:r w:rsidRPr="00527F9F">
        <w:rPr>
          <w:b/>
          <w:szCs w:val="22"/>
        </w:rPr>
        <w:t xml:space="preserve">Dosage </w:t>
      </w:r>
    </w:p>
    <w:p w:rsidR="00733AF2" w:rsidRPr="00717EE5" w:rsidRDefault="005631B8" w:rsidP="007707E6">
      <w:pPr>
        <w:jc w:val="both"/>
        <w:rPr>
          <w:rFonts w:eastAsia="SimSun"/>
          <w:szCs w:val="22"/>
        </w:rPr>
      </w:pPr>
      <w:r>
        <w:rPr>
          <w:szCs w:val="22"/>
        </w:rPr>
        <w:t>OPSUMIT</w:t>
      </w:r>
      <w:r w:rsidR="00733AF2" w:rsidRPr="00717EE5">
        <w:rPr>
          <w:szCs w:val="22"/>
        </w:rPr>
        <w:t xml:space="preserve"> is to be taken orally at a dose of 10 mg once daily,</w:t>
      </w:r>
      <w:r w:rsidR="00733AF2" w:rsidRPr="00717EE5">
        <w:rPr>
          <w:rFonts w:eastAsia="SimSun"/>
          <w:szCs w:val="22"/>
        </w:rPr>
        <w:t xml:space="preserve"> with or without food</w:t>
      </w:r>
      <w:r w:rsidR="00733AF2" w:rsidRPr="00717EE5">
        <w:rPr>
          <w:szCs w:val="22"/>
        </w:rPr>
        <w:t>.</w:t>
      </w:r>
      <w:r w:rsidR="00733AF2" w:rsidRPr="00717EE5">
        <w:rPr>
          <w:rFonts w:eastAsia="SimSun"/>
          <w:szCs w:val="22"/>
        </w:rPr>
        <w:t xml:space="preserve"> The film-coated tablets are not breakable and are to be swallowed whole, with water.</w:t>
      </w:r>
      <w:r w:rsidR="00EB1747">
        <w:rPr>
          <w:rFonts w:eastAsia="SimSun"/>
          <w:szCs w:val="22"/>
        </w:rPr>
        <w:t xml:space="preserve"> Doses higher than 10 mg daily have not been studie</w:t>
      </w:r>
      <w:r w:rsidR="00BB521E">
        <w:rPr>
          <w:rFonts w:eastAsia="SimSun"/>
          <w:szCs w:val="22"/>
        </w:rPr>
        <w:t>d</w:t>
      </w:r>
      <w:r w:rsidR="00EB1747">
        <w:rPr>
          <w:rFonts w:eastAsia="SimSun"/>
          <w:szCs w:val="22"/>
        </w:rPr>
        <w:t xml:space="preserve"> and are not recommended. </w:t>
      </w:r>
    </w:p>
    <w:p w:rsidR="00733AF2" w:rsidRPr="00717EE5" w:rsidRDefault="00733AF2" w:rsidP="007707E6">
      <w:pPr>
        <w:jc w:val="both"/>
        <w:rPr>
          <w:rFonts w:eastAsia="SimSun"/>
          <w:szCs w:val="22"/>
        </w:rPr>
      </w:pPr>
    </w:p>
    <w:p w:rsidR="00733AF2" w:rsidRPr="00527F9F" w:rsidRDefault="00733AF2" w:rsidP="007707E6">
      <w:pPr>
        <w:jc w:val="both"/>
        <w:rPr>
          <w:rFonts w:eastAsia="SimSun"/>
          <w:b/>
          <w:szCs w:val="22"/>
        </w:rPr>
      </w:pPr>
      <w:r w:rsidRPr="00527F9F">
        <w:rPr>
          <w:rFonts w:eastAsia="SimSun"/>
          <w:b/>
          <w:szCs w:val="22"/>
        </w:rPr>
        <w:t xml:space="preserve">Dosage adjustment in </w:t>
      </w:r>
      <w:r w:rsidR="00791B80" w:rsidRPr="00527F9F">
        <w:rPr>
          <w:rFonts w:eastAsia="SimSun"/>
          <w:b/>
          <w:szCs w:val="22"/>
        </w:rPr>
        <w:t>e</w:t>
      </w:r>
      <w:r w:rsidRPr="00527F9F">
        <w:rPr>
          <w:rFonts w:eastAsia="SimSun"/>
          <w:b/>
          <w:szCs w:val="22"/>
        </w:rPr>
        <w:t>lderly patients</w:t>
      </w:r>
    </w:p>
    <w:p w:rsidR="00733AF2" w:rsidRPr="00717EE5" w:rsidRDefault="00733AF2" w:rsidP="007707E6">
      <w:pPr>
        <w:jc w:val="both"/>
        <w:outlineLvl w:val="0"/>
        <w:rPr>
          <w:u w:val="single"/>
        </w:rPr>
      </w:pPr>
      <w:r w:rsidRPr="00717EE5">
        <w:t>No dose adjustment is required in patients over the age of 65</w:t>
      </w:r>
      <w:r>
        <w:t xml:space="preserve"> </w:t>
      </w:r>
      <w:r w:rsidRPr="00717EE5">
        <w:t>years</w:t>
      </w:r>
      <w:r w:rsidRPr="00717EE5">
        <w:rPr>
          <w:szCs w:val="22"/>
        </w:rPr>
        <w:t xml:space="preserve">. </w:t>
      </w:r>
    </w:p>
    <w:p w:rsidR="00733AF2" w:rsidRPr="00717EE5" w:rsidRDefault="00733AF2" w:rsidP="00733AF2">
      <w:pPr>
        <w:outlineLvl w:val="0"/>
        <w:rPr>
          <w:szCs w:val="22"/>
        </w:rPr>
      </w:pPr>
    </w:p>
    <w:p w:rsidR="00733AF2" w:rsidRPr="00527F9F" w:rsidRDefault="00733AF2" w:rsidP="007707E6">
      <w:pPr>
        <w:jc w:val="both"/>
        <w:rPr>
          <w:b/>
          <w:szCs w:val="22"/>
        </w:rPr>
      </w:pPr>
      <w:r w:rsidRPr="00527F9F">
        <w:rPr>
          <w:rFonts w:eastAsia="SimSun"/>
          <w:b/>
          <w:szCs w:val="22"/>
        </w:rPr>
        <w:t xml:space="preserve">Dosage adjustment in </w:t>
      </w:r>
      <w:r w:rsidR="00791B80" w:rsidRPr="00527F9F">
        <w:rPr>
          <w:b/>
          <w:szCs w:val="22"/>
        </w:rPr>
        <w:t>p</w:t>
      </w:r>
      <w:r w:rsidRPr="00527F9F">
        <w:rPr>
          <w:b/>
          <w:szCs w:val="22"/>
        </w:rPr>
        <w:t>atients with hepatic impairment</w:t>
      </w:r>
    </w:p>
    <w:p w:rsidR="008704BD" w:rsidRDefault="00733AF2" w:rsidP="007707E6">
      <w:pPr>
        <w:jc w:val="both"/>
        <w:outlineLvl w:val="0"/>
        <w:rPr>
          <w:szCs w:val="24"/>
        </w:rPr>
      </w:pPr>
      <w:r w:rsidRPr="00717EE5">
        <w:rPr>
          <w:szCs w:val="24"/>
        </w:rPr>
        <w:t xml:space="preserve">Based on pharmacokinetic data, </w:t>
      </w:r>
      <w:r w:rsidRPr="00717EE5">
        <w:t>no dose adjustment is required in patients with mild</w:t>
      </w:r>
      <w:r w:rsidR="008704BD">
        <w:t xml:space="preserve"> </w:t>
      </w:r>
      <w:r w:rsidR="00E25629">
        <w:t>or</w:t>
      </w:r>
      <w:r w:rsidRPr="00717EE5">
        <w:t xml:space="preserve"> moderate hepatic impairment</w:t>
      </w:r>
      <w:r w:rsidRPr="00717EE5">
        <w:rPr>
          <w:szCs w:val="22"/>
        </w:rPr>
        <w:t>.</w:t>
      </w:r>
      <w:r w:rsidRPr="00717EE5">
        <w:t xml:space="preserve"> </w:t>
      </w:r>
      <w:r w:rsidRPr="00717EE5">
        <w:rPr>
          <w:szCs w:val="24"/>
        </w:rPr>
        <w:t xml:space="preserve">There is no clinical experience with the use of </w:t>
      </w:r>
      <w:r w:rsidR="005631B8">
        <w:rPr>
          <w:szCs w:val="24"/>
        </w:rPr>
        <w:t>OPSUMIT</w:t>
      </w:r>
      <w:r w:rsidRPr="00717EE5">
        <w:rPr>
          <w:szCs w:val="24"/>
        </w:rPr>
        <w:t xml:space="preserve"> in PAH patients with </w:t>
      </w:r>
      <w:r>
        <w:rPr>
          <w:szCs w:val="24"/>
        </w:rPr>
        <w:t xml:space="preserve">moderate or </w:t>
      </w:r>
      <w:r w:rsidRPr="00717EE5">
        <w:rPr>
          <w:szCs w:val="24"/>
        </w:rPr>
        <w:t xml:space="preserve">severe hepatic </w:t>
      </w:r>
      <w:r w:rsidRPr="00841141">
        <w:rPr>
          <w:szCs w:val="24"/>
        </w:rPr>
        <w:t>impairment.</w:t>
      </w:r>
    </w:p>
    <w:p w:rsidR="00EB1747" w:rsidRDefault="00EB1747" w:rsidP="007707E6">
      <w:pPr>
        <w:jc w:val="both"/>
        <w:outlineLvl w:val="0"/>
        <w:rPr>
          <w:szCs w:val="24"/>
        </w:rPr>
      </w:pPr>
      <w:r w:rsidRPr="00EB1747">
        <w:rPr>
          <w:szCs w:val="24"/>
        </w:rPr>
        <w:t xml:space="preserve"> </w:t>
      </w:r>
    </w:p>
    <w:p w:rsidR="00733AF2" w:rsidRPr="00841141" w:rsidRDefault="00EB1747" w:rsidP="007707E6">
      <w:pPr>
        <w:jc w:val="both"/>
        <w:outlineLvl w:val="0"/>
      </w:pPr>
      <w:r>
        <w:rPr>
          <w:szCs w:val="24"/>
        </w:rPr>
        <w:t>O</w:t>
      </w:r>
      <w:r w:rsidR="00452B4C">
        <w:rPr>
          <w:szCs w:val="24"/>
        </w:rPr>
        <w:t>PSUMIT</w:t>
      </w:r>
      <w:r>
        <w:rPr>
          <w:szCs w:val="24"/>
        </w:rPr>
        <w:t xml:space="preserve"> </w:t>
      </w:r>
      <w:r w:rsidR="00E25629">
        <w:rPr>
          <w:szCs w:val="24"/>
        </w:rPr>
        <w:t>is contraindicated</w:t>
      </w:r>
      <w:r>
        <w:rPr>
          <w:szCs w:val="24"/>
        </w:rPr>
        <w:t xml:space="preserve"> in patients with severe hepatic impairment, or clinically significant elevated hepatic aminotransferases (greater than 3 times the Upper Limit of Normal (&gt; 3 </w:t>
      </w:r>
      <w:r w:rsidRPr="00FF2F79">
        <w:rPr>
          <w:szCs w:val="24"/>
        </w:rPr>
        <w:t>×</w:t>
      </w:r>
      <w:r>
        <w:rPr>
          <w:szCs w:val="24"/>
        </w:rPr>
        <w:t xml:space="preserve"> ULN)</w:t>
      </w:r>
      <w:r w:rsidR="006D64E3">
        <w:rPr>
          <w:szCs w:val="24"/>
        </w:rPr>
        <w:t xml:space="preserve">; see </w:t>
      </w:r>
      <w:r w:rsidR="00A11AA5">
        <w:rPr>
          <w:szCs w:val="24"/>
        </w:rPr>
        <w:t>CONTRAINDICATIONS</w:t>
      </w:r>
      <w:r w:rsidR="006D64E3">
        <w:rPr>
          <w:szCs w:val="24"/>
        </w:rPr>
        <w:t>.</w:t>
      </w:r>
    </w:p>
    <w:p w:rsidR="00733AF2" w:rsidRPr="00717EE5" w:rsidRDefault="00733AF2" w:rsidP="007707E6">
      <w:pPr>
        <w:jc w:val="both"/>
        <w:rPr>
          <w:szCs w:val="22"/>
          <w:u w:val="single"/>
        </w:rPr>
      </w:pPr>
    </w:p>
    <w:p w:rsidR="00733AF2" w:rsidRPr="00527F9F" w:rsidRDefault="00733AF2" w:rsidP="007707E6">
      <w:pPr>
        <w:jc w:val="both"/>
        <w:rPr>
          <w:b/>
          <w:szCs w:val="22"/>
        </w:rPr>
      </w:pPr>
      <w:r w:rsidRPr="00527F9F">
        <w:rPr>
          <w:rFonts w:eastAsia="SimSun"/>
          <w:b/>
          <w:szCs w:val="22"/>
        </w:rPr>
        <w:t xml:space="preserve">Dosage adjustment in </w:t>
      </w:r>
      <w:r w:rsidR="00791B80" w:rsidRPr="00527F9F">
        <w:rPr>
          <w:b/>
          <w:szCs w:val="22"/>
        </w:rPr>
        <w:t>p</w:t>
      </w:r>
      <w:r w:rsidR="00B31C79" w:rsidRPr="00527F9F">
        <w:rPr>
          <w:b/>
          <w:szCs w:val="22"/>
        </w:rPr>
        <w:t xml:space="preserve">atients with </w:t>
      </w:r>
      <w:r w:rsidR="00791B80" w:rsidRPr="00527F9F">
        <w:rPr>
          <w:b/>
          <w:szCs w:val="22"/>
        </w:rPr>
        <w:t>r</w:t>
      </w:r>
      <w:r w:rsidRPr="00527F9F">
        <w:rPr>
          <w:b/>
          <w:szCs w:val="22"/>
        </w:rPr>
        <w:t xml:space="preserve">enal </w:t>
      </w:r>
      <w:r w:rsidR="00791B80" w:rsidRPr="00527F9F">
        <w:rPr>
          <w:b/>
          <w:szCs w:val="22"/>
        </w:rPr>
        <w:t>i</w:t>
      </w:r>
      <w:r w:rsidRPr="00527F9F">
        <w:rPr>
          <w:b/>
          <w:szCs w:val="22"/>
        </w:rPr>
        <w:t>mpairment</w:t>
      </w:r>
    </w:p>
    <w:p w:rsidR="00733AF2" w:rsidRPr="00717EE5" w:rsidRDefault="00D24C77" w:rsidP="00E94507">
      <w:pPr>
        <w:autoSpaceDE w:val="0"/>
        <w:autoSpaceDN w:val="0"/>
        <w:adjustRightInd w:val="0"/>
        <w:jc w:val="both"/>
      </w:pPr>
      <w:r w:rsidRPr="00D24C77">
        <w:rPr>
          <w:rFonts w:ascii="Times New Roman" w:hAnsi="Times New Roman"/>
          <w:bCs/>
          <w:iCs/>
          <w:szCs w:val="24"/>
          <w:lang w:val="en-US"/>
        </w:rPr>
        <w:t xml:space="preserve">Based on PK data, no </w:t>
      </w:r>
      <w:r w:rsidR="00733AF2" w:rsidRPr="00717EE5">
        <w:t xml:space="preserve">dose adjustment is required in patients with renal impairment. There is no </w:t>
      </w:r>
      <w:r>
        <w:t xml:space="preserve">clinical </w:t>
      </w:r>
      <w:r w:rsidR="00733AF2" w:rsidRPr="00717EE5">
        <w:t xml:space="preserve">experience with the use of </w:t>
      </w:r>
      <w:r w:rsidR="005631B8">
        <w:t>OPSUMIT</w:t>
      </w:r>
      <w:r w:rsidR="00733AF2" w:rsidRPr="00717EE5">
        <w:t xml:space="preserve"> in </w:t>
      </w:r>
      <w:r w:rsidRPr="00D24C77">
        <w:rPr>
          <w:rFonts w:ascii="Times New Roman" w:hAnsi="Times New Roman"/>
          <w:bCs/>
          <w:iCs/>
          <w:szCs w:val="24"/>
          <w:lang w:val="en-US"/>
        </w:rPr>
        <w:t xml:space="preserve">PAH </w:t>
      </w:r>
      <w:r w:rsidRPr="00D24C77">
        <w:rPr>
          <w:rFonts w:ascii="Times New Roman" w:hAnsi="Times New Roman"/>
          <w:iCs/>
          <w:szCs w:val="24"/>
          <w:lang w:val="en-US"/>
        </w:rPr>
        <w:t xml:space="preserve">patients </w:t>
      </w:r>
      <w:r w:rsidRPr="00D24C77">
        <w:rPr>
          <w:rFonts w:ascii="Times New Roman" w:hAnsi="Times New Roman"/>
          <w:bCs/>
          <w:iCs/>
          <w:szCs w:val="24"/>
          <w:lang w:val="en-US"/>
        </w:rPr>
        <w:t>with severe renal impairment. The</w:t>
      </w:r>
      <w:r w:rsidR="00315EFA">
        <w:rPr>
          <w:rFonts w:ascii="Times New Roman" w:hAnsi="Times New Roman"/>
          <w:bCs/>
          <w:iCs/>
          <w:szCs w:val="24"/>
          <w:lang w:val="en-US"/>
        </w:rPr>
        <w:t xml:space="preserve"> </w:t>
      </w:r>
      <w:r w:rsidRPr="00D24C77">
        <w:rPr>
          <w:rFonts w:ascii="Times New Roman" w:hAnsi="Times New Roman"/>
          <w:bCs/>
          <w:iCs/>
          <w:szCs w:val="24"/>
          <w:lang w:val="en-US"/>
        </w:rPr>
        <w:t xml:space="preserve">use of OPSUMIT is not recommended in patients </w:t>
      </w:r>
      <w:r w:rsidR="00733AF2" w:rsidRPr="00717EE5">
        <w:t>undergoing dialysis</w:t>
      </w:r>
      <w:r w:rsidR="00833703">
        <w:t xml:space="preserve">. </w:t>
      </w:r>
      <w:r w:rsidR="00733AF2" w:rsidRPr="00717EE5">
        <w:t xml:space="preserve"> </w:t>
      </w:r>
    </w:p>
    <w:p w:rsidR="00733AF2" w:rsidRPr="00717EE5" w:rsidRDefault="00733AF2" w:rsidP="00733AF2">
      <w:pPr>
        <w:rPr>
          <w:szCs w:val="22"/>
          <w:u w:val="single"/>
        </w:rPr>
      </w:pPr>
    </w:p>
    <w:p w:rsidR="00733AF2" w:rsidRPr="00527F9F" w:rsidRDefault="00733AF2" w:rsidP="00733AF2">
      <w:pPr>
        <w:rPr>
          <w:b/>
          <w:bCs/>
          <w:iCs/>
          <w:szCs w:val="22"/>
        </w:rPr>
      </w:pPr>
      <w:r w:rsidRPr="00527F9F">
        <w:rPr>
          <w:rFonts w:eastAsia="SimSun"/>
          <w:b/>
          <w:szCs w:val="22"/>
        </w:rPr>
        <w:t xml:space="preserve">Dosage adjustment in </w:t>
      </w:r>
      <w:r w:rsidR="00791B80" w:rsidRPr="00527F9F">
        <w:rPr>
          <w:b/>
          <w:bCs/>
          <w:iCs/>
          <w:szCs w:val="22"/>
        </w:rPr>
        <w:t>p</w:t>
      </w:r>
      <w:r w:rsidRPr="00527F9F">
        <w:rPr>
          <w:b/>
          <w:bCs/>
          <w:iCs/>
          <w:szCs w:val="22"/>
        </w:rPr>
        <w:t xml:space="preserve">aediatric </w:t>
      </w:r>
      <w:r w:rsidR="00791B80" w:rsidRPr="00527F9F">
        <w:rPr>
          <w:b/>
          <w:bCs/>
          <w:iCs/>
          <w:szCs w:val="22"/>
        </w:rPr>
        <w:t>p</w:t>
      </w:r>
      <w:r w:rsidRPr="00527F9F">
        <w:rPr>
          <w:b/>
          <w:bCs/>
          <w:iCs/>
          <w:szCs w:val="22"/>
        </w:rPr>
        <w:t>opulation</w:t>
      </w:r>
    </w:p>
    <w:p w:rsidR="00733AF2" w:rsidRPr="00717EE5" w:rsidRDefault="00733AF2" w:rsidP="007707E6">
      <w:pPr>
        <w:autoSpaceDE w:val="0"/>
        <w:autoSpaceDN w:val="0"/>
        <w:adjustRightInd w:val="0"/>
        <w:jc w:val="both"/>
        <w:rPr>
          <w:szCs w:val="22"/>
        </w:rPr>
      </w:pPr>
      <w:r w:rsidRPr="00717EE5">
        <w:rPr>
          <w:szCs w:val="22"/>
        </w:rPr>
        <w:t>There is limited clinical experience in paediatric patients aged 12 and above</w:t>
      </w:r>
      <w:r w:rsidR="0050467E" w:rsidRPr="0050467E">
        <w:rPr>
          <w:szCs w:val="22"/>
        </w:rPr>
        <w:t xml:space="preserve"> </w:t>
      </w:r>
      <w:r w:rsidR="0050467E">
        <w:rPr>
          <w:szCs w:val="22"/>
        </w:rPr>
        <w:t>therefore caution is advised</w:t>
      </w:r>
      <w:r w:rsidRPr="00717EE5">
        <w:rPr>
          <w:szCs w:val="22"/>
        </w:rPr>
        <w:t>;</w:t>
      </w:r>
      <w:r w:rsidRPr="00717EE5">
        <w:t xml:space="preserve"> the recommended dose is 10 mg once daily</w:t>
      </w:r>
      <w:r w:rsidR="007A773A">
        <w:t xml:space="preserve"> in patients aged 12 and above and with body weight &gt; 40kg</w:t>
      </w:r>
      <w:r w:rsidRPr="00717EE5">
        <w:t>.</w:t>
      </w:r>
      <w:r w:rsidRPr="00717EE5">
        <w:rPr>
          <w:szCs w:val="22"/>
        </w:rPr>
        <w:t xml:space="preserve"> The safety and efficacy of </w:t>
      </w:r>
      <w:r w:rsidR="005631B8">
        <w:rPr>
          <w:szCs w:val="22"/>
        </w:rPr>
        <w:t>OPSUMIT</w:t>
      </w:r>
      <w:r w:rsidRPr="00717EE5">
        <w:rPr>
          <w:szCs w:val="22"/>
        </w:rPr>
        <w:t xml:space="preserve"> in children below the age of 12 years have not yet been established.</w:t>
      </w:r>
    </w:p>
    <w:p w:rsidR="00733AF2" w:rsidRDefault="00733AF2" w:rsidP="00341D9B">
      <w:pPr>
        <w:autoSpaceDE w:val="0"/>
        <w:autoSpaceDN w:val="0"/>
        <w:adjustRightInd w:val="0"/>
        <w:rPr>
          <w:rFonts w:ascii="Arial" w:hAnsi="Arial" w:cs="Arial"/>
          <w:szCs w:val="24"/>
          <w:lang w:val="en-US"/>
        </w:rPr>
      </w:pPr>
    </w:p>
    <w:p w:rsidR="001C35B2" w:rsidRDefault="001C35B2" w:rsidP="00365338">
      <w:pPr>
        <w:pStyle w:val="Heading1"/>
        <w:ind w:right="-61"/>
      </w:pPr>
      <w:r>
        <w:t>OVERDOSAGE</w:t>
      </w:r>
    </w:p>
    <w:p w:rsidR="000270B4" w:rsidRPr="000270B4" w:rsidRDefault="000270B4" w:rsidP="000270B4"/>
    <w:p w:rsidR="00201F2E" w:rsidRDefault="00733AF2" w:rsidP="002924FD">
      <w:pPr>
        <w:autoSpaceDE w:val="0"/>
        <w:autoSpaceDN w:val="0"/>
        <w:adjustRightInd w:val="0"/>
        <w:jc w:val="both"/>
        <w:rPr>
          <w:rFonts w:ascii="Arial" w:hAnsi="Arial" w:cs="Arial"/>
          <w:bCs/>
          <w:szCs w:val="24"/>
          <w:lang w:val="en-US"/>
        </w:rPr>
      </w:pPr>
      <w:proofErr w:type="spellStart"/>
      <w:r w:rsidRPr="00717EE5">
        <w:t>Macitentan</w:t>
      </w:r>
      <w:proofErr w:type="spellEnd"/>
      <w:r w:rsidRPr="00717EE5">
        <w:t xml:space="preserve"> has been administered as a single dose of up to and including 600</w:t>
      </w:r>
      <w:r w:rsidR="007707E6">
        <w:t xml:space="preserve"> </w:t>
      </w:r>
      <w:r w:rsidRPr="00717EE5">
        <w:t xml:space="preserve">mg to healthy subjects. Adverse events of headache, nausea, and vomiting were observed. In the event of an overdose, standard supportive measures must be taken, as required. Due to the high degree of protein binding of </w:t>
      </w:r>
      <w:proofErr w:type="spellStart"/>
      <w:r w:rsidRPr="00717EE5">
        <w:t>macitentan</w:t>
      </w:r>
      <w:proofErr w:type="spellEnd"/>
      <w:r w:rsidRPr="00717EE5">
        <w:t>, dialysis is unlikely to be effective.</w:t>
      </w:r>
      <w:r w:rsidR="00201F2E" w:rsidRPr="00201F2E">
        <w:rPr>
          <w:rFonts w:ascii="Arial" w:hAnsi="Arial" w:cs="Arial"/>
          <w:bCs/>
          <w:szCs w:val="24"/>
          <w:lang w:val="en-US"/>
        </w:rPr>
        <w:t xml:space="preserve"> </w:t>
      </w:r>
    </w:p>
    <w:p w:rsidR="005B2390" w:rsidRDefault="005B2390" w:rsidP="002924FD">
      <w:pPr>
        <w:autoSpaceDE w:val="0"/>
        <w:autoSpaceDN w:val="0"/>
        <w:adjustRightInd w:val="0"/>
        <w:jc w:val="both"/>
        <w:rPr>
          <w:rFonts w:ascii="Arial" w:hAnsi="Arial" w:cs="Arial"/>
          <w:bCs/>
          <w:szCs w:val="24"/>
          <w:lang w:val="en-US"/>
        </w:rPr>
      </w:pPr>
    </w:p>
    <w:p w:rsidR="00201F2E" w:rsidRPr="005B2390" w:rsidRDefault="00201F2E" w:rsidP="002924FD">
      <w:pPr>
        <w:autoSpaceDE w:val="0"/>
        <w:autoSpaceDN w:val="0"/>
        <w:adjustRightInd w:val="0"/>
        <w:jc w:val="both"/>
      </w:pPr>
      <w:r w:rsidRPr="005B2390">
        <w:t xml:space="preserve">Contact the Poisons Information Centre on 13 11 26 for advice on management of overdose. </w:t>
      </w:r>
    </w:p>
    <w:p w:rsidR="00733AF2" w:rsidRPr="00717EE5" w:rsidRDefault="00733AF2" w:rsidP="007707E6">
      <w:pPr>
        <w:jc w:val="both"/>
      </w:pPr>
    </w:p>
    <w:p w:rsidR="00733AF2" w:rsidRPr="00717EE5" w:rsidRDefault="00733AF2" w:rsidP="00733AF2"/>
    <w:p w:rsidR="001C35B2" w:rsidRDefault="001C35B2" w:rsidP="00365338">
      <w:pPr>
        <w:pStyle w:val="Heading1"/>
        <w:ind w:right="-61"/>
        <w:rPr>
          <w:szCs w:val="24"/>
        </w:rPr>
      </w:pPr>
      <w:r>
        <w:t>PRESENTATION</w:t>
      </w:r>
      <w:r w:rsidR="00A413AD" w:rsidRPr="004E01DD">
        <w:t xml:space="preserve"> </w:t>
      </w:r>
      <w:r w:rsidR="00A413AD" w:rsidRPr="004E01DD">
        <w:rPr>
          <w:szCs w:val="24"/>
        </w:rPr>
        <w:t>AND STORAGE CONDITIONS</w:t>
      </w:r>
    </w:p>
    <w:p w:rsidR="000270B4" w:rsidRPr="000270B4" w:rsidRDefault="000270B4" w:rsidP="000270B4"/>
    <w:p w:rsidR="002B3693" w:rsidRDefault="00733AF2" w:rsidP="00733AF2">
      <w:pPr>
        <w:pStyle w:val="BodyText"/>
        <w:jc w:val="left"/>
        <w:rPr>
          <w:rFonts w:ascii="Times New Roman" w:hAnsi="Times New Roman"/>
          <w:snapToGrid w:val="0"/>
          <w:lang w:eastAsia="sv-SE"/>
        </w:rPr>
      </w:pPr>
      <w:r>
        <w:rPr>
          <w:rFonts w:ascii="Times New Roman" w:hAnsi="Times New Roman"/>
          <w:snapToGrid w:val="0"/>
          <w:lang w:eastAsia="sv-SE"/>
        </w:rPr>
        <w:t xml:space="preserve">Blisters: </w:t>
      </w:r>
      <w:r w:rsidRPr="00733AF2">
        <w:rPr>
          <w:rFonts w:ascii="Times New Roman" w:hAnsi="Times New Roman"/>
          <w:snapToGrid w:val="0"/>
          <w:lang w:eastAsia="sv-SE"/>
        </w:rPr>
        <w:t>PVC/PE/</w:t>
      </w:r>
      <w:proofErr w:type="spellStart"/>
      <w:r w:rsidRPr="00733AF2">
        <w:rPr>
          <w:rFonts w:ascii="Times New Roman" w:hAnsi="Times New Roman"/>
          <w:snapToGrid w:val="0"/>
          <w:lang w:eastAsia="sv-SE"/>
        </w:rPr>
        <w:t>PVdC</w:t>
      </w:r>
      <w:proofErr w:type="spellEnd"/>
      <w:r w:rsidRPr="00733AF2">
        <w:rPr>
          <w:rFonts w:ascii="Times New Roman" w:hAnsi="Times New Roman"/>
          <w:snapToGrid w:val="0"/>
          <w:lang w:eastAsia="sv-SE"/>
        </w:rPr>
        <w:t>/</w:t>
      </w:r>
      <w:proofErr w:type="spellStart"/>
      <w:r w:rsidRPr="00733AF2">
        <w:rPr>
          <w:rFonts w:ascii="Times New Roman" w:hAnsi="Times New Roman"/>
          <w:snapToGrid w:val="0"/>
          <w:lang w:eastAsia="sv-SE"/>
        </w:rPr>
        <w:t>Alumin</w:t>
      </w:r>
      <w:r w:rsidR="00F80304">
        <w:rPr>
          <w:rFonts w:ascii="Times New Roman" w:hAnsi="Times New Roman"/>
          <w:snapToGrid w:val="0"/>
          <w:lang w:eastAsia="sv-SE"/>
        </w:rPr>
        <w:t>i</w:t>
      </w:r>
      <w:r w:rsidRPr="00733AF2">
        <w:rPr>
          <w:rFonts w:ascii="Times New Roman" w:hAnsi="Times New Roman"/>
          <w:snapToGrid w:val="0"/>
          <w:lang w:eastAsia="sv-SE"/>
        </w:rPr>
        <w:t>um</w:t>
      </w:r>
      <w:proofErr w:type="spellEnd"/>
      <w:r w:rsidRPr="00733AF2">
        <w:rPr>
          <w:rFonts w:ascii="Times New Roman" w:hAnsi="Times New Roman"/>
          <w:snapToGrid w:val="0"/>
          <w:lang w:eastAsia="sv-SE"/>
        </w:rPr>
        <w:t xml:space="preserve"> foil blisters in cartons containing </w:t>
      </w:r>
      <w:r w:rsidR="00791B80">
        <w:rPr>
          <w:rFonts w:ascii="Times New Roman" w:hAnsi="Times New Roman"/>
          <w:snapToGrid w:val="0"/>
          <w:lang w:eastAsia="sv-SE"/>
        </w:rPr>
        <w:t>3</w:t>
      </w:r>
      <w:r w:rsidR="002B3693" w:rsidRPr="002B3693">
        <w:rPr>
          <w:rFonts w:ascii="Times New Roman" w:hAnsi="Times New Roman"/>
          <w:snapToGrid w:val="0"/>
          <w:lang w:eastAsia="sv-SE"/>
        </w:rPr>
        <w:t xml:space="preserve"> </w:t>
      </w:r>
      <w:r w:rsidR="00A46343">
        <w:rPr>
          <w:rFonts w:ascii="Times New Roman" w:hAnsi="Times New Roman"/>
          <w:snapToGrid w:val="0"/>
          <w:lang w:eastAsia="sv-SE"/>
        </w:rPr>
        <w:t xml:space="preserve">x 10 mg </w:t>
      </w:r>
      <w:proofErr w:type="spellStart"/>
      <w:r w:rsidR="00A46343">
        <w:rPr>
          <w:rFonts w:ascii="Times New Roman" w:hAnsi="Times New Roman"/>
          <w:snapToGrid w:val="0"/>
          <w:lang w:eastAsia="sv-SE"/>
        </w:rPr>
        <w:t>macitentan</w:t>
      </w:r>
      <w:proofErr w:type="spellEnd"/>
      <w:r w:rsidR="00A46343">
        <w:rPr>
          <w:rFonts w:ascii="Times New Roman" w:hAnsi="Times New Roman"/>
          <w:snapToGrid w:val="0"/>
          <w:lang w:eastAsia="sv-SE"/>
        </w:rPr>
        <w:t xml:space="preserve"> </w:t>
      </w:r>
      <w:r w:rsidR="002B3693" w:rsidRPr="00733AF2">
        <w:rPr>
          <w:rFonts w:ascii="Times New Roman" w:hAnsi="Times New Roman"/>
          <w:snapToGrid w:val="0"/>
          <w:lang w:eastAsia="sv-SE"/>
        </w:rPr>
        <w:t>film-coated tablets</w:t>
      </w:r>
      <w:r w:rsidR="00856BF9">
        <w:rPr>
          <w:rFonts w:ascii="Times New Roman" w:hAnsi="Times New Roman"/>
          <w:snapToGrid w:val="0"/>
          <w:lang w:eastAsia="sv-SE"/>
        </w:rPr>
        <w:t>, starter pack</w:t>
      </w:r>
      <w:r w:rsidR="002B3693">
        <w:rPr>
          <w:rFonts w:ascii="Times New Roman" w:hAnsi="Times New Roman"/>
          <w:snapToGrid w:val="0"/>
          <w:lang w:eastAsia="sv-SE"/>
        </w:rPr>
        <w:t xml:space="preserve">, AUST R </w:t>
      </w:r>
      <w:r w:rsidR="00F11037">
        <w:rPr>
          <w:rFonts w:ascii="Times New Roman" w:hAnsi="Times New Roman"/>
          <w:snapToGrid w:val="0"/>
          <w:lang w:eastAsia="sv-SE"/>
        </w:rPr>
        <w:t>205624</w:t>
      </w:r>
    </w:p>
    <w:p w:rsidR="002B3693" w:rsidRDefault="002B3693" w:rsidP="00733AF2">
      <w:pPr>
        <w:pStyle w:val="BodyText"/>
        <w:jc w:val="left"/>
        <w:rPr>
          <w:rFonts w:ascii="Times New Roman" w:hAnsi="Times New Roman"/>
          <w:snapToGrid w:val="0"/>
          <w:lang w:eastAsia="sv-SE"/>
        </w:rPr>
      </w:pPr>
      <w:r>
        <w:rPr>
          <w:rFonts w:ascii="Times New Roman" w:hAnsi="Times New Roman"/>
          <w:snapToGrid w:val="0"/>
          <w:lang w:eastAsia="sv-SE"/>
        </w:rPr>
        <w:lastRenderedPageBreak/>
        <w:t xml:space="preserve">Blisters: </w:t>
      </w:r>
      <w:r w:rsidRPr="00733AF2">
        <w:rPr>
          <w:rFonts w:ascii="Times New Roman" w:hAnsi="Times New Roman"/>
          <w:snapToGrid w:val="0"/>
          <w:lang w:eastAsia="sv-SE"/>
        </w:rPr>
        <w:t>PVC/PE/</w:t>
      </w:r>
      <w:proofErr w:type="spellStart"/>
      <w:r w:rsidRPr="00733AF2">
        <w:rPr>
          <w:rFonts w:ascii="Times New Roman" w:hAnsi="Times New Roman"/>
          <w:snapToGrid w:val="0"/>
          <w:lang w:eastAsia="sv-SE"/>
        </w:rPr>
        <w:t>PVdC</w:t>
      </w:r>
      <w:proofErr w:type="spellEnd"/>
      <w:r w:rsidRPr="00733AF2">
        <w:rPr>
          <w:rFonts w:ascii="Times New Roman" w:hAnsi="Times New Roman"/>
          <w:snapToGrid w:val="0"/>
          <w:lang w:eastAsia="sv-SE"/>
        </w:rPr>
        <w:t>/</w:t>
      </w:r>
      <w:proofErr w:type="spellStart"/>
      <w:r w:rsidRPr="00733AF2">
        <w:rPr>
          <w:rFonts w:ascii="Times New Roman" w:hAnsi="Times New Roman"/>
          <w:snapToGrid w:val="0"/>
          <w:lang w:eastAsia="sv-SE"/>
        </w:rPr>
        <w:t>Alumin</w:t>
      </w:r>
      <w:r w:rsidR="00F80304">
        <w:rPr>
          <w:rFonts w:ascii="Times New Roman" w:hAnsi="Times New Roman"/>
          <w:snapToGrid w:val="0"/>
          <w:lang w:eastAsia="sv-SE"/>
        </w:rPr>
        <w:t>i</w:t>
      </w:r>
      <w:r w:rsidRPr="00733AF2">
        <w:rPr>
          <w:rFonts w:ascii="Times New Roman" w:hAnsi="Times New Roman"/>
          <w:snapToGrid w:val="0"/>
          <w:lang w:eastAsia="sv-SE"/>
        </w:rPr>
        <w:t>um</w:t>
      </w:r>
      <w:proofErr w:type="spellEnd"/>
      <w:r w:rsidRPr="00733AF2">
        <w:rPr>
          <w:rFonts w:ascii="Times New Roman" w:hAnsi="Times New Roman"/>
          <w:snapToGrid w:val="0"/>
          <w:lang w:eastAsia="sv-SE"/>
        </w:rPr>
        <w:t xml:space="preserve"> foil blisters in cartons </w:t>
      </w:r>
      <w:r w:rsidR="00A46343">
        <w:rPr>
          <w:rFonts w:ascii="Times New Roman" w:hAnsi="Times New Roman"/>
          <w:snapToGrid w:val="0"/>
          <w:lang w:eastAsia="sv-SE"/>
        </w:rPr>
        <w:t>6</w:t>
      </w:r>
      <w:r w:rsidR="00A46343" w:rsidRPr="002B3693">
        <w:rPr>
          <w:rFonts w:ascii="Times New Roman" w:hAnsi="Times New Roman"/>
          <w:snapToGrid w:val="0"/>
          <w:lang w:eastAsia="sv-SE"/>
        </w:rPr>
        <w:t xml:space="preserve"> </w:t>
      </w:r>
      <w:r w:rsidR="00A46343">
        <w:rPr>
          <w:rFonts w:ascii="Times New Roman" w:hAnsi="Times New Roman"/>
          <w:snapToGrid w:val="0"/>
          <w:lang w:eastAsia="sv-SE"/>
        </w:rPr>
        <w:t xml:space="preserve">x 10 mg </w:t>
      </w:r>
      <w:proofErr w:type="spellStart"/>
      <w:r w:rsidR="00A46343">
        <w:rPr>
          <w:rFonts w:ascii="Times New Roman" w:hAnsi="Times New Roman"/>
          <w:snapToGrid w:val="0"/>
          <w:lang w:eastAsia="sv-SE"/>
        </w:rPr>
        <w:t>macitentan</w:t>
      </w:r>
      <w:proofErr w:type="spellEnd"/>
      <w:r w:rsidR="00A46343">
        <w:rPr>
          <w:rFonts w:ascii="Times New Roman" w:hAnsi="Times New Roman"/>
          <w:snapToGrid w:val="0"/>
          <w:lang w:eastAsia="sv-SE"/>
        </w:rPr>
        <w:t xml:space="preserve"> </w:t>
      </w:r>
      <w:r w:rsidR="00A46343" w:rsidRPr="00733AF2">
        <w:rPr>
          <w:rFonts w:ascii="Times New Roman" w:hAnsi="Times New Roman"/>
          <w:snapToGrid w:val="0"/>
          <w:lang w:eastAsia="sv-SE"/>
        </w:rPr>
        <w:t>film-coated tablets</w:t>
      </w:r>
      <w:r w:rsidR="00791B80">
        <w:rPr>
          <w:rFonts w:ascii="Times New Roman" w:hAnsi="Times New Roman"/>
          <w:snapToGrid w:val="0"/>
          <w:lang w:eastAsia="sv-SE"/>
        </w:rPr>
        <w:t>,</w:t>
      </w:r>
      <w:r w:rsidRPr="002B3693">
        <w:rPr>
          <w:rFonts w:ascii="Times New Roman" w:hAnsi="Times New Roman"/>
          <w:snapToGrid w:val="0"/>
          <w:lang w:eastAsia="sv-SE"/>
        </w:rPr>
        <w:t xml:space="preserve"> </w:t>
      </w:r>
      <w:r w:rsidR="00856BF9">
        <w:rPr>
          <w:rFonts w:ascii="Times New Roman" w:hAnsi="Times New Roman"/>
          <w:snapToGrid w:val="0"/>
          <w:lang w:eastAsia="sv-SE"/>
        </w:rPr>
        <w:t xml:space="preserve">starter pack, </w:t>
      </w:r>
      <w:r>
        <w:rPr>
          <w:rFonts w:ascii="Times New Roman" w:hAnsi="Times New Roman"/>
          <w:snapToGrid w:val="0"/>
          <w:lang w:eastAsia="sv-SE"/>
        </w:rPr>
        <w:t xml:space="preserve">AUST R </w:t>
      </w:r>
      <w:r w:rsidR="00F11037">
        <w:rPr>
          <w:rFonts w:ascii="Times New Roman" w:hAnsi="Times New Roman"/>
          <w:snapToGrid w:val="0"/>
          <w:lang w:eastAsia="sv-SE"/>
        </w:rPr>
        <w:t>205624</w:t>
      </w:r>
    </w:p>
    <w:p w:rsidR="002B3693" w:rsidRDefault="002B3693" w:rsidP="002B3693">
      <w:pPr>
        <w:pStyle w:val="BodyText"/>
        <w:jc w:val="left"/>
        <w:rPr>
          <w:rFonts w:ascii="Times New Roman" w:hAnsi="Times New Roman"/>
          <w:snapToGrid w:val="0"/>
          <w:lang w:eastAsia="sv-SE"/>
        </w:rPr>
      </w:pPr>
      <w:r>
        <w:rPr>
          <w:rFonts w:ascii="Times New Roman" w:hAnsi="Times New Roman"/>
          <w:snapToGrid w:val="0"/>
          <w:lang w:eastAsia="sv-SE"/>
        </w:rPr>
        <w:t xml:space="preserve">Blisters: </w:t>
      </w:r>
      <w:r w:rsidRPr="00733AF2">
        <w:rPr>
          <w:rFonts w:ascii="Times New Roman" w:hAnsi="Times New Roman"/>
          <w:snapToGrid w:val="0"/>
          <w:lang w:eastAsia="sv-SE"/>
        </w:rPr>
        <w:t>PVC/PE/</w:t>
      </w:r>
      <w:proofErr w:type="spellStart"/>
      <w:r w:rsidRPr="00733AF2">
        <w:rPr>
          <w:rFonts w:ascii="Times New Roman" w:hAnsi="Times New Roman"/>
          <w:snapToGrid w:val="0"/>
          <w:lang w:eastAsia="sv-SE"/>
        </w:rPr>
        <w:t>PVdC</w:t>
      </w:r>
      <w:proofErr w:type="spellEnd"/>
      <w:r w:rsidRPr="00733AF2">
        <w:rPr>
          <w:rFonts w:ascii="Times New Roman" w:hAnsi="Times New Roman"/>
          <w:snapToGrid w:val="0"/>
          <w:lang w:eastAsia="sv-SE"/>
        </w:rPr>
        <w:t>/</w:t>
      </w:r>
      <w:proofErr w:type="spellStart"/>
      <w:r w:rsidRPr="00733AF2">
        <w:rPr>
          <w:rFonts w:ascii="Times New Roman" w:hAnsi="Times New Roman"/>
          <w:snapToGrid w:val="0"/>
          <w:lang w:eastAsia="sv-SE"/>
        </w:rPr>
        <w:t>Alumin</w:t>
      </w:r>
      <w:r w:rsidR="00F80304">
        <w:rPr>
          <w:rFonts w:ascii="Times New Roman" w:hAnsi="Times New Roman"/>
          <w:snapToGrid w:val="0"/>
          <w:lang w:eastAsia="sv-SE"/>
        </w:rPr>
        <w:t>i</w:t>
      </w:r>
      <w:r w:rsidRPr="00733AF2">
        <w:rPr>
          <w:rFonts w:ascii="Times New Roman" w:hAnsi="Times New Roman"/>
          <w:snapToGrid w:val="0"/>
          <w:lang w:eastAsia="sv-SE"/>
        </w:rPr>
        <w:t>um</w:t>
      </w:r>
      <w:proofErr w:type="spellEnd"/>
      <w:r w:rsidRPr="00733AF2">
        <w:rPr>
          <w:rFonts w:ascii="Times New Roman" w:hAnsi="Times New Roman"/>
          <w:snapToGrid w:val="0"/>
          <w:lang w:eastAsia="sv-SE"/>
        </w:rPr>
        <w:t xml:space="preserve"> foil blisters in cartons containing </w:t>
      </w:r>
      <w:r w:rsidR="00791B80">
        <w:rPr>
          <w:rFonts w:ascii="Times New Roman" w:hAnsi="Times New Roman"/>
          <w:snapToGrid w:val="0"/>
          <w:lang w:eastAsia="sv-SE"/>
        </w:rPr>
        <w:t>9</w:t>
      </w:r>
      <w:r w:rsidR="00A46343">
        <w:rPr>
          <w:rFonts w:ascii="Times New Roman" w:hAnsi="Times New Roman"/>
          <w:snapToGrid w:val="0"/>
          <w:lang w:eastAsia="sv-SE"/>
        </w:rPr>
        <w:t xml:space="preserve"> x 10 mg </w:t>
      </w:r>
      <w:proofErr w:type="spellStart"/>
      <w:r w:rsidR="00A46343">
        <w:rPr>
          <w:rFonts w:ascii="Times New Roman" w:hAnsi="Times New Roman"/>
          <w:snapToGrid w:val="0"/>
          <w:lang w:eastAsia="sv-SE"/>
        </w:rPr>
        <w:t>macitentan</w:t>
      </w:r>
      <w:proofErr w:type="spellEnd"/>
      <w:r w:rsidRPr="002B3693">
        <w:rPr>
          <w:rFonts w:ascii="Times New Roman" w:hAnsi="Times New Roman"/>
          <w:snapToGrid w:val="0"/>
          <w:lang w:eastAsia="sv-SE"/>
        </w:rPr>
        <w:t xml:space="preserve"> </w:t>
      </w:r>
      <w:r w:rsidRPr="00733AF2">
        <w:rPr>
          <w:rFonts w:ascii="Times New Roman" w:hAnsi="Times New Roman"/>
          <w:snapToGrid w:val="0"/>
          <w:lang w:eastAsia="sv-SE"/>
        </w:rPr>
        <w:t>film-coated tablets</w:t>
      </w:r>
      <w:r>
        <w:rPr>
          <w:rFonts w:ascii="Times New Roman" w:hAnsi="Times New Roman"/>
          <w:snapToGrid w:val="0"/>
          <w:lang w:eastAsia="sv-SE"/>
        </w:rPr>
        <w:t xml:space="preserve">, </w:t>
      </w:r>
      <w:r w:rsidR="00856BF9">
        <w:rPr>
          <w:rFonts w:ascii="Times New Roman" w:hAnsi="Times New Roman"/>
          <w:snapToGrid w:val="0"/>
          <w:lang w:eastAsia="sv-SE"/>
        </w:rPr>
        <w:t>starter pack,</w:t>
      </w:r>
      <w:r w:rsidR="00ED088A">
        <w:rPr>
          <w:rFonts w:ascii="Times New Roman" w:hAnsi="Times New Roman"/>
          <w:snapToGrid w:val="0"/>
          <w:lang w:eastAsia="sv-SE"/>
        </w:rPr>
        <w:t xml:space="preserve"> </w:t>
      </w:r>
      <w:r>
        <w:rPr>
          <w:rFonts w:ascii="Times New Roman" w:hAnsi="Times New Roman"/>
          <w:snapToGrid w:val="0"/>
          <w:lang w:eastAsia="sv-SE"/>
        </w:rPr>
        <w:t xml:space="preserve">AUST R </w:t>
      </w:r>
      <w:r w:rsidR="00F11037">
        <w:rPr>
          <w:rFonts w:ascii="Times New Roman" w:hAnsi="Times New Roman"/>
          <w:snapToGrid w:val="0"/>
          <w:lang w:eastAsia="sv-SE"/>
        </w:rPr>
        <w:t>205624</w:t>
      </w:r>
    </w:p>
    <w:p w:rsidR="002B3693" w:rsidRDefault="002B3693" w:rsidP="002B3693">
      <w:pPr>
        <w:pStyle w:val="BodyText"/>
        <w:jc w:val="left"/>
        <w:rPr>
          <w:rFonts w:ascii="Times New Roman" w:hAnsi="Times New Roman"/>
          <w:snapToGrid w:val="0"/>
          <w:lang w:eastAsia="sv-SE"/>
        </w:rPr>
      </w:pPr>
      <w:r>
        <w:rPr>
          <w:rFonts w:ascii="Times New Roman" w:hAnsi="Times New Roman"/>
          <w:snapToGrid w:val="0"/>
          <w:lang w:eastAsia="sv-SE"/>
        </w:rPr>
        <w:t xml:space="preserve">Blisters: </w:t>
      </w:r>
      <w:r w:rsidRPr="00733AF2">
        <w:rPr>
          <w:rFonts w:ascii="Times New Roman" w:hAnsi="Times New Roman"/>
          <w:snapToGrid w:val="0"/>
          <w:lang w:eastAsia="sv-SE"/>
        </w:rPr>
        <w:t>PVC/PE/</w:t>
      </w:r>
      <w:proofErr w:type="spellStart"/>
      <w:r w:rsidRPr="00733AF2">
        <w:rPr>
          <w:rFonts w:ascii="Times New Roman" w:hAnsi="Times New Roman"/>
          <w:snapToGrid w:val="0"/>
          <w:lang w:eastAsia="sv-SE"/>
        </w:rPr>
        <w:t>PVdC</w:t>
      </w:r>
      <w:proofErr w:type="spellEnd"/>
      <w:r w:rsidRPr="00733AF2">
        <w:rPr>
          <w:rFonts w:ascii="Times New Roman" w:hAnsi="Times New Roman"/>
          <w:snapToGrid w:val="0"/>
          <w:lang w:eastAsia="sv-SE"/>
        </w:rPr>
        <w:t>/</w:t>
      </w:r>
      <w:proofErr w:type="spellStart"/>
      <w:r w:rsidRPr="00733AF2">
        <w:rPr>
          <w:rFonts w:ascii="Times New Roman" w:hAnsi="Times New Roman"/>
          <w:snapToGrid w:val="0"/>
          <w:lang w:eastAsia="sv-SE"/>
        </w:rPr>
        <w:t>Alumin</w:t>
      </w:r>
      <w:r w:rsidR="00F80304">
        <w:rPr>
          <w:rFonts w:ascii="Times New Roman" w:hAnsi="Times New Roman"/>
          <w:snapToGrid w:val="0"/>
          <w:lang w:eastAsia="sv-SE"/>
        </w:rPr>
        <w:t>i</w:t>
      </w:r>
      <w:r w:rsidRPr="00733AF2">
        <w:rPr>
          <w:rFonts w:ascii="Times New Roman" w:hAnsi="Times New Roman"/>
          <w:snapToGrid w:val="0"/>
          <w:lang w:eastAsia="sv-SE"/>
        </w:rPr>
        <w:t>um</w:t>
      </w:r>
      <w:proofErr w:type="spellEnd"/>
      <w:r w:rsidRPr="00733AF2">
        <w:rPr>
          <w:rFonts w:ascii="Times New Roman" w:hAnsi="Times New Roman"/>
          <w:snapToGrid w:val="0"/>
          <w:lang w:eastAsia="sv-SE"/>
        </w:rPr>
        <w:t xml:space="preserve"> foil blisters in cartons containing </w:t>
      </w:r>
      <w:r w:rsidR="00733AF2" w:rsidRPr="00733AF2">
        <w:rPr>
          <w:rFonts w:ascii="Times New Roman" w:hAnsi="Times New Roman"/>
          <w:snapToGrid w:val="0"/>
          <w:lang w:eastAsia="sv-SE"/>
        </w:rPr>
        <w:t>30</w:t>
      </w:r>
      <w:r w:rsidR="00A46343">
        <w:rPr>
          <w:rFonts w:ascii="Times New Roman" w:hAnsi="Times New Roman"/>
          <w:snapToGrid w:val="0"/>
          <w:lang w:eastAsia="sv-SE"/>
        </w:rPr>
        <w:t xml:space="preserve"> x 10 mg </w:t>
      </w:r>
      <w:proofErr w:type="spellStart"/>
      <w:r w:rsidR="00A46343">
        <w:rPr>
          <w:rFonts w:ascii="Times New Roman" w:hAnsi="Times New Roman"/>
          <w:snapToGrid w:val="0"/>
          <w:lang w:eastAsia="sv-SE"/>
        </w:rPr>
        <w:t>macitentan</w:t>
      </w:r>
      <w:proofErr w:type="spellEnd"/>
      <w:r w:rsidR="00733AF2" w:rsidRPr="00733AF2">
        <w:rPr>
          <w:rFonts w:ascii="Times New Roman" w:hAnsi="Times New Roman"/>
          <w:snapToGrid w:val="0"/>
          <w:lang w:eastAsia="sv-SE"/>
        </w:rPr>
        <w:t xml:space="preserve"> film-coated tablets</w:t>
      </w:r>
      <w:r>
        <w:rPr>
          <w:rFonts w:ascii="Times New Roman" w:hAnsi="Times New Roman"/>
          <w:snapToGrid w:val="0"/>
          <w:lang w:eastAsia="sv-SE"/>
        </w:rPr>
        <w:t xml:space="preserve">, AUST R </w:t>
      </w:r>
      <w:r w:rsidR="00F11037">
        <w:rPr>
          <w:rFonts w:ascii="Times New Roman" w:hAnsi="Times New Roman"/>
          <w:snapToGrid w:val="0"/>
          <w:lang w:eastAsia="sv-SE"/>
        </w:rPr>
        <w:t>205624</w:t>
      </w:r>
    </w:p>
    <w:p w:rsidR="00733AF2" w:rsidRPr="00733AF2" w:rsidRDefault="00733AF2" w:rsidP="00733AF2">
      <w:pPr>
        <w:pStyle w:val="BodyText"/>
        <w:rPr>
          <w:rFonts w:ascii="Times New Roman" w:hAnsi="Times New Roman"/>
          <w:i/>
          <w:snapToGrid w:val="0"/>
          <w:szCs w:val="24"/>
          <w:lang w:eastAsia="sv-SE"/>
        </w:rPr>
      </w:pPr>
    </w:p>
    <w:p w:rsidR="00733AF2" w:rsidRDefault="002B3693" w:rsidP="00733AF2">
      <w:pPr>
        <w:pStyle w:val="BodyText"/>
        <w:jc w:val="left"/>
        <w:rPr>
          <w:rFonts w:ascii="Times New Roman" w:hAnsi="Times New Roman"/>
          <w:szCs w:val="24"/>
        </w:rPr>
      </w:pPr>
      <w:r>
        <w:rPr>
          <w:rFonts w:ascii="Times New Roman" w:hAnsi="Times New Roman"/>
          <w:snapToGrid w:val="0"/>
          <w:szCs w:val="24"/>
          <w:lang w:eastAsia="sv-SE"/>
        </w:rPr>
        <w:t xml:space="preserve">Bottle: </w:t>
      </w:r>
      <w:r w:rsidRPr="00733AF2">
        <w:rPr>
          <w:rFonts w:ascii="Times New Roman" w:hAnsi="Times New Roman"/>
          <w:snapToGrid w:val="0"/>
          <w:szCs w:val="24"/>
          <w:lang w:eastAsia="sv-SE"/>
        </w:rPr>
        <w:t xml:space="preserve">White </w:t>
      </w:r>
      <w:r w:rsidRPr="00733AF2">
        <w:rPr>
          <w:rFonts w:ascii="Times New Roman" w:hAnsi="Times New Roman"/>
          <w:szCs w:val="24"/>
        </w:rPr>
        <w:t xml:space="preserve">high-density polyethylene </w:t>
      </w:r>
      <w:r w:rsidRPr="00733AF2">
        <w:rPr>
          <w:rFonts w:ascii="Times New Roman" w:hAnsi="Times New Roman"/>
          <w:snapToGrid w:val="0"/>
          <w:szCs w:val="24"/>
          <w:lang w:eastAsia="sv-SE"/>
        </w:rPr>
        <w:t>bottles</w:t>
      </w:r>
      <w:r w:rsidRPr="00733AF2">
        <w:rPr>
          <w:rFonts w:ascii="Times New Roman" w:hAnsi="Times New Roman"/>
          <w:szCs w:val="24"/>
        </w:rPr>
        <w:t xml:space="preserve"> in cartons </w:t>
      </w:r>
      <w:r>
        <w:rPr>
          <w:rFonts w:ascii="Times New Roman" w:hAnsi="Times New Roman"/>
          <w:szCs w:val="24"/>
        </w:rPr>
        <w:t xml:space="preserve">containing </w:t>
      </w:r>
      <w:r w:rsidR="00791B80">
        <w:rPr>
          <w:rFonts w:ascii="Times New Roman" w:hAnsi="Times New Roman"/>
          <w:szCs w:val="24"/>
        </w:rPr>
        <w:t>30</w:t>
      </w:r>
      <w:r w:rsidR="00A46343">
        <w:rPr>
          <w:rFonts w:ascii="Times New Roman" w:hAnsi="Times New Roman"/>
          <w:szCs w:val="24"/>
        </w:rPr>
        <w:t xml:space="preserve"> x 10 mg </w:t>
      </w:r>
      <w:proofErr w:type="spellStart"/>
      <w:r w:rsidR="00A46343">
        <w:rPr>
          <w:rFonts w:ascii="Times New Roman" w:hAnsi="Times New Roman"/>
          <w:szCs w:val="24"/>
        </w:rPr>
        <w:t>macitentan</w:t>
      </w:r>
      <w:proofErr w:type="spellEnd"/>
      <w:r w:rsidR="00791B80">
        <w:rPr>
          <w:rFonts w:ascii="Times New Roman" w:hAnsi="Times New Roman"/>
          <w:szCs w:val="24"/>
        </w:rPr>
        <w:t xml:space="preserve"> film-</w:t>
      </w:r>
      <w:r w:rsidR="00733AF2">
        <w:rPr>
          <w:rFonts w:ascii="Times New Roman" w:hAnsi="Times New Roman"/>
          <w:szCs w:val="24"/>
        </w:rPr>
        <w:t>coated tablets</w:t>
      </w:r>
      <w:r>
        <w:rPr>
          <w:rFonts w:ascii="Times New Roman" w:hAnsi="Times New Roman"/>
          <w:szCs w:val="24"/>
        </w:rPr>
        <w:t>, AUST R</w:t>
      </w:r>
      <w:r w:rsidR="009A3CBD">
        <w:rPr>
          <w:rFonts w:ascii="Times New Roman" w:hAnsi="Times New Roman"/>
          <w:szCs w:val="24"/>
        </w:rPr>
        <w:t xml:space="preserve"> </w:t>
      </w:r>
      <w:r w:rsidR="00F11037">
        <w:rPr>
          <w:rFonts w:ascii="Times New Roman" w:hAnsi="Times New Roman"/>
          <w:szCs w:val="24"/>
        </w:rPr>
        <w:t>205427</w:t>
      </w:r>
    </w:p>
    <w:p w:rsidR="00791B80" w:rsidRDefault="00791B80" w:rsidP="00733AF2">
      <w:pPr>
        <w:pStyle w:val="BodyText"/>
        <w:jc w:val="left"/>
        <w:rPr>
          <w:rFonts w:ascii="Times New Roman" w:hAnsi="Times New Roman"/>
          <w:szCs w:val="24"/>
        </w:rPr>
      </w:pPr>
    </w:p>
    <w:p w:rsidR="00BC3521" w:rsidRPr="00BC3521" w:rsidRDefault="00BC3521" w:rsidP="00BC3521">
      <w:pPr>
        <w:ind w:right="-61"/>
        <w:rPr>
          <w:rFonts w:ascii="Times New Roman" w:hAnsi="Times New Roman"/>
          <w:szCs w:val="24"/>
        </w:rPr>
      </w:pPr>
      <w:r w:rsidRPr="00BC3521">
        <w:rPr>
          <w:rFonts w:ascii="Times New Roman" w:hAnsi="Times New Roman"/>
          <w:szCs w:val="24"/>
        </w:rPr>
        <w:t>Store OPSUMIT below 30˚C, protect from moisture.</w:t>
      </w:r>
    </w:p>
    <w:p w:rsidR="00BC3521" w:rsidRDefault="00BC3521" w:rsidP="00733AF2">
      <w:pPr>
        <w:pStyle w:val="BodyText"/>
        <w:jc w:val="left"/>
        <w:rPr>
          <w:rFonts w:ascii="Times New Roman" w:hAnsi="Times New Roman"/>
          <w:szCs w:val="24"/>
        </w:rPr>
      </w:pPr>
    </w:p>
    <w:p w:rsidR="00D2789C" w:rsidRDefault="00D2789C" w:rsidP="00D2789C">
      <w:pPr>
        <w:pStyle w:val="Heading1"/>
        <w:ind w:right="-61"/>
      </w:pPr>
      <w:r>
        <w:t xml:space="preserve">NAME AND ADDRESS OF </w:t>
      </w:r>
      <w:r w:rsidRPr="004E01DD">
        <w:rPr>
          <w:szCs w:val="24"/>
        </w:rPr>
        <w:t>THE</w:t>
      </w:r>
      <w:r w:rsidRPr="004E01DD">
        <w:t xml:space="preserve"> </w:t>
      </w:r>
      <w:r>
        <w:t>SPONSOR</w:t>
      </w:r>
    </w:p>
    <w:p w:rsidR="000270B4" w:rsidRPr="000270B4" w:rsidRDefault="000270B4" w:rsidP="000270B4"/>
    <w:p w:rsidR="00D2789C" w:rsidRPr="00AD0132" w:rsidRDefault="00D2789C" w:rsidP="00AD0132">
      <w:pPr>
        <w:pStyle w:val="BodyText"/>
        <w:jc w:val="left"/>
        <w:rPr>
          <w:rFonts w:ascii="Times New Roman" w:hAnsi="Times New Roman"/>
          <w:snapToGrid w:val="0"/>
          <w:szCs w:val="24"/>
          <w:lang w:eastAsia="sv-SE"/>
        </w:rPr>
      </w:pPr>
      <w:proofErr w:type="spellStart"/>
      <w:r w:rsidRPr="00AD0132">
        <w:rPr>
          <w:rFonts w:ascii="Times New Roman" w:hAnsi="Times New Roman"/>
          <w:snapToGrid w:val="0"/>
          <w:szCs w:val="24"/>
          <w:lang w:eastAsia="sv-SE"/>
        </w:rPr>
        <w:t>Actelion</w:t>
      </w:r>
      <w:proofErr w:type="spellEnd"/>
      <w:r w:rsidRPr="00AD0132">
        <w:rPr>
          <w:rFonts w:ascii="Times New Roman" w:hAnsi="Times New Roman"/>
          <w:snapToGrid w:val="0"/>
          <w:szCs w:val="24"/>
          <w:lang w:eastAsia="sv-SE"/>
        </w:rPr>
        <w:t xml:space="preserve"> Pharmaceuticals Australia Pty Limited</w:t>
      </w:r>
    </w:p>
    <w:p w:rsidR="00D2789C" w:rsidRPr="00AD0132" w:rsidRDefault="00D2789C" w:rsidP="00AD0132">
      <w:pPr>
        <w:pStyle w:val="BodyText"/>
        <w:jc w:val="left"/>
        <w:rPr>
          <w:rFonts w:ascii="Times New Roman" w:hAnsi="Times New Roman"/>
          <w:snapToGrid w:val="0"/>
          <w:szCs w:val="24"/>
          <w:lang w:eastAsia="sv-SE"/>
        </w:rPr>
      </w:pPr>
      <w:smartTag w:uri="urn:schemas-microsoft-com:office:smarttags" w:element="Street">
        <w:smartTag w:uri="urn:schemas-microsoft-com:office:smarttags" w:element="address">
          <w:r w:rsidRPr="00AD0132">
            <w:rPr>
              <w:rFonts w:ascii="Times New Roman" w:hAnsi="Times New Roman"/>
              <w:snapToGrid w:val="0"/>
              <w:szCs w:val="24"/>
              <w:lang w:eastAsia="sv-SE"/>
            </w:rPr>
            <w:t xml:space="preserve">Suite 6,13B </w:t>
          </w:r>
          <w:proofErr w:type="spellStart"/>
          <w:r w:rsidRPr="00AD0132">
            <w:rPr>
              <w:rFonts w:ascii="Times New Roman" w:hAnsi="Times New Roman"/>
              <w:snapToGrid w:val="0"/>
              <w:szCs w:val="24"/>
              <w:lang w:eastAsia="sv-SE"/>
            </w:rPr>
            <w:t>Narabang</w:t>
          </w:r>
          <w:proofErr w:type="spellEnd"/>
          <w:r w:rsidRPr="00AD0132">
            <w:rPr>
              <w:rFonts w:ascii="Times New Roman" w:hAnsi="Times New Roman"/>
              <w:snapToGrid w:val="0"/>
              <w:szCs w:val="24"/>
              <w:lang w:eastAsia="sv-SE"/>
            </w:rPr>
            <w:t xml:space="preserve"> Way</w:t>
          </w:r>
        </w:smartTag>
      </w:smartTag>
    </w:p>
    <w:p w:rsidR="00D2789C" w:rsidRPr="00AD0132" w:rsidRDefault="00D2789C" w:rsidP="00AD0132">
      <w:pPr>
        <w:pStyle w:val="BodyText"/>
        <w:jc w:val="left"/>
        <w:rPr>
          <w:rFonts w:ascii="Times New Roman" w:hAnsi="Times New Roman"/>
          <w:snapToGrid w:val="0"/>
          <w:szCs w:val="24"/>
          <w:lang w:eastAsia="sv-SE"/>
        </w:rPr>
      </w:pPr>
      <w:proofErr w:type="spellStart"/>
      <w:r w:rsidRPr="00AD0132">
        <w:rPr>
          <w:rFonts w:ascii="Times New Roman" w:hAnsi="Times New Roman"/>
          <w:snapToGrid w:val="0"/>
          <w:szCs w:val="24"/>
          <w:lang w:eastAsia="sv-SE"/>
        </w:rPr>
        <w:t>Belrose</w:t>
      </w:r>
      <w:proofErr w:type="spellEnd"/>
      <w:r w:rsidRPr="00AD0132">
        <w:rPr>
          <w:rFonts w:ascii="Times New Roman" w:hAnsi="Times New Roman"/>
          <w:snapToGrid w:val="0"/>
          <w:szCs w:val="24"/>
          <w:lang w:eastAsia="sv-SE"/>
        </w:rPr>
        <w:t xml:space="preserve"> NSW 2085</w:t>
      </w:r>
    </w:p>
    <w:p w:rsidR="00AE1D40" w:rsidRPr="00AD0132" w:rsidRDefault="00AE1D40" w:rsidP="00AD0132">
      <w:pPr>
        <w:pStyle w:val="BodyText"/>
        <w:jc w:val="left"/>
        <w:rPr>
          <w:rFonts w:ascii="Times New Roman" w:hAnsi="Times New Roman"/>
          <w:snapToGrid w:val="0"/>
          <w:szCs w:val="24"/>
          <w:lang w:eastAsia="sv-SE"/>
        </w:rPr>
      </w:pPr>
    </w:p>
    <w:p w:rsidR="00A413AD" w:rsidRDefault="00A413AD" w:rsidP="00365338">
      <w:pPr>
        <w:ind w:right="-61"/>
        <w:rPr>
          <w:rFonts w:ascii="Arial" w:hAnsi="Arial" w:cs="Arial"/>
          <w:b/>
          <w:szCs w:val="24"/>
        </w:rPr>
      </w:pPr>
      <w:r w:rsidRPr="004E01DD">
        <w:rPr>
          <w:rFonts w:ascii="Arial" w:hAnsi="Arial" w:cs="Arial"/>
          <w:b/>
          <w:szCs w:val="24"/>
        </w:rPr>
        <w:t>POISON SCHEDULE OF THE MEDICINE</w:t>
      </w:r>
    </w:p>
    <w:p w:rsidR="000270B4" w:rsidRPr="004E01DD" w:rsidRDefault="000270B4" w:rsidP="00365338">
      <w:pPr>
        <w:ind w:right="-61"/>
        <w:rPr>
          <w:rFonts w:ascii="Arial" w:hAnsi="Arial" w:cs="Arial"/>
          <w:b/>
          <w:szCs w:val="24"/>
        </w:rPr>
      </w:pPr>
    </w:p>
    <w:p w:rsidR="001C35B2" w:rsidRPr="00AD0132" w:rsidRDefault="001C35B2" w:rsidP="00AD0132">
      <w:pPr>
        <w:pStyle w:val="BodyText"/>
        <w:jc w:val="left"/>
        <w:rPr>
          <w:rFonts w:ascii="Times New Roman" w:hAnsi="Times New Roman"/>
          <w:snapToGrid w:val="0"/>
          <w:szCs w:val="24"/>
          <w:lang w:eastAsia="sv-SE"/>
        </w:rPr>
      </w:pPr>
      <w:r w:rsidRPr="00AD0132">
        <w:rPr>
          <w:rFonts w:ascii="Times New Roman" w:hAnsi="Times New Roman"/>
          <w:snapToGrid w:val="0"/>
          <w:szCs w:val="24"/>
          <w:lang w:eastAsia="sv-SE"/>
        </w:rPr>
        <w:t xml:space="preserve">Prescription </w:t>
      </w:r>
      <w:r w:rsidR="00856BF9">
        <w:rPr>
          <w:rFonts w:ascii="Times New Roman" w:hAnsi="Times New Roman"/>
          <w:snapToGrid w:val="0"/>
          <w:szCs w:val="24"/>
          <w:lang w:eastAsia="sv-SE"/>
        </w:rPr>
        <w:t xml:space="preserve">Only </w:t>
      </w:r>
      <w:r w:rsidRPr="00AD0132">
        <w:rPr>
          <w:rFonts w:ascii="Times New Roman" w:hAnsi="Times New Roman"/>
          <w:snapToGrid w:val="0"/>
          <w:szCs w:val="24"/>
          <w:lang w:eastAsia="sv-SE"/>
        </w:rPr>
        <w:t xml:space="preserve">Medicine </w:t>
      </w:r>
      <w:r w:rsidR="00A413AD" w:rsidRPr="00AD0132">
        <w:rPr>
          <w:rFonts w:ascii="Times New Roman" w:hAnsi="Times New Roman"/>
          <w:snapToGrid w:val="0"/>
          <w:szCs w:val="24"/>
          <w:lang w:eastAsia="sv-SE"/>
        </w:rPr>
        <w:t>(S4)</w:t>
      </w:r>
    </w:p>
    <w:p w:rsidR="001C35B2" w:rsidRDefault="001C35B2" w:rsidP="00365338">
      <w:pPr>
        <w:ind w:right="-61"/>
        <w:rPr>
          <w:rFonts w:ascii="Arial" w:hAnsi="Arial" w:cs="Arial"/>
        </w:rPr>
      </w:pPr>
    </w:p>
    <w:p w:rsidR="001C35B2" w:rsidRPr="007915D3" w:rsidRDefault="00D2789C" w:rsidP="007915D3">
      <w:pPr>
        <w:pStyle w:val="Heading3"/>
        <w:rPr>
          <w:b/>
          <w:u w:val="none"/>
        </w:rPr>
      </w:pPr>
      <w:r w:rsidRPr="007915D3">
        <w:rPr>
          <w:b/>
          <w:u w:val="none"/>
        </w:rPr>
        <w:t>DATE OF FIRST INCLUSION IN THE AUSTRALIAN REGISTER OF THERAPEUTIC GOODS</w:t>
      </w:r>
      <w:r w:rsidR="00F11037" w:rsidRPr="007915D3">
        <w:rPr>
          <w:b/>
          <w:u w:val="none"/>
        </w:rPr>
        <w:t xml:space="preserve">: </w:t>
      </w:r>
      <w:r w:rsidR="00F11037" w:rsidRPr="007915D3">
        <w:rPr>
          <w:u w:val="none"/>
        </w:rPr>
        <w:t>5 February 201</w:t>
      </w:r>
      <w:r w:rsidR="007915D3">
        <w:rPr>
          <w:u w:val="none"/>
        </w:rPr>
        <w:t>4.</w:t>
      </w:r>
    </w:p>
    <w:sectPr w:rsidR="001C35B2" w:rsidRPr="007915D3" w:rsidSect="00365338">
      <w:headerReference w:type="default" r:id="rId13"/>
      <w:footerReference w:type="even" r:id="rId14"/>
      <w:footerReference w:type="default" r:id="rId15"/>
      <w:pgSz w:w="11909" w:h="16834" w:code="9"/>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33" w:rsidRDefault="00871033">
      <w:r>
        <w:separator/>
      </w:r>
    </w:p>
  </w:endnote>
  <w:endnote w:type="continuationSeparator" w:id="0">
    <w:p w:rsidR="00871033" w:rsidRDefault="0087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67 CondensedBold">
    <w:altName w:val="Courier New"/>
    <w:charset w:val="00"/>
    <w:family w:val="auto"/>
    <w:pitch w:val="variable"/>
    <w:sig w:usb0="03000000" w:usb1="00000000" w:usb2="00000000" w:usb3="00000000" w:csb0="00000001" w:csb1="00000000"/>
  </w:font>
  <w:font w:name="Univers 57 Condensed">
    <w:altName w:val="Courier New"/>
    <w:charset w:val="00"/>
    <w:family w:val="auto"/>
    <w:pitch w:val="variable"/>
    <w:sig w:usb0="03000000" w:usb1="00000000" w:usb2="00000000" w:usb3="00000000" w:csb0="00000001" w:csb1="00000000"/>
  </w:font>
  <w:font w:name="Univers 47 Condensed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TimesNewRoman,Italic">
    <w:altName w:val="MS Mincho"/>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EF" w:rsidRPr="00563118" w:rsidRDefault="00F02CEF">
    <w:pPr>
      <w:pStyle w:val="Footer"/>
      <w:rPr>
        <w:rFonts w:ascii="Arial" w:hAnsi="Arial" w:cs="Arial"/>
        <w:sz w:val="16"/>
        <w:szCs w:val="16"/>
      </w:rPr>
    </w:pPr>
    <w:r>
      <w:rPr>
        <w:rFonts w:ascii="Arial" w:hAnsi="Arial" w:cs="Arial"/>
        <w:sz w:val="16"/>
        <w:szCs w:val="16"/>
      </w:rPr>
      <w:t>Amended p</w:t>
    </w:r>
    <w:r w:rsidRPr="00563118">
      <w:rPr>
        <w:rFonts w:ascii="Arial" w:hAnsi="Arial" w:cs="Arial"/>
        <w:sz w:val="16"/>
        <w:szCs w:val="16"/>
      </w:rPr>
      <w:t xml:space="preserve">roposed PI submitted </w:t>
    </w:r>
    <w:r>
      <w:rPr>
        <w:rFonts w:ascii="Arial" w:hAnsi="Arial" w:cs="Arial"/>
        <w:sz w:val="16"/>
        <w:szCs w:val="16"/>
      </w:rPr>
      <w:t>October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EF" w:rsidRPr="00000B72" w:rsidRDefault="00997763" w:rsidP="00841360">
    <w:pPr>
      <w:pStyle w:val="Footer"/>
      <w:rPr>
        <w:rFonts w:ascii="Arial" w:hAnsi="Arial" w:cs="Arial"/>
        <w:vanish/>
        <w:color w:val="008000"/>
        <w:sz w:val="16"/>
        <w:szCs w:val="16"/>
      </w:rPr>
    </w:pPr>
    <w:r>
      <w:rPr>
        <w:rFonts w:ascii="Arial" w:hAnsi="Arial" w:cs="Arial"/>
        <w:vanish/>
        <w:color w:val="008000"/>
        <w:sz w:val="16"/>
        <w:szCs w:val="16"/>
      </w:rPr>
      <w:t>FINAL</w:t>
    </w:r>
    <w:r w:rsidR="001368E5">
      <w:rPr>
        <w:rFonts w:ascii="Arial" w:hAnsi="Arial" w:cs="Arial"/>
        <w:vanish/>
        <w:color w:val="008000"/>
        <w:sz w:val="16"/>
        <w:szCs w:val="16"/>
      </w:rPr>
      <w:t xml:space="preserve"> APPROVED 5 FEB 2014. </w:t>
    </w:r>
  </w:p>
  <w:p w:rsidR="00F02CEF" w:rsidRPr="008F7AF5" w:rsidRDefault="00F02CEF" w:rsidP="00841360">
    <w:pPr>
      <w:pStyle w:val="Footer"/>
      <w:rPr>
        <w:rFonts w:ascii="Arial" w:hAnsi="Arial" w:cs="Arial"/>
        <w:sz w:val="20"/>
      </w:rPr>
    </w:pPr>
    <w:r w:rsidRPr="008F7AF5">
      <w:rPr>
        <w:rFonts w:ascii="Arial" w:hAnsi="Arial" w:cs="Arial"/>
        <w:sz w:val="20"/>
      </w:rPr>
      <w:tab/>
      <w:t xml:space="preserve">                                     </w:t>
    </w:r>
    <w:r w:rsidRPr="008F7AF5">
      <w:rPr>
        <w:rStyle w:val="PageNumber"/>
        <w:rFonts w:ascii="Arial" w:hAnsi="Arial" w:cs="Arial"/>
        <w:sz w:val="20"/>
      </w:rPr>
      <w:fldChar w:fldCharType="begin"/>
    </w:r>
    <w:r w:rsidRPr="008F7AF5">
      <w:rPr>
        <w:rStyle w:val="PageNumber"/>
        <w:rFonts w:ascii="Arial" w:hAnsi="Arial" w:cs="Arial"/>
        <w:sz w:val="20"/>
      </w:rPr>
      <w:instrText xml:space="preserve"> PAGE </w:instrText>
    </w:r>
    <w:r w:rsidRPr="008F7AF5">
      <w:rPr>
        <w:rStyle w:val="PageNumber"/>
        <w:rFonts w:ascii="Arial" w:hAnsi="Arial" w:cs="Arial"/>
        <w:sz w:val="20"/>
      </w:rPr>
      <w:fldChar w:fldCharType="separate"/>
    </w:r>
    <w:r w:rsidR="00C67F13">
      <w:rPr>
        <w:rStyle w:val="PageNumber"/>
        <w:rFonts w:ascii="Arial" w:hAnsi="Arial" w:cs="Arial"/>
        <w:noProof/>
        <w:sz w:val="20"/>
      </w:rPr>
      <w:t>1</w:t>
    </w:r>
    <w:r w:rsidRPr="008F7AF5">
      <w:rPr>
        <w:rStyle w:val="PageNumber"/>
        <w:rFonts w:ascii="Arial" w:hAnsi="Arial" w:cs="Arial"/>
        <w:sz w:val="20"/>
      </w:rPr>
      <w:fldChar w:fldCharType="end"/>
    </w:r>
    <w:r w:rsidRPr="008F7AF5">
      <w:rPr>
        <w:rStyle w:val="PageNumber"/>
        <w:rFonts w:ascii="Arial" w:hAnsi="Arial" w:cs="Arial"/>
        <w:sz w:val="20"/>
      </w:rPr>
      <w:t>/</w:t>
    </w:r>
    <w:r w:rsidRPr="008F7AF5">
      <w:rPr>
        <w:rStyle w:val="PageNumber"/>
        <w:rFonts w:ascii="Arial" w:hAnsi="Arial" w:cs="Arial"/>
        <w:sz w:val="20"/>
      </w:rPr>
      <w:fldChar w:fldCharType="begin"/>
    </w:r>
    <w:r w:rsidRPr="008F7AF5">
      <w:rPr>
        <w:rStyle w:val="PageNumber"/>
        <w:rFonts w:ascii="Arial" w:hAnsi="Arial" w:cs="Arial"/>
        <w:sz w:val="20"/>
      </w:rPr>
      <w:instrText xml:space="preserve"> NUMPAGES </w:instrText>
    </w:r>
    <w:r w:rsidRPr="008F7AF5">
      <w:rPr>
        <w:rStyle w:val="PageNumber"/>
        <w:rFonts w:ascii="Arial" w:hAnsi="Arial" w:cs="Arial"/>
        <w:sz w:val="20"/>
      </w:rPr>
      <w:fldChar w:fldCharType="separate"/>
    </w:r>
    <w:r w:rsidR="00C67F13">
      <w:rPr>
        <w:rStyle w:val="PageNumber"/>
        <w:rFonts w:ascii="Arial" w:hAnsi="Arial" w:cs="Arial"/>
        <w:noProof/>
        <w:sz w:val="20"/>
      </w:rPr>
      <w:t>18</w:t>
    </w:r>
    <w:r w:rsidRPr="008F7AF5">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33" w:rsidRDefault="00871033">
      <w:r>
        <w:separator/>
      </w:r>
    </w:p>
  </w:footnote>
  <w:footnote w:type="continuationSeparator" w:id="0">
    <w:p w:rsidR="00871033" w:rsidRDefault="0087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525"/>
    </w:tblGrid>
    <w:tr w:rsidR="0076680B" w:rsidTr="0076680B">
      <w:tc>
        <w:tcPr>
          <w:tcW w:w="8525" w:type="dxa"/>
          <w:shd w:val="clear" w:color="auto" w:fill="E4F2E0"/>
        </w:tcPr>
        <w:p w:rsidR="0076680B" w:rsidRPr="0076680B" w:rsidRDefault="0076680B" w:rsidP="00164EEB">
          <w:pPr>
            <w:spacing w:before="40" w:after="40"/>
            <w:rPr>
              <w:rFonts w:ascii="Cambria" w:hAnsi="Cambria"/>
              <w:b/>
              <w:sz w:val="20"/>
            </w:rPr>
          </w:pPr>
          <w:r w:rsidRPr="0076680B">
            <w:rPr>
              <w:rFonts w:ascii="Cambria" w:hAnsi="Cambria"/>
              <w:b/>
              <w:sz w:val="20"/>
            </w:rPr>
            <w:t xml:space="preserve">Attachment 1: Product information for </w:t>
          </w:r>
          <w:proofErr w:type="spellStart"/>
          <w:r w:rsidRPr="0076680B">
            <w:rPr>
              <w:rFonts w:ascii="Cambria" w:hAnsi="Cambria"/>
              <w:b/>
              <w:sz w:val="20"/>
            </w:rPr>
            <w:t>AusPAR</w:t>
          </w:r>
          <w:proofErr w:type="spellEnd"/>
          <w:r w:rsidRPr="0076680B">
            <w:rPr>
              <w:rFonts w:ascii="Cambria" w:hAnsi="Cambria"/>
              <w:b/>
              <w:sz w:val="20"/>
            </w:rPr>
            <w:t xml:space="preserve"> </w:t>
          </w:r>
          <w:proofErr w:type="spellStart"/>
          <w:r w:rsidRPr="0076680B">
            <w:rPr>
              <w:rFonts w:ascii="Cambria" w:hAnsi="Cambria"/>
              <w:b/>
              <w:sz w:val="20"/>
            </w:rPr>
            <w:t>Opsumit</w:t>
          </w:r>
          <w:proofErr w:type="spellEnd"/>
          <w:r w:rsidRPr="0076680B">
            <w:rPr>
              <w:rFonts w:ascii="Cambria" w:hAnsi="Cambria"/>
              <w:b/>
              <w:sz w:val="20"/>
            </w:rPr>
            <w:t xml:space="preserve"> </w:t>
          </w:r>
          <w:proofErr w:type="spellStart"/>
          <w:r w:rsidRPr="0076680B">
            <w:rPr>
              <w:rFonts w:ascii="Cambria" w:hAnsi="Cambria"/>
              <w:b/>
              <w:sz w:val="20"/>
            </w:rPr>
            <w:t>macitentan</w:t>
          </w:r>
          <w:proofErr w:type="spellEnd"/>
          <w:r w:rsidRPr="0076680B">
            <w:rPr>
              <w:rFonts w:ascii="Cambria" w:hAnsi="Cambria"/>
              <w:b/>
              <w:sz w:val="20"/>
            </w:rPr>
            <w:t xml:space="preserve"> </w:t>
          </w:r>
          <w:proofErr w:type="spellStart"/>
          <w:r w:rsidRPr="0076680B">
            <w:rPr>
              <w:rFonts w:ascii="Cambria" w:hAnsi="Cambria"/>
              <w:b/>
              <w:sz w:val="20"/>
            </w:rPr>
            <w:t>Acelion</w:t>
          </w:r>
          <w:proofErr w:type="spellEnd"/>
          <w:r w:rsidRPr="0076680B">
            <w:rPr>
              <w:rFonts w:ascii="Cambria" w:hAnsi="Cambria"/>
              <w:b/>
              <w:sz w:val="20"/>
            </w:rPr>
            <w:t xml:space="preserve"> Pharmaceuticals Australia Pty Ltd PM-2012-04112-1-3 Final 28 April 2014. This Product Information was approved at the time this </w:t>
          </w:r>
          <w:proofErr w:type="spellStart"/>
          <w:r w:rsidRPr="0076680B">
            <w:rPr>
              <w:rFonts w:ascii="Cambria" w:hAnsi="Cambria"/>
              <w:b/>
              <w:sz w:val="20"/>
            </w:rPr>
            <w:t>AusPAR</w:t>
          </w:r>
          <w:proofErr w:type="spellEnd"/>
          <w:r w:rsidRPr="0076680B">
            <w:rPr>
              <w:rFonts w:ascii="Cambria" w:hAnsi="Cambria"/>
              <w:b/>
              <w:sz w:val="20"/>
            </w:rPr>
            <w:t xml:space="preserve"> was published.</w:t>
          </w:r>
        </w:p>
      </w:tc>
    </w:tr>
  </w:tbl>
  <w:p w:rsidR="0076680B" w:rsidRDefault="00766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6E0FCE"/>
    <w:lvl w:ilvl="0">
      <w:numFmt w:val="bullet"/>
      <w:lvlText w:val="*"/>
      <w:lvlJc w:val="left"/>
    </w:lvl>
  </w:abstractNum>
  <w:abstractNum w:abstractNumId="1">
    <w:nsid w:val="0C857A34"/>
    <w:multiLevelType w:val="hybridMultilevel"/>
    <w:tmpl w:val="836AE4D6"/>
    <w:lvl w:ilvl="0" w:tplc="58A88DE8">
      <w:start w:val="8"/>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E0CDC"/>
    <w:multiLevelType w:val="hybridMultilevel"/>
    <w:tmpl w:val="249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1A031F4E"/>
    <w:multiLevelType w:val="hybridMultilevel"/>
    <w:tmpl w:val="BCB4CD62"/>
    <w:lvl w:ilvl="0" w:tplc="B6F8EA28">
      <w:start w:val="45"/>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16400"/>
    <w:multiLevelType w:val="hybridMultilevel"/>
    <w:tmpl w:val="5492B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03403"/>
    <w:multiLevelType w:val="hybridMultilevel"/>
    <w:tmpl w:val="681EA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165E74"/>
    <w:multiLevelType w:val="hybridMultilevel"/>
    <w:tmpl w:val="A35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C3D15"/>
    <w:multiLevelType w:val="hybridMultilevel"/>
    <w:tmpl w:val="95FE96EA"/>
    <w:lvl w:ilvl="0" w:tplc="2EB2D602">
      <w:start w:val="8"/>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913D7"/>
    <w:multiLevelType w:val="hybridMultilevel"/>
    <w:tmpl w:val="C7907FBE"/>
    <w:lvl w:ilvl="0" w:tplc="311A0B8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C112A"/>
    <w:multiLevelType w:val="hybridMultilevel"/>
    <w:tmpl w:val="6B1E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D7976"/>
    <w:multiLevelType w:val="hybridMultilevel"/>
    <w:tmpl w:val="0BA4D66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79E6F99"/>
    <w:multiLevelType w:val="multilevel"/>
    <w:tmpl w:val="3F42125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FB432C"/>
    <w:multiLevelType w:val="hybridMultilevel"/>
    <w:tmpl w:val="45AA0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9114E0"/>
    <w:multiLevelType w:val="hybridMultilevel"/>
    <w:tmpl w:val="0FD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144873"/>
    <w:multiLevelType w:val="hybridMultilevel"/>
    <w:tmpl w:val="4954AF94"/>
    <w:lvl w:ilvl="0" w:tplc="A42A5C88">
      <w:start w:val="2"/>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E384D"/>
    <w:multiLevelType w:val="hybridMultilevel"/>
    <w:tmpl w:val="6A1067EA"/>
    <w:lvl w:ilvl="0" w:tplc="EE108636">
      <w:start w:val="8"/>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A56744"/>
    <w:multiLevelType w:val="hybridMultilevel"/>
    <w:tmpl w:val="CEE0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D798E"/>
    <w:multiLevelType w:val="hybridMultilevel"/>
    <w:tmpl w:val="9F040948"/>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B6E00"/>
    <w:multiLevelType w:val="hybridMultilevel"/>
    <w:tmpl w:val="6D04A2E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9DB782F"/>
    <w:multiLevelType w:val="hybridMultilevel"/>
    <w:tmpl w:val="2E4C81C0"/>
    <w:lvl w:ilvl="0" w:tplc="B32AC9B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415501"/>
    <w:multiLevelType w:val="hybridMultilevel"/>
    <w:tmpl w:val="4328A80E"/>
    <w:lvl w:ilvl="0" w:tplc="0409000B">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D64520"/>
    <w:multiLevelType w:val="hybridMultilevel"/>
    <w:tmpl w:val="3D42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19"/>
  </w:num>
  <w:num w:numId="5">
    <w:abstractNumId w:val="0"/>
    <w:lvlOverride w:ilvl="0">
      <w:lvl w:ilvl="0">
        <w:numFmt w:val="bullet"/>
        <w:lvlText w:val="•"/>
        <w:legacy w:legacy="1" w:legacySpace="0" w:legacyIndent="0"/>
        <w:lvlJc w:val="left"/>
        <w:rPr>
          <w:rFonts w:ascii="Helv" w:hAnsi="Helv" w:hint="default"/>
        </w:rPr>
      </w:lvl>
    </w:lvlOverride>
  </w:num>
  <w:num w:numId="6">
    <w:abstractNumId w:val="14"/>
  </w:num>
  <w:num w:numId="7">
    <w:abstractNumId w:val="2"/>
  </w:num>
  <w:num w:numId="8">
    <w:abstractNumId w:val="17"/>
  </w:num>
  <w:num w:numId="9">
    <w:abstractNumId w:val="5"/>
  </w:num>
  <w:num w:numId="10">
    <w:abstractNumId w:val="11"/>
  </w:num>
  <w:num w:numId="11">
    <w:abstractNumId w:val="13"/>
  </w:num>
  <w:num w:numId="12">
    <w:abstractNumId w:val="18"/>
  </w:num>
  <w:num w:numId="13">
    <w:abstractNumId w:val="22"/>
  </w:num>
  <w:num w:numId="14">
    <w:abstractNumId w:val="12"/>
  </w:num>
  <w:num w:numId="15">
    <w:abstractNumId w:val="21"/>
  </w:num>
  <w:num w:numId="16">
    <w:abstractNumId w:val="7"/>
  </w:num>
  <w:num w:numId="17">
    <w:abstractNumId w:val="10"/>
  </w:num>
  <w:num w:numId="18">
    <w:abstractNumId w:val="4"/>
  </w:num>
  <w:num w:numId="19">
    <w:abstractNumId w:val="15"/>
  </w:num>
  <w:num w:numId="20">
    <w:abstractNumId w:val="8"/>
  </w:num>
  <w:num w:numId="21">
    <w:abstractNumId w:val="1"/>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FD5"/>
    <w:rsid w:val="00000B72"/>
    <w:rsid w:val="0000164C"/>
    <w:rsid w:val="00004B2B"/>
    <w:rsid w:val="00005971"/>
    <w:rsid w:val="00005AA6"/>
    <w:rsid w:val="00006E89"/>
    <w:rsid w:val="00007571"/>
    <w:rsid w:val="00010ADF"/>
    <w:rsid w:val="00011A62"/>
    <w:rsid w:val="000122CF"/>
    <w:rsid w:val="000172B5"/>
    <w:rsid w:val="000174C0"/>
    <w:rsid w:val="000201ED"/>
    <w:rsid w:val="00020B06"/>
    <w:rsid w:val="00020F03"/>
    <w:rsid w:val="00021004"/>
    <w:rsid w:val="000212AB"/>
    <w:rsid w:val="00024F28"/>
    <w:rsid w:val="000270B4"/>
    <w:rsid w:val="0002762C"/>
    <w:rsid w:val="00027E11"/>
    <w:rsid w:val="00031128"/>
    <w:rsid w:val="00034C95"/>
    <w:rsid w:val="00034F31"/>
    <w:rsid w:val="00041FD5"/>
    <w:rsid w:val="00042131"/>
    <w:rsid w:val="000436BC"/>
    <w:rsid w:val="00044CF7"/>
    <w:rsid w:val="000455BA"/>
    <w:rsid w:val="000502A7"/>
    <w:rsid w:val="0005082A"/>
    <w:rsid w:val="0005235D"/>
    <w:rsid w:val="00054E0F"/>
    <w:rsid w:val="000604E7"/>
    <w:rsid w:val="0006088E"/>
    <w:rsid w:val="00063981"/>
    <w:rsid w:val="00070463"/>
    <w:rsid w:val="0007105D"/>
    <w:rsid w:val="0007334A"/>
    <w:rsid w:val="00076719"/>
    <w:rsid w:val="00076DC9"/>
    <w:rsid w:val="00077B76"/>
    <w:rsid w:val="00081244"/>
    <w:rsid w:val="00082C4E"/>
    <w:rsid w:val="00083FBC"/>
    <w:rsid w:val="000851C5"/>
    <w:rsid w:val="00087CCC"/>
    <w:rsid w:val="00093AF7"/>
    <w:rsid w:val="00094752"/>
    <w:rsid w:val="00095F84"/>
    <w:rsid w:val="0009705F"/>
    <w:rsid w:val="000A0213"/>
    <w:rsid w:val="000A2349"/>
    <w:rsid w:val="000B1BB3"/>
    <w:rsid w:val="000B2945"/>
    <w:rsid w:val="000B2C28"/>
    <w:rsid w:val="000B314F"/>
    <w:rsid w:val="000B3B97"/>
    <w:rsid w:val="000B649E"/>
    <w:rsid w:val="000B6657"/>
    <w:rsid w:val="000B770A"/>
    <w:rsid w:val="000B7833"/>
    <w:rsid w:val="000C29E5"/>
    <w:rsid w:val="000C4281"/>
    <w:rsid w:val="000C458B"/>
    <w:rsid w:val="000C4E94"/>
    <w:rsid w:val="000C5C18"/>
    <w:rsid w:val="000D028F"/>
    <w:rsid w:val="000D0B45"/>
    <w:rsid w:val="000D424F"/>
    <w:rsid w:val="000D51EE"/>
    <w:rsid w:val="000D6EBD"/>
    <w:rsid w:val="000E11F7"/>
    <w:rsid w:val="000E2326"/>
    <w:rsid w:val="000E3A2A"/>
    <w:rsid w:val="000E427B"/>
    <w:rsid w:val="000E51B6"/>
    <w:rsid w:val="000E595E"/>
    <w:rsid w:val="000E6C74"/>
    <w:rsid w:val="000E7DE3"/>
    <w:rsid w:val="000F18CF"/>
    <w:rsid w:val="000F26A5"/>
    <w:rsid w:val="000F35C4"/>
    <w:rsid w:val="000F58A3"/>
    <w:rsid w:val="00100364"/>
    <w:rsid w:val="00100BE9"/>
    <w:rsid w:val="00102300"/>
    <w:rsid w:val="0010255E"/>
    <w:rsid w:val="00102E2F"/>
    <w:rsid w:val="001043F8"/>
    <w:rsid w:val="00105389"/>
    <w:rsid w:val="001056CF"/>
    <w:rsid w:val="00105A6E"/>
    <w:rsid w:val="00107621"/>
    <w:rsid w:val="00117096"/>
    <w:rsid w:val="00117E3A"/>
    <w:rsid w:val="00120E78"/>
    <w:rsid w:val="001236FC"/>
    <w:rsid w:val="001242AD"/>
    <w:rsid w:val="00124B86"/>
    <w:rsid w:val="00124E2D"/>
    <w:rsid w:val="00125EBC"/>
    <w:rsid w:val="00126372"/>
    <w:rsid w:val="001268FD"/>
    <w:rsid w:val="00127565"/>
    <w:rsid w:val="001311B3"/>
    <w:rsid w:val="00131498"/>
    <w:rsid w:val="00135697"/>
    <w:rsid w:val="00135B02"/>
    <w:rsid w:val="001368E5"/>
    <w:rsid w:val="00136E3F"/>
    <w:rsid w:val="00137401"/>
    <w:rsid w:val="00137523"/>
    <w:rsid w:val="00140128"/>
    <w:rsid w:val="00142FAD"/>
    <w:rsid w:val="00144629"/>
    <w:rsid w:val="00144CE8"/>
    <w:rsid w:val="001469C0"/>
    <w:rsid w:val="00150411"/>
    <w:rsid w:val="001541FB"/>
    <w:rsid w:val="0015576A"/>
    <w:rsid w:val="00156084"/>
    <w:rsid w:val="001561F6"/>
    <w:rsid w:val="0015793B"/>
    <w:rsid w:val="00161F6A"/>
    <w:rsid w:val="001634BD"/>
    <w:rsid w:val="00165C66"/>
    <w:rsid w:val="00165CBF"/>
    <w:rsid w:val="00166972"/>
    <w:rsid w:val="001679C7"/>
    <w:rsid w:val="00170E52"/>
    <w:rsid w:val="001730AA"/>
    <w:rsid w:val="001731C8"/>
    <w:rsid w:val="00173826"/>
    <w:rsid w:val="001752AB"/>
    <w:rsid w:val="00175F72"/>
    <w:rsid w:val="001821FE"/>
    <w:rsid w:val="001845FA"/>
    <w:rsid w:val="00187388"/>
    <w:rsid w:val="00190F6A"/>
    <w:rsid w:val="00192CC7"/>
    <w:rsid w:val="00192DAC"/>
    <w:rsid w:val="00193219"/>
    <w:rsid w:val="0019431B"/>
    <w:rsid w:val="001A2326"/>
    <w:rsid w:val="001A26E3"/>
    <w:rsid w:val="001A3AFD"/>
    <w:rsid w:val="001A4785"/>
    <w:rsid w:val="001A4F17"/>
    <w:rsid w:val="001A5913"/>
    <w:rsid w:val="001A7C5A"/>
    <w:rsid w:val="001B1002"/>
    <w:rsid w:val="001B1689"/>
    <w:rsid w:val="001B2049"/>
    <w:rsid w:val="001B28E1"/>
    <w:rsid w:val="001B383C"/>
    <w:rsid w:val="001C071A"/>
    <w:rsid w:val="001C0F4A"/>
    <w:rsid w:val="001C35B2"/>
    <w:rsid w:val="001C4B4D"/>
    <w:rsid w:val="001C576A"/>
    <w:rsid w:val="001C6AF8"/>
    <w:rsid w:val="001D06D3"/>
    <w:rsid w:val="001D0900"/>
    <w:rsid w:val="001D171A"/>
    <w:rsid w:val="001D33A0"/>
    <w:rsid w:val="001D36DE"/>
    <w:rsid w:val="001D43A6"/>
    <w:rsid w:val="001D7317"/>
    <w:rsid w:val="001D7509"/>
    <w:rsid w:val="001E0B64"/>
    <w:rsid w:val="001E1D36"/>
    <w:rsid w:val="001E25C3"/>
    <w:rsid w:val="001E3CBA"/>
    <w:rsid w:val="001E5B4A"/>
    <w:rsid w:val="001F00A5"/>
    <w:rsid w:val="001F16B6"/>
    <w:rsid w:val="001F1CF5"/>
    <w:rsid w:val="001F3086"/>
    <w:rsid w:val="001F32CC"/>
    <w:rsid w:val="001F6E71"/>
    <w:rsid w:val="002001E8"/>
    <w:rsid w:val="00200E0A"/>
    <w:rsid w:val="00201F2E"/>
    <w:rsid w:val="00206B5D"/>
    <w:rsid w:val="00210E3D"/>
    <w:rsid w:val="002128D5"/>
    <w:rsid w:val="002147F8"/>
    <w:rsid w:val="00216215"/>
    <w:rsid w:val="0021635B"/>
    <w:rsid w:val="00220881"/>
    <w:rsid w:val="00225C10"/>
    <w:rsid w:val="00225EA6"/>
    <w:rsid w:val="002267BB"/>
    <w:rsid w:val="00226CF4"/>
    <w:rsid w:val="00232469"/>
    <w:rsid w:val="00233391"/>
    <w:rsid w:val="00233A94"/>
    <w:rsid w:val="0023706A"/>
    <w:rsid w:val="002376B8"/>
    <w:rsid w:val="0024060F"/>
    <w:rsid w:val="0024446A"/>
    <w:rsid w:val="00246F78"/>
    <w:rsid w:val="002473AF"/>
    <w:rsid w:val="00251296"/>
    <w:rsid w:val="00251CBE"/>
    <w:rsid w:val="00252198"/>
    <w:rsid w:val="00252AFE"/>
    <w:rsid w:val="00253492"/>
    <w:rsid w:val="00253539"/>
    <w:rsid w:val="00255926"/>
    <w:rsid w:val="002568AE"/>
    <w:rsid w:val="00256EE5"/>
    <w:rsid w:val="00257106"/>
    <w:rsid w:val="002626CD"/>
    <w:rsid w:val="00262ACA"/>
    <w:rsid w:val="00262C71"/>
    <w:rsid w:val="002638A7"/>
    <w:rsid w:val="002662A1"/>
    <w:rsid w:val="0026632C"/>
    <w:rsid w:val="00266BB6"/>
    <w:rsid w:val="00270228"/>
    <w:rsid w:val="00270A57"/>
    <w:rsid w:val="00270EC0"/>
    <w:rsid w:val="00280666"/>
    <w:rsid w:val="002811A9"/>
    <w:rsid w:val="00281CA1"/>
    <w:rsid w:val="002828A1"/>
    <w:rsid w:val="0028753B"/>
    <w:rsid w:val="002924FD"/>
    <w:rsid w:val="00292B7A"/>
    <w:rsid w:val="002941FB"/>
    <w:rsid w:val="0029466F"/>
    <w:rsid w:val="002947E9"/>
    <w:rsid w:val="00296650"/>
    <w:rsid w:val="00296F9F"/>
    <w:rsid w:val="002A3140"/>
    <w:rsid w:val="002A32A9"/>
    <w:rsid w:val="002A37C3"/>
    <w:rsid w:val="002B2540"/>
    <w:rsid w:val="002B3693"/>
    <w:rsid w:val="002B688C"/>
    <w:rsid w:val="002B757C"/>
    <w:rsid w:val="002B77DB"/>
    <w:rsid w:val="002C0FE5"/>
    <w:rsid w:val="002C2997"/>
    <w:rsid w:val="002C7A7D"/>
    <w:rsid w:val="002D37AA"/>
    <w:rsid w:val="002D5327"/>
    <w:rsid w:val="002D5BF3"/>
    <w:rsid w:val="002D692F"/>
    <w:rsid w:val="002E04AC"/>
    <w:rsid w:val="002E1348"/>
    <w:rsid w:val="002E13AF"/>
    <w:rsid w:val="002E5161"/>
    <w:rsid w:val="002E670F"/>
    <w:rsid w:val="002E702A"/>
    <w:rsid w:val="002E7B97"/>
    <w:rsid w:val="002F0835"/>
    <w:rsid w:val="002F1DCC"/>
    <w:rsid w:val="002F23E3"/>
    <w:rsid w:val="002F31A0"/>
    <w:rsid w:val="002F74E2"/>
    <w:rsid w:val="0030029B"/>
    <w:rsid w:val="00300F51"/>
    <w:rsid w:val="003018D4"/>
    <w:rsid w:val="003042E7"/>
    <w:rsid w:val="003079EF"/>
    <w:rsid w:val="0031046F"/>
    <w:rsid w:val="00311FF8"/>
    <w:rsid w:val="0031537E"/>
    <w:rsid w:val="00315EFA"/>
    <w:rsid w:val="00316C2D"/>
    <w:rsid w:val="00317430"/>
    <w:rsid w:val="003213E2"/>
    <w:rsid w:val="00323FF3"/>
    <w:rsid w:val="00327632"/>
    <w:rsid w:val="00331E92"/>
    <w:rsid w:val="00332E06"/>
    <w:rsid w:val="00334881"/>
    <w:rsid w:val="00337891"/>
    <w:rsid w:val="00337C65"/>
    <w:rsid w:val="00337CC6"/>
    <w:rsid w:val="00340B58"/>
    <w:rsid w:val="00341D9B"/>
    <w:rsid w:val="00342C74"/>
    <w:rsid w:val="003513F3"/>
    <w:rsid w:val="0035281E"/>
    <w:rsid w:val="0035296D"/>
    <w:rsid w:val="00352F64"/>
    <w:rsid w:val="003542D5"/>
    <w:rsid w:val="00355360"/>
    <w:rsid w:val="00356C91"/>
    <w:rsid w:val="0036041B"/>
    <w:rsid w:val="00364772"/>
    <w:rsid w:val="00365338"/>
    <w:rsid w:val="00366D80"/>
    <w:rsid w:val="00367009"/>
    <w:rsid w:val="00370BB6"/>
    <w:rsid w:val="003733E1"/>
    <w:rsid w:val="0037550B"/>
    <w:rsid w:val="00377533"/>
    <w:rsid w:val="0038248B"/>
    <w:rsid w:val="003828B4"/>
    <w:rsid w:val="003833FC"/>
    <w:rsid w:val="00383B30"/>
    <w:rsid w:val="00385E39"/>
    <w:rsid w:val="00386364"/>
    <w:rsid w:val="00390A19"/>
    <w:rsid w:val="00392EB8"/>
    <w:rsid w:val="00396FA7"/>
    <w:rsid w:val="0039775F"/>
    <w:rsid w:val="00397BF2"/>
    <w:rsid w:val="00397C66"/>
    <w:rsid w:val="003A0CC8"/>
    <w:rsid w:val="003A4EA9"/>
    <w:rsid w:val="003A528B"/>
    <w:rsid w:val="003A5AFF"/>
    <w:rsid w:val="003A5BA2"/>
    <w:rsid w:val="003A70E0"/>
    <w:rsid w:val="003B2C26"/>
    <w:rsid w:val="003C025C"/>
    <w:rsid w:val="003C20E3"/>
    <w:rsid w:val="003C2A0A"/>
    <w:rsid w:val="003C2C5E"/>
    <w:rsid w:val="003C2F5A"/>
    <w:rsid w:val="003C356E"/>
    <w:rsid w:val="003D1979"/>
    <w:rsid w:val="003D340C"/>
    <w:rsid w:val="003D6A09"/>
    <w:rsid w:val="003E0572"/>
    <w:rsid w:val="003E4507"/>
    <w:rsid w:val="003E470F"/>
    <w:rsid w:val="003E50AA"/>
    <w:rsid w:val="003E50F3"/>
    <w:rsid w:val="003E666F"/>
    <w:rsid w:val="003F0756"/>
    <w:rsid w:val="003F4CAF"/>
    <w:rsid w:val="00402551"/>
    <w:rsid w:val="0040390C"/>
    <w:rsid w:val="00403976"/>
    <w:rsid w:val="0040497F"/>
    <w:rsid w:val="004057D4"/>
    <w:rsid w:val="0040653E"/>
    <w:rsid w:val="00411036"/>
    <w:rsid w:val="004114EF"/>
    <w:rsid w:val="00411A5D"/>
    <w:rsid w:val="0041229C"/>
    <w:rsid w:val="004126FF"/>
    <w:rsid w:val="00414BC2"/>
    <w:rsid w:val="0041542A"/>
    <w:rsid w:val="0041653D"/>
    <w:rsid w:val="00416E07"/>
    <w:rsid w:val="004229D9"/>
    <w:rsid w:val="004230C1"/>
    <w:rsid w:val="00423EB5"/>
    <w:rsid w:val="00425F77"/>
    <w:rsid w:val="004274A5"/>
    <w:rsid w:val="00432673"/>
    <w:rsid w:val="00435E33"/>
    <w:rsid w:val="00440125"/>
    <w:rsid w:val="00440253"/>
    <w:rsid w:val="00445EEF"/>
    <w:rsid w:val="00452962"/>
    <w:rsid w:val="00452B4C"/>
    <w:rsid w:val="004541CE"/>
    <w:rsid w:val="004546C1"/>
    <w:rsid w:val="004547C2"/>
    <w:rsid w:val="0045495D"/>
    <w:rsid w:val="0045604C"/>
    <w:rsid w:val="00461EE3"/>
    <w:rsid w:val="00462858"/>
    <w:rsid w:val="0046339F"/>
    <w:rsid w:val="00467C0E"/>
    <w:rsid w:val="00467D27"/>
    <w:rsid w:val="004729D8"/>
    <w:rsid w:val="00473225"/>
    <w:rsid w:val="00474284"/>
    <w:rsid w:val="00480791"/>
    <w:rsid w:val="00482DD0"/>
    <w:rsid w:val="00485790"/>
    <w:rsid w:val="00485AA4"/>
    <w:rsid w:val="0048693A"/>
    <w:rsid w:val="00491ECA"/>
    <w:rsid w:val="0049271C"/>
    <w:rsid w:val="00497725"/>
    <w:rsid w:val="004A168B"/>
    <w:rsid w:val="004A3AAC"/>
    <w:rsid w:val="004A64C1"/>
    <w:rsid w:val="004A72BC"/>
    <w:rsid w:val="004B0603"/>
    <w:rsid w:val="004B2623"/>
    <w:rsid w:val="004B3977"/>
    <w:rsid w:val="004C029E"/>
    <w:rsid w:val="004C0A72"/>
    <w:rsid w:val="004C1A32"/>
    <w:rsid w:val="004C1F2F"/>
    <w:rsid w:val="004C3B26"/>
    <w:rsid w:val="004C4F1B"/>
    <w:rsid w:val="004D4672"/>
    <w:rsid w:val="004D4F6E"/>
    <w:rsid w:val="004E01DD"/>
    <w:rsid w:val="004E23AE"/>
    <w:rsid w:val="004E3072"/>
    <w:rsid w:val="004F190B"/>
    <w:rsid w:val="004F1F9B"/>
    <w:rsid w:val="004F57F1"/>
    <w:rsid w:val="004F69A2"/>
    <w:rsid w:val="005019AF"/>
    <w:rsid w:val="00503F52"/>
    <w:rsid w:val="005042D8"/>
    <w:rsid w:val="0050467E"/>
    <w:rsid w:val="00505DB0"/>
    <w:rsid w:val="00507D13"/>
    <w:rsid w:val="00510182"/>
    <w:rsid w:val="00510D93"/>
    <w:rsid w:val="00514D02"/>
    <w:rsid w:val="005272F0"/>
    <w:rsid w:val="00527F9F"/>
    <w:rsid w:val="005327E6"/>
    <w:rsid w:val="00533A9C"/>
    <w:rsid w:val="00533DB2"/>
    <w:rsid w:val="00533EE1"/>
    <w:rsid w:val="00535C0F"/>
    <w:rsid w:val="00540CA4"/>
    <w:rsid w:val="00542F23"/>
    <w:rsid w:val="00544448"/>
    <w:rsid w:val="00547F51"/>
    <w:rsid w:val="0055041C"/>
    <w:rsid w:val="00550523"/>
    <w:rsid w:val="00550DEB"/>
    <w:rsid w:val="005511A7"/>
    <w:rsid w:val="00553EB8"/>
    <w:rsid w:val="00555A6C"/>
    <w:rsid w:val="00562982"/>
    <w:rsid w:val="00563118"/>
    <w:rsid w:val="005631B8"/>
    <w:rsid w:val="0056400B"/>
    <w:rsid w:val="005672E0"/>
    <w:rsid w:val="0057034B"/>
    <w:rsid w:val="00571D70"/>
    <w:rsid w:val="00572706"/>
    <w:rsid w:val="00572C28"/>
    <w:rsid w:val="00573D44"/>
    <w:rsid w:val="00574712"/>
    <w:rsid w:val="0057558B"/>
    <w:rsid w:val="005808BB"/>
    <w:rsid w:val="00584191"/>
    <w:rsid w:val="0058608C"/>
    <w:rsid w:val="00587C1D"/>
    <w:rsid w:val="005900D7"/>
    <w:rsid w:val="005920B6"/>
    <w:rsid w:val="005929EA"/>
    <w:rsid w:val="0059596D"/>
    <w:rsid w:val="00597D57"/>
    <w:rsid w:val="00597E3C"/>
    <w:rsid w:val="00597FCC"/>
    <w:rsid w:val="005A07D0"/>
    <w:rsid w:val="005A3F44"/>
    <w:rsid w:val="005A5639"/>
    <w:rsid w:val="005B0BF9"/>
    <w:rsid w:val="005B2390"/>
    <w:rsid w:val="005B3486"/>
    <w:rsid w:val="005B5999"/>
    <w:rsid w:val="005B7959"/>
    <w:rsid w:val="005C0348"/>
    <w:rsid w:val="005C1D22"/>
    <w:rsid w:val="005C5477"/>
    <w:rsid w:val="005D0A6A"/>
    <w:rsid w:val="005D2BBD"/>
    <w:rsid w:val="005D4FBC"/>
    <w:rsid w:val="005E48C8"/>
    <w:rsid w:val="005E762E"/>
    <w:rsid w:val="005F1302"/>
    <w:rsid w:val="005F2D5A"/>
    <w:rsid w:val="005F3C91"/>
    <w:rsid w:val="00601699"/>
    <w:rsid w:val="00602A9C"/>
    <w:rsid w:val="006058E8"/>
    <w:rsid w:val="00605AFC"/>
    <w:rsid w:val="00607C5C"/>
    <w:rsid w:val="00611D9C"/>
    <w:rsid w:val="00616569"/>
    <w:rsid w:val="0062099A"/>
    <w:rsid w:val="00620A83"/>
    <w:rsid w:val="00620C31"/>
    <w:rsid w:val="006210D9"/>
    <w:rsid w:val="00621DDF"/>
    <w:rsid w:val="00623043"/>
    <w:rsid w:val="00624BA5"/>
    <w:rsid w:val="00627A62"/>
    <w:rsid w:val="00630215"/>
    <w:rsid w:val="00630300"/>
    <w:rsid w:val="00630929"/>
    <w:rsid w:val="006315E7"/>
    <w:rsid w:val="00633679"/>
    <w:rsid w:val="00633992"/>
    <w:rsid w:val="006339D0"/>
    <w:rsid w:val="00643565"/>
    <w:rsid w:val="0064556B"/>
    <w:rsid w:val="0064592A"/>
    <w:rsid w:val="00647F04"/>
    <w:rsid w:val="006527F9"/>
    <w:rsid w:val="00653505"/>
    <w:rsid w:val="00661AC6"/>
    <w:rsid w:val="00665673"/>
    <w:rsid w:val="0066621A"/>
    <w:rsid w:val="00666222"/>
    <w:rsid w:val="006666B9"/>
    <w:rsid w:val="00667AD8"/>
    <w:rsid w:val="0067160F"/>
    <w:rsid w:val="00673CB5"/>
    <w:rsid w:val="006769E5"/>
    <w:rsid w:val="0068127F"/>
    <w:rsid w:val="00685A6A"/>
    <w:rsid w:val="006876E4"/>
    <w:rsid w:val="006914A8"/>
    <w:rsid w:val="00692715"/>
    <w:rsid w:val="00693D4D"/>
    <w:rsid w:val="006942BE"/>
    <w:rsid w:val="00696B19"/>
    <w:rsid w:val="00697F42"/>
    <w:rsid w:val="006A16C4"/>
    <w:rsid w:val="006A2E12"/>
    <w:rsid w:val="006A4FBC"/>
    <w:rsid w:val="006A5A2B"/>
    <w:rsid w:val="006A7040"/>
    <w:rsid w:val="006A734B"/>
    <w:rsid w:val="006B026A"/>
    <w:rsid w:val="006B04D7"/>
    <w:rsid w:val="006B0873"/>
    <w:rsid w:val="006B45D1"/>
    <w:rsid w:val="006B51B7"/>
    <w:rsid w:val="006B6F35"/>
    <w:rsid w:val="006C03C8"/>
    <w:rsid w:val="006C066E"/>
    <w:rsid w:val="006C1A0A"/>
    <w:rsid w:val="006C29B0"/>
    <w:rsid w:val="006C2E8A"/>
    <w:rsid w:val="006C334B"/>
    <w:rsid w:val="006C3394"/>
    <w:rsid w:val="006C4360"/>
    <w:rsid w:val="006D0A5D"/>
    <w:rsid w:val="006D287D"/>
    <w:rsid w:val="006D4A13"/>
    <w:rsid w:val="006D64E3"/>
    <w:rsid w:val="006E090D"/>
    <w:rsid w:val="006E0A7C"/>
    <w:rsid w:val="006E1C08"/>
    <w:rsid w:val="006F003F"/>
    <w:rsid w:val="006F0FBF"/>
    <w:rsid w:val="006F125B"/>
    <w:rsid w:val="006F1E57"/>
    <w:rsid w:val="006F4ACA"/>
    <w:rsid w:val="006F595F"/>
    <w:rsid w:val="006F715A"/>
    <w:rsid w:val="00700F24"/>
    <w:rsid w:val="0070612F"/>
    <w:rsid w:val="00706A94"/>
    <w:rsid w:val="00706AD1"/>
    <w:rsid w:val="0071003B"/>
    <w:rsid w:val="00710332"/>
    <w:rsid w:val="00711392"/>
    <w:rsid w:val="00711CA0"/>
    <w:rsid w:val="00713983"/>
    <w:rsid w:val="00713AB6"/>
    <w:rsid w:val="00714AE7"/>
    <w:rsid w:val="00724459"/>
    <w:rsid w:val="0072722C"/>
    <w:rsid w:val="00732AD4"/>
    <w:rsid w:val="00733AF2"/>
    <w:rsid w:val="00736194"/>
    <w:rsid w:val="00737BA0"/>
    <w:rsid w:val="0074314B"/>
    <w:rsid w:val="00743238"/>
    <w:rsid w:val="007433A8"/>
    <w:rsid w:val="00744581"/>
    <w:rsid w:val="007453AE"/>
    <w:rsid w:val="0074745C"/>
    <w:rsid w:val="0075312F"/>
    <w:rsid w:val="007534E8"/>
    <w:rsid w:val="0075546C"/>
    <w:rsid w:val="00755830"/>
    <w:rsid w:val="00756835"/>
    <w:rsid w:val="007625D1"/>
    <w:rsid w:val="00762B34"/>
    <w:rsid w:val="00763ED1"/>
    <w:rsid w:val="0076680B"/>
    <w:rsid w:val="007707E6"/>
    <w:rsid w:val="00772209"/>
    <w:rsid w:val="00773A66"/>
    <w:rsid w:val="00774D1E"/>
    <w:rsid w:val="00775EE5"/>
    <w:rsid w:val="0077771A"/>
    <w:rsid w:val="0078082F"/>
    <w:rsid w:val="00782503"/>
    <w:rsid w:val="007841F0"/>
    <w:rsid w:val="00785387"/>
    <w:rsid w:val="0078596E"/>
    <w:rsid w:val="007900BD"/>
    <w:rsid w:val="00790CD0"/>
    <w:rsid w:val="007915D3"/>
    <w:rsid w:val="00791B80"/>
    <w:rsid w:val="00792199"/>
    <w:rsid w:val="00792BF5"/>
    <w:rsid w:val="00794FBC"/>
    <w:rsid w:val="007951B8"/>
    <w:rsid w:val="007A16F4"/>
    <w:rsid w:val="007A1F1B"/>
    <w:rsid w:val="007A2DCA"/>
    <w:rsid w:val="007A37C9"/>
    <w:rsid w:val="007A3C26"/>
    <w:rsid w:val="007A555D"/>
    <w:rsid w:val="007A61B9"/>
    <w:rsid w:val="007A773A"/>
    <w:rsid w:val="007B0BF3"/>
    <w:rsid w:val="007B131E"/>
    <w:rsid w:val="007B134D"/>
    <w:rsid w:val="007B221D"/>
    <w:rsid w:val="007B34AC"/>
    <w:rsid w:val="007B4887"/>
    <w:rsid w:val="007B5719"/>
    <w:rsid w:val="007B5AAA"/>
    <w:rsid w:val="007C0402"/>
    <w:rsid w:val="007C3844"/>
    <w:rsid w:val="007D09B0"/>
    <w:rsid w:val="007D1B2C"/>
    <w:rsid w:val="007D3115"/>
    <w:rsid w:val="007D368E"/>
    <w:rsid w:val="007D65F0"/>
    <w:rsid w:val="007D7FD5"/>
    <w:rsid w:val="007E0348"/>
    <w:rsid w:val="007E0532"/>
    <w:rsid w:val="007E055A"/>
    <w:rsid w:val="007E09AE"/>
    <w:rsid w:val="007E4803"/>
    <w:rsid w:val="007E7F0E"/>
    <w:rsid w:val="007F087D"/>
    <w:rsid w:val="007F21CA"/>
    <w:rsid w:val="007F277A"/>
    <w:rsid w:val="007F3A87"/>
    <w:rsid w:val="007F49C2"/>
    <w:rsid w:val="007F7DA2"/>
    <w:rsid w:val="0080089A"/>
    <w:rsid w:val="00802ACB"/>
    <w:rsid w:val="00803878"/>
    <w:rsid w:val="00806AF1"/>
    <w:rsid w:val="00811358"/>
    <w:rsid w:val="00812A5C"/>
    <w:rsid w:val="00813361"/>
    <w:rsid w:val="0081359F"/>
    <w:rsid w:val="008135F5"/>
    <w:rsid w:val="00813F86"/>
    <w:rsid w:val="00814429"/>
    <w:rsid w:val="008171E5"/>
    <w:rsid w:val="00824749"/>
    <w:rsid w:val="00825324"/>
    <w:rsid w:val="008267EA"/>
    <w:rsid w:val="00827D7E"/>
    <w:rsid w:val="008302FF"/>
    <w:rsid w:val="00833579"/>
    <w:rsid w:val="00833703"/>
    <w:rsid w:val="00836865"/>
    <w:rsid w:val="008369A9"/>
    <w:rsid w:val="0083793C"/>
    <w:rsid w:val="00837DF1"/>
    <w:rsid w:val="00841126"/>
    <w:rsid w:val="00841141"/>
    <w:rsid w:val="00841360"/>
    <w:rsid w:val="00843635"/>
    <w:rsid w:val="00846734"/>
    <w:rsid w:val="00850E8C"/>
    <w:rsid w:val="008515DB"/>
    <w:rsid w:val="0085206B"/>
    <w:rsid w:val="00852A8F"/>
    <w:rsid w:val="0085413C"/>
    <w:rsid w:val="00856BF9"/>
    <w:rsid w:val="0086212D"/>
    <w:rsid w:val="00862280"/>
    <w:rsid w:val="00863F57"/>
    <w:rsid w:val="008645BB"/>
    <w:rsid w:val="0086694C"/>
    <w:rsid w:val="00866E34"/>
    <w:rsid w:val="008704BD"/>
    <w:rsid w:val="00871004"/>
    <w:rsid w:val="00871033"/>
    <w:rsid w:val="00872AC4"/>
    <w:rsid w:val="00873BE1"/>
    <w:rsid w:val="00875EE2"/>
    <w:rsid w:val="00876094"/>
    <w:rsid w:val="00876734"/>
    <w:rsid w:val="0088142E"/>
    <w:rsid w:val="00883576"/>
    <w:rsid w:val="00886F68"/>
    <w:rsid w:val="0088729B"/>
    <w:rsid w:val="00887968"/>
    <w:rsid w:val="00890258"/>
    <w:rsid w:val="00890460"/>
    <w:rsid w:val="00892311"/>
    <w:rsid w:val="00892532"/>
    <w:rsid w:val="00895FAB"/>
    <w:rsid w:val="00896304"/>
    <w:rsid w:val="00896A06"/>
    <w:rsid w:val="008A146A"/>
    <w:rsid w:val="008A2440"/>
    <w:rsid w:val="008A2A9A"/>
    <w:rsid w:val="008A3DCC"/>
    <w:rsid w:val="008A5760"/>
    <w:rsid w:val="008B38BD"/>
    <w:rsid w:val="008B5927"/>
    <w:rsid w:val="008B5EBA"/>
    <w:rsid w:val="008B631F"/>
    <w:rsid w:val="008B6FDD"/>
    <w:rsid w:val="008C49F4"/>
    <w:rsid w:val="008C7B4D"/>
    <w:rsid w:val="008D090C"/>
    <w:rsid w:val="008D144E"/>
    <w:rsid w:val="008D16C1"/>
    <w:rsid w:val="008D3361"/>
    <w:rsid w:val="008D5B07"/>
    <w:rsid w:val="008D6706"/>
    <w:rsid w:val="008D67CA"/>
    <w:rsid w:val="008D7ECA"/>
    <w:rsid w:val="008E052C"/>
    <w:rsid w:val="008E0FBE"/>
    <w:rsid w:val="008E3D3B"/>
    <w:rsid w:val="008E62B2"/>
    <w:rsid w:val="008F0BF6"/>
    <w:rsid w:val="008F1CB1"/>
    <w:rsid w:val="008F22C3"/>
    <w:rsid w:val="008F2318"/>
    <w:rsid w:val="008F5E2D"/>
    <w:rsid w:val="008F6147"/>
    <w:rsid w:val="008F6470"/>
    <w:rsid w:val="008F77CA"/>
    <w:rsid w:val="008F7AF5"/>
    <w:rsid w:val="009011B4"/>
    <w:rsid w:val="0090120D"/>
    <w:rsid w:val="0090134E"/>
    <w:rsid w:val="0090239F"/>
    <w:rsid w:val="00904639"/>
    <w:rsid w:val="009050FB"/>
    <w:rsid w:val="0090645B"/>
    <w:rsid w:val="009075FB"/>
    <w:rsid w:val="0091044D"/>
    <w:rsid w:val="00910525"/>
    <w:rsid w:val="00911BEB"/>
    <w:rsid w:val="00911CBA"/>
    <w:rsid w:val="00911CDD"/>
    <w:rsid w:val="009135FD"/>
    <w:rsid w:val="009147BC"/>
    <w:rsid w:val="00914D52"/>
    <w:rsid w:val="00914F26"/>
    <w:rsid w:val="00916B85"/>
    <w:rsid w:val="009210C8"/>
    <w:rsid w:val="00921522"/>
    <w:rsid w:val="009228BB"/>
    <w:rsid w:val="009253AE"/>
    <w:rsid w:val="0092542E"/>
    <w:rsid w:val="009256E6"/>
    <w:rsid w:val="00925CAC"/>
    <w:rsid w:val="0093200A"/>
    <w:rsid w:val="0093330F"/>
    <w:rsid w:val="00933AFE"/>
    <w:rsid w:val="00933F75"/>
    <w:rsid w:val="009350E0"/>
    <w:rsid w:val="00935907"/>
    <w:rsid w:val="00940B7B"/>
    <w:rsid w:val="00940F39"/>
    <w:rsid w:val="00942EA2"/>
    <w:rsid w:val="00944AD1"/>
    <w:rsid w:val="00944C45"/>
    <w:rsid w:val="009455C5"/>
    <w:rsid w:val="0095350F"/>
    <w:rsid w:val="009542E4"/>
    <w:rsid w:val="00956907"/>
    <w:rsid w:val="00957701"/>
    <w:rsid w:val="00960628"/>
    <w:rsid w:val="00961FD2"/>
    <w:rsid w:val="00962EC4"/>
    <w:rsid w:val="0097335C"/>
    <w:rsid w:val="00973DC0"/>
    <w:rsid w:val="00974584"/>
    <w:rsid w:val="00975C9B"/>
    <w:rsid w:val="00981ECA"/>
    <w:rsid w:val="00983293"/>
    <w:rsid w:val="00984D9B"/>
    <w:rsid w:val="009861C8"/>
    <w:rsid w:val="00986E5D"/>
    <w:rsid w:val="009870A2"/>
    <w:rsid w:val="00987B00"/>
    <w:rsid w:val="00991E4C"/>
    <w:rsid w:val="0099350E"/>
    <w:rsid w:val="00993CDA"/>
    <w:rsid w:val="00994275"/>
    <w:rsid w:val="00995129"/>
    <w:rsid w:val="00997715"/>
    <w:rsid w:val="00997763"/>
    <w:rsid w:val="009A2DE7"/>
    <w:rsid w:val="009A32F8"/>
    <w:rsid w:val="009A337E"/>
    <w:rsid w:val="009A3CBD"/>
    <w:rsid w:val="009A4E69"/>
    <w:rsid w:val="009A64D2"/>
    <w:rsid w:val="009A7EEB"/>
    <w:rsid w:val="009B7814"/>
    <w:rsid w:val="009C0A39"/>
    <w:rsid w:val="009C2195"/>
    <w:rsid w:val="009C5532"/>
    <w:rsid w:val="009D290A"/>
    <w:rsid w:val="009D3A7D"/>
    <w:rsid w:val="009D486A"/>
    <w:rsid w:val="009D5DE3"/>
    <w:rsid w:val="009E1122"/>
    <w:rsid w:val="009E2640"/>
    <w:rsid w:val="009E7BB7"/>
    <w:rsid w:val="009F13F3"/>
    <w:rsid w:val="009F4DB9"/>
    <w:rsid w:val="009F7E82"/>
    <w:rsid w:val="00A00322"/>
    <w:rsid w:val="00A031FF"/>
    <w:rsid w:val="00A067B8"/>
    <w:rsid w:val="00A06EBF"/>
    <w:rsid w:val="00A0786A"/>
    <w:rsid w:val="00A11AA5"/>
    <w:rsid w:val="00A125B5"/>
    <w:rsid w:val="00A13AB7"/>
    <w:rsid w:val="00A13C7F"/>
    <w:rsid w:val="00A14962"/>
    <w:rsid w:val="00A156C0"/>
    <w:rsid w:val="00A16687"/>
    <w:rsid w:val="00A1684E"/>
    <w:rsid w:val="00A16B21"/>
    <w:rsid w:val="00A1737C"/>
    <w:rsid w:val="00A2072F"/>
    <w:rsid w:val="00A2330D"/>
    <w:rsid w:val="00A268FE"/>
    <w:rsid w:val="00A26BBE"/>
    <w:rsid w:val="00A31821"/>
    <w:rsid w:val="00A3284B"/>
    <w:rsid w:val="00A32EE8"/>
    <w:rsid w:val="00A35068"/>
    <w:rsid w:val="00A355F6"/>
    <w:rsid w:val="00A40B51"/>
    <w:rsid w:val="00A413AD"/>
    <w:rsid w:val="00A42A60"/>
    <w:rsid w:val="00A46343"/>
    <w:rsid w:val="00A46FBE"/>
    <w:rsid w:val="00A47305"/>
    <w:rsid w:val="00A478C2"/>
    <w:rsid w:val="00A47EE4"/>
    <w:rsid w:val="00A50998"/>
    <w:rsid w:val="00A51C0F"/>
    <w:rsid w:val="00A5388F"/>
    <w:rsid w:val="00A5540C"/>
    <w:rsid w:val="00A56241"/>
    <w:rsid w:val="00A61D27"/>
    <w:rsid w:val="00A66635"/>
    <w:rsid w:val="00A6667C"/>
    <w:rsid w:val="00A670B1"/>
    <w:rsid w:val="00A7071A"/>
    <w:rsid w:val="00A70E45"/>
    <w:rsid w:val="00A71BCD"/>
    <w:rsid w:val="00A734FB"/>
    <w:rsid w:val="00A7495E"/>
    <w:rsid w:val="00A768BE"/>
    <w:rsid w:val="00A76EA4"/>
    <w:rsid w:val="00A80A26"/>
    <w:rsid w:val="00A8200F"/>
    <w:rsid w:val="00A820A3"/>
    <w:rsid w:val="00A828BA"/>
    <w:rsid w:val="00A82D6B"/>
    <w:rsid w:val="00A834B8"/>
    <w:rsid w:val="00A91705"/>
    <w:rsid w:val="00A9175C"/>
    <w:rsid w:val="00A941E1"/>
    <w:rsid w:val="00A95628"/>
    <w:rsid w:val="00A96C71"/>
    <w:rsid w:val="00A977FE"/>
    <w:rsid w:val="00AA0591"/>
    <w:rsid w:val="00AA214F"/>
    <w:rsid w:val="00AA2B5A"/>
    <w:rsid w:val="00AA425A"/>
    <w:rsid w:val="00AA5476"/>
    <w:rsid w:val="00AA7C40"/>
    <w:rsid w:val="00AB2EE2"/>
    <w:rsid w:val="00AB33C8"/>
    <w:rsid w:val="00AB376A"/>
    <w:rsid w:val="00AB3873"/>
    <w:rsid w:val="00AB3C26"/>
    <w:rsid w:val="00AB789C"/>
    <w:rsid w:val="00AC0011"/>
    <w:rsid w:val="00AC1A15"/>
    <w:rsid w:val="00AC2AB9"/>
    <w:rsid w:val="00AC4C8E"/>
    <w:rsid w:val="00AD0132"/>
    <w:rsid w:val="00AD0A11"/>
    <w:rsid w:val="00AD2973"/>
    <w:rsid w:val="00AD3886"/>
    <w:rsid w:val="00AD3CB8"/>
    <w:rsid w:val="00AD5779"/>
    <w:rsid w:val="00AD589F"/>
    <w:rsid w:val="00AD77F4"/>
    <w:rsid w:val="00AE039F"/>
    <w:rsid w:val="00AE1D40"/>
    <w:rsid w:val="00AF3085"/>
    <w:rsid w:val="00AF6E3D"/>
    <w:rsid w:val="00B0021F"/>
    <w:rsid w:val="00B007CD"/>
    <w:rsid w:val="00B009BA"/>
    <w:rsid w:val="00B012E6"/>
    <w:rsid w:val="00B015BE"/>
    <w:rsid w:val="00B0411A"/>
    <w:rsid w:val="00B04B22"/>
    <w:rsid w:val="00B05C24"/>
    <w:rsid w:val="00B05EC0"/>
    <w:rsid w:val="00B10313"/>
    <w:rsid w:val="00B1045B"/>
    <w:rsid w:val="00B15463"/>
    <w:rsid w:val="00B160A5"/>
    <w:rsid w:val="00B16D5E"/>
    <w:rsid w:val="00B179C1"/>
    <w:rsid w:val="00B201DC"/>
    <w:rsid w:val="00B20534"/>
    <w:rsid w:val="00B2139F"/>
    <w:rsid w:val="00B22AD6"/>
    <w:rsid w:val="00B253B9"/>
    <w:rsid w:val="00B26ACF"/>
    <w:rsid w:val="00B276A7"/>
    <w:rsid w:val="00B31C79"/>
    <w:rsid w:val="00B31D2C"/>
    <w:rsid w:val="00B32E39"/>
    <w:rsid w:val="00B332C0"/>
    <w:rsid w:val="00B3634A"/>
    <w:rsid w:val="00B40167"/>
    <w:rsid w:val="00B428A7"/>
    <w:rsid w:val="00B45A69"/>
    <w:rsid w:val="00B51ECE"/>
    <w:rsid w:val="00B53CFA"/>
    <w:rsid w:val="00B559E7"/>
    <w:rsid w:val="00B568A8"/>
    <w:rsid w:val="00B56E3E"/>
    <w:rsid w:val="00B60D33"/>
    <w:rsid w:val="00B64CAA"/>
    <w:rsid w:val="00B64F72"/>
    <w:rsid w:val="00B716FE"/>
    <w:rsid w:val="00B7221F"/>
    <w:rsid w:val="00B737C2"/>
    <w:rsid w:val="00B73E78"/>
    <w:rsid w:val="00B778BE"/>
    <w:rsid w:val="00B80EEC"/>
    <w:rsid w:val="00B8152D"/>
    <w:rsid w:val="00B82A40"/>
    <w:rsid w:val="00B8367B"/>
    <w:rsid w:val="00B839EA"/>
    <w:rsid w:val="00B84F90"/>
    <w:rsid w:val="00B85B18"/>
    <w:rsid w:val="00B91DFD"/>
    <w:rsid w:val="00B928FC"/>
    <w:rsid w:val="00B94D18"/>
    <w:rsid w:val="00B94D26"/>
    <w:rsid w:val="00B9506E"/>
    <w:rsid w:val="00B953CD"/>
    <w:rsid w:val="00B97B58"/>
    <w:rsid w:val="00BA5746"/>
    <w:rsid w:val="00BA7FCA"/>
    <w:rsid w:val="00BB25B7"/>
    <w:rsid w:val="00BB2887"/>
    <w:rsid w:val="00BB521E"/>
    <w:rsid w:val="00BB55B8"/>
    <w:rsid w:val="00BB712F"/>
    <w:rsid w:val="00BC1C56"/>
    <w:rsid w:val="00BC3521"/>
    <w:rsid w:val="00BC3E5E"/>
    <w:rsid w:val="00BC4CEC"/>
    <w:rsid w:val="00BC628B"/>
    <w:rsid w:val="00BC7FBA"/>
    <w:rsid w:val="00BD17DE"/>
    <w:rsid w:val="00BD26C3"/>
    <w:rsid w:val="00BD5F28"/>
    <w:rsid w:val="00BE2159"/>
    <w:rsid w:val="00BE2B1D"/>
    <w:rsid w:val="00BE30C3"/>
    <w:rsid w:val="00BE36CA"/>
    <w:rsid w:val="00BE41EA"/>
    <w:rsid w:val="00BE4549"/>
    <w:rsid w:val="00BF13DF"/>
    <w:rsid w:val="00BF1DCE"/>
    <w:rsid w:val="00BF5122"/>
    <w:rsid w:val="00BF525C"/>
    <w:rsid w:val="00BF56ED"/>
    <w:rsid w:val="00BF6943"/>
    <w:rsid w:val="00BF7EB7"/>
    <w:rsid w:val="00C03F66"/>
    <w:rsid w:val="00C06149"/>
    <w:rsid w:val="00C065DD"/>
    <w:rsid w:val="00C07F05"/>
    <w:rsid w:val="00C10478"/>
    <w:rsid w:val="00C1187A"/>
    <w:rsid w:val="00C157DC"/>
    <w:rsid w:val="00C1623A"/>
    <w:rsid w:val="00C16716"/>
    <w:rsid w:val="00C1725A"/>
    <w:rsid w:val="00C17370"/>
    <w:rsid w:val="00C24538"/>
    <w:rsid w:val="00C2534E"/>
    <w:rsid w:val="00C27478"/>
    <w:rsid w:val="00C305E3"/>
    <w:rsid w:val="00C31DE3"/>
    <w:rsid w:val="00C3249A"/>
    <w:rsid w:val="00C32BB6"/>
    <w:rsid w:val="00C349EB"/>
    <w:rsid w:val="00C34D20"/>
    <w:rsid w:val="00C409F1"/>
    <w:rsid w:val="00C42767"/>
    <w:rsid w:val="00C44E57"/>
    <w:rsid w:val="00C46665"/>
    <w:rsid w:val="00C4694C"/>
    <w:rsid w:val="00C50969"/>
    <w:rsid w:val="00C52935"/>
    <w:rsid w:val="00C54454"/>
    <w:rsid w:val="00C54C62"/>
    <w:rsid w:val="00C55D2D"/>
    <w:rsid w:val="00C55F2C"/>
    <w:rsid w:val="00C576C3"/>
    <w:rsid w:val="00C66122"/>
    <w:rsid w:val="00C67F13"/>
    <w:rsid w:val="00C7015D"/>
    <w:rsid w:val="00C7029C"/>
    <w:rsid w:val="00C70D39"/>
    <w:rsid w:val="00C74BDF"/>
    <w:rsid w:val="00C75EA0"/>
    <w:rsid w:val="00C76B4B"/>
    <w:rsid w:val="00C771D7"/>
    <w:rsid w:val="00C8001E"/>
    <w:rsid w:val="00C81A8A"/>
    <w:rsid w:val="00C877C4"/>
    <w:rsid w:val="00C87EB7"/>
    <w:rsid w:val="00C916AB"/>
    <w:rsid w:val="00C955AE"/>
    <w:rsid w:val="00C96DA3"/>
    <w:rsid w:val="00C972CD"/>
    <w:rsid w:val="00CA1275"/>
    <w:rsid w:val="00CA372C"/>
    <w:rsid w:val="00CA48C3"/>
    <w:rsid w:val="00CA4F43"/>
    <w:rsid w:val="00CA61A3"/>
    <w:rsid w:val="00CA7327"/>
    <w:rsid w:val="00CA7AD4"/>
    <w:rsid w:val="00CA7DDC"/>
    <w:rsid w:val="00CB0BA0"/>
    <w:rsid w:val="00CB1544"/>
    <w:rsid w:val="00CB43DA"/>
    <w:rsid w:val="00CB466F"/>
    <w:rsid w:val="00CB4AE8"/>
    <w:rsid w:val="00CC13E8"/>
    <w:rsid w:val="00CC2FE5"/>
    <w:rsid w:val="00CC5E04"/>
    <w:rsid w:val="00CC7896"/>
    <w:rsid w:val="00CC7F9B"/>
    <w:rsid w:val="00CD3EED"/>
    <w:rsid w:val="00CD4965"/>
    <w:rsid w:val="00CD4F6A"/>
    <w:rsid w:val="00CD73D0"/>
    <w:rsid w:val="00CE107B"/>
    <w:rsid w:val="00CE1D12"/>
    <w:rsid w:val="00CE2A09"/>
    <w:rsid w:val="00CE4353"/>
    <w:rsid w:val="00CE4431"/>
    <w:rsid w:val="00CE6D90"/>
    <w:rsid w:val="00CE6FD3"/>
    <w:rsid w:val="00CF0D6F"/>
    <w:rsid w:val="00CF3B74"/>
    <w:rsid w:val="00CF4664"/>
    <w:rsid w:val="00CF52F4"/>
    <w:rsid w:val="00CF5E88"/>
    <w:rsid w:val="00CF772E"/>
    <w:rsid w:val="00CF781D"/>
    <w:rsid w:val="00CF7B0D"/>
    <w:rsid w:val="00D002A5"/>
    <w:rsid w:val="00D00B9F"/>
    <w:rsid w:val="00D03704"/>
    <w:rsid w:val="00D05BF9"/>
    <w:rsid w:val="00D12E59"/>
    <w:rsid w:val="00D153B7"/>
    <w:rsid w:val="00D23F1A"/>
    <w:rsid w:val="00D24C77"/>
    <w:rsid w:val="00D27538"/>
    <w:rsid w:val="00D2789C"/>
    <w:rsid w:val="00D27C3D"/>
    <w:rsid w:val="00D30F4C"/>
    <w:rsid w:val="00D31F55"/>
    <w:rsid w:val="00D35480"/>
    <w:rsid w:val="00D364BE"/>
    <w:rsid w:val="00D4034D"/>
    <w:rsid w:val="00D43BDF"/>
    <w:rsid w:val="00D44DAD"/>
    <w:rsid w:val="00D468A9"/>
    <w:rsid w:val="00D476AA"/>
    <w:rsid w:val="00D47D67"/>
    <w:rsid w:val="00D511EA"/>
    <w:rsid w:val="00D51E8B"/>
    <w:rsid w:val="00D535DC"/>
    <w:rsid w:val="00D53623"/>
    <w:rsid w:val="00D56585"/>
    <w:rsid w:val="00D56D94"/>
    <w:rsid w:val="00D623B3"/>
    <w:rsid w:val="00D63EB9"/>
    <w:rsid w:val="00D6460A"/>
    <w:rsid w:val="00D66A83"/>
    <w:rsid w:val="00D673E4"/>
    <w:rsid w:val="00D67797"/>
    <w:rsid w:val="00D712DF"/>
    <w:rsid w:val="00D7280D"/>
    <w:rsid w:val="00D75DC3"/>
    <w:rsid w:val="00D76505"/>
    <w:rsid w:val="00D776EA"/>
    <w:rsid w:val="00D827DF"/>
    <w:rsid w:val="00D83C60"/>
    <w:rsid w:val="00D83CA1"/>
    <w:rsid w:val="00D841D2"/>
    <w:rsid w:val="00D9145E"/>
    <w:rsid w:val="00D94312"/>
    <w:rsid w:val="00DA1123"/>
    <w:rsid w:val="00DA565A"/>
    <w:rsid w:val="00DB7970"/>
    <w:rsid w:val="00DB7BC3"/>
    <w:rsid w:val="00DC03F8"/>
    <w:rsid w:val="00DC2276"/>
    <w:rsid w:val="00DC22C9"/>
    <w:rsid w:val="00DC3A5C"/>
    <w:rsid w:val="00DC4489"/>
    <w:rsid w:val="00DC5440"/>
    <w:rsid w:val="00DD1ACC"/>
    <w:rsid w:val="00DD39DB"/>
    <w:rsid w:val="00DD4F55"/>
    <w:rsid w:val="00DE29D9"/>
    <w:rsid w:val="00DE2D9E"/>
    <w:rsid w:val="00DE328B"/>
    <w:rsid w:val="00DE660D"/>
    <w:rsid w:val="00DF07A0"/>
    <w:rsid w:val="00DF0B25"/>
    <w:rsid w:val="00DF269B"/>
    <w:rsid w:val="00DF2790"/>
    <w:rsid w:val="00DF4613"/>
    <w:rsid w:val="00DF5355"/>
    <w:rsid w:val="00DF66E0"/>
    <w:rsid w:val="00DF6FA8"/>
    <w:rsid w:val="00DF78BA"/>
    <w:rsid w:val="00E025C7"/>
    <w:rsid w:val="00E04827"/>
    <w:rsid w:val="00E059A7"/>
    <w:rsid w:val="00E10200"/>
    <w:rsid w:val="00E10ED8"/>
    <w:rsid w:val="00E11D46"/>
    <w:rsid w:val="00E1331D"/>
    <w:rsid w:val="00E14DB4"/>
    <w:rsid w:val="00E16A96"/>
    <w:rsid w:val="00E20278"/>
    <w:rsid w:val="00E205F9"/>
    <w:rsid w:val="00E20A6C"/>
    <w:rsid w:val="00E221C0"/>
    <w:rsid w:val="00E2311C"/>
    <w:rsid w:val="00E24754"/>
    <w:rsid w:val="00E25094"/>
    <w:rsid w:val="00E25629"/>
    <w:rsid w:val="00E266E3"/>
    <w:rsid w:val="00E27C20"/>
    <w:rsid w:val="00E30FE9"/>
    <w:rsid w:val="00E314F6"/>
    <w:rsid w:val="00E32630"/>
    <w:rsid w:val="00E34426"/>
    <w:rsid w:val="00E35772"/>
    <w:rsid w:val="00E5148C"/>
    <w:rsid w:val="00E528CB"/>
    <w:rsid w:val="00E537CD"/>
    <w:rsid w:val="00E545D1"/>
    <w:rsid w:val="00E60381"/>
    <w:rsid w:val="00E6111A"/>
    <w:rsid w:val="00E64809"/>
    <w:rsid w:val="00E703B8"/>
    <w:rsid w:val="00E70706"/>
    <w:rsid w:val="00E713AF"/>
    <w:rsid w:val="00E72720"/>
    <w:rsid w:val="00E72EA1"/>
    <w:rsid w:val="00E73151"/>
    <w:rsid w:val="00E7330E"/>
    <w:rsid w:val="00E75C04"/>
    <w:rsid w:val="00E75E5B"/>
    <w:rsid w:val="00E768EF"/>
    <w:rsid w:val="00E77826"/>
    <w:rsid w:val="00E80F36"/>
    <w:rsid w:val="00E821F5"/>
    <w:rsid w:val="00E831B4"/>
    <w:rsid w:val="00E90421"/>
    <w:rsid w:val="00E905B1"/>
    <w:rsid w:val="00E94507"/>
    <w:rsid w:val="00E96C90"/>
    <w:rsid w:val="00E97CFE"/>
    <w:rsid w:val="00E97EAB"/>
    <w:rsid w:val="00EA01BC"/>
    <w:rsid w:val="00EA034E"/>
    <w:rsid w:val="00EA154D"/>
    <w:rsid w:val="00EA4B29"/>
    <w:rsid w:val="00EA55AF"/>
    <w:rsid w:val="00EA55C7"/>
    <w:rsid w:val="00EA5BC1"/>
    <w:rsid w:val="00EA7BDF"/>
    <w:rsid w:val="00EB0F15"/>
    <w:rsid w:val="00EB1747"/>
    <w:rsid w:val="00EB1D49"/>
    <w:rsid w:val="00EB2453"/>
    <w:rsid w:val="00EB3D92"/>
    <w:rsid w:val="00EB54C6"/>
    <w:rsid w:val="00EB7F0B"/>
    <w:rsid w:val="00EC0E15"/>
    <w:rsid w:val="00EC37A4"/>
    <w:rsid w:val="00EC5C46"/>
    <w:rsid w:val="00ED088A"/>
    <w:rsid w:val="00ED0B3C"/>
    <w:rsid w:val="00ED4B2E"/>
    <w:rsid w:val="00ED6778"/>
    <w:rsid w:val="00ED755D"/>
    <w:rsid w:val="00EE0CC1"/>
    <w:rsid w:val="00EE339A"/>
    <w:rsid w:val="00EE5222"/>
    <w:rsid w:val="00EF08AC"/>
    <w:rsid w:val="00EF0A97"/>
    <w:rsid w:val="00EF1D63"/>
    <w:rsid w:val="00F00421"/>
    <w:rsid w:val="00F02CEF"/>
    <w:rsid w:val="00F05442"/>
    <w:rsid w:val="00F07C6B"/>
    <w:rsid w:val="00F10536"/>
    <w:rsid w:val="00F11037"/>
    <w:rsid w:val="00F1707E"/>
    <w:rsid w:val="00F219F2"/>
    <w:rsid w:val="00F23023"/>
    <w:rsid w:val="00F30D0A"/>
    <w:rsid w:val="00F32CB7"/>
    <w:rsid w:val="00F33710"/>
    <w:rsid w:val="00F36357"/>
    <w:rsid w:val="00F41218"/>
    <w:rsid w:val="00F41497"/>
    <w:rsid w:val="00F4304A"/>
    <w:rsid w:val="00F441BD"/>
    <w:rsid w:val="00F44DC3"/>
    <w:rsid w:val="00F50581"/>
    <w:rsid w:val="00F50804"/>
    <w:rsid w:val="00F53845"/>
    <w:rsid w:val="00F56156"/>
    <w:rsid w:val="00F5652F"/>
    <w:rsid w:val="00F613A6"/>
    <w:rsid w:val="00F6632E"/>
    <w:rsid w:val="00F67075"/>
    <w:rsid w:val="00F67B9A"/>
    <w:rsid w:val="00F71129"/>
    <w:rsid w:val="00F7264C"/>
    <w:rsid w:val="00F72D05"/>
    <w:rsid w:val="00F75538"/>
    <w:rsid w:val="00F75B57"/>
    <w:rsid w:val="00F76032"/>
    <w:rsid w:val="00F7792C"/>
    <w:rsid w:val="00F77C43"/>
    <w:rsid w:val="00F8009B"/>
    <w:rsid w:val="00F800F1"/>
    <w:rsid w:val="00F80304"/>
    <w:rsid w:val="00F810DE"/>
    <w:rsid w:val="00F81AB7"/>
    <w:rsid w:val="00F845AC"/>
    <w:rsid w:val="00F86557"/>
    <w:rsid w:val="00F91A32"/>
    <w:rsid w:val="00F94D0D"/>
    <w:rsid w:val="00FA2167"/>
    <w:rsid w:val="00FA280D"/>
    <w:rsid w:val="00FA2F29"/>
    <w:rsid w:val="00FA4C80"/>
    <w:rsid w:val="00FA4DA2"/>
    <w:rsid w:val="00FA63C9"/>
    <w:rsid w:val="00FA651D"/>
    <w:rsid w:val="00FA7261"/>
    <w:rsid w:val="00FB09DB"/>
    <w:rsid w:val="00FB305F"/>
    <w:rsid w:val="00FB3F3C"/>
    <w:rsid w:val="00FB496F"/>
    <w:rsid w:val="00FB52A6"/>
    <w:rsid w:val="00FB66CD"/>
    <w:rsid w:val="00FB6DFD"/>
    <w:rsid w:val="00FC1F27"/>
    <w:rsid w:val="00FD0C34"/>
    <w:rsid w:val="00FD1BDD"/>
    <w:rsid w:val="00FD341F"/>
    <w:rsid w:val="00FD7B90"/>
    <w:rsid w:val="00FE1D9C"/>
    <w:rsid w:val="00FE238C"/>
    <w:rsid w:val="00FE3E23"/>
    <w:rsid w:val="00FE53A7"/>
    <w:rsid w:val="00FF0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List Bullet" w:uiPriority="99" w:qFormat="1"/>
    <w:lsdException w:name="List Bullet 2" w:uiPriority="99" w:qFormat="1"/>
    <w:lsdException w:name="List Bullet 3"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u w:val="single"/>
    </w:rPr>
  </w:style>
  <w:style w:type="paragraph" w:styleId="Heading5">
    <w:name w:val="heading 5"/>
    <w:basedOn w:val="Normal"/>
    <w:next w:val="Normal"/>
    <w:qFormat/>
    <w:pPr>
      <w:keepNext/>
      <w:outlineLvl w:val="4"/>
    </w:pPr>
    <w:rPr>
      <w:rFonts w:ascii="Tahoma" w:hAnsi="Tahoma"/>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hanging="1440"/>
      <w:jc w:val="center"/>
    </w:pPr>
    <w:rPr>
      <w:rFonts w:ascii="Arial" w:hAnsi="Arial"/>
      <w:b/>
      <w:sz w:val="22"/>
    </w:rPr>
  </w:style>
  <w:style w:type="paragraph" w:styleId="Header">
    <w:name w:val="header"/>
    <w:basedOn w:val="Normal"/>
    <w:pPr>
      <w:tabs>
        <w:tab w:val="center" w:pos="4153"/>
        <w:tab w:val="right" w:pos="8306"/>
      </w:tabs>
    </w:pPr>
    <w:rPr>
      <w:rFonts w:ascii="Times New Roman" w:hAnsi="Times New Roman"/>
    </w:rPr>
  </w:style>
  <w:style w:type="paragraph" w:customStyle="1" w:styleId="boldsubhd">
    <w:name w:val="bold subhd"/>
    <w:basedOn w:val="Normal"/>
    <w:rPr>
      <w:rFonts w:ascii="Univers 67 CondensedBold" w:hAnsi="Univers 67 CondensedBold"/>
    </w:rPr>
  </w:style>
  <w:style w:type="paragraph" w:customStyle="1" w:styleId="consubhd">
    <w:name w:val="con subhd"/>
    <w:basedOn w:val="Normal"/>
    <w:rPr>
      <w:rFonts w:ascii="Univers 57 Condensed" w:hAnsi="Univers 57 Condensed"/>
    </w:rPr>
  </w:style>
  <w:style w:type="paragraph" w:customStyle="1" w:styleId="subscript">
    <w:name w:val="subscript"/>
    <w:basedOn w:val="Normal"/>
    <w:rPr>
      <w:rFonts w:ascii="Univers 47 CondensedLight" w:hAnsi="Univers 47 CondensedLight"/>
      <w:position w:val="-4"/>
      <w:sz w:val="16"/>
    </w:rPr>
  </w:style>
  <w:style w:type="paragraph" w:styleId="BodyText">
    <w:name w:val="Body Text"/>
    <w:basedOn w:val="Normal"/>
    <w:pPr>
      <w:jc w:val="center"/>
    </w:pPr>
    <w:rPr>
      <w:rFonts w:ascii="Univers 47 CondensedLight" w:hAnsi="Univers 47 CondensedLight"/>
      <w:lang w:val="en-US"/>
    </w:rPr>
  </w:style>
  <w:style w:type="paragraph" w:styleId="BodyText2">
    <w:name w:val="Body Text 2"/>
    <w:basedOn w:val="Normal"/>
    <w:rPr>
      <w:rFonts w:ascii="Arial" w:hAnsi="Arial" w:cs="Arial"/>
      <w:b/>
      <w:bCs/>
    </w:rPr>
  </w:style>
  <w:style w:type="paragraph" w:customStyle="1" w:styleId="superscript">
    <w:name w:val="superscript"/>
    <w:basedOn w:val="Normal"/>
    <w:rPr>
      <w:rFonts w:ascii="Univers 47 CondensedLight" w:hAnsi="Univers 47 CondensedLight"/>
      <w:position w:val="4"/>
      <w:sz w:val="18"/>
    </w:rPr>
  </w:style>
  <w:style w:type="paragraph" w:styleId="BalloonText">
    <w:name w:val="Balloon Text"/>
    <w:basedOn w:val="Normal"/>
    <w:semiHidden/>
    <w:rsid w:val="00041FD5"/>
    <w:rPr>
      <w:rFonts w:ascii="Tahoma" w:hAnsi="Tahoma" w:cs="Tahoma"/>
      <w:sz w:val="16"/>
      <w:szCs w:val="16"/>
    </w:rPr>
  </w:style>
  <w:style w:type="paragraph" w:styleId="Footer">
    <w:name w:val="footer"/>
    <w:basedOn w:val="Normal"/>
    <w:rsid w:val="00563118"/>
    <w:pPr>
      <w:tabs>
        <w:tab w:val="center" w:pos="4153"/>
        <w:tab w:val="right" w:pos="8306"/>
      </w:tabs>
    </w:pPr>
  </w:style>
  <w:style w:type="character" w:styleId="PageNumber">
    <w:name w:val="page number"/>
    <w:basedOn w:val="DefaultParagraphFont"/>
    <w:rsid w:val="002811A9"/>
  </w:style>
  <w:style w:type="paragraph" w:customStyle="1" w:styleId="Default">
    <w:name w:val="Default"/>
    <w:rsid w:val="00024F28"/>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uiPriority w:val="99"/>
    <w:rsid w:val="00863F57"/>
    <w:rPr>
      <w:sz w:val="16"/>
      <w:szCs w:val="16"/>
    </w:rPr>
  </w:style>
  <w:style w:type="paragraph" w:styleId="CommentText">
    <w:name w:val="annotation text"/>
    <w:basedOn w:val="Normal"/>
    <w:semiHidden/>
    <w:rsid w:val="00863F57"/>
    <w:rPr>
      <w:sz w:val="20"/>
    </w:rPr>
  </w:style>
  <w:style w:type="paragraph" w:styleId="CommentSubject">
    <w:name w:val="annotation subject"/>
    <w:basedOn w:val="CommentText"/>
    <w:next w:val="CommentText"/>
    <w:semiHidden/>
    <w:rsid w:val="00863F57"/>
    <w:rPr>
      <w:b/>
      <w:bCs/>
    </w:rPr>
  </w:style>
  <w:style w:type="table" w:styleId="TableGrid">
    <w:name w:val="Table Grid"/>
    <w:basedOn w:val="TableNormal"/>
    <w:uiPriority w:val="59"/>
    <w:rsid w:val="004D4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i9">
    <w:name w:val="Text:Ti9"/>
    <w:basedOn w:val="Normal"/>
    <w:rsid w:val="00F56156"/>
    <w:rPr>
      <w:rFonts w:ascii="Times New Roman" w:hAnsi="Times New Roman"/>
      <w:sz w:val="18"/>
      <w:lang w:val="en-US"/>
    </w:rPr>
  </w:style>
  <w:style w:type="paragraph" w:customStyle="1" w:styleId="footnote">
    <w:name w:val="footnote"/>
    <w:basedOn w:val="Normal"/>
    <w:rsid w:val="00F56156"/>
    <w:rPr>
      <w:rFonts w:ascii="Times New Roman" w:hAnsi="Times New Roman"/>
      <w:sz w:val="20"/>
      <w:lang w:val="en-US"/>
    </w:rPr>
  </w:style>
  <w:style w:type="paragraph" w:customStyle="1" w:styleId="footnote1">
    <w:name w:val="footnote 1"/>
    <w:basedOn w:val="footnote"/>
    <w:next w:val="footnote"/>
    <w:rsid w:val="00F56156"/>
    <w:pPr>
      <w:spacing w:before="60"/>
      <w:jc w:val="both"/>
    </w:pPr>
  </w:style>
  <w:style w:type="paragraph" w:customStyle="1" w:styleId="HdTab1">
    <w:name w:val="Hd:Tab:1"/>
    <w:basedOn w:val="Normal"/>
    <w:next w:val="Normal"/>
    <w:link w:val="HdTab1Char3"/>
    <w:qFormat/>
    <w:rsid w:val="00F56156"/>
    <w:pPr>
      <w:keepNext/>
      <w:spacing w:before="120" w:after="120"/>
      <w:ind w:left="1531" w:hanging="1531"/>
    </w:pPr>
    <w:rPr>
      <w:rFonts w:ascii="Times New Roman" w:hAnsi="Times New Roman"/>
      <w:b/>
      <w:lang w:val="x-none" w:eastAsia="x-none"/>
    </w:rPr>
  </w:style>
  <w:style w:type="paragraph" w:customStyle="1" w:styleId="Table">
    <w:name w:val="Table"/>
    <w:basedOn w:val="Normal"/>
    <w:rsid w:val="00F56156"/>
    <w:pPr>
      <w:tabs>
        <w:tab w:val="left" w:pos="360"/>
      </w:tabs>
      <w:spacing w:before="40" w:after="20" w:line="260" w:lineRule="atLeast"/>
      <w:jc w:val="center"/>
    </w:pPr>
    <w:rPr>
      <w:rFonts w:ascii="Times New Roman" w:hAnsi="Times New Roman"/>
      <w:sz w:val="20"/>
      <w:lang w:val="en-US"/>
    </w:rPr>
  </w:style>
  <w:style w:type="paragraph" w:customStyle="1" w:styleId="EntryTextTi9">
    <w:name w:val="EntryText:Ti9"/>
    <w:basedOn w:val="Normal"/>
    <w:rsid w:val="00F56156"/>
    <w:pPr>
      <w:tabs>
        <w:tab w:val="left" w:pos="284"/>
      </w:tabs>
      <w:spacing w:before="40" w:after="40"/>
    </w:pPr>
    <w:rPr>
      <w:rFonts w:ascii="Times New Roman" w:hAnsi="Times New Roman"/>
      <w:lang w:val="en-US"/>
    </w:rPr>
  </w:style>
  <w:style w:type="paragraph" w:customStyle="1" w:styleId="TextTi11CharChar">
    <w:name w:val="Text:Ti11 Char Char"/>
    <w:basedOn w:val="Normal"/>
    <w:rsid w:val="00F56156"/>
    <w:pPr>
      <w:spacing w:after="170" w:line="260" w:lineRule="atLeast"/>
      <w:jc w:val="both"/>
    </w:pPr>
    <w:rPr>
      <w:rFonts w:ascii="Times New Roman" w:hAnsi="Times New Roman"/>
      <w:lang w:val="en-US"/>
    </w:rPr>
  </w:style>
  <w:style w:type="character" w:customStyle="1" w:styleId="footnote1Char1">
    <w:name w:val="footnote 1 Char1"/>
    <w:rsid w:val="00F56156"/>
    <w:rPr>
      <w:lang w:val="en-US" w:eastAsia="en-US" w:bidi="ar-SA"/>
    </w:rPr>
  </w:style>
  <w:style w:type="paragraph" w:customStyle="1" w:styleId="HdFig1">
    <w:name w:val="Hd:Fig:1"/>
    <w:basedOn w:val="Normal"/>
    <w:next w:val="Normal"/>
    <w:rsid w:val="00416E07"/>
    <w:pPr>
      <w:keepNext/>
      <w:spacing w:before="120" w:after="120"/>
      <w:ind w:left="1531" w:hanging="1531"/>
    </w:pPr>
    <w:rPr>
      <w:rFonts w:ascii="Times New Roman" w:hAnsi="Times New Roman"/>
      <w:b/>
      <w:lang w:val="en-US"/>
    </w:rPr>
  </w:style>
  <w:style w:type="character" w:styleId="FollowedHyperlink">
    <w:name w:val="FollowedHyperlink"/>
    <w:rsid w:val="00732AD4"/>
    <w:rPr>
      <w:color w:val="800080"/>
      <w:u w:val="single"/>
    </w:rPr>
  </w:style>
  <w:style w:type="character" w:styleId="EndnoteReference">
    <w:name w:val="endnote reference"/>
    <w:rsid w:val="005A07D0"/>
    <w:rPr>
      <w:rFonts w:ascii="Times New Roman" w:hAnsi="Times New Roman" w:cs="Arial"/>
      <w:vertAlign w:val="superscript"/>
    </w:rPr>
  </w:style>
  <w:style w:type="paragraph" w:styleId="EndnoteText">
    <w:name w:val="endnote text"/>
    <w:link w:val="EndnoteTextChar"/>
    <w:rsid w:val="00A2072F"/>
    <w:pPr>
      <w:spacing w:after="240"/>
      <w:ind w:left="461" w:right="1440" w:hanging="461"/>
    </w:pPr>
    <w:rPr>
      <w:rFonts w:ascii="Times New Roman" w:hAnsi="Times New Roman"/>
      <w:sz w:val="24"/>
      <w:lang w:val="en-US" w:eastAsia="en-US"/>
    </w:rPr>
  </w:style>
  <w:style w:type="character" w:customStyle="1" w:styleId="EndnoteTextChar">
    <w:name w:val="Endnote Text Char"/>
    <w:link w:val="EndnoteText"/>
    <w:rsid w:val="00A2072F"/>
    <w:rPr>
      <w:rFonts w:ascii="Times New Roman" w:hAnsi="Times New Roman"/>
      <w:sz w:val="24"/>
      <w:lang w:val="en-US" w:eastAsia="en-US" w:bidi="ar-SA"/>
    </w:rPr>
  </w:style>
  <w:style w:type="character" w:customStyle="1" w:styleId="TableText9">
    <w:name w:val="TableText 9"/>
    <w:rsid w:val="00A2072F"/>
    <w:rPr>
      <w:rFonts w:ascii="Times New Roman" w:hAnsi="Times New Roman"/>
      <w:sz w:val="18"/>
    </w:rPr>
  </w:style>
  <w:style w:type="paragraph" w:customStyle="1" w:styleId="C-BodyText">
    <w:name w:val="C-Body Text"/>
    <w:link w:val="C-BodyTextChar1"/>
    <w:rsid w:val="00A2072F"/>
    <w:pPr>
      <w:spacing w:before="120" w:after="120" w:line="280" w:lineRule="atLeast"/>
    </w:pPr>
    <w:rPr>
      <w:rFonts w:ascii="Times New Roman" w:hAnsi="Times New Roman"/>
      <w:sz w:val="24"/>
      <w:lang w:val="en-US" w:eastAsia="en-US"/>
    </w:rPr>
  </w:style>
  <w:style w:type="character" w:customStyle="1" w:styleId="C-BodyTextChar1">
    <w:name w:val="C-Body Text Char1"/>
    <w:link w:val="C-BodyText"/>
    <w:rsid w:val="00A2072F"/>
    <w:rPr>
      <w:rFonts w:ascii="Times New Roman" w:hAnsi="Times New Roman"/>
      <w:sz w:val="24"/>
      <w:lang w:val="en-US" w:eastAsia="en-US" w:bidi="ar-SA"/>
    </w:rPr>
  </w:style>
  <w:style w:type="paragraph" w:styleId="PlainText">
    <w:name w:val="Plain Text"/>
    <w:basedOn w:val="Normal"/>
    <w:link w:val="PlainTextChar"/>
    <w:uiPriority w:val="99"/>
    <w:rsid w:val="00467D27"/>
    <w:rPr>
      <w:rFonts w:ascii="Courier New" w:hAnsi="Courier New"/>
      <w:sz w:val="20"/>
      <w:szCs w:val="24"/>
      <w:lang w:val="x-none" w:eastAsia="x-none"/>
    </w:rPr>
  </w:style>
  <w:style w:type="character" w:customStyle="1" w:styleId="PlainTextChar">
    <w:name w:val="Plain Text Char"/>
    <w:link w:val="PlainText"/>
    <w:uiPriority w:val="99"/>
    <w:rsid w:val="00467D27"/>
    <w:rPr>
      <w:rFonts w:ascii="Courier New" w:hAnsi="Courier New"/>
      <w:szCs w:val="24"/>
    </w:rPr>
  </w:style>
  <w:style w:type="paragraph" w:customStyle="1" w:styleId="TableHeader">
    <w:name w:val="TableHeader"/>
    <w:basedOn w:val="Normal"/>
    <w:rsid w:val="00733AF2"/>
    <w:pPr>
      <w:suppressAutoHyphens/>
      <w:spacing w:before="60" w:after="60"/>
    </w:pPr>
    <w:rPr>
      <w:rFonts w:ascii="Times New Roman" w:hAnsi="Times New Roman"/>
      <w:b/>
      <w:sz w:val="22"/>
      <w:szCs w:val="22"/>
      <w:lang w:val="en-GB"/>
    </w:rPr>
  </w:style>
  <w:style w:type="paragraph" w:customStyle="1" w:styleId="TextTi11">
    <w:name w:val="Text:Ti11"/>
    <w:basedOn w:val="Normal"/>
    <w:link w:val="TextTi11Char"/>
    <w:rsid w:val="00733AF2"/>
    <w:pPr>
      <w:spacing w:after="170" w:line="260" w:lineRule="atLeast"/>
      <w:jc w:val="both"/>
    </w:pPr>
    <w:rPr>
      <w:rFonts w:ascii="Times New Roman" w:hAnsi="Times New Roman"/>
      <w:lang w:val="x-none" w:eastAsia="x-none"/>
    </w:rPr>
  </w:style>
  <w:style w:type="character" w:customStyle="1" w:styleId="TextTi11Char">
    <w:name w:val="Text:Ti11 Char"/>
    <w:link w:val="TextTi11"/>
    <w:rsid w:val="00733AF2"/>
    <w:rPr>
      <w:rFonts w:ascii="Times New Roman" w:hAnsi="Times New Roman"/>
      <w:sz w:val="24"/>
    </w:rPr>
  </w:style>
  <w:style w:type="character" w:customStyle="1" w:styleId="HdTab1Char3">
    <w:name w:val="Hd:Tab:1 Char3"/>
    <w:link w:val="HdTab1"/>
    <w:rsid w:val="00841126"/>
    <w:rPr>
      <w:rFonts w:ascii="Times New Roman" w:hAnsi="Times New Roman"/>
      <w:b/>
      <w:sz w:val="24"/>
    </w:rPr>
  </w:style>
  <w:style w:type="paragraph" w:styleId="NormalWeb">
    <w:name w:val="Normal (Web)"/>
    <w:basedOn w:val="Normal"/>
    <w:uiPriority w:val="99"/>
    <w:unhideWhenUsed/>
    <w:rsid w:val="00633679"/>
    <w:pPr>
      <w:spacing w:before="100" w:beforeAutospacing="1" w:after="100" w:afterAutospacing="1"/>
    </w:pPr>
    <w:rPr>
      <w:rFonts w:ascii="Times New Roman" w:hAnsi="Times New Roman"/>
      <w:szCs w:val="24"/>
      <w:lang w:val="en-US"/>
    </w:rPr>
  </w:style>
  <w:style w:type="character" w:customStyle="1" w:styleId="C-BodyTextChar">
    <w:name w:val="C-Body Text Char"/>
    <w:rsid w:val="006A7040"/>
    <w:rPr>
      <w:sz w:val="24"/>
      <w:lang w:val="en-US" w:eastAsia="en-US" w:bidi="ar-SA"/>
    </w:rPr>
  </w:style>
  <w:style w:type="table" w:customStyle="1" w:styleId="TableGrid1">
    <w:name w:val="Table Grid1"/>
    <w:basedOn w:val="TableNormal"/>
    <w:next w:val="TableGrid"/>
    <w:uiPriority w:val="59"/>
    <w:rsid w:val="009350E0"/>
    <w:pPr>
      <w:jc w:val="both"/>
    </w:pPr>
    <w:rPr>
      <w:rFonts w:ascii="Times New Roman" w:eastAsia="Calibri"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1D36"/>
    <w:pPr>
      <w:jc w:val="both"/>
    </w:pPr>
    <w:rPr>
      <w:rFonts w:ascii="Times New Roman" w:eastAsia="Calibri"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55F2C"/>
    <w:rPr>
      <w:color w:val="0000FF"/>
      <w:u w:val="single"/>
    </w:rPr>
  </w:style>
  <w:style w:type="paragraph" w:styleId="Revision">
    <w:name w:val="Revision"/>
    <w:hidden/>
    <w:uiPriority w:val="99"/>
    <w:semiHidden/>
    <w:rsid w:val="00CE6FD3"/>
    <w:rPr>
      <w:sz w:val="24"/>
      <w:lang w:eastAsia="en-US"/>
    </w:rPr>
  </w:style>
  <w:style w:type="paragraph" w:styleId="ListBullet">
    <w:name w:val="List Bullet"/>
    <w:basedOn w:val="Normal"/>
    <w:uiPriority w:val="99"/>
    <w:qFormat/>
    <w:rsid w:val="0076680B"/>
    <w:pPr>
      <w:numPr>
        <w:numId w:val="23"/>
      </w:numPr>
      <w:spacing w:before="120" w:after="180" w:line="240" w:lineRule="atLeast"/>
    </w:pPr>
    <w:rPr>
      <w:rFonts w:ascii="Cambria" w:eastAsia="Cambria" w:hAnsi="Cambria"/>
      <w:sz w:val="22"/>
      <w:szCs w:val="22"/>
    </w:rPr>
  </w:style>
  <w:style w:type="paragraph" w:styleId="ListBullet2">
    <w:name w:val="List Bullet 2"/>
    <w:basedOn w:val="Normal"/>
    <w:uiPriority w:val="99"/>
    <w:qFormat/>
    <w:rsid w:val="0076680B"/>
    <w:pPr>
      <w:numPr>
        <w:ilvl w:val="1"/>
        <w:numId w:val="23"/>
      </w:numPr>
      <w:spacing w:before="120" w:after="180" w:line="240" w:lineRule="atLeast"/>
    </w:pPr>
    <w:rPr>
      <w:rFonts w:ascii="Cambria" w:eastAsia="Cambria" w:hAnsi="Cambria"/>
      <w:sz w:val="22"/>
      <w:szCs w:val="22"/>
    </w:rPr>
  </w:style>
  <w:style w:type="paragraph" w:styleId="ListBullet3">
    <w:name w:val="List Bullet 3"/>
    <w:basedOn w:val="Normal"/>
    <w:uiPriority w:val="99"/>
    <w:qFormat/>
    <w:rsid w:val="0076680B"/>
    <w:pPr>
      <w:numPr>
        <w:ilvl w:val="2"/>
        <w:numId w:val="23"/>
      </w:numPr>
      <w:spacing w:before="120" w:after="180" w:line="240" w:lineRule="atLeast"/>
    </w:pPr>
    <w:rPr>
      <w:rFonts w:ascii="Cambria" w:eastAsia="Cambria" w:hAnsi="Cambria"/>
      <w:sz w:val="22"/>
      <w:szCs w:val="22"/>
    </w:rPr>
  </w:style>
  <w:style w:type="numbering" w:customStyle="1" w:styleId="ListBullets">
    <w:name w:val="ListBullets"/>
    <w:uiPriority w:val="99"/>
    <w:locked/>
    <w:rsid w:val="0076680B"/>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7841">
      <w:bodyDiv w:val="1"/>
      <w:marLeft w:val="0"/>
      <w:marRight w:val="0"/>
      <w:marTop w:val="0"/>
      <w:marBottom w:val="0"/>
      <w:divBdr>
        <w:top w:val="none" w:sz="0" w:space="0" w:color="auto"/>
        <w:left w:val="none" w:sz="0" w:space="0" w:color="auto"/>
        <w:bottom w:val="none" w:sz="0" w:space="0" w:color="auto"/>
        <w:right w:val="none" w:sz="0" w:space="0" w:color="auto"/>
      </w:divBdr>
      <w:divsChild>
        <w:div w:id="5897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235858">
              <w:marLeft w:val="0"/>
              <w:marRight w:val="0"/>
              <w:marTop w:val="0"/>
              <w:marBottom w:val="0"/>
              <w:divBdr>
                <w:top w:val="none" w:sz="0" w:space="0" w:color="auto"/>
                <w:left w:val="none" w:sz="0" w:space="0" w:color="auto"/>
                <w:bottom w:val="none" w:sz="0" w:space="0" w:color="auto"/>
                <w:right w:val="none" w:sz="0" w:space="0" w:color="auto"/>
              </w:divBdr>
              <w:divsChild>
                <w:div w:id="111244216">
                  <w:marLeft w:val="0"/>
                  <w:marRight w:val="0"/>
                  <w:marTop w:val="0"/>
                  <w:marBottom w:val="0"/>
                  <w:divBdr>
                    <w:top w:val="none" w:sz="0" w:space="0" w:color="auto"/>
                    <w:left w:val="none" w:sz="0" w:space="0" w:color="auto"/>
                    <w:bottom w:val="none" w:sz="0" w:space="0" w:color="auto"/>
                    <w:right w:val="none" w:sz="0" w:space="0" w:color="auto"/>
                  </w:divBdr>
                  <w:divsChild>
                    <w:div w:id="1147356375">
                      <w:marLeft w:val="0"/>
                      <w:marRight w:val="0"/>
                      <w:marTop w:val="0"/>
                      <w:marBottom w:val="0"/>
                      <w:divBdr>
                        <w:top w:val="none" w:sz="0" w:space="0" w:color="auto"/>
                        <w:left w:val="none" w:sz="0" w:space="0" w:color="auto"/>
                        <w:bottom w:val="none" w:sz="0" w:space="0" w:color="auto"/>
                        <w:right w:val="none" w:sz="0" w:space="0" w:color="auto"/>
                      </w:divBdr>
                      <w:divsChild>
                        <w:div w:id="1920780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29599987">
                              <w:marLeft w:val="0"/>
                              <w:marRight w:val="0"/>
                              <w:marTop w:val="0"/>
                              <w:marBottom w:val="0"/>
                              <w:divBdr>
                                <w:top w:val="none" w:sz="0" w:space="0" w:color="auto"/>
                                <w:left w:val="none" w:sz="0" w:space="0" w:color="auto"/>
                                <w:bottom w:val="none" w:sz="0" w:space="0" w:color="auto"/>
                                <w:right w:val="none" w:sz="0" w:space="0" w:color="auto"/>
                              </w:divBdr>
                              <w:divsChild>
                                <w:div w:id="38391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71138">
                                      <w:marLeft w:val="0"/>
                                      <w:marRight w:val="0"/>
                                      <w:marTop w:val="0"/>
                                      <w:marBottom w:val="0"/>
                                      <w:divBdr>
                                        <w:top w:val="none" w:sz="0" w:space="0" w:color="auto"/>
                                        <w:left w:val="none" w:sz="0" w:space="0" w:color="auto"/>
                                        <w:bottom w:val="none" w:sz="0" w:space="0" w:color="auto"/>
                                        <w:right w:val="none" w:sz="0" w:space="0" w:color="auto"/>
                                      </w:divBdr>
                                      <w:divsChild>
                                        <w:div w:id="690645655">
                                          <w:marLeft w:val="0"/>
                                          <w:marRight w:val="0"/>
                                          <w:marTop w:val="0"/>
                                          <w:marBottom w:val="0"/>
                                          <w:divBdr>
                                            <w:top w:val="none" w:sz="0" w:space="0" w:color="auto"/>
                                            <w:left w:val="none" w:sz="0" w:space="0" w:color="auto"/>
                                            <w:bottom w:val="none" w:sz="0" w:space="0" w:color="auto"/>
                                            <w:right w:val="none" w:sz="0" w:space="0" w:color="auto"/>
                                          </w:divBdr>
                                          <w:divsChild>
                                            <w:div w:id="73163690">
                                              <w:marLeft w:val="0"/>
                                              <w:marRight w:val="0"/>
                                              <w:marTop w:val="0"/>
                                              <w:marBottom w:val="0"/>
                                              <w:divBdr>
                                                <w:top w:val="none" w:sz="0" w:space="0" w:color="auto"/>
                                                <w:left w:val="none" w:sz="0" w:space="0" w:color="auto"/>
                                                <w:bottom w:val="none" w:sz="0" w:space="0" w:color="auto"/>
                                                <w:right w:val="none" w:sz="0" w:space="0" w:color="auto"/>
                                              </w:divBdr>
                                              <w:divsChild>
                                                <w:div w:id="623778731">
                                                  <w:marLeft w:val="0"/>
                                                  <w:marRight w:val="0"/>
                                                  <w:marTop w:val="0"/>
                                                  <w:marBottom w:val="0"/>
                                                  <w:divBdr>
                                                    <w:top w:val="none" w:sz="0" w:space="0" w:color="auto"/>
                                                    <w:left w:val="none" w:sz="0" w:space="0" w:color="auto"/>
                                                    <w:bottom w:val="none" w:sz="0" w:space="0" w:color="auto"/>
                                                    <w:right w:val="none" w:sz="0" w:space="0" w:color="auto"/>
                                                  </w:divBdr>
                                                  <w:divsChild>
                                                    <w:div w:id="478615051">
                                                      <w:marLeft w:val="0"/>
                                                      <w:marRight w:val="0"/>
                                                      <w:marTop w:val="0"/>
                                                      <w:marBottom w:val="0"/>
                                                      <w:divBdr>
                                                        <w:top w:val="none" w:sz="0" w:space="0" w:color="auto"/>
                                                        <w:left w:val="none" w:sz="0" w:space="0" w:color="auto"/>
                                                        <w:bottom w:val="none" w:sz="0" w:space="0" w:color="auto"/>
                                                        <w:right w:val="none" w:sz="0" w:space="0" w:color="auto"/>
                                                      </w:divBdr>
                                                      <w:divsChild>
                                                        <w:div w:id="10005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057592">
      <w:bodyDiv w:val="1"/>
      <w:marLeft w:val="0"/>
      <w:marRight w:val="0"/>
      <w:marTop w:val="0"/>
      <w:marBottom w:val="0"/>
      <w:divBdr>
        <w:top w:val="none" w:sz="0" w:space="0" w:color="auto"/>
        <w:left w:val="none" w:sz="0" w:space="0" w:color="auto"/>
        <w:bottom w:val="none" w:sz="0" w:space="0" w:color="auto"/>
        <w:right w:val="none" w:sz="0" w:space="0" w:color="auto"/>
      </w:divBdr>
      <w:divsChild>
        <w:div w:id="568150956">
          <w:marLeft w:val="0"/>
          <w:marRight w:val="0"/>
          <w:marTop w:val="0"/>
          <w:marBottom w:val="0"/>
          <w:divBdr>
            <w:top w:val="none" w:sz="0" w:space="0" w:color="auto"/>
            <w:left w:val="none" w:sz="0" w:space="0" w:color="auto"/>
            <w:bottom w:val="none" w:sz="0" w:space="0" w:color="auto"/>
            <w:right w:val="none" w:sz="0" w:space="0" w:color="auto"/>
          </w:divBdr>
        </w:div>
        <w:div w:id="852257660">
          <w:marLeft w:val="0"/>
          <w:marRight w:val="0"/>
          <w:marTop w:val="0"/>
          <w:marBottom w:val="0"/>
          <w:divBdr>
            <w:top w:val="none" w:sz="0" w:space="0" w:color="auto"/>
            <w:left w:val="none" w:sz="0" w:space="0" w:color="auto"/>
            <w:bottom w:val="none" w:sz="0" w:space="0" w:color="auto"/>
            <w:right w:val="none" w:sz="0" w:space="0" w:color="auto"/>
          </w:divBdr>
        </w:div>
        <w:div w:id="1848325214">
          <w:marLeft w:val="0"/>
          <w:marRight w:val="0"/>
          <w:marTop w:val="0"/>
          <w:marBottom w:val="0"/>
          <w:divBdr>
            <w:top w:val="none" w:sz="0" w:space="0" w:color="auto"/>
            <w:left w:val="none" w:sz="0" w:space="0" w:color="auto"/>
            <w:bottom w:val="none" w:sz="0" w:space="0" w:color="auto"/>
            <w:right w:val="none" w:sz="0" w:space="0" w:color="auto"/>
          </w:divBdr>
        </w:div>
      </w:divsChild>
    </w:div>
    <w:div w:id="215699352">
      <w:bodyDiv w:val="1"/>
      <w:marLeft w:val="0"/>
      <w:marRight w:val="0"/>
      <w:marTop w:val="0"/>
      <w:marBottom w:val="0"/>
      <w:divBdr>
        <w:top w:val="none" w:sz="0" w:space="0" w:color="auto"/>
        <w:left w:val="none" w:sz="0" w:space="0" w:color="auto"/>
        <w:bottom w:val="none" w:sz="0" w:space="0" w:color="auto"/>
        <w:right w:val="none" w:sz="0" w:space="0" w:color="auto"/>
      </w:divBdr>
      <w:divsChild>
        <w:div w:id="1233395991">
          <w:marLeft w:val="0"/>
          <w:marRight w:val="0"/>
          <w:marTop w:val="0"/>
          <w:marBottom w:val="0"/>
          <w:divBdr>
            <w:top w:val="none" w:sz="0" w:space="0" w:color="auto"/>
            <w:left w:val="none" w:sz="0" w:space="0" w:color="auto"/>
            <w:bottom w:val="none" w:sz="0" w:space="0" w:color="auto"/>
            <w:right w:val="none" w:sz="0" w:space="0" w:color="auto"/>
          </w:divBdr>
          <w:divsChild>
            <w:div w:id="6076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55CF-FF01-48B4-BC3A-47B82853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4961</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COMPOSITION</vt:lpstr>
    </vt:vector>
  </TitlesOfParts>
  <Company>Acelion Pharmaceuticals Australia Pty Ltd</Company>
  <LinksUpToDate>false</LinksUpToDate>
  <CharactersWithSpaces>33265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macitentan</dc:title>
  <dc:subject>prescription medicine regulation</dc:subject>
  <dc:creator>Acelion Pharmaceuticals Australia Pty Ltd</dc:creator>
  <cp:keywords>product, information, prescription, medicine, regulation, macitentan, opsumit, acelion, pharmaceuticals</cp:keywords>
  <cp:lastModifiedBy>Dixon, Jenna</cp:lastModifiedBy>
  <cp:revision>5</cp:revision>
  <cp:lastPrinted>2014-02-09T23:25:00Z</cp:lastPrinted>
  <dcterms:created xsi:type="dcterms:W3CDTF">2014-04-24T04:56:00Z</dcterms:created>
  <dcterms:modified xsi:type="dcterms:W3CDTF">2014-07-23T04:55:00Z</dcterms:modified>
</cp:coreProperties>
</file>