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E41600" w:rsidP="00E41600">
            <w:pPr>
              <w:rPr>
                <w:rFonts w:ascii="Arial" w:hAnsi="Arial" w:cs="Arial"/>
                <w:b/>
                <w:color w:val="002C47"/>
                <w:sz w:val="36"/>
                <w:szCs w:val="36"/>
              </w:rPr>
            </w:pPr>
            <w:r>
              <w:rPr>
                <w:rFonts w:ascii="Arial" w:hAnsi="Arial" w:cs="Arial"/>
                <w:b/>
                <w:color w:val="002C47"/>
                <w:sz w:val="36"/>
                <w:szCs w:val="36"/>
              </w:rPr>
              <w:t>April 2014</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32583B">
        <w:trPr>
          <w:trHeight w:val="868"/>
        </w:trPr>
        <w:tc>
          <w:tcPr>
            <w:tcW w:w="9079" w:type="dxa"/>
          </w:tcPr>
          <w:p w:rsidR="0032583B" w:rsidRPr="00A964D1" w:rsidRDefault="0032583B" w:rsidP="00E41600">
            <w:pPr>
              <w:pStyle w:val="Title"/>
              <w:rPr>
                <w:color w:val="FFFFFF" w:themeColor="background1"/>
              </w:rPr>
            </w:pPr>
            <w:r w:rsidRPr="00A964D1">
              <w:rPr>
                <w:color w:val="FFFFFF" w:themeColor="background1"/>
              </w:rPr>
              <w:t xml:space="preserve">Australian Public Assessment Report for </w:t>
            </w:r>
            <w:r w:rsidR="00E41600">
              <w:rPr>
                <w:color w:val="FFFFFF" w:themeColor="background1"/>
              </w:rPr>
              <w:t>macitentan</w:t>
            </w:r>
          </w:p>
        </w:tc>
      </w:tr>
      <w:tr w:rsidR="0032583B" w:rsidRPr="00B64760" w:rsidTr="0032583B">
        <w:tc>
          <w:tcPr>
            <w:tcW w:w="9079" w:type="dxa"/>
          </w:tcPr>
          <w:p w:rsidR="0032583B" w:rsidRPr="008E7846" w:rsidRDefault="0032583B" w:rsidP="00E41600">
            <w:pPr>
              <w:pStyle w:val="Subtitle"/>
              <w:rPr>
                <w:color w:val="FFFFFF" w:themeColor="background1"/>
              </w:rPr>
            </w:pPr>
            <w:r w:rsidRPr="008E7846">
              <w:rPr>
                <w:color w:val="FFFFFF" w:themeColor="background1"/>
              </w:rPr>
              <w:t xml:space="preserve">Proprietary Product Name: </w:t>
            </w:r>
            <w:r w:rsidR="00E41600">
              <w:rPr>
                <w:color w:val="FFFFFF" w:themeColor="background1"/>
              </w:rPr>
              <w:t>Opsumit</w:t>
            </w:r>
          </w:p>
        </w:tc>
      </w:tr>
      <w:tr w:rsidR="0032583B" w:rsidRPr="00B64760" w:rsidTr="0032583B">
        <w:trPr>
          <w:trHeight w:val="486"/>
        </w:trPr>
        <w:tc>
          <w:tcPr>
            <w:tcW w:w="9079" w:type="dxa"/>
          </w:tcPr>
          <w:p w:rsidR="0032583B" w:rsidRPr="008E7846" w:rsidRDefault="00E41600" w:rsidP="00E41600">
            <w:pPr>
              <w:pStyle w:val="Subtitle"/>
              <w:rPr>
                <w:color w:val="FFFFFF" w:themeColor="background1"/>
              </w:rPr>
            </w:pPr>
            <w:r>
              <w:rPr>
                <w:color w:val="FFFFFF" w:themeColor="background1"/>
              </w:rPr>
              <w:t>Sponsor: Actelion Pharmaceuticals Australia Pty Ltd</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347BD2">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347BD2">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347BD2">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347BD2">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347BD2">
      <w:pPr>
        <w:pStyle w:val="ListBullet"/>
        <w:numPr>
          <w:ilvl w:val="0"/>
          <w:numId w:val="1"/>
        </w:numPr>
        <w:ind w:left="357" w:hanging="357"/>
      </w:pPr>
      <w:r>
        <w:t>To report a problem with a medicine or medical device, please see the information on the TGA website</w:t>
      </w:r>
      <w:r w:rsidR="00112F56">
        <w:t xml:space="preserve"> &lt;</w:t>
      </w:r>
      <w:hyperlink r:id="rId9" w:history="1">
        <w:r w:rsidR="00EC7A85" w:rsidRPr="003A5406">
          <w:rPr>
            <w:rStyle w:val="Hyperlink"/>
          </w:rPr>
          <w:t>http://www.tga.gov.au</w:t>
        </w:r>
      </w:hyperlink>
      <w:r w:rsidR="00112F56">
        <w:t>&gt;</w:t>
      </w:r>
      <w:r>
        <w:t>.</w:t>
      </w:r>
    </w:p>
    <w:p w:rsidR="008E7846" w:rsidRDefault="008E7846" w:rsidP="008E7846">
      <w:pPr>
        <w:pStyle w:val="NonTOCHeading2"/>
      </w:pPr>
      <w:r>
        <w:t>About AusPARs</w:t>
      </w:r>
    </w:p>
    <w:p w:rsidR="008E7846" w:rsidRDefault="008E7846" w:rsidP="00347BD2">
      <w:pPr>
        <w:pStyle w:val="ListBullet"/>
        <w:numPr>
          <w:ilvl w:val="0"/>
          <w:numId w:val="1"/>
        </w:numPr>
        <w:ind w:left="357" w:hanging="357"/>
      </w:pPr>
      <w:r>
        <w:t xml:space="preserve">An Australian Public Assessment Record (AusPAR) provides information about the evaluation of a prescription medicine and the considerations that led the TGA to approve or not approve a prescription medicine submission. </w:t>
      </w:r>
    </w:p>
    <w:p w:rsidR="008E7846" w:rsidRDefault="008E7846" w:rsidP="00347BD2">
      <w:pPr>
        <w:pStyle w:val="ListBullet"/>
        <w:numPr>
          <w:ilvl w:val="0"/>
          <w:numId w:val="1"/>
        </w:numPr>
        <w:ind w:left="357" w:hanging="357"/>
      </w:pPr>
      <w:r>
        <w:t>AusPARs are prepared and published by the TGA.</w:t>
      </w:r>
    </w:p>
    <w:p w:rsidR="008E7846" w:rsidRDefault="008E7846" w:rsidP="00347BD2">
      <w:pPr>
        <w:pStyle w:val="ListBullet"/>
        <w:numPr>
          <w:ilvl w:val="0"/>
          <w:numId w:val="1"/>
        </w:numPr>
        <w:ind w:left="357" w:hanging="357"/>
      </w:pPr>
      <w:r>
        <w:t>An AusPAR is prepared for submissions that relate to new chemical entities, generic medicines, major variations, and extensions of indications.</w:t>
      </w:r>
    </w:p>
    <w:p w:rsidR="008E7846" w:rsidRDefault="008E7846" w:rsidP="00347BD2">
      <w:pPr>
        <w:pStyle w:val="ListBullet"/>
        <w:numPr>
          <w:ilvl w:val="0"/>
          <w:numId w:val="1"/>
        </w:numPr>
        <w:ind w:left="357" w:hanging="357"/>
      </w:pPr>
      <w:r>
        <w:t>An AusPAR is a static document, in that it will provide information that relates to a submission at a particular point in time.</w:t>
      </w:r>
    </w:p>
    <w:p w:rsidR="00B452CE" w:rsidRDefault="008E7846" w:rsidP="00347BD2">
      <w:pPr>
        <w:pStyle w:val="ListBullet"/>
        <w:numPr>
          <w:ilvl w:val="0"/>
          <w:numId w:val="1"/>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D7195D">
        <w:rPr>
          <w:rFonts w:cs="Arial"/>
          <w:lang w:val="en-GB"/>
        </w:rPr>
        <w:t>4</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AC58FC"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391645260" w:history="1">
            <w:r w:rsidR="00AC58FC" w:rsidRPr="000A736C">
              <w:rPr>
                <w:rStyle w:val="Hyperlink"/>
                <w:noProof/>
              </w:rPr>
              <w:t>List of commonly used abbreviations</w:t>
            </w:r>
            <w:r w:rsidR="00AC58FC">
              <w:rPr>
                <w:noProof/>
                <w:webHidden/>
              </w:rPr>
              <w:tab/>
            </w:r>
            <w:r w:rsidR="00AC58FC">
              <w:rPr>
                <w:noProof/>
                <w:webHidden/>
              </w:rPr>
              <w:fldChar w:fldCharType="begin"/>
            </w:r>
            <w:r w:rsidR="00AC58FC">
              <w:rPr>
                <w:noProof/>
                <w:webHidden/>
              </w:rPr>
              <w:instrText xml:space="preserve"> PAGEREF _Toc391645260 \h </w:instrText>
            </w:r>
            <w:r w:rsidR="00AC58FC">
              <w:rPr>
                <w:noProof/>
                <w:webHidden/>
              </w:rPr>
            </w:r>
            <w:r w:rsidR="00AC58FC">
              <w:rPr>
                <w:noProof/>
                <w:webHidden/>
              </w:rPr>
              <w:fldChar w:fldCharType="separate"/>
            </w:r>
            <w:r w:rsidR="00AC58FC">
              <w:rPr>
                <w:noProof/>
                <w:webHidden/>
              </w:rPr>
              <w:t>5</w:t>
            </w:r>
            <w:r w:rsidR="00AC58FC">
              <w:rPr>
                <w:noProof/>
                <w:webHidden/>
              </w:rPr>
              <w:fldChar w:fldCharType="end"/>
            </w:r>
          </w:hyperlink>
        </w:p>
        <w:p w:rsidR="00AC58FC" w:rsidRDefault="00AC58FC">
          <w:pPr>
            <w:pStyle w:val="TOC2"/>
            <w:rPr>
              <w:rFonts w:asciiTheme="minorHAnsi" w:eastAsiaTheme="minorEastAsia" w:hAnsiTheme="minorHAnsi" w:cstheme="minorBidi"/>
              <w:b w:val="0"/>
              <w:noProof/>
              <w:sz w:val="22"/>
              <w:lang w:eastAsia="en-AU"/>
            </w:rPr>
          </w:pPr>
          <w:hyperlink w:anchor="_Toc391645261" w:history="1">
            <w:r w:rsidRPr="000A736C">
              <w:rPr>
                <w:rStyle w:val="Hyperlink"/>
                <w:noProof/>
              </w:rPr>
              <w:t>I. Introduction to product submission</w:t>
            </w:r>
            <w:r>
              <w:rPr>
                <w:noProof/>
                <w:webHidden/>
              </w:rPr>
              <w:tab/>
            </w:r>
            <w:r>
              <w:rPr>
                <w:noProof/>
                <w:webHidden/>
              </w:rPr>
              <w:fldChar w:fldCharType="begin"/>
            </w:r>
            <w:r>
              <w:rPr>
                <w:noProof/>
                <w:webHidden/>
              </w:rPr>
              <w:instrText xml:space="preserve"> PAGEREF _Toc391645261 \h </w:instrText>
            </w:r>
            <w:r>
              <w:rPr>
                <w:noProof/>
                <w:webHidden/>
              </w:rPr>
            </w:r>
            <w:r>
              <w:rPr>
                <w:noProof/>
                <w:webHidden/>
              </w:rPr>
              <w:fldChar w:fldCharType="separate"/>
            </w:r>
            <w:r>
              <w:rPr>
                <w:noProof/>
                <w:webHidden/>
              </w:rPr>
              <w:t>7</w:t>
            </w:r>
            <w:r>
              <w:rPr>
                <w:noProof/>
                <w:webHidden/>
              </w:rPr>
              <w:fldChar w:fldCharType="end"/>
            </w:r>
          </w:hyperlink>
        </w:p>
        <w:p w:rsidR="00AC58FC" w:rsidRDefault="00AC58FC">
          <w:pPr>
            <w:pStyle w:val="TOC3"/>
            <w:rPr>
              <w:rFonts w:asciiTheme="minorHAnsi" w:eastAsiaTheme="minorEastAsia" w:hAnsiTheme="minorHAnsi" w:cstheme="minorBidi"/>
              <w:noProof/>
              <w:lang w:eastAsia="en-AU"/>
            </w:rPr>
          </w:pPr>
          <w:hyperlink w:anchor="_Toc391645262" w:history="1">
            <w:r w:rsidRPr="000A736C">
              <w:rPr>
                <w:rStyle w:val="Hyperlink"/>
                <w:noProof/>
                <w:lang w:eastAsia="en-AU"/>
              </w:rPr>
              <w:t>Submission details</w:t>
            </w:r>
            <w:r>
              <w:rPr>
                <w:noProof/>
                <w:webHidden/>
              </w:rPr>
              <w:tab/>
            </w:r>
            <w:r>
              <w:rPr>
                <w:noProof/>
                <w:webHidden/>
              </w:rPr>
              <w:fldChar w:fldCharType="begin"/>
            </w:r>
            <w:r>
              <w:rPr>
                <w:noProof/>
                <w:webHidden/>
              </w:rPr>
              <w:instrText xml:space="preserve"> PAGEREF _Toc391645262 \h </w:instrText>
            </w:r>
            <w:r>
              <w:rPr>
                <w:noProof/>
                <w:webHidden/>
              </w:rPr>
            </w:r>
            <w:r>
              <w:rPr>
                <w:noProof/>
                <w:webHidden/>
              </w:rPr>
              <w:fldChar w:fldCharType="separate"/>
            </w:r>
            <w:r>
              <w:rPr>
                <w:noProof/>
                <w:webHidden/>
              </w:rPr>
              <w:t>7</w:t>
            </w:r>
            <w:r>
              <w:rPr>
                <w:noProof/>
                <w:webHidden/>
              </w:rPr>
              <w:fldChar w:fldCharType="end"/>
            </w:r>
          </w:hyperlink>
        </w:p>
        <w:p w:rsidR="00AC58FC" w:rsidRDefault="00AC58FC">
          <w:pPr>
            <w:pStyle w:val="TOC3"/>
            <w:rPr>
              <w:rFonts w:asciiTheme="minorHAnsi" w:eastAsiaTheme="minorEastAsia" w:hAnsiTheme="minorHAnsi" w:cstheme="minorBidi"/>
              <w:noProof/>
              <w:lang w:eastAsia="en-AU"/>
            </w:rPr>
          </w:pPr>
          <w:hyperlink w:anchor="_Toc391645263" w:history="1">
            <w:r w:rsidRPr="000A736C">
              <w:rPr>
                <w:rStyle w:val="Hyperlink"/>
                <w:noProof/>
              </w:rPr>
              <w:t>Product background</w:t>
            </w:r>
            <w:r>
              <w:rPr>
                <w:noProof/>
                <w:webHidden/>
              </w:rPr>
              <w:tab/>
            </w:r>
            <w:r>
              <w:rPr>
                <w:noProof/>
                <w:webHidden/>
              </w:rPr>
              <w:fldChar w:fldCharType="begin"/>
            </w:r>
            <w:r>
              <w:rPr>
                <w:noProof/>
                <w:webHidden/>
              </w:rPr>
              <w:instrText xml:space="preserve"> PAGEREF _Toc391645263 \h </w:instrText>
            </w:r>
            <w:r>
              <w:rPr>
                <w:noProof/>
                <w:webHidden/>
              </w:rPr>
            </w:r>
            <w:r>
              <w:rPr>
                <w:noProof/>
                <w:webHidden/>
              </w:rPr>
              <w:fldChar w:fldCharType="separate"/>
            </w:r>
            <w:r>
              <w:rPr>
                <w:noProof/>
                <w:webHidden/>
              </w:rPr>
              <w:t>8</w:t>
            </w:r>
            <w:r>
              <w:rPr>
                <w:noProof/>
                <w:webHidden/>
              </w:rPr>
              <w:fldChar w:fldCharType="end"/>
            </w:r>
          </w:hyperlink>
        </w:p>
        <w:p w:rsidR="00AC58FC" w:rsidRDefault="00AC58FC">
          <w:pPr>
            <w:pStyle w:val="TOC3"/>
            <w:rPr>
              <w:rFonts w:asciiTheme="minorHAnsi" w:eastAsiaTheme="minorEastAsia" w:hAnsiTheme="minorHAnsi" w:cstheme="minorBidi"/>
              <w:noProof/>
              <w:lang w:eastAsia="en-AU"/>
            </w:rPr>
          </w:pPr>
          <w:hyperlink w:anchor="_Toc391645264" w:history="1">
            <w:r w:rsidRPr="000A736C">
              <w:rPr>
                <w:rStyle w:val="Hyperlink"/>
                <w:noProof/>
              </w:rPr>
              <w:t>Regulatory status</w:t>
            </w:r>
            <w:r>
              <w:rPr>
                <w:noProof/>
                <w:webHidden/>
              </w:rPr>
              <w:tab/>
            </w:r>
            <w:r>
              <w:rPr>
                <w:noProof/>
                <w:webHidden/>
              </w:rPr>
              <w:fldChar w:fldCharType="begin"/>
            </w:r>
            <w:r>
              <w:rPr>
                <w:noProof/>
                <w:webHidden/>
              </w:rPr>
              <w:instrText xml:space="preserve"> PAGEREF _Toc391645264 \h </w:instrText>
            </w:r>
            <w:r>
              <w:rPr>
                <w:noProof/>
                <w:webHidden/>
              </w:rPr>
            </w:r>
            <w:r>
              <w:rPr>
                <w:noProof/>
                <w:webHidden/>
              </w:rPr>
              <w:fldChar w:fldCharType="separate"/>
            </w:r>
            <w:r>
              <w:rPr>
                <w:noProof/>
                <w:webHidden/>
              </w:rPr>
              <w:t>8</w:t>
            </w:r>
            <w:r>
              <w:rPr>
                <w:noProof/>
                <w:webHidden/>
              </w:rPr>
              <w:fldChar w:fldCharType="end"/>
            </w:r>
          </w:hyperlink>
        </w:p>
        <w:p w:rsidR="00AC58FC" w:rsidRDefault="00AC58FC">
          <w:pPr>
            <w:pStyle w:val="TOC3"/>
            <w:rPr>
              <w:rFonts w:asciiTheme="minorHAnsi" w:eastAsiaTheme="minorEastAsia" w:hAnsiTheme="minorHAnsi" w:cstheme="minorBidi"/>
              <w:noProof/>
              <w:lang w:eastAsia="en-AU"/>
            </w:rPr>
          </w:pPr>
          <w:hyperlink w:anchor="_Toc391645265" w:history="1">
            <w:r w:rsidRPr="000A736C">
              <w:rPr>
                <w:rStyle w:val="Hyperlink"/>
                <w:noProof/>
              </w:rPr>
              <w:t>Product Information</w:t>
            </w:r>
            <w:r>
              <w:rPr>
                <w:noProof/>
                <w:webHidden/>
              </w:rPr>
              <w:tab/>
            </w:r>
            <w:r>
              <w:rPr>
                <w:noProof/>
                <w:webHidden/>
              </w:rPr>
              <w:fldChar w:fldCharType="begin"/>
            </w:r>
            <w:r>
              <w:rPr>
                <w:noProof/>
                <w:webHidden/>
              </w:rPr>
              <w:instrText xml:space="preserve"> PAGEREF _Toc391645265 \h </w:instrText>
            </w:r>
            <w:r>
              <w:rPr>
                <w:noProof/>
                <w:webHidden/>
              </w:rPr>
            </w:r>
            <w:r>
              <w:rPr>
                <w:noProof/>
                <w:webHidden/>
              </w:rPr>
              <w:fldChar w:fldCharType="separate"/>
            </w:r>
            <w:r>
              <w:rPr>
                <w:noProof/>
                <w:webHidden/>
              </w:rPr>
              <w:t>9</w:t>
            </w:r>
            <w:r>
              <w:rPr>
                <w:noProof/>
                <w:webHidden/>
              </w:rPr>
              <w:fldChar w:fldCharType="end"/>
            </w:r>
          </w:hyperlink>
        </w:p>
        <w:p w:rsidR="00AC58FC" w:rsidRDefault="00AC58FC">
          <w:pPr>
            <w:pStyle w:val="TOC2"/>
            <w:rPr>
              <w:rFonts w:asciiTheme="minorHAnsi" w:eastAsiaTheme="minorEastAsia" w:hAnsiTheme="minorHAnsi" w:cstheme="minorBidi"/>
              <w:b w:val="0"/>
              <w:noProof/>
              <w:sz w:val="22"/>
              <w:lang w:eastAsia="en-AU"/>
            </w:rPr>
          </w:pPr>
          <w:hyperlink w:anchor="_Toc391645266" w:history="1">
            <w:r w:rsidRPr="000A736C">
              <w:rPr>
                <w:rStyle w:val="Hyperlink"/>
                <w:noProof/>
              </w:rPr>
              <w:t>II. Quality findings</w:t>
            </w:r>
            <w:r>
              <w:rPr>
                <w:noProof/>
                <w:webHidden/>
              </w:rPr>
              <w:tab/>
            </w:r>
            <w:r>
              <w:rPr>
                <w:noProof/>
                <w:webHidden/>
              </w:rPr>
              <w:fldChar w:fldCharType="begin"/>
            </w:r>
            <w:r>
              <w:rPr>
                <w:noProof/>
                <w:webHidden/>
              </w:rPr>
              <w:instrText xml:space="preserve"> PAGEREF _Toc391645266 \h </w:instrText>
            </w:r>
            <w:r>
              <w:rPr>
                <w:noProof/>
                <w:webHidden/>
              </w:rPr>
            </w:r>
            <w:r>
              <w:rPr>
                <w:noProof/>
                <w:webHidden/>
              </w:rPr>
              <w:fldChar w:fldCharType="separate"/>
            </w:r>
            <w:r>
              <w:rPr>
                <w:noProof/>
                <w:webHidden/>
              </w:rPr>
              <w:t>9</w:t>
            </w:r>
            <w:r>
              <w:rPr>
                <w:noProof/>
                <w:webHidden/>
              </w:rPr>
              <w:fldChar w:fldCharType="end"/>
            </w:r>
          </w:hyperlink>
        </w:p>
        <w:p w:rsidR="00AC58FC" w:rsidRDefault="00AC58FC">
          <w:pPr>
            <w:pStyle w:val="TOC3"/>
            <w:rPr>
              <w:rFonts w:asciiTheme="minorHAnsi" w:eastAsiaTheme="minorEastAsia" w:hAnsiTheme="minorHAnsi" w:cstheme="minorBidi"/>
              <w:noProof/>
              <w:lang w:eastAsia="en-AU"/>
            </w:rPr>
          </w:pPr>
          <w:hyperlink w:anchor="_Toc391645267" w:history="1">
            <w:r w:rsidRPr="000A736C">
              <w:rPr>
                <w:rStyle w:val="Hyperlink"/>
                <w:noProof/>
              </w:rPr>
              <w:t>Drug substance (active ingredient)</w:t>
            </w:r>
            <w:r>
              <w:rPr>
                <w:noProof/>
                <w:webHidden/>
              </w:rPr>
              <w:tab/>
            </w:r>
            <w:r>
              <w:rPr>
                <w:noProof/>
                <w:webHidden/>
              </w:rPr>
              <w:fldChar w:fldCharType="begin"/>
            </w:r>
            <w:r>
              <w:rPr>
                <w:noProof/>
                <w:webHidden/>
              </w:rPr>
              <w:instrText xml:space="preserve"> PAGEREF _Toc391645267 \h </w:instrText>
            </w:r>
            <w:r>
              <w:rPr>
                <w:noProof/>
                <w:webHidden/>
              </w:rPr>
            </w:r>
            <w:r>
              <w:rPr>
                <w:noProof/>
                <w:webHidden/>
              </w:rPr>
              <w:fldChar w:fldCharType="separate"/>
            </w:r>
            <w:r>
              <w:rPr>
                <w:noProof/>
                <w:webHidden/>
              </w:rPr>
              <w:t>9</w:t>
            </w:r>
            <w:r>
              <w:rPr>
                <w:noProof/>
                <w:webHidden/>
              </w:rPr>
              <w:fldChar w:fldCharType="end"/>
            </w:r>
          </w:hyperlink>
        </w:p>
        <w:p w:rsidR="00AC58FC" w:rsidRDefault="00AC58FC">
          <w:pPr>
            <w:pStyle w:val="TOC3"/>
            <w:rPr>
              <w:rFonts w:asciiTheme="minorHAnsi" w:eastAsiaTheme="minorEastAsia" w:hAnsiTheme="minorHAnsi" w:cstheme="minorBidi"/>
              <w:noProof/>
              <w:lang w:eastAsia="en-AU"/>
            </w:rPr>
          </w:pPr>
          <w:hyperlink w:anchor="_Toc391645268" w:history="1">
            <w:r w:rsidRPr="000A736C">
              <w:rPr>
                <w:rStyle w:val="Hyperlink"/>
                <w:noProof/>
              </w:rPr>
              <w:t>Biopharmaceutics</w:t>
            </w:r>
            <w:r>
              <w:rPr>
                <w:noProof/>
                <w:webHidden/>
              </w:rPr>
              <w:tab/>
            </w:r>
            <w:r>
              <w:rPr>
                <w:noProof/>
                <w:webHidden/>
              </w:rPr>
              <w:fldChar w:fldCharType="begin"/>
            </w:r>
            <w:r>
              <w:rPr>
                <w:noProof/>
                <w:webHidden/>
              </w:rPr>
              <w:instrText xml:space="preserve"> PAGEREF _Toc391645268 \h </w:instrText>
            </w:r>
            <w:r>
              <w:rPr>
                <w:noProof/>
                <w:webHidden/>
              </w:rPr>
            </w:r>
            <w:r>
              <w:rPr>
                <w:noProof/>
                <w:webHidden/>
              </w:rPr>
              <w:fldChar w:fldCharType="separate"/>
            </w:r>
            <w:r>
              <w:rPr>
                <w:noProof/>
                <w:webHidden/>
              </w:rPr>
              <w:t>11</w:t>
            </w:r>
            <w:r>
              <w:rPr>
                <w:noProof/>
                <w:webHidden/>
              </w:rPr>
              <w:fldChar w:fldCharType="end"/>
            </w:r>
          </w:hyperlink>
        </w:p>
        <w:p w:rsidR="00AC58FC" w:rsidRDefault="00AC58FC">
          <w:pPr>
            <w:pStyle w:val="TOC3"/>
            <w:rPr>
              <w:rFonts w:asciiTheme="minorHAnsi" w:eastAsiaTheme="minorEastAsia" w:hAnsiTheme="minorHAnsi" w:cstheme="minorBidi"/>
              <w:noProof/>
              <w:lang w:eastAsia="en-AU"/>
            </w:rPr>
          </w:pPr>
          <w:hyperlink w:anchor="_Toc391645269" w:history="1">
            <w:r w:rsidRPr="000A736C">
              <w:rPr>
                <w:rStyle w:val="Hyperlink"/>
                <w:noProof/>
              </w:rPr>
              <w:t>Quality summary and conclusions</w:t>
            </w:r>
            <w:r>
              <w:rPr>
                <w:noProof/>
                <w:webHidden/>
              </w:rPr>
              <w:tab/>
            </w:r>
            <w:r>
              <w:rPr>
                <w:noProof/>
                <w:webHidden/>
              </w:rPr>
              <w:fldChar w:fldCharType="begin"/>
            </w:r>
            <w:r>
              <w:rPr>
                <w:noProof/>
                <w:webHidden/>
              </w:rPr>
              <w:instrText xml:space="preserve"> PAGEREF _Toc391645269 \h </w:instrText>
            </w:r>
            <w:r>
              <w:rPr>
                <w:noProof/>
                <w:webHidden/>
              </w:rPr>
            </w:r>
            <w:r>
              <w:rPr>
                <w:noProof/>
                <w:webHidden/>
              </w:rPr>
              <w:fldChar w:fldCharType="separate"/>
            </w:r>
            <w:r>
              <w:rPr>
                <w:noProof/>
                <w:webHidden/>
              </w:rPr>
              <w:t>11</w:t>
            </w:r>
            <w:r>
              <w:rPr>
                <w:noProof/>
                <w:webHidden/>
              </w:rPr>
              <w:fldChar w:fldCharType="end"/>
            </w:r>
          </w:hyperlink>
        </w:p>
        <w:p w:rsidR="00AC58FC" w:rsidRDefault="00AC58FC">
          <w:pPr>
            <w:pStyle w:val="TOC2"/>
            <w:rPr>
              <w:rFonts w:asciiTheme="minorHAnsi" w:eastAsiaTheme="minorEastAsia" w:hAnsiTheme="minorHAnsi" w:cstheme="minorBidi"/>
              <w:b w:val="0"/>
              <w:noProof/>
              <w:sz w:val="22"/>
              <w:lang w:eastAsia="en-AU"/>
            </w:rPr>
          </w:pPr>
          <w:hyperlink w:anchor="_Toc391645270" w:history="1">
            <w:r w:rsidRPr="000A736C">
              <w:rPr>
                <w:rStyle w:val="Hyperlink"/>
                <w:noProof/>
              </w:rPr>
              <w:t>III. Nonclinical findings</w:t>
            </w:r>
            <w:r>
              <w:rPr>
                <w:noProof/>
                <w:webHidden/>
              </w:rPr>
              <w:tab/>
            </w:r>
            <w:r>
              <w:rPr>
                <w:noProof/>
                <w:webHidden/>
              </w:rPr>
              <w:fldChar w:fldCharType="begin"/>
            </w:r>
            <w:r>
              <w:rPr>
                <w:noProof/>
                <w:webHidden/>
              </w:rPr>
              <w:instrText xml:space="preserve"> PAGEREF _Toc391645270 \h </w:instrText>
            </w:r>
            <w:r>
              <w:rPr>
                <w:noProof/>
                <w:webHidden/>
              </w:rPr>
            </w:r>
            <w:r>
              <w:rPr>
                <w:noProof/>
                <w:webHidden/>
              </w:rPr>
              <w:fldChar w:fldCharType="separate"/>
            </w:r>
            <w:r>
              <w:rPr>
                <w:noProof/>
                <w:webHidden/>
              </w:rPr>
              <w:t>12</w:t>
            </w:r>
            <w:r>
              <w:rPr>
                <w:noProof/>
                <w:webHidden/>
              </w:rPr>
              <w:fldChar w:fldCharType="end"/>
            </w:r>
          </w:hyperlink>
        </w:p>
        <w:p w:rsidR="00AC58FC" w:rsidRDefault="00AC58FC">
          <w:pPr>
            <w:pStyle w:val="TOC3"/>
            <w:rPr>
              <w:rFonts w:asciiTheme="minorHAnsi" w:eastAsiaTheme="minorEastAsia" w:hAnsiTheme="minorHAnsi" w:cstheme="minorBidi"/>
              <w:noProof/>
              <w:lang w:eastAsia="en-AU"/>
            </w:rPr>
          </w:pPr>
          <w:hyperlink w:anchor="_Toc391645271" w:history="1">
            <w:r w:rsidRPr="000A736C">
              <w:rPr>
                <w:rStyle w:val="Hyperlink"/>
                <w:noProof/>
              </w:rPr>
              <w:t>Introduction</w:t>
            </w:r>
            <w:r>
              <w:rPr>
                <w:noProof/>
                <w:webHidden/>
              </w:rPr>
              <w:tab/>
            </w:r>
            <w:r>
              <w:rPr>
                <w:noProof/>
                <w:webHidden/>
              </w:rPr>
              <w:fldChar w:fldCharType="begin"/>
            </w:r>
            <w:r>
              <w:rPr>
                <w:noProof/>
                <w:webHidden/>
              </w:rPr>
              <w:instrText xml:space="preserve"> PAGEREF _Toc391645271 \h </w:instrText>
            </w:r>
            <w:r>
              <w:rPr>
                <w:noProof/>
                <w:webHidden/>
              </w:rPr>
            </w:r>
            <w:r>
              <w:rPr>
                <w:noProof/>
                <w:webHidden/>
              </w:rPr>
              <w:fldChar w:fldCharType="separate"/>
            </w:r>
            <w:r>
              <w:rPr>
                <w:noProof/>
                <w:webHidden/>
              </w:rPr>
              <w:t>12</w:t>
            </w:r>
            <w:r>
              <w:rPr>
                <w:noProof/>
                <w:webHidden/>
              </w:rPr>
              <w:fldChar w:fldCharType="end"/>
            </w:r>
          </w:hyperlink>
        </w:p>
        <w:p w:rsidR="00AC58FC" w:rsidRDefault="00AC58FC">
          <w:pPr>
            <w:pStyle w:val="TOC3"/>
            <w:rPr>
              <w:rFonts w:asciiTheme="minorHAnsi" w:eastAsiaTheme="minorEastAsia" w:hAnsiTheme="minorHAnsi" w:cstheme="minorBidi"/>
              <w:noProof/>
              <w:lang w:eastAsia="en-AU"/>
            </w:rPr>
          </w:pPr>
          <w:hyperlink w:anchor="_Toc391645272" w:history="1">
            <w:r w:rsidRPr="000A736C">
              <w:rPr>
                <w:rStyle w:val="Hyperlink"/>
                <w:noProof/>
              </w:rPr>
              <w:t>Pharmacology</w:t>
            </w:r>
            <w:r>
              <w:rPr>
                <w:noProof/>
                <w:webHidden/>
              </w:rPr>
              <w:tab/>
            </w:r>
            <w:r>
              <w:rPr>
                <w:noProof/>
                <w:webHidden/>
              </w:rPr>
              <w:fldChar w:fldCharType="begin"/>
            </w:r>
            <w:r>
              <w:rPr>
                <w:noProof/>
                <w:webHidden/>
              </w:rPr>
              <w:instrText xml:space="preserve"> PAGEREF _Toc391645272 \h </w:instrText>
            </w:r>
            <w:r>
              <w:rPr>
                <w:noProof/>
                <w:webHidden/>
              </w:rPr>
            </w:r>
            <w:r>
              <w:rPr>
                <w:noProof/>
                <w:webHidden/>
              </w:rPr>
              <w:fldChar w:fldCharType="separate"/>
            </w:r>
            <w:r>
              <w:rPr>
                <w:noProof/>
                <w:webHidden/>
              </w:rPr>
              <w:t>12</w:t>
            </w:r>
            <w:r>
              <w:rPr>
                <w:noProof/>
                <w:webHidden/>
              </w:rPr>
              <w:fldChar w:fldCharType="end"/>
            </w:r>
          </w:hyperlink>
        </w:p>
        <w:p w:rsidR="00AC58FC" w:rsidRDefault="00AC58FC">
          <w:pPr>
            <w:pStyle w:val="TOC3"/>
            <w:rPr>
              <w:rFonts w:asciiTheme="minorHAnsi" w:eastAsiaTheme="minorEastAsia" w:hAnsiTheme="minorHAnsi" w:cstheme="minorBidi"/>
              <w:noProof/>
              <w:lang w:eastAsia="en-AU"/>
            </w:rPr>
          </w:pPr>
          <w:hyperlink w:anchor="_Toc391645273" w:history="1">
            <w:r w:rsidRPr="000A736C">
              <w:rPr>
                <w:rStyle w:val="Hyperlink"/>
                <w:noProof/>
              </w:rPr>
              <w:t>Pharmacokinetics</w:t>
            </w:r>
            <w:r>
              <w:rPr>
                <w:noProof/>
                <w:webHidden/>
              </w:rPr>
              <w:tab/>
            </w:r>
            <w:r>
              <w:rPr>
                <w:noProof/>
                <w:webHidden/>
              </w:rPr>
              <w:fldChar w:fldCharType="begin"/>
            </w:r>
            <w:r>
              <w:rPr>
                <w:noProof/>
                <w:webHidden/>
              </w:rPr>
              <w:instrText xml:space="preserve"> PAGEREF _Toc391645273 \h </w:instrText>
            </w:r>
            <w:r>
              <w:rPr>
                <w:noProof/>
                <w:webHidden/>
              </w:rPr>
            </w:r>
            <w:r>
              <w:rPr>
                <w:noProof/>
                <w:webHidden/>
              </w:rPr>
              <w:fldChar w:fldCharType="separate"/>
            </w:r>
            <w:r>
              <w:rPr>
                <w:noProof/>
                <w:webHidden/>
              </w:rPr>
              <w:t>14</w:t>
            </w:r>
            <w:r>
              <w:rPr>
                <w:noProof/>
                <w:webHidden/>
              </w:rPr>
              <w:fldChar w:fldCharType="end"/>
            </w:r>
          </w:hyperlink>
        </w:p>
        <w:p w:rsidR="00AC58FC" w:rsidRDefault="00AC58FC">
          <w:pPr>
            <w:pStyle w:val="TOC3"/>
            <w:rPr>
              <w:rFonts w:asciiTheme="minorHAnsi" w:eastAsiaTheme="minorEastAsia" w:hAnsiTheme="minorHAnsi" w:cstheme="minorBidi"/>
              <w:noProof/>
              <w:lang w:eastAsia="en-AU"/>
            </w:rPr>
          </w:pPr>
          <w:hyperlink w:anchor="_Toc391645274" w:history="1">
            <w:r w:rsidRPr="000A736C">
              <w:rPr>
                <w:rStyle w:val="Hyperlink"/>
                <w:noProof/>
              </w:rPr>
              <w:t>Toxicology</w:t>
            </w:r>
            <w:r>
              <w:rPr>
                <w:noProof/>
                <w:webHidden/>
              </w:rPr>
              <w:tab/>
            </w:r>
            <w:r>
              <w:rPr>
                <w:noProof/>
                <w:webHidden/>
              </w:rPr>
              <w:fldChar w:fldCharType="begin"/>
            </w:r>
            <w:r>
              <w:rPr>
                <w:noProof/>
                <w:webHidden/>
              </w:rPr>
              <w:instrText xml:space="preserve"> PAGEREF _Toc391645274 \h </w:instrText>
            </w:r>
            <w:r>
              <w:rPr>
                <w:noProof/>
                <w:webHidden/>
              </w:rPr>
            </w:r>
            <w:r>
              <w:rPr>
                <w:noProof/>
                <w:webHidden/>
              </w:rPr>
              <w:fldChar w:fldCharType="separate"/>
            </w:r>
            <w:r>
              <w:rPr>
                <w:noProof/>
                <w:webHidden/>
              </w:rPr>
              <w:t>15</w:t>
            </w:r>
            <w:r>
              <w:rPr>
                <w:noProof/>
                <w:webHidden/>
              </w:rPr>
              <w:fldChar w:fldCharType="end"/>
            </w:r>
          </w:hyperlink>
        </w:p>
        <w:p w:rsidR="00AC58FC" w:rsidRDefault="00AC58FC">
          <w:pPr>
            <w:pStyle w:val="TOC3"/>
            <w:rPr>
              <w:rFonts w:asciiTheme="minorHAnsi" w:eastAsiaTheme="minorEastAsia" w:hAnsiTheme="minorHAnsi" w:cstheme="minorBidi"/>
              <w:noProof/>
              <w:lang w:eastAsia="en-AU"/>
            </w:rPr>
          </w:pPr>
          <w:hyperlink w:anchor="_Toc391645275" w:history="1">
            <w:r w:rsidRPr="000A736C">
              <w:rPr>
                <w:rStyle w:val="Hyperlink"/>
                <w:noProof/>
              </w:rPr>
              <w:t>Nonclinical summary and conclusions</w:t>
            </w:r>
            <w:r>
              <w:rPr>
                <w:noProof/>
                <w:webHidden/>
              </w:rPr>
              <w:tab/>
            </w:r>
            <w:r>
              <w:rPr>
                <w:noProof/>
                <w:webHidden/>
              </w:rPr>
              <w:fldChar w:fldCharType="begin"/>
            </w:r>
            <w:r>
              <w:rPr>
                <w:noProof/>
                <w:webHidden/>
              </w:rPr>
              <w:instrText xml:space="preserve"> PAGEREF _Toc391645275 \h </w:instrText>
            </w:r>
            <w:r>
              <w:rPr>
                <w:noProof/>
                <w:webHidden/>
              </w:rPr>
            </w:r>
            <w:r>
              <w:rPr>
                <w:noProof/>
                <w:webHidden/>
              </w:rPr>
              <w:fldChar w:fldCharType="separate"/>
            </w:r>
            <w:r>
              <w:rPr>
                <w:noProof/>
                <w:webHidden/>
              </w:rPr>
              <w:t>23</w:t>
            </w:r>
            <w:r>
              <w:rPr>
                <w:noProof/>
                <w:webHidden/>
              </w:rPr>
              <w:fldChar w:fldCharType="end"/>
            </w:r>
          </w:hyperlink>
        </w:p>
        <w:p w:rsidR="00AC58FC" w:rsidRDefault="00AC58FC">
          <w:pPr>
            <w:pStyle w:val="TOC2"/>
            <w:rPr>
              <w:rFonts w:asciiTheme="minorHAnsi" w:eastAsiaTheme="minorEastAsia" w:hAnsiTheme="minorHAnsi" w:cstheme="minorBidi"/>
              <w:b w:val="0"/>
              <w:noProof/>
              <w:sz w:val="22"/>
              <w:lang w:eastAsia="en-AU"/>
            </w:rPr>
          </w:pPr>
          <w:hyperlink w:anchor="_Toc391645276" w:history="1">
            <w:r w:rsidRPr="000A736C">
              <w:rPr>
                <w:rStyle w:val="Hyperlink"/>
                <w:noProof/>
              </w:rPr>
              <w:t>IV. Clinical findings</w:t>
            </w:r>
            <w:r>
              <w:rPr>
                <w:noProof/>
                <w:webHidden/>
              </w:rPr>
              <w:tab/>
            </w:r>
            <w:r>
              <w:rPr>
                <w:noProof/>
                <w:webHidden/>
              </w:rPr>
              <w:fldChar w:fldCharType="begin"/>
            </w:r>
            <w:r>
              <w:rPr>
                <w:noProof/>
                <w:webHidden/>
              </w:rPr>
              <w:instrText xml:space="preserve"> PAGEREF _Toc391645276 \h </w:instrText>
            </w:r>
            <w:r>
              <w:rPr>
                <w:noProof/>
                <w:webHidden/>
              </w:rPr>
            </w:r>
            <w:r>
              <w:rPr>
                <w:noProof/>
                <w:webHidden/>
              </w:rPr>
              <w:fldChar w:fldCharType="separate"/>
            </w:r>
            <w:r>
              <w:rPr>
                <w:noProof/>
                <w:webHidden/>
              </w:rPr>
              <w:t>24</w:t>
            </w:r>
            <w:r>
              <w:rPr>
                <w:noProof/>
                <w:webHidden/>
              </w:rPr>
              <w:fldChar w:fldCharType="end"/>
            </w:r>
          </w:hyperlink>
        </w:p>
        <w:p w:rsidR="00AC58FC" w:rsidRDefault="00AC58FC">
          <w:pPr>
            <w:pStyle w:val="TOC3"/>
            <w:rPr>
              <w:rFonts w:asciiTheme="minorHAnsi" w:eastAsiaTheme="minorEastAsia" w:hAnsiTheme="minorHAnsi" w:cstheme="minorBidi"/>
              <w:noProof/>
              <w:lang w:eastAsia="en-AU"/>
            </w:rPr>
          </w:pPr>
          <w:hyperlink w:anchor="_Toc391645277" w:history="1">
            <w:r w:rsidRPr="000A736C">
              <w:rPr>
                <w:rStyle w:val="Hyperlink"/>
                <w:noProof/>
              </w:rPr>
              <w:t>Clinical rationale</w:t>
            </w:r>
            <w:r>
              <w:rPr>
                <w:noProof/>
                <w:webHidden/>
              </w:rPr>
              <w:tab/>
            </w:r>
            <w:r>
              <w:rPr>
                <w:noProof/>
                <w:webHidden/>
              </w:rPr>
              <w:fldChar w:fldCharType="begin"/>
            </w:r>
            <w:r>
              <w:rPr>
                <w:noProof/>
                <w:webHidden/>
              </w:rPr>
              <w:instrText xml:space="preserve"> PAGEREF _Toc391645277 \h </w:instrText>
            </w:r>
            <w:r>
              <w:rPr>
                <w:noProof/>
                <w:webHidden/>
              </w:rPr>
            </w:r>
            <w:r>
              <w:rPr>
                <w:noProof/>
                <w:webHidden/>
              </w:rPr>
              <w:fldChar w:fldCharType="separate"/>
            </w:r>
            <w:r>
              <w:rPr>
                <w:noProof/>
                <w:webHidden/>
              </w:rPr>
              <w:t>24</w:t>
            </w:r>
            <w:r>
              <w:rPr>
                <w:noProof/>
                <w:webHidden/>
              </w:rPr>
              <w:fldChar w:fldCharType="end"/>
            </w:r>
          </w:hyperlink>
        </w:p>
        <w:p w:rsidR="00AC58FC" w:rsidRDefault="00AC58FC">
          <w:pPr>
            <w:pStyle w:val="TOC3"/>
            <w:rPr>
              <w:rFonts w:asciiTheme="minorHAnsi" w:eastAsiaTheme="minorEastAsia" w:hAnsiTheme="minorHAnsi" w:cstheme="minorBidi"/>
              <w:noProof/>
              <w:lang w:eastAsia="en-AU"/>
            </w:rPr>
          </w:pPr>
          <w:hyperlink w:anchor="_Toc391645278" w:history="1">
            <w:r w:rsidRPr="000A736C">
              <w:rPr>
                <w:rStyle w:val="Hyperlink"/>
                <w:noProof/>
                <w:lang w:eastAsia="en-AU"/>
              </w:rPr>
              <w:t>Contents of the clinical dossier</w:t>
            </w:r>
            <w:r>
              <w:rPr>
                <w:noProof/>
                <w:webHidden/>
              </w:rPr>
              <w:tab/>
            </w:r>
            <w:r>
              <w:rPr>
                <w:noProof/>
                <w:webHidden/>
              </w:rPr>
              <w:fldChar w:fldCharType="begin"/>
            </w:r>
            <w:r>
              <w:rPr>
                <w:noProof/>
                <w:webHidden/>
              </w:rPr>
              <w:instrText xml:space="preserve"> PAGEREF _Toc391645278 \h </w:instrText>
            </w:r>
            <w:r>
              <w:rPr>
                <w:noProof/>
                <w:webHidden/>
              </w:rPr>
            </w:r>
            <w:r>
              <w:rPr>
                <w:noProof/>
                <w:webHidden/>
              </w:rPr>
              <w:fldChar w:fldCharType="separate"/>
            </w:r>
            <w:r>
              <w:rPr>
                <w:noProof/>
                <w:webHidden/>
              </w:rPr>
              <w:t>25</w:t>
            </w:r>
            <w:r>
              <w:rPr>
                <w:noProof/>
                <w:webHidden/>
              </w:rPr>
              <w:fldChar w:fldCharType="end"/>
            </w:r>
          </w:hyperlink>
        </w:p>
        <w:p w:rsidR="00AC58FC" w:rsidRDefault="00AC58FC">
          <w:pPr>
            <w:pStyle w:val="TOC3"/>
            <w:rPr>
              <w:rFonts w:asciiTheme="minorHAnsi" w:eastAsiaTheme="minorEastAsia" w:hAnsiTheme="minorHAnsi" w:cstheme="minorBidi"/>
              <w:noProof/>
              <w:lang w:eastAsia="en-AU"/>
            </w:rPr>
          </w:pPr>
          <w:hyperlink w:anchor="_Toc391645279" w:history="1">
            <w:r w:rsidRPr="000A736C">
              <w:rPr>
                <w:rStyle w:val="Hyperlink"/>
                <w:noProof/>
              </w:rPr>
              <w:t>Paediatric data</w:t>
            </w:r>
            <w:r>
              <w:rPr>
                <w:noProof/>
                <w:webHidden/>
              </w:rPr>
              <w:tab/>
            </w:r>
            <w:r>
              <w:rPr>
                <w:noProof/>
                <w:webHidden/>
              </w:rPr>
              <w:fldChar w:fldCharType="begin"/>
            </w:r>
            <w:r>
              <w:rPr>
                <w:noProof/>
                <w:webHidden/>
              </w:rPr>
              <w:instrText xml:space="preserve"> PAGEREF _Toc391645279 \h </w:instrText>
            </w:r>
            <w:r>
              <w:rPr>
                <w:noProof/>
                <w:webHidden/>
              </w:rPr>
            </w:r>
            <w:r>
              <w:rPr>
                <w:noProof/>
                <w:webHidden/>
              </w:rPr>
              <w:fldChar w:fldCharType="separate"/>
            </w:r>
            <w:r>
              <w:rPr>
                <w:noProof/>
                <w:webHidden/>
              </w:rPr>
              <w:t>25</w:t>
            </w:r>
            <w:r>
              <w:rPr>
                <w:noProof/>
                <w:webHidden/>
              </w:rPr>
              <w:fldChar w:fldCharType="end"/>
            </w:r>
          </w:hyperlink>
        </w:p>
        <w:p w:rsidR="00AC58FC" w:rsidRDefault="00AC58FC">
          <w:pPr>
            <w:pStyle w:val="TOC3"/>
            <w:rPr>
              <w:rFonts w:asciiTheme="minorHAnsi" w:eastAsiaTheme="minorEastAsia" w:hAnsiTheme="minorHAnsi" w:cstheme="minorBidi"/>
              <w:noProof/>
              <w:lang w:eastAsia="en-AU"/>
            </w:rPr>
          </w:pPr>
          <w:hyperlink w:anchor="_Toc391645280" w:history="1">
            <w:r w:rsidRPr="000A736C">
              <w:rPr>
                <w:rStyle w:val="Hyperlink"/>
                <w:noProof/>
              </w:rPr>
              <w:t>Good clinical practice</w:t>
            </w:r>
            <w:r>
              <w:rPr>
                <w:noProof/>
                <w:webHidden/>
              </w:rPr>
              <w:tab/>
            </w:r>
            <w:r>
              <w:rPr>
                <w:noProof/>
                <w:webHidden/>
              </w:rPr>
              <w:fldChar w:fldCharType="begin"/>
            </w:r>
            <w:r>
              <w:rPr>
                <w:noProof/>
                <w:webHidden/>
              </w:rPr>
              <w:instrText xml:space="preserve"> PAGEREF _Toc391645280 \h </w:instrText>
            </w:r>
            <w:r>
              <w:rPr>
                <w:noProof/>
                <w:webHidden/>
              </w:rPr>
            </w:r>
            <w:r>
              <w:rPr>
                <w:noProof/>
                <w:webHidden/>
              </w:rPr>
              <w:fldChar w:fldCharType="separate"/>
            </w:r>
            <w:r>
              <w:rPr>
                <w:noProof/>
                <w:webHidden/>
              </w:rPr>
              <w:t>25</w:t>
            </w:r>
            <w:r>
              <w:rPr>
                <w:noProof/>
                <w:webHidden/>
              </w:rPr>
              <w:fldChar w:fldCharType="end"/>
            </w:r>
          </w:hyperlink>
        </w:p>
        <w:p w:rsidR="00AC58FC" w:rsidRDefault="00AC58FC">
          <w:pPr>
            <w:pStyle w:val="TOC3"/>
            <w:rPr>
              <w:rFonts w:asciiTheme="minorHAnsi" w:eastAsiaTheme="minorEastAsia" w:hAnsiTheme="minorHAnsi" w:cstheme="minorBidi"/>
              <w:noProof/>
              <w:lang w:eastAsia="en-AU"/>
            </w:rPr>
          </w:pPr>
          <w:hyperlink w:anchor="_Toc391645281" w:history="1">
            <w:r w:rsidRPr="000A736C">
              <w:rPr>
                <w:rStyle w:val="Hyperlink"/>
                <w:noProof/>
              </w:rPr>
              <w:t>Pharmacokinetics</w:t>
            </w:r>
            <w:r>
              <w:rPr>
                <w:noProof/>
                <w:webHidden/>
              </w:rPr>
              <w:tab/>
            </w:r>
            <w:r>
              <w:rPr>
                <w:noProof/>
                <w:webHidden/>
              </w:rPr>
              <w:fldChar w:fldCharType="begin"/>
            </w:r>
            <w:r>
              <w:rPr>
                <w:noProof/>
                <w:webHidden/>
              </w:rPr>
              <w:instrText xml:space="preserve"> PAGEREF _Toc391645281 \h </w:instrText>
            </w:r>
            <w:r>
              <w:rPr>
                <w:noProof/>
                <w:webHidden/>
              </w:rPr>
            </w:r>
            <w:r>
              <w:rPr>
                <w:noProof/>
                <w:webHidden/>
              </w:rPr>
              <w:fldChar w:fldCharType="separate"/>
            </w:r>
            <w:r>
              <w:rPr>
                <w:noProof/>
                <w:webHidden/>
              </w:rPr>
              <w:t>26</w:t>
            </w:r>
            <w:r>
              <w:rPr>
                <w:noProof/>
                <w:webHidden/>
              </w:rPr>
              <w:fldChar w:fldCharType="end"/>
            </w:r>
          </w:hyperlink>
        </w:p>
        <w:p w:rsidR="00AC58FC" w:rsidRDefault="00AC58FC">
          <w:pPr>
            <w:pStyle w:val="TOC3"/>
            <w:rPr>
              <w:rFonts w:asciiTheme="minorHAnsi" w:eastAsiaTheme="minorEastAsia" w:hAnsiTheme="minorHAnsi" w:cstheme="minorBidi"/>
              <w:noProof/>
              <w:lang w:eastAsia="en-AU"/>
            </w:rPr>
          </w:pPr>
          <w:hyperlink w:anchor="_Toc391645282" w:history="1">
            <w:r w:rsidRPr="000A736C">
              <w:rPr>
                <w:rStyle w:val="Hyperlink"/>
                <w:noProof/>
              </w:rPr>
              <w:t>Evaluator’s summary and overall conclusions on pharmacokinetics</w:t>
            </w:r>
            <w:r>
              <w:rPr>
                <w:noProof/>
                <w:webHidden/>
              </w:rPr>
              <w:tab/>
            </w:r>
            <w:r>
              <w:rPr>
                <w:noProof/>
                <w:webHidden/>
              </w:rPr>
              <w:fldChar w:fldCharType="begin"/>
            </w:r>
            <w:r>
              <w:rPr>
                <w:noProof/>
                <w:webHidden/>
              </w:rPr>
              <w:instrText xml:space="preserve"> PAGEREF _Toc391645282 \h </w:instrText>
            </w:r>
            <w:r>
              <w:rPr>
                <w:noProof/>
                <w:webHidden/>
              </w:rPr>
            </w:r>
            <w:r>
              <w:rPr>
                <w:noProof/>
                <w:webHidden/>
              </w:rPr>
              <w:fldChar w:fldCharType="separate"/>
            </w:r>
            <w:r>
              <w:rPr>
                <w:noProof/>
                <w:webHidden/>
              </w:rPr>
              <w:t>27</w:t>
            </w:r>
            <w:r>
              <w:rPr>
                <w:noProof/>
                <w:webHidden/>
              </w:rPr>
              <w:fldChar w:fldCharType="end"/>
            </w:r>
          </w:hyperlink>
        </w:p>
        <w:p w:rsidR="00AC58FC" w:rsidRDefault="00AC58FC">
          <w:pPr>
            <w:pStyle w:val="TOC3"/>
            <w:rPr>
              <w:rFonts w:asciiTheme="minorHAnsi" w:eastAsiaTheme="minorEastAsia" w:hAnsiTheme="minorHAnsi" w:cstheme="minorBidi"/>
              <w:noProof/>
              <w:lang w:eastAsia="en-AU"/>
            </w:rPr>
          </w:pPr>
          <w:hyperlink w:anchor="_Toc391645283" w:history="1">
            <w:r w:rsidRPr="000A736C">
              <w:rPr>
                <w:rStyle w:val="Hyperlink"/>
                <w:noProof/>
              </w:rPr>
              <w:t>Pharmacodynamics</w:t>
            </w:r>
            <w:r>
              <w:rPr>
                <w:noProof/>
                <w:webHidden/>
              </w:rPr>
              <w:tab/>
            </w:r>
            <w:r>
              <w:rPr>
                <w:noProof/>
                <w:webHidden/>
              </w:rPr>
              <w:fldChar w:fldCharType="begin"/>
            </w:r>
            <w:r>
              <w:rPr>
                <w:noProof/>
                <w:webHidden/>
              </w:rPr>
              <w:instrText xml:space="preserve"> PAGEREF _Toc391645283 \h </w:instrText>
            </w:r>
            <w:r>
              <w:rPr>
                <w:noProof/>
                <w:webHidden/>
              </w:rPr>
            </w:r>
            <w:r>
              <w:rPr>
                <w:noProof/>
                <w:webHidden/>
              </w:rPr>
              <w:fldChar w:fldCharType="separate"/>
            </w:r>
            <w:r>
              <w:rPr>
                <w:noProof/>
                <w:webHidden/>
              </w:rPr>
              <w:t>29</w:t>
            </w:r>
            <w:r>
              <w:rPr>
                <w:noProof/>
                <w:webHidden/>
              </w:rPr>
              <w:fldChar w:fldCharType="end"/>
            </w:r>
          </w:hyperlink>
        </w:p>
        <w:p w:rsidR="00AC58FC" w:rsidRDefault="00AC58FC">
          <w:pPr>
            <w:pStyle w:val="TOC2"/>
            <w:rPr>
              <w:rFonts w:asciiTheme="minorHAnsi" w:eastAsiaTheme="minorEastAsia" w:hAnsiTheme="minorHAnsi" w:cstheme="minorBidi"/>
              <w:b w:val="0"/>
              <w:noProof/>
              <w:sz w:val="22"/>
              <w:lang w:eastAsia="en-AU"/>
            </w:rPr>
          </w:pPr>
          <w:hyperlink w:anchor="_Toc391645284" w:history="1">
            <w:r w:rsidRPr="000A736C">
              <w:rPr>
                <w:rStyle w:val="Hyperlink"/>
                <w:noProof/>
              </w:rPr>
              <w:t>Dosage selection for the pivotal studies</w:t>
            </w:r>
            <w:r>
              <w:rPr>
                <w:noProof/>
                <w:webHidden/>
              </w:rPr>
              <w:tab/>
            </w:r>
            <w:r>
              <w:rPr>
                <w:noProof/>
                <w:webHidden/>
              </w:rPr>
              <w:fldChar w:fldCharType="begin"/>
            </w:r>
            <w:r>
              <w:rPr>
                <w:noProof/>
                <w:webHidden/>
              </w:rPr>
              <w:instrText xml:space="preserve"> PAGEREF _Toc391645284 \h </w:instrText>
            </w:r>
            <w:r>
              <w:rPr>
                <w:noProof/>
                <w:webHidden/>
              </w:rPr>
            </w:r>
            <w:r>
              <w:rPr>
                <w:noProof/>
                <w:webHidden/>
              </w:rPr>
              <w:fldChar w:fldCharType="separate"/>
            </w:r>
            <w:r>
              <w:rPr>
                <w:noProof/>
                <w:webHidden/>
              </w:rPr>
              <w:t>30</w:t>
            </w:r>
            <w:r>
              <w:rPr>
                <w:noProof/>
                <w:webHidden/>
              </w:rPr>
              <w:fldChar w:fldCharType="end"/>
            </w:r>
          </w:hyperlink>
        </w:p>
        <w:p w:rsidR="00AC58FC" w:rsidRDefault="00AC58FC">
          <w:pPr>
            <w:pStyle w:val="TOC3"/>
            <w:rPr>
              <w:rFonts w:asciiTheme="minorHAnsi" w:eastAsiaTheme="minorEastAsia" w:hAnsiTheme="minorHAnsi" w:cstheme="minorBidi"/>
              <w:noProof/>
              <w:lang w:eastAsia="en-AU"/>
            </w:rPr>
          </w:pPr>
          <w:hyperlink w:anchor="_Toc391645285" w:history="1">
            <w:r w:rsidRPr="000A736C">
              <w:rPr>
                <w:rStyle w:val="Hyperlink"/>
                <w:noProof/>
              </w:rPr>
              <w:t>Efficacy</w:t>
            </w:r>
            <w:r>
              <w:rPr>
                <w:noProof/>
                <w:webHidden/>
              </w:rPr>
              <w:tab/>
            </w:r>
            <w:r>
              <w:rPr>
                <w:noProof/>
                <w:webHidden/>
              </w:rPr>
              <w:fldChar w:fldCharType="begin"/>
            </w:r>
            <w:r>
              <w:rPr>
                <w:noProof/>
                <w:webHidden/>
              </w:rPr>
              <w:instrText xml:space="preserve"> PAGEREF _Toc391645285 \h </w:instrText>
            </w:r>
            <w:r>
              <w:rPr>
                <w:noProof/>
                <w:webHidden/>
              </w:rPr>
            </w:r>
            <w:r>
              <w:rPr>
                <w:noProof/>
                <w:webHidden/>
              </w:rPr>
              <w:fldChar w:fldCharType="separate"/>
            </w:r>
            <w:r>
              <w:rPr>
                <w:noProof/>
                <w:webHidden/>
              </w:rPr>
              <w:t>32</w:t>
            </w:r>
            <w:r>
              <w:rPr>
                <w:noProof/>
                <w:webHidden/>
              </w:rPr>
              <w:fldChar w:fldCharType="end"/>
            </w:r>
          </w:hyperlink>
        </w:p>
        <w:p w:rsidR="00AC58FC" w:rsidRDefault="00AC58FC">
          <w:pPr>
            <w:pStyle w:val="TOC3"/>
            <w:rPr>
              <w:rFonts w:asciiTheme="minorHAnsi" w:eastAsiaTheme="minorEastAsia" w:hAnsiTheme="minorHAnsi" w:cstheme="minorBidi"/>
              <w:noProof/>
              <w:lang w:eastAsia="en-AU"/>
            </w:rPr>
          </w:pPr>
          <w:hyperlink w:anchor="_Toc391645286" w:history="1">
            <w:r w:rsidRPr="000A736C">
              <w:rPr>
                <w:rStyle w:val="Hyperlink"/>
                <w:noProof/>
              </w:rPr>
              <w:t>Safety</w:t>
            </w:r>
            <w:r>
              <w:rPr>
                <w:noProof/>
                <w:webHidden/>
              </w:rPr>
              <w:tab/>
            </w:r>
            <w:r>
              <w:rPr>
                <w:noProof/>
                <w:webHidden/>
              </w:rPr>
              <w:fldChar w:fldCharType="begin"/>
            </w:r>
            <w:r>
              <w:rPr>
                <w:noProof/>
                <w:webHidden/>
              </w:rPr>
              <w:instrText xml:space="preserve"> PAGEREF _Toc391645286 \h </w:instrText>
            </w:r>
            <w:r>
              <w:rPr>
                <w:noProof/>
                <w:webHidden/>
              </w:rPr>
            </w:r>
            <w:r>
              <w:rPr>
                <w:noProof/>
                <w:webHidden/>
              </w:rPr>
              <w:fldChar w:fldCharType="separate"/>
            </w:r>
            <w:r>
              <w:rPr>
                <w:noProof/>
                <w:webHidden/>
              </w:rPr>
              <w:t>36</w:t>
            </w:r>
            <w:r>
              <w:rPr>
                <w:noProof/>
                <w:webHidden/>
              </w:rPr>
              <w:fldChar w:fldCharType="end"/>
            </w:r>
          </w:hyperlink>
        </w:p>
        <w:p w:rsidR="00AC58FC" w:rsidRDefault="00AC58FC">
          <w:pPr>
            <w:pStyle w:val="TOC3"/>
            <w:rPr>
              <w:rFonts w:asciiTheme="minorHAnsi" w:eastAsiaTheme="minorEastAsia" w:hAnsiTheme="minorHAnsi" w:cstheme="minorBidi"/>
              <w:noProof/>
              <w:lang w:eastAsia="en-AU"/>
            </w:rPr>
          </w:pPr>
          <w:hyperlink w:anchor="_Toc391645287" w:history="1">
            <w:r w:rsidRPr="000A736C">
              <w:rPr>
                <w:rStyle w:val="Hyperlink"/>
                <w:noProof/>
              </w:rPr>
              <w:t>First round benefit-risk assessment</w:t>
            </w:r>
            <w:r>
              <w:rPr>
                <w:noProof/>
                <w:webHidden/>
              </w:rPr>
              <w:tab/>
            </w:r>
            <w:r>
              <w:rPr>
                <w:noProof/>
                <w:webHidden/>
              </w:rPr>
              <w:fldChar w:fldCharType="begin"/>
            </w:r>
            <w:r>
              <w:rPr>
                <w:noProof/>
                <w:webHidden/>
              </w:rPr>
              <w:instrText xml:space="preserve"> PAGEREF _Toc391645287 \h </w:instrText>
            </w:r>
            <w:r>
              <w:rPr>
                <w:noProof/>
                <w:webHidden/>
              </w:rPr>
            </w:r>
            <w:r>
              <w:rPr>
                <w:noProof/>
                <w:webHidden/>
              </w:rPr>
              <w:fldChar w:fldCharType="separate"/>
            </w:r>
            <w:r>
              <w:rPr>
                <w:noProof/>
                <w:webHidden/>
              </w:rPr>
              <w:t>42</w:t>
            </w:r>
            <w:r>
              <w:rPr>
                <w:noProof/>
                <w:webHidden/>
              </w:rPr>
              <w:fldChar w:fldCharType="end"/>
            </w:r>
          </w:hyperlink>
        </w:p>
        <w:p w:rsidR="00AC58FC" w:rsidRDefault="00AC58FC">
          <w:pPr>
            <w:pStyle w:val="TOC3"/>
            <w:rPr>
              <w:rFonts w:asciiTheme="minorHAnsi" w:eastAsiaTheme="minorEastAsia" w:hAnsiTheme="minorHAnsi" w:cstheme="minorBidi"/>
              <w:noProof/>
              <w:lang w:eastAsia="en-AU"/>
            </w:rPr>
          </w:pPr>
          <w:hyperlink w:anchor="_Toc391645288" w:history="1">
            <w:r w:rsidRPr="000A736C">
              <w:rPr>
                <w:rStyle w:val="Hyperlink"/>
                <w:noProof/>
              </w:rPr>
              <w:t>First round recommendation regarding authorisation</w:t>
            </w:r>
            <w:r>
              <w:rPr>
                <w:noProof/>
                <w:webHidden/>
              </w:rPr>
              <w:tab/>
            </w:r>
            <w:r>
              <w:rPr>
                <w:noProof/>
                <w:webHidden/>
              </w:rPr>
              <w:fldChar w:fldCharType="begin"/>
            </w:r>
            <w:r>
              <w:rPr>
                <w:noProof/>
                <w:webHidden/>
              </w:rPr>
              <w:instrText xml:space="preserve"> PAGEREF _Toc391645288 \h </w:instrText>
            </w:r>
            <w:r>
              <w:rPr>
                <w:noProof/>
                <w:webHidden/>
              </w:rPr>
            </w:r>
            <w:r>
              <w:rPr>
                <w:noProof/>
                <w:webHidden/>
              </w:rPr>
              <w:fldChar w:fldCharType="separate"/>
            </w:r>
            <w:r>
              <w:rPr>
                <w:noProof/>
                <w:webHidden/>
              </w:rPr>
              <w:t>46</w:t>
            </w:r>
            <w:r>
              <w:rPr>
                <w:noProof/>
                <w:webHidden/>
              </w:rPr>
              <w:fldChar w:fldCharType="end"/>
            </w:r>
          </w:hyperlink>
        </w:p>
        <w:p w:rsidR="00AC58FC" w:rsidRDefault="00AC58FC">
          <w:pPr>
            <w:pStyle w:val="TOC3"/>
            <w:rPr>
              <w:rFonts w:asciiTheme="minorHAnsi" w:eastAsiaTheme="minorEastAsia" w:hAnsiTheme="minorHAnsi" w:cstheme="minorBidi"/>
              <w:noProof/>
              <w:lang w:eastAsia="en-AU"/>
            </w:rPr>
          </w:pPr>
          <w:hyperlink w:anchor="_Toc391645289" w:history="1">
            <w:r w:rsidRPr="000A736C">
              <w:rPr>
                <w:rStyle w:val="Hyperlink"/>
                <w:noProof/>
              </w:rPr>
              <w:t>Clinical questions</w:t>
            </w:r>
            <w:r>
              <w:rPr>
                <w:noProof/>
                <w:webHidden/>
              </w:rPr>
              <w:tab/>
            </w:r>
            <w:r>
              <w:rPr>
                <w:noProof/>
                <w:webHidden/>
              </w:rPr>
              <w:fldChar w:fldCharType="begin"/>
            </w:r>
            <w:r>
              <w:rPr>
                <w:noProof/>
                <w:webHidden/>
              </w:rPr>
              <w:instrText xml:space="preserve"> PAGEREF _Toc391645289 \h </w:instrText>
            </w:r>
            <w:r>
              <w:rPr>
                <w:noProof/>
                <w:webHidden/>
              </w:rPr>
            </w:r>
            <w:r>
              <w:rPr>
                <w:noProof/>
                <w:webHidden/>
              </w:rPr>
              <w:fldChar w:fldCharType="separate"/>
            </w:r>
            <w:r>
              <w:rPr>
                <w:noProof/>
                <w:webHidden/>
              </w:rPr>
              <w:t>46</w:t>
            </w:r>
            <w:r>
              <w:rPr>
                <w:noProof/>
                <w:webHidden/>
              </w:rPr>
              <w:fldChar w:fldCharType="end"/>
            </w:r>
          </w:hyperlink>
        </w:p>
        <w:p w:rsidR="00AC58FC" w:rsidRDefault="00AC58FC">
          <w:pPr>
            <w:pStyle w:val="TOC2"/>
            <w:rPr>
              <w:rFonts w:asciiTheme="minorHAnsi" w:eastAsiaTheme="minorEastAsia" w:hAnsiTheme="minorHAnsi" w:cstheme="minorBidi"/>
              <w:b w:val="0"/>
              <w:noProof/>
              <w:sz w:val="22"/>
              <w:lang w:eastAsia="en-AU"/>
            </w:rPr>
          </w:pPr>
          <w:hyperlink w:anchor="_Toc391645290" w:history="1">
            <w:r w:rsidRPr="000A736C">
              <w:rPr>
                <w:rStyle w:val="Hyperlink"/>
                <w:noProof/>
              </w:rPr>
              <w:t>Second round evaluation of clinical data submitted in response to questions</w:t>
            </w:r>
            <w:r>
              <w:rPr>
                <w:noProof/>
                <w:webHidden/>
              </w:rPr>
              <w:tab/>
            </w:r>
            <w:r>
              <w:rPr>
                <w:noProof/>
                <w:webHidden/>
              </w:rPr>
              <w:fldChar w:fldCharType="begin"/>
            </w:r>
            <w:r>
              <w:rPr>
                <w:noProof/>
                <w:webHidden/>
              </w:rPr>
              <w:instrText xml:space="preserve"> PAGEREF _Toc391645290 \h </w:instrText>
            </w:r>
            <w:r>
              <w:rPr>
                <w:noProof/>
                <w:webHidden/>
              </w:rPr>
            </w:r>
            <w:r>
              <w:rPr>
                <w:noProof/>
                <w:webHidden/>
              </w:rPr>
              <w:fldChar w:fldCharType="separate"/>
            </w:r>
            <w:r>
              <w:rPr>
                <w:noProof/>
                <w:webHidden/>
              </w:rPr>
              <w:t>47</w:t>
            </w:r>
            <w:r>
              <w:rPr>
                <w:noProof/>
                <w:webHidden/>
              </w:rPr>
              <w:fldChar w:fldCharType="end"/>
            </w:r>
          </w:hyperlink>
        </w:p>
        <w:p w:rsidR="00AC58FC" w:rsidRDefault="00AC58FC">
          <w:pPr>
            <w:pStyle w:val="TOC2"/>
            <w:rPr>
              <w:rFonts w:asciiTheme="minorHAnsi" w:eastAsiaTheme="minorEastAsia" w:hAnsiTheme="minorHAnsi" w:cstheme="minorBidi"/>
              <w:b w:val="0"/>
              <w:noProof/>
              <w:sz w:val="22"/>
              <w:lang w:eastAsia="en-AU"/>
            </w:rPr>
          </w:pPr>
          <w:hyperlink w:anchor="_Toc391645291" w:history="1">
            <w:r w:rsidRPr="000A736C">
              <w:rPr>
                <w:rStyle w:val="Hyperlink"/>
                <w:noProof/>
              </w:rPr>
              <w:t>Second round benefit-risk assessment</w:t>
            </w:r>
            <w:r>
              <w:rPr>
                <w:noProof/>
                <w:webHidden/>
              </w:rPr>
              <w:tab/>
            </w:r>
            <w:r>
              <w:rPr>
                <w:noProof/>
                <w:webHidden/>
              </w:rPr>
              <w:fldChar w:fldCharType="begin"/>
            </w:r>
            <w:r>
              <w:rPr>
                <w:noProof/>
                <w:webHidden/>
              </w:rPr>
              <w:instrText xml:space="preserve"> PAGEREF _Toc391645291 \h </w:instrText>
            </w:r>
            <w:r>
              <w:rPr>
                <w:noProof/>
                <w:webHidden/>
              </w:rPr>
            </w:r>
            <w:r>
              <w:rPr>
                <w:noProof/>
                <w:webHidden/>
              </w:rPr>
              <w:fldChar w:fldCharType="separate"/>
            </w:r>
            <w:r>
              <w:rPr>
                <w:noProof/>
                <w:webHidden/>
              </w:rPr>
              <w:t>48</w:t>
            </w:r>
            <w:r>
              <w:rPr>
                <w:noProof/>
                <w:webHidden/>
              </w:rPr>
              <w:fldChar w:fldCharType="end"/>
            </w:r>
          </w:hyperlink>
        </w:p>
        <w:p w:rsidR="00AC58FC" w:rsidRDefault="00AC58FC">
          <w:pPr>
            <w:pStyle w:val="TOC3"/>
            <w:rPr>
              <w:rFonts w:asciiTheme="minorHAnsi" w:eastAsiaTheme="minorEastAsia" w:hAnsiTheme="minorHAnsi" w:cstheme="minorBidi"/>
              <w:noProof/>
              <w:lang w:eastAsia="en-AU"/>
            </w:rPr>
          </w:pPr>
          <w:hyperlink w:anchor="_Toc391645292" w:history="1">
            <w:r w:rsidRPr="000A736C">
              <w:rPr>
                <w:rStyle w:val="Hyperlink"/>
                <w:noProof/>
              </w:rPr>
              <w:t>Second round assessment of benefits</w:t>
            </w:r>
            <w:r>
              <w:rPr>
                <w:noProof/>
                <w:webHidden/>
              </w:rPr>
              <w:tab/>
            </w:r>
            <w:r>
              <w:rPr>
                <w:noProof/>
                <w:webHidden/>
              </w:rPr>
              <w:fldChar w:fldCharType="begin"/>
            </w:r>
            <w:r>
              <w:rPr>
                <w:noProof/>
                <w:webHidden/>
              </w:rPr>
              <w:instrText xml:space="preserve"> PAGEREF _Toc391645292 \h </w:instrText>
            </w:r>
            <w:r>
              <w:rPr>
                <w:noProof/>
                <w:webHidden/>
              </w:rPr>
            </w:r>
            <w:r>
              <w:rPr>
                <w:noProof/>
                <w:webHidden/>
              </w:rPr>
              <w:fldChar w:fldCharType="separate"/>
            </w:r>
            <w:r>
              <w:rPr>
                <w:noProof/>
                <w:webHidden/>
              </w:rPr>
              <w:t>48</w:t>
            </w:r>
            <w:r>
              <w:rPr>
                <w:noProof/>
                <w:webHidden/>
              </w:rPr>
              <w:fldChar w:fldCharType="end"/>
            </w:r>
          </w:hyperlink>
        </w:p>
        <w:p w:rsidR="00AC58FC" w:rsidRDefault="00AC58FC">
          <w:pPr>
            <w:pStyle w:val="TOC3"/>
            <w:rPr>
              <w:rFonts w:asciiTheme="minorHAnsi" w:eastAsiaTheme="minorEastAsia" w:hAnsiTheme="minorHAnsi" w:cstheme="minorBidi"/>
              <w:noProof/>
              <w:lang w:eastAsia="en-AU"/>
            </w:rPr>
          </w:pPr>
          <w:hyperlink w:anchor="_Toc391645293" w:history="1">
            <w:r w:rsidRPr="000A736C">
              <w:rPr>
                <w:rStyle w:val="Hyperlink"/>
                <w:noProof/>
              </w:rPr>
              <w:t>Second round assessment of risks</w:t>
            </w:r>
            <w:r>
              <w:rPr>
                <w:noProof/>
                <w:webHidden/>
              </w:rPr>
              <w:tab/>
            </w:r>
            <w:r>
              <w:rPr>
                <w:noProof/>
                <w:webHidden/>
              </w:rPr>
              <w:fldChar w:fldCharType="begin"/>
            </w:r>
            <w:r>
              <w:rPr>
                <w:noProof/>
                <w:webHidden/>
              </w:rPr>
              <w:instrText xml:space="preserve"> PAGEREF _Toc391645293 \h </w:instrText>
            </w:r>
            <w:r>
              <w:rPr>
                <w:noProof/>
                <w:webHidden/>
              </w:rPr>
            </w:r>
            <w:r>
              <w:rPr>
                <w:noProof/>
                <w:webHidden/>
              </w:rPr>
              <w:fldChar w:fldCharType="separate"/>
            </w:r>
            <w:r>
              <w:rPr>
                <w:noProof/>
                <w:webHidden/>
              </w:rPr>
              <w:t>48</w:t>
            </w:r>
            <w:r>
              <w:rPr>
                <w:noProof/>
                <w:webHidden/>
              </w:rPr>
              <w:fldChar w:fldCharType="end"/>
            </w:r>
          </w:hyperlink>
        </w:p>
        <w:p w:rsidR="00AC58FC" w:rsidRDefault="00AC58FC">
          <w:pPr>
            <w:pStyle w:val="TOC3"/>
            <w:rPr>
              <w:rFonts w:asciiTheme="minorHAnsi" w:eastAsiaTheme="minorEastAsia" w:hAnsiTheme="minorHAnsi" w:cstheme="minorBidi"/>
              <w:noProof/>
              <w:lang w:eastAsia="en-AU"/>
            </w:rPr>
          </w:pPr>
          <w:hyperlink w:anchor="_Toc391645294" w:history="1">
            <w:r w:rsidRPr="000A736C">
              <w:rPr>
                <w:rStyle w:val="Hyperlink"/>
                <w:noProof/>
              </w:rPr>
              <w:t>Second round assessment of benefit-risk balance</w:t>
            </w:r>
            <w:r>
              <w:rPr>
                <w:noProof/>
                <w:webHidden/>
              </w:rPr>
              <w:tab/>
            </w:r>
            <w:r>
              <w:rPr>
                <w:noProof/>
                <w:webHidden/>
              </w:rPr>
              <w:fldChar w:fldCharType="begin"/>
            </w:r>
            <w:r>
              <w:rPr>
                <w:noProof/>
                <w:webHidden/>
              </w:rPr>
              <w:instrText xml:space="preserve"> PAGEREF _Toc391645294 \h </w:instrText>
            </w:r>
            <w:r>
              <w:rPr>
                <w:noProof/>
                <w:webHidden/>
              </w:rPr>
            </w:r>
            <w:r>
              <w:rPr>
                <w:noProof/>
                <w:webHidden/>
              </w:rPr>
              <w:fldChar w:fldCharType="separate"/>
            </w:r>
            <w:r>
              <w:rPr>
                <w:noProof/>
                <w:webHidden/>
              </w:rPr>
              <w:t>49</w:t>
            </w:r>
            <w:r>
              <w:rPr>
                <w:noProof/>
                <w:webHidden/>
              </w:rPr>
              <w:fldChar w:fldCharType="end"/>
            </w:r>
          </w:hyperlink>
        </w:p>
        <w:p w:rsidR="00AC58FC" w:rsidRDefault="00AC58FC">
          <w:pPr>
            <w:pStyle w:val="TOC2"/>
            <w:rPr>
              <w:rFonts w:asciiTheme="minorHAnsi" w:eastAsiaTheme="minorEastAsia" w:hAnsiTheme="minorHAnsi" w:cstheme="minorBidi"/>
              <w:b w:val="0"/>
              <w:noProof/>
              <w:sz w:val="22"/>
              <w:lang w:eastAsia="en-AU"/>
            </w:rPr>
          </w:pPr>
          <w:hyperlink w:anchor="_Toc391645295" w:history="1">
            <w:r w:rsidRPr="000A736C">
              <w:rPr>
                <w:rStyle w:val="Hyperlink"/>
                <w:noProof/>
              </w:rPr>
              <w:t>Second round recommendation regarding authorisation</w:t>
            </w:r>
            <w:r>
              <w:rPr>
                <w:noProof/>
                <w:webHidden/>
              </w:rPr>
              <w:tab/>
            </w:r>
            <w:r>
              <w:rPr>
                <w:noProof/>
                <w:webHidden/>
              </w:rPr>
              <w:fldChar w:fldCharType="begin"/>
            </w:r>
            <w:r>
              <w:rPr>
                <w:noProof/>
                <w:webHidden/>
              </w:rPr>
              <w:instrText xml:space="preserve"> PAGEREF _Toc391645295 \h </w:instrText>
            </w:r>
            <w:r>
              <w:rPr>
                <w:noProof/>
                <w:webHidden/>
              </w:rPr>
            </w:r>
            <w:r>
              <w:rPr>
                <w:noProof/>
                <w:webHidden/>
              </w:rPr>
              <w:fldChar w:fldCharType="separate"/>
            </w:r>
            <w:r>
              <w:rPr>
                <w:noProof/>
                <w:webHidden/>
              </w:rPr>
              <w:t>49</w:t>
            </w:r>
            <w:r>
              <w:rPr>
                <w:noProof/>
                <w:webHidden/>
              </w:rPr>
              <w:fldChar w:fldCharType="end"/>
            </w:r>
          </w:hyperlink>
        </w:p>
        <w:p w:rsidR="00AC58FC" w:rsidRDefault="00AC58FC">
          <w:pPr>
            <w:pStyle w:val="TOC2"/>
            <w:rPr>
              <w:rFonts w:asciiTheme="minorHAnsi" w:eastAsiaTheme="minorEastAsia" w:hAnsiTheme="minorHAnsi" w:cstheme="minorBidi"/>
              <w:b w:val="0"/>
              <w:noProof/>
              <w:sz w:val="22"/>
              <w:lang w:eastAsia="en-AU"/>
            </w:rPr>
          </w:pPr>
          <w:hyperlink w:anchor="_Toc391645296" w:history="1">
            <w:r w:rsidRPr="000A736C">
              <w:rPr>
                <w:rStyle w:val="Hyperlink"/>
                <w:noProof/>
              </w:rPr>
              <w:t>V. Pharmacovigilance findings</w:t>
            </w:r>
            <w:r>
              <w:rPr>
                <w:noProof/>
                <w:webHidden/>
              </w:rPr>
              <w:tab/>
            </w:r>
            <w:r>
              <w:rPr>
                <w:noProof/>
                <w:webHidden/>
              </w:rPr>
              <w:fldChar w:fldCharType="begin"/>
            </w:r>
            <w:r>
              <w:rPr>
                <w:noProof/>
                <w:webHidden/>
              </w:rPr>
              <w:instrText xml:space="preserve"> PAGEREF _Toc391645296 \h </w:instrText>
            </w:r>
            <w:r>
              <w:rPr>
                <w:noProof/>
                <w:webHidden/>
              </w:rPr>
            </w:r>
            <w:r>
              <w:rPr>
                <w:noProof/>
                <w:webHidden/>
              </w:rPr>
              <w:fldChar w:fldCharType="separate"/>
            </w:r>
            <w:r>
              <w:rPr>
                <w:noProof/>
                <w:webHidden/>
              </w:rPr>
              <w:t>49</w:t>
            </w:r>
            <w:r>
              <w:rPr>
                <w:noProof/>
                <w:webHidden/>
              </w:rPr>
              <w:fldChar w:fldCharType="end"/>
            </w:r>
          </w:hyperlink>
        </w:p>
        <w:p w:rsidR="00AC58FC" w:rsidRDefault="00AC58FC">
          <w:pPr>
            <w:pStyle w:val="TOC3"/>
            <w:rPr>
              <w:rFonts w:asciiTheme="minorHAnsi" w:eastAsiaTheme="minorEastAsia" w:hAnsiTheme="minorHAnsi" w:cstheme="minorBidi"/>
              <w:noProof/>
              <w:lang w:eastAsia="en-AU"/>
            </w:rPr>
          </w:pPr>
          <w:hyperlink w:anchor="_Toc391645297" w:history="1">
            <w:r w:rsidRPr="000A736C">
              <w:rPr>
                <w:rStyle w:val="Hyperlink"/>
                <w:noProof/>
                <w:lang w:eastAsia="en-AU"/>
              </w:rPr>
              <w:t>Risk management plan</w:t>
            </w:r>
            <w:r>
              <w:rPr>
                <w:noProof/>
                <w:webHidden/>
              </w:rPr>
              <w:tab/>
            </w:r>
            <w:r>
              <w:rPr>
                <w:noProof/>
                <w:webHidden/>
              </w:rPr>
              <w:fldChar w:fldCharType="begin"/>
            </w:r>
            <w:r>
              <w:rPr>
                <w:noProof/>
                <w:webHidden/>
              </w:rPr>
              <w:instrText xml:space="preserve"> PAGEREF _Toc391645297 \h </w:instrText>
            </w:r>
            <w:r>
              <w:rPr>
                <w:noProof/>
                <w:webHidden/>
              </w:rPr>
            </w:r>
            <w:r>
              <w:rPr>
                <w:noProof/>
                <w:webHidden/>
              </w:rPr>
              <w:fldChar w:fldCharType="separate"/>
            </w:r>
            <w:r>
              <w:rPr>
                <w:noProof/>
                <w:webHidden/>
              </w:rPr>
              <w:t>49</w:t>
            </w:r>
            <w:r>
              <w:rPr>
                <w:noProof/>
                <w:webHidden/>
              </w:rPr>
              <w:fldChar w:fldCharType="end"/>
            </w:r>
          </w:hyperlink>
        </w:p>
        <w:p w:rsidR="00AC58FC" w:rsidRDefault="00AC58FC">
          <w:pPr>
            <w:pStyle w:val="TOC3"/>
            <w:rPr>
              <w:rFonts w:asciiTheme="minorHAnsi" w:eastAsiaTheme="minorEastAsia" w:hAnsiTheme="minorHAnsi" w:cstheme="minorBidi"/>
              <w:noProof/>
              <w:lang w:eastAsia="en-AU"/>
            </w:rPr>
          </w:pPr>
          <w:hyperlink w:anchor="_Toc391645298" w:history="1">
            <w:r w:rsidRPr="000A736C">
              <w:rPr>
                <w:rStyle w:val="Hyperlink"/>
                <w:noProof/>
              </w:rPr>
              <w:t>Sponsor’s conclusion in regard to the need for risk minimisation activities</w:t>
            </w:r>
            <w:r>
              <w:rPr>
                <w:noProof/>
                <w:webHidden/>
              </w:rPr>
              <w:tab/>
            </w:r>
            <w:r>
              <w:rPr>
                <w:noProof/>
                <w:webHidden/>
              </w:rPr>
              <w:fldChar w:fldCharType="begin"/>
            </w:r>
            <w:r>
              <w:rPr>
                <w:noProof/>
                <w:webHidden/>
              </w:rPr>
              <w:instrText xml:space="preserve"> PAGEREF _Toc391645298 \h </w:instrText>
            </w:r>
            <w:r>
              <w:rPr>
                <w:noProof/>
                <w:webHidden/>
              </w:rPr>
            </w:r>
            <w:r>
              <w:rPr>
                <w:noProof/>
                <w:webHidden/>
              </w:rPr>
              <w:fldChar w:fldCharType="separate"/>
            </w:r>
            <w:r>
              <w:rPr>
                <w:noProof/>
                <w:webHidden/>
              </w:rPr>
              <w:t>50</w:t>
            </w:r>
            <w:r>
              <w:rPr>
                <w:noProof/>
                <w:webHidden/>
              </w:rPr>
              <w:fldChar w:fldCharType="end"/>
            </w:r>
          </w:hyperlink>
        </w:p>
        <w:p w:rsidR="00AC58FC" w:rsidRDefault="00AC58FC">
          <w:pPr>
            <w:pStyle w:val="TOC3"/>
            <w:rPr>
              <w:rFonts w:asciiTheme="minorHAnsi" w:eastAsiaTheme="minorEastAsia" w:hAnsiTheme="minorHAnsi" w:cstheme="minorBidi"/>
              <w:noProof/>
              <w:lang w:eastAsia="en-AU"/>
            </w:rPr>
          </w:pPr>
          <w:hyperlink w:anchor="_Toc391645299" w:history="1">
            <w:r w:rsidRPr="000A736C">
              <w:rPr>
                <w:rStyle w:val="Hyperlink"/>
                <w:noProof/>
              </w:rPr>
              <w:t>Risk minimisation plan</w:t>
            </w:r>
            <w:r>
              <w:rPr>
                <w:noProof/>
                <w:webHidden/>
              </w:rPr>
              <w:tab/>
            </w:r>
            <w:r>
              <w:rPr>
                <w:noProof/>
                <w:webHidden/>
              </w:rPr>
              <w:fldChar w:fldCharType="begin"/>
            </w:r>
            <w:r>
              <w:rPr>
                <w:noProof/>
                <w:webHidden/>
              </w:rPr>
              <w:instrText xml:space="preserve"> PAGEREF _Toc391645299 \h </w:instrText>
            </w:r>
            <w:r>
              <w:rPr>
                <w:noProof/>
                <w:webHidden/>
              </w:rPr>
            </w:r>
            <w:r>
              <w:rPr>
                <w:noProof/>
                <w:webHidden/>
              </w:rPr>
              <w:fldChar w:fldCharType="separate"/>
            </w:r>
            <w:r>
              <w:rPr>
                <w:noProof/>
                <w:webHidden/>
              </w:rPr>
              <w:t>51</w:t>
            </w:r>
            <w:r>
              <w:rPr>
                <w:noProof/>
                <w:webHidden/>
              </w:rPr>
              <w:fldChar w:fldCharType="end"/>
            </w:r>
          </w:hyperlink>
        </w:p>
        <w:p w:rsidR="00AC58FC" w:rsidRDefault="00AC58FC">
          <w:pPr>
            <w:pStyle w:val="TOC3"/>
            <w:rPr>
              <w:rFonts w:asciiTheme="minorHAnsi" w:eastAsiaTheme="minorEastAsia" w:hAnsiTheme="minorHAnsi" w:cstheme="minorBidi"/>
              <w:noProof/>
              <w:lang w:eastAsia="en-AU"/>
            </w:rPr>
          </w:pPr>
          <w:hyperlink w:anchor="_Toc391645300" w:history="1">
            <w:r w:rsidRPr="000A736C">
              <w:rPr>
                <w:rStyle w:val="Hyperlink"/>
                <w:noProof/>
              </w:rPr>
              <w:t>Second round risk management plan advice</w:t>
            </w:r>
            <w:r>
              <w:rPr>
                <w:noProof/>
                <w:webHidden/>
              </w:rPr>
              <w:tab/>
            </w:r>
            <w:r>
              <w:rPr>
                <w:noProof/>
                <w:webHidden/>
              </w:rPr>
              <w:fldChar w:fldCharType="begin"/>
            </w:r>
            <w:r>
              <w:rPr>
                <w:noProof/>
                <w:webHidden/>
              </w:rPr>
              <w:instrText xml:space="preserve"> PAGEREF _Toc391645300 \h </w:instrText>
            </w:r>
            <w:r>
              <w:rPr>
                <w:noProof/>
                <w:webHidden/>
              </w:rPr>
            </w:r>
            <w:r>
              <w:rPr>
                <w:noProof/>
                <w:webHidden/>
              </w:rPr>
              <w:fldChar w:fldCharType="separate"/>
            </w:r>
            <w:r>
              <w:rPr>
                <w:noProof/>
                <w:webHidden/>
              </w:rPr>
              <w:t>54</w:t>
            </w:r>
            <w:r>
              <w:rPr>
                <w:noProof/>
                <w:webHidden/>
              </w:rPr>
              <w:fldChar w:fldCharType="end"/>
            </w:r>
          </w:hyperlink>
        </w:p>
        <w:p w:rsidR="00AC58FC" w:rsidRDefault="00AC58FC">
          <w:pPr>
            <w:pStyle w:val="TOC2"/>
            <w:rPr>
              <w:rFonts w:asciiTheme="minorHAnsi" w:eastAsiaTheme="minorEastAsia" w:hAnsiTheme="minorHAnsi" w:cstheme="minorBidi"/>
              <w:b w:val="0"/>
              <w:noProof/>
              <w:sz w:val="22"/>
              <w:lang w:eastAsia="en-AU"/>
            </w:rPr>
          </w:pPr>
          <w:hyperlink w:anchor="_Toc391645301" w:history="1">
            <w:r w:rsidRPr="000A736C">
              <w:rPr>
                <w:rStyle w:val="Hyperlink"/>
                <w:noProof/>
              </w:rPr>
              <w:t>VI. Overall conclusion and risk/benefit assessment</w:t>
            </w:r>
            <w:r>
              <w:rPr>
                <w:noProof/>
                <w:webHidden/>
              </w:rPr>
              <w:tab/>
            </w:r>
            <w:r>
              <w:rPr>
                <w:noProof/>
                <w:webHidden/>
              </w:rPr>
              <w:fldChar w:fldCharType="begin"/>
            </w:r>
            <w:r>
              <w:rPr>
                <w:noProof/>
                <w:webHidden/>
              </w:rPr>
              <w:instrText xml:space="preserve"> PAGEREF _Toc391645301 \h </w:instrText>
            </w:r>
            <w:r>
              <w:rPr>
                <w:noProof/>
                <w:webHidden/>
              </w:rPr>
            </w:r>
            <w:r>
              <w:rPr>
                <w:noProof/>
                <w:webHidden/>
              </w:rPr>
              <w:fldChar w:fldCharType="separate"/>
            </w:r>
            <w:r>
              <w:rPr>
                <w:noProof/>
                <w:webHidden/>
              </w:rPr>
              <w:t>62</w:t>
            </w:r>
            <w:r>
              <w:rPr>
                <w:noProof/>
                <w:webHidden/>
              </w:rPr>
              <w:fldChar w:fldCharType="end"/>
            </w:r>
          </w:hyperlink>
        </w:p>
        <w:p w:rsidR="00AC58FC" w:rsidRDefault="00AC58FC">
          <w:pPr>
            <w:pStyle w:val="TOC3"/>
            <w:rPr>
              <w:rFonts w:asciiTheme="minorHAnsi" w:eastAsiaTheme="minorEastAsia" w:hAnsiTheme="minorHAnsi" w:cstheme="minorBidi"/>
              <w:noProof/>
              <w:lang w:eastAsia="en-AU"/>
            </w:rPr>
          </w:pPr>
          <w:hyperlink w:anchor="_Toc391645302" w:history="1">
            <w:r w:rsidRPr="000A736C">
              <w:rPr>
                <w:rStyle w:val="Hyperlink"/>
                <w:noProof/>
              </w:rPr>
              <w:t>Quality</w:t>
            </w:r>
            <w:r>
              <w:rPr>
                <w:noProof/>
                <w:webHidden/>
              </w:rPr>
              <w:tab/>
            </w:r>
            <w:r>
              <w:rPr>
                <w:noProof/>
                <w:webHidden/>
              </w:rPr>
              <w:fldChar w:fldCharType="begin"/>
            </w:r>
            <w:r>
              <w:rPr>
                <w:noProof/>
                <w:webHidden/>
              </w:rPr>
              <w:instrText xml:space="preserve"> PAGEREF _Toc391645302 \h </w:instrText>
            </w:r>
            <w:r>
              <w:rPr>
                <w:noProof/>
                <w:webHidden/>
              </w:rPr>
            </w:r>
            <w:r>
              <w:rPr>
                <w:noProof/>
                <w:webHidden/>
              </w:rPr>
              <w:fldChar w:fldCharType="separate"/>
            </w:r>
            <w:r>
              <w:rPr>
                <w:noProof/>
                <w:webHidden/>
              </w:rPr>
              <w:t>62</w:t>
            </w:r>
            <w:r>
              <w:rPr>
                <w:noProof/>
                <w:webHidden/>
              </w:rPr>
              <w:fldChar w:fldCharType="end"/>
            </w:r>
          </w:hyperlink>
        </w:p>
        <w:p w:rsidR="00AC58FC" w:rsidRDefault="00AC58FC">
          <w:pPr>
            <w:pStyle w:val="TOC3"/>
            <w:rPr>
              <w:rFonts w:asciiTheme="minorHAnsi" w:eastAsiaTheme="minorEastAsia" w:hAnsiTheme="minorHAnsi" w:cstheme="minorBidi"/>
              <w:noProof/>
              <w:lang w:eastAsia="en-AU"/>
            </w:rPr>
          </w:pPr>
          <w:hyperlink w:anchor="_Toc391645303" w:history="1">
            <w:r w:rsidRPr="000A736C">
              <w:rPr>
                <w:rStyle w:val="Hyperlink"/>
                <w:noProof/>
              </w:rPr>
              <w:t>Nonclinical</w:t>
            </w:r>
            <w:r>
              <w:rPr>
                <w:noProof/>
                <w:webHidden/>
              </w:rPr>
              <w:tab/>
            </w:r>
            <w:r>
              <w:rPr>
                <w:noProof/>
                <w:webHidden/>
              </w:rPr>
              <w:fldChar w:fldCharType="begin"/>
            </w:r>
            <w:r>
              <w:rPr>
                <w:noProof/>
                <w:webHidden/>
              </w:rPr>
              <w:instrText xml:space="preserve"> PAGEREF _Toc391645303 \h </w:instrText>
            </w:r>
            <w:r>
              <w:rPr>
                <w:noProof/>
                <w:webHidden/>
              </w:rPr>
            </w:r>
            <w:r>
              <w:rPr>
                <w:noProof/>
                <w:webHidden/>
              </w:rPr>
              <w:fldChar w:fldCharType="separate"/>
            </w:r>
            <w:r>
              <w:rPr>
                <w:noProof/>
                <w:webHidden/>
              </w:rPr>
              <w:t>63</w:t>
            </w:r>
            <w:r>
              <w:rPr>
                <w:noProof/>
                <w:webHidden/>
              </w:rPr>
              <w:fldChar w:fldCharType="end"/>
            </w:r>
          </w:hyperlink>
        </w:p>
        <w:p w:rsidR="00AC58FC" w:rsidRDefault="00AC58FC">
          <w:pPr>
            <w:pStyle w:val="TOC3"/>
            <w:rPr>
              <w:rFonts w:asciiTheme="minorHAnsi" w:eastAsiaTheme="minorEastAsia" w:hAnsiTheme="minorHAnsi" w:cstheme="minorBidi"/>
              <w:noProof/>
              <w:lang w:eastAsia="en-AU"/>
            </w:rPr>
          </w:pPr>
          <w:hyperlink w:anchor="_Toc391645304" w:history="1">
            <w:r w:rsidRPr="000A736C">
              <w:rPr>
                <w:rStyle w:val="Hyperlink"/>
                <w:noProof/>
              </w:rPr>
              <w:t>Clinical</w:t>
            </w:r>
            <w:r>
              <w:rPr>
                <w:noProof/>
                <w:webHidden/>
              </w:rPr>
              <w:tab/>
            </w:r>
            <w:r>
              <w:rPr>
                <w:noProof/>
                <w:webHidden/>
              </w:rPr>
              <w:fldChar w:fldCharType="begin"/>
            </w:r>
            <w:r>
              <w:rPr>
                <w:noProof/>
                <w:webHidden/>
              </w:rPr>
              <w:instrText xml:space="preserve"> PAGEREF _Toc391645304 \h </w:instrText>
            </w:r>
            <w:r>
              <w:rPr>
                <w:noProof/>
                <w:webHidden/>
              </w:rPr>
            </w:r>
            <w:r>
              <w:rPr>
                <w:noProof/>
                <w:webHidden/>
              </w:rPr>
              <w:fldChar w:fldCharType="separate"/>
            </w:r>
            <w:r>
              <w:rPr>
                <w:noProof/>
                <w:webHidden/>
              </w:rPr>
              <w:t>63</w:t>
            </w:r>
            <w:r>
              <w:rPr>
                <w:noProof/>
                <w:webHidden/>
              </w:rPr>
              <w:fldChar w:fldCharType="end"/>
            </w:r>
          </w:hyperlink>
        </w:p>
        <w:p w:rsidR="00AC58FC" w:rsidRDefault="00AC58FC">
          <w:pPr>
            <w:pStyle w:val="TOC3"/>
            <w:rPr>
              <w:rFonts w:asciiTheme="minorHAnsi" w:eastAsiaTheme="minorEastAsia" w:hAnsiTheme="minorHAnsi" w:cstheme="minorBidi"/>
              <w:noProof/>
              <w:lang w:eastAsia="en-AU"/>
            </w:rPr>
          </w:pPr>
          <w:hyperlink w:anchor="_Toc391645305" w:history="1">
            <w:r w:rsidRPr="000A736C">
              <w:rPr>
                <w:rStyle w:val="Hyperlink"/>
                <w:noProof/>
                <w:lang w:eastAsia="en-AU"/>
              </w:rPr>
              <w:t>Risk management plan</w:t>
            </w:r>
            <w:r>
              <w:rPr>
                <w:noProof/>
                <w:webHidden/>
              </w:rPr>
              <w:tab/>
            </w:r>
            <w:r>
              <w:rPr>
                <w:noProof/>
                <w:webHidden/>
              </w:rPr>
              <w:fldChar w:fldCharType="begin"/>
            </w:r>
            <w:r>
              <w:rPr>
                <w:noProof/>
                <w:webHidden/>
              </w:rPr>
              <w:instrText xml:space="preserve"> PAGEREF _Toc391645305 \h </w:instrText>
            </w:r>
            <w:r>
              <w:rPr>
                <w:noProof/>
                <w:webHidden/>
              </w:rPr>
            </w:r>
            <w:r>
              <w:rPr>
                <w:noProof/>
                <w:webHidden/>
              </w:rPr>
              <w:fldChar w:fldCharType="separate"/>
            </w:r>
            <w:r>
              <w:rPr>
                <w:noProof/>
                <w:webHidden/>
              </w:rPr>
              <w:t>66</w:t>
            </w:r>
            <w:r>
              <w:rPr>
                <w:noProof/>
                <w:webHidden/>
              </w:rPr>
              <w:fldChar w:fldCharType="end"/>
            </w:r>
          </w:hyperlink>
        </w:p>
        <w:p w:rsidR="00AC58FC" w:rsidRDefault="00AC58FC">
          <w:pPr>
            <w:pStyle w:val="TOC3"/>
            <w:rPr>
              <w:rFonts w:asciiTheme="minorHAnsi" w:eastAsiaTheme="minorEastAsia" w:hAnsiTheme="minorHAnsi" w:cstheme="minorBidi"/>
              <w:noProof/>
              <w:lang w:eastAsia="en-AU"/>
            </w:rPr>
          </w:pPr>
          <w:hyperlink w:anchor="_Toc391645306" w:history="1">
            <w:r w:rsidRPr="000A736C">
              <w:rPr>
                <w:rStyle w:val="Hyperlink"/>
                <w:noProof/>
              </w:rPr>
              <w:t>Response from sponsor</w:t>
            </w:r>
            <w:r>
              <w:rPr>
                <w:noProof/>
                <w:webHidden/>
              </w:rPr>
              <w:tab/>
            </w:r>
            <w:r>
              <w:rPr>
                <w:noProof/>
                <w:webHidden/>
              </w:rPr>
              <w:fldChar w:fldCharType="begin"/>
            </w:r>
            <w:r>
              <w:rPr>
                <w:noProof/>
                <w:webHidden/>
              </w:rPr>
              <w:instrText xml:space="preserve"> PAGEREF _Toc391645306 \h </w:instrText>
            </w:r>
            <w:r>
              <w:rPr>
                <w:noProof/>
                <w:webHidden/>
              </w:rPr>
            </w:r>
            <w:r>
              <w:rPr>
                <w:noProof/>
                <w:webHidden/>
              </w:rPr>
              <w:fldChar w:fldCharType="separate"/>
            </w:r>
            <w:r>
              <w:rPr>
                <w:noProof/>
                <w:webHidden/>
              </w:rPr>
              <w:t>69</w:t>
            </w:r>
            <w:r>
              <w:rPr>
                <w:noProof/>
                <w:webHidden/>
              </w:rPr>
              <w:fldChar w:fldCharType="end"/>
            </w:r>
          </w:hyperlink>
        </w:p>
        <w:p w:rsidR="00AC58FC" w:rsidRDefault="00AC58FC">
          <w:pPr>
            <w:pStyle w:val="TOC3"/>
            <w:rPr>
              <w:rFonts w:asciiTheme="minorHAnsi" w:eastAsiaTheme="minorEastAsia" w:hAnsiTheme="minorHAnsi" w:cstheme="minorBidi"/>
              <w:noProof/>
              <w:lang w:eastAsia="en-AU"/>
            </w:rPr>
          </w:pPr>
          <w:hyperlink w:anchor="_Toc391645307" w:history="1">
            <w:r w:rsidRPr="000A736C">
              <w:rPr>
                <w:rStyle w:val="Hyperlink"/>
                <w:noProof/>
              </w:rPr>
              <w:t>Outcome</w:t>
            </w:r>
            <w:r>
              <w:rPr>
                <w:noProof/>
                <w:webHidden/>
              </w:rPr>
              <w:tab/>
            </w:r>
            <w:r>
              <w:rPr>
                <w:noProof/>
                <w:webHidden/>
              </w:rPr>
              <w:fldChar w:fldCharType="begin"/>
            </w:r>
            <w:r>
              <w:rPr>
                <w:noProof/>
                <w:webHidden/>
              </w:rPr>
              <w:instrText xml:space="preserve"> PAGEREF _Toc391645307 \h </w:instrText>
            </w:r>
            <w:r>
              <w:rPr>
                <w:noProof/>
                <w:webHidden/>
              </w:rPr>
            </w:r>
            <w:r>
              <w:rPr>
                <w:noProof/>
                <w:webHidden/>
              </w:rPr>
              <w:fldChar w:fldCharType="separate"/>
            </w:r>
            <w:r>
              <w:rPr>
                <w:noProof/>
                <w:webHidden/>
              </w:rPr>
              <w:t>75</w:t>
            </w:r>
            <w:r>
              <w:rPr>
                <w:noProof/>
                <w:webHidden/>
              </w:rPr>
              <w:fldChar w:fldCharType="end"/>
            </w:r>
          </w:hyperlink>
        </w:p>
        <w:p w:rsidR="00AC58FC" w:rsidRDefault="00AC58FC">
          <w:pPr>
            <w:pStyle w:val="TOC2"/>
            <w:rPr>
              <w:rFonts w:asciiTheme="minorHAnsi" w:eastAsiaTheme="minorEastAsia" w:hAnsiTheme="minorHAnsi" w:cstheme="minorBidi"/>
              <w:b w:val="0"/>
              <w:noProof/>
              <w:sz w:val="22"/>
              <w:lang w:eastAsia="en-AU"/>
            </w:rPr>
          </w:pPr>
          <w:hyperlink w:anchor="_Toc391645308" w:history="1">
            <w:r w:rsidRPr="000A736C">
              <w:rPr>
                <w:rStyle w:val="Hyperlink"/>
                <w:noProof/>
              </w:rPr>
              <w:t>Attachment 1: Product Information</w:t>
            </w:r>
            <w:r>
              <w:rPr>
                <w:noProof/>
                <w:webHidden/>
              </w:rPr>
              <w:tab/>
            </w:r>
            <w:r>
              <w:rPr>
                <w:noProof/>
                <w:webHidden/>
              </w:rPr>
              <w:fldChar w:fldCharType="begin"/>
            </w:r>
            <w:r>
              <w:rPr>
                <w:noProof/>
                <w:webHidden/>
              </w:rPr>
              <w:instrText xml:space="preserve"> PAGEREF _Toc391645308 \h </w:instrText>
            </w:r>
            <w:r>
              <w:rPr>
                <w:noProof/>
                <w:webHidden/>
              </w:rPr>
            </w:r>
            <w:r>
              <w:rPr>
                <w:noProof/>
                <w:webHidden/>
              </w:rPr>
              <w:fldChar w:fldCharType="separate"/>
            </w:r>
            <w:r>
              <w:rPr>
                <w:noProof/>
                <w:webHidden/>
              </w:rPr>
              <w:t>75</w:t>
            </w:r>
            <w:r>
              <w:rPr>
                <w:noProof/>
                <w:webHidden/>
              </w:rPr>
              <w:fldChar w:fldCharType="end"/>
            </w:r>
          </w:hyperlink>
        </w:p>
        <w:p w:rsidR="003A7F6C" w:rsidRPr="00B811C6" w:rsidRDefault="00AC58FC" w:rsidP="00B811C6">
          <w:pPr>
            <w:pStyle w:val="TOC2"/>
          </w:pPr>
          <w:r w:rsidRPr="000A736C">
            <w:rPr>
              <w:rStyle w:val="Hyperlink"/>
              <w:noProof/>
            </w:rPr>
            <w:fldChar w:fldCharType="begin"/>
          </w:r>
          <w:r w:rsidRPr="000A736C">
            <w:rPr>
              <w:rStyle w:val="Hyperlink"/>
              <w:noProof/>
            </w:rPr>
            <w:instrText xml:space="preserve"> </w:instrText>
          </w:r>
          <w:r>
            <w:rPr>
              <w:noProof/>
            </w:rPr>
            <w:instrText>HYPERLINK \l "_Toc391645309"</w:instrText>
          </w:r>
          <w:r w:rsidRPr="000A736C">
            <w:rPr>
              <w:rStyle w:val="Hyperlink"/>
              <w:noProof/>
            </w:rPr>
            <w:instrText xml:space="preserve"> </w:instrText>
          </w:r>
          <w:r w:rsidRPr="000A736C">
            <w:rPr>
              <w:rStyle w:val="Hyperlink"/>
              <w:noProof/>
            </w:rPr>
          </w:r>
          <w:r w:rsidRPr="000A736C">
            <w:rPr>
              <w:rStyle w:val="Hyperlink"/>
              <w:noProof/>
            </w:rPr>
            <w:fldChar w:fldCharType="separate"/>
          </w:r>
          <w:r w:rsidRPr="000A736C">
            <w:rPr>
              <w:rStyle w:val="Hyperlink"/>
              <w:noProof/>
              <w:lang w:eastAsia="en-AU"/>
            </w:rPr>
            <w:t>Attachment 2: Extract from the Clinical Evaluation Report</w:t>
          </w:r>
          <w:r>
            <w:rPr>
              <w:noProof/>
              <w:webHidden/>
            </w:rPr>
            <w:tab/>
          </w:r>
          <w:r>
            <w:rPr>
              <w:noProof/>
              <w:webHidden/>
            </w:rPr>
            <w:fldChar w:fldCharType="begin"/>
          </w:r>
          <w:r>
            <w:rPr>
              <w:noProof/>
              <w:webHidden/>
            </w:rPr>
            <w:instrText xml:space="preserve"> PAGEREF _Toc391645309 \h </w:instrText>
          </w:r>
          <w:r>
            <w:rPr>
              <w:noProof/>
              <w:webHidden/>
            </w:rPr>
          </w:r>
          <w:r>
            <w:rPr>
              <w:noProof/>
              <w:webHidden/>
            </w:rPr>
            <w:fldChar w:fldCharType="separate"/>
          </w:r>
          <w:r>
            <w:rPr>
              <w:noProof/>
              <w:webHidden/>
            </w:rPr>
            <w:t>76</w:t>
          </w:r>
          <w:r>
            <w:rPr>
              <w:noProof/>
              <w:webHidden/>
            </w:rPr>
            <w:fldChar w:fldCharType="end"/>
          </w:r>
          <w:r w:rsidRPr="000A736C">
            <w:rPr>
              <w:rStyle w:val="Hyperlink"/>
              <w:noProof/>
            </w:rPr>
            <w:fldChar w:fldCharType="end"/>
          </w:r>
          <w:r w:rsidR="00DB6124">
            <w:fldChar w:fldCharType="end"/>
          </w:r>
        </w:p>
        <w:bookmarkStart w:id="2" w:name="_GoBack" w:displacedByCustomXml="next"/>
        <w:bookmarkEnd w:id="2" w:displacedByCustomXml="next"/>
      </w:sdtContent>
    </w:sdt>
    <w:bookmarkStart w:id="3" w:name="_Toc314842482" w:displacedByCustomXml="prev"/>
    <w:p w:rsidR="00B347CA" w:rsidRDefault="00B347CA">
      <w:pPr>
        <w:spacing w:before="0" w:after="200" w:line="0" w:lineRule="auto"/>
        <w:rPr>
          <w:rFonts w:ascii="Arial" w:eastAsia="Times New Roman" w:hAnsi="Arial"/>
          <w:b/>
          <w:bCs/>
          <w:sz w:val="32"/>
          <w:szCs w:val="26"/>
        </w:rPr>
      </w:pPr>
      <w:r>
        <w:br w:type="page"/>
      </w:r>
    </w:p>
    <w:p w:rsidR="005834EC" w:rsidRDefault="005834EC" w:rsidP="006250DD">
      <w:pPr>
        <w:pStyle w:val="Heading2"/>
      </w:pPr>
      <w:bookmarkStart w:id="4" w:name="_Toc391645260"/>
      <w:r>
        <w:lastRenderedPageBreak/>
        <w:t xml:space="preserve">List of commonly used </w:t>
      </w:r>
      <w:r w:rsidRPr="006250DD">
        <w:t>abbreviations</w:t>
      </w:r>
      <w:bookmarkEnd w:id="4"/>
    </w:p>
    <w:tbl>
      <w:tblPr>
        <w:tblStyle w:val="TableTGAblue"/>
        <w:tblW w:w="8682" w:type="dxa"/>
        <w:tblLook w:val="04A0" w:firstRow="1" w:lastRow="0" w:firstColumn="1" w:lastColumn="0" w:noHBand="0" w:noVBand="1"/>
      </w:tblPr>
      <w:tblGrid>
        <w:gridCol w:w="1912"/>
        <w:gridCol w:w="6770"/>
      </w:tblGrid>
      <w:tr w:rsidR="005834EC" w:rsidTr="006250DD">
        <w:trPr>
          <w:cnfStyle w:val="100000000000" w:firstRow="1" w:lastRow="0" w:firstColumn="0" w:lastColumn="0" w:oddVBand="0" w:evenVBand="0" w:oddHBand="0" w:evenHBand="0" w:firstRowFirstColumn="0" w:firstRowLastColumn="0" w:lastRowFirstColumn="0" w:lastRowLastColumn="0"/>
          <w:trHeight w:val="144"/>
        </w:trPr>
        <w:tc>
          <w:tcPr>
            <w:tcW w:w="1912" w:type="dxa"/>
          </w:tcPr>
          <w:p w:rsidR="005834EC" w:rsidRPr="00EB0746" w:rsidRDefault="005834EC" w:rsidP="006250DD">
            <w:pPr>
              <w:rPr>
                <w:lang w:val="en-GB"/>
              </w:rPr>
            </w:pPr>
            <w:r>
              <w:rPr>
                <w:lang w:val="en-GB"/>
              </w:rPr>
              <w:t>Abbreviation</w:t>
            </w:r>
          </w:p>
        </w:tc>
        <w:tc>
          <w:tcPr>
            <w:tcW w:w="6770" w:type="dxa"/>
          </w:tcPr>
          <w:p w:rsidR="005834EC" w:rsidRDefault="005834EC" w:rsidP="006250DD">
            <w:r>
              <w:t>Meaning</w:t>
            </w:r>
          </w:p>
        </w:tc>
      </w:tr>
      <w:tr w:rsidR="005834EC" w:rsidTr="006250DD">
        <w:trPr>
          <w:trHeight w:val="144"/>
        </w:trPr>
        <w:tc>
          <w:tcPr>
            <w:tcW w:w="1912" w:type="dxa"/>
          </w:tcPr>
          <w:p w:rsidR="005834EC" w:rsidRPr="005834EC" w:rsidRDefault="005834EC" w:rsidP="006250DD">
            <w:r w:rsidRPr="005834EC">
              <w:t>ACT-064992</w:t>
            </w:r>
          </w:p>
        </w:tc>
        <w:tc>
          <w:tcPr>
            <w:tcW w:w="6770" w:type="dxa"/>
          </w:tcPr>
          <w:p w:rsidR="005834EC" w:rsidRPr="005834EC" w:rsidRDefault="00D31FB2" w:rsidP="006250DD">
            <w:r>
              <w:t>M</w:t>
            </w:r>
            <w:r w:rsidR="005834EC" w:rsidRPr="005834EC">
              <w:t>acitentan</w:t>
            </w:r>
          </w:p>
        </w:tc>
      </w:tr>
      <w:tr w:rsidR="00442579" w:rsidTr="006250DD">
        <w:trPr>
          <w:trHeight w:val="144"/>
        </w:trPr>
        <w:tc>
          <w:tcPr>
            <w:tcW w:w="1912" w:type="dxa"/>
          </w:tcPr>
          <w:p w:rsidR="00442579" w:rsidRPr="005834EC" w:rsidRDefault="00442579" w:rsidP="006250DD">
            <w:r>
              <w:t>AE</w:t>
            </w:r>
          </w:p>
        </w:tc>
        <w:tc>
          <w:tcPr>
            <w:tcW w:w="6770" w:type="dxa"/>
          </w:tcPr>
          <w:p w:rsidR="00442579" w:rsidRDefault="00442579" w:rsidP="006250DD">
            <w:r>
              <w:t>Adverse event</w:t>
            </w:r>
          </w:p>
        </w:tc>
      </w:tr>
      <w:tr w:rsidR="005834EC" w:rsidTr="006250DD">
        <w:trPr>
          <w:trHeight w:val="144"/>
        </w:trPr>
        <w:tc>
          <w:tcPr>
            <w:tcW w:w="1912" w:type="dxa"/>
          </w:tcPr>
          <w:p w:rsidR="005834EC" w:rsidRPr="005834EC" w:rsidRDefault="005834EC" w:rsidP="006250DD">
            <w:r w:rsidRPr="005834EC">
              <w:t>ALT</w:t>
            </w:r>
          </w:p>
        </w:tc>
        <w:tc>
          <w:tcPr>
            <w:tcW w:w="6770" w:type="dxa"/>
          </w:tcPr>
          <w:p w:rsidR="005834EC" w:rsidRPr="005834EC" w:rsidRDefault="005834EC" w:rsidP="006250DD">
            <w:r w:rsidRPr="005834EC">
              <w:t>Alanine transaminase</w:t>
            </w:r>
          </w:p>
        </w:tc>
      </w:tr>
      <w:tr w:rsidR="005834EC" w:rsidTr="006250DD">
        <w:trPr>
          <w:trHeight w:val="144"/>
        </w:trPr>
        <w:tc>
          <w:tcPr>
            <w:tcW w:w="1912" w:type="dxa"/>
          </w:tcPr>
          <w:p w:rsidR="005834EC" w:rsidRPr="005834EC" w:rsidRDefault="005834EC" w:rsidP="006250DD">
            <w:r w:rsidRPr="005834EC">
              <w:t>AST</w:t>
            </w:r>
          </w:p>
        </w:tc>
        <w:tc>
          <w:tcPr>
            <w:tcW w:w="6770" w:type="dxa"/>
          </w:tcPr>
          <w:p w:rsidR="005834EC" w:rsidRPr="005834EC" w:rsidRDefault="005834EC" w:rsidP="006250DD">
            <w:r w:rsidRPr="005834EC">
              <w:t>Aspartate transaminase</w:t>
            </w:r>
          </w:p>
        </w:tc>
      </w:tr>
      <w:tr w:rsidR="005834EC" w:rsidTr="006250DD">
        <w:trPr>
          <w:trHeight w:val="144"/>
        </w:trPr>
        <w:tc>
          <w:tcPr>
            <w:tcW w:w="1912" w:type="dxa"/>
          </w:tcPr>
          <w:p w:rsidR="005834EC" w:rsidRPr="005834EC" w:rsidRDefault="005834EC" w:rsidP="006250DD">
            <w:r w:rsidRPr="005834EC">
              <w:t>AUC</w:t>
            </w:r>
            <w:r w:rsidRPr="00E32A65">
              <w:rPr>
                <w:vertAlign w:val="subscript"/>
              </w:rPr>
              <w:t>0-t</w:t>
            </w:r>
          </w:p>
        </w:tc>
        <w:tc>
          <w:tcPr>
            <w:tcW w:w="6770" w:type="dxa"/>
          </w:tcPr>
          <w:p w:rsidR="005834EC" w:rsidRPr="005834EC" w:rsidRDefault="005834EC" w:rsidP="006250DD">
            <w:r w:rsidRPr="005834EC">
              <w:t>Area under plasma concentration-time curve from zero to time t of the last measured concentration above the limit of quantification</w:t>
            </w:r>
          </w:p>
        </w:tc>
      </w:tr>
      <w:tr w:rsidR="005834EC" w:rsidTr="006250DD">
        <w:trPr>
          <w:trHeight w:val="144"/>
        </w:trPr>
        <w:tc>
          <w:tcPr>
            <w:tcW w:w="1912" w:type="dxa"/>
          </w:tcPr>
          <w:p w:rsidR="005834EC" w:rsidRPr="005834EC" w:rsidRDefault="005834EC" w:rsidP="006250DD">
            <w:r w:rsidRPr="005834EC">
              <w:t>AUC</w:t>
            </w:r>
            <w:r w:rsidRPr="00E32A65">
              <w:rPr>
                <w:vertAlign w:val="subscript"/>
              </w:rPr>
              <w:t>0-∞</w:t>
            </w:r>
          </w:p>
        </w:tc>
        <w:tc>
          <w:tcPr>
            <w:tcW w:w="6770" w:type="dxa"/>
          </w:tcPr>
          <w:p w:rsidR="005834EC" w:rsidRPr="005834EC" w:rsidRDefault="005834EC" w:rsidP="006250DD">
            <w:r w:rsidRPr="005834EC">
              <w:t>Area under plasma concentration-time curve from zero to infinity</w:t>
            </w:r>
          </w:p>
        </w:tc>
      </w:tr>
      <w:tr w:rsidR="005834EC" w:rsidTr="006250DD">
        <w:trPr>
          <w:trHeight w:val="144"/>
        </w:trPr>
        <w:tc>
          <w:tcPr>
            <w:tcW w:w="1912" w:type="dxa"/>
          </w:tcPr>
          <w:p w:rsidR="005834EC" w:rsidRPr="005834EC" w:rsidRDefault="005834EC" w:rsidP="006250DD">
            <w:r w:rsidRPr="005834EC">
              <w:t>bd</w:t>
            </w:r>
          </w:p>
        </w:tc>
        <w:tc>
          <w:tcPr>
            <w:tcW w:w="6770" w:type="dxa"/>
          </w:tcPr>
          <w:p w:rsidR="005834EC" w:rsidRPr="005834EC" w:rsidRDefault="005834EC" w:rsidP="006250DD">
            <w:r w:rsidRPr="005834EC">
              <w:t>Twice daily</w:t>
            </w:r>
          </w:p>
        </w:tc>
      </w:tr>
      <w:tr w:rsidR="005834EC" w:rsidTr="006250DD">
        <w:trPr>
          <w:trHeight w:val="144"/>
        </w:trPr>
        <w:tc>
          <w:tcPr>
            <w:tcW w:w="1912" w:type="dxa"/>
          </w:tcPr>
          <w:p w:rsidR="005834EC" w:rsidRPr="005834EC" w:rsidRDefault="005834EC" w:rsidP="006250DD">
            <w:r w:rsidRPr="005834EC">
              <w:t>BP</w:t>
            </w:r>
          </w:p>
        </w:tc>
        <w:tc>
          <w:tcPr>
            <w:tcW w:w="6770" w:type="dxa"/>
          </w:tcPr>
          <w:p w:rsidR="005834EC" w:rsidRPr="005834EC" w:rsidRDefault="005834EC" w:rsidP="006250DD">
            <w:r w:rsidRPr="005834EC">
              <w:t>Blood pressure</w:t>
            </w:r>
          </w:p>
        </w:tc>
      </w:tr>
      <w:tr w:rsidR="005834EC" w:rsidTr="006250DD">
        <w:trPr>
          <w:trHeight w:val="144"/>
        </w:trPr>
        <w:tc>
          <w:tcPr>
            <w:tcW w:w="1912" w:type="dxa"/>
          </w:tcPr>
          <w:p w:rsidR="005834EC" w:rsidRPr="005834EC" w:rsidRDefault="005834EC" w:rsidP="006250DD">
            <w:r w:rsidRPr="005834EC">
              <w:t>bpm</w:t>
            </w:r>
          </w:p>
        </w:tc>
        <w:tc>
          <w:tcPr>
            <w:tcW w:w="6770" w:type="dxa"/>
          </w:tcPr>
          <w:p w:rsidR="005834EC" w:rsidRPr="005834EC" w:rsidRDefault="005834EC" w:rsidP="006250DD">
            <w:r w:rsidRPr="005834EC">
              <w:t>Beats per minute</w:t>
            </w:r>
          </w:p>
        </w:tc>
      </w:tr>
      <w:tr w:rsidR="005834EC" w:rsidTr="006250DD">
        <w:trPr>
          <w:trHeight w:val="144"/>
        </w:trPr>
        <w:tc>
          <w:tcPr>
            <w:tcW w:w="1912" w:type="dxa"/>
          </w:tcPr>
          <w:p w:rsidR="005834EC" w:rsidRPr="005834EC" w:rsidRDefault="005834EC" w:rsidP="006250DD">
            <w:r w:rsidRPr="005834EC">
              <w:t>CI</w:t>
            </w:r>
          </w:p>
        </w:tc>
        <w:tc>
          <w:tcPr>
            <w:tcW w:w="6770" w:type="dxa"/>
          </w:tcPr>
          <w:p w:rsidR="005834EC" w:rsidRPr="005834EC" w:rsidRDefault="005834EC" w:rsidP="006250DD">
            <w:r w:rsidRPr="005834EC">
              <w:t>Confidence interval</w:t>
            </w:r>
          </w:p>
        </w:tc>
      </w:tr>
      <w:tr w:rsidR="005834EC" w:rsidTr="006250DD">
        <w:trPr>
          <w:trHeight w:val="144"/>
        </w:trPr>
        <w:tc>
          <w:tcPr>
            <w:tcW w:w="1912" w:type="dxa"/>
          </w:tcPr>
          <w:p w:rsidR="005834EC" w:rsidRPr="005834EC" w:rsidRDefault="005834EC" w:rsidP="006250DD">
            <w:r w:rsidRPr="005834EC">
              <w:t>CL</w:t>
            </w:r>
          </w:p>
        </w:tc>
        <w:tc>
          <w:tcPr>
            <w:tcW w:w="6770" w:type="dxa"/>
          </w:tcPr>
          <w:p w:rsidR="005834EC" w:rsidRPr="005834EC" w:rsidRDefault="005834EC" w:rsidP="006250DD">
            <w:r w:rsidRPr="005834EC">
              <w:t>Confidence limit</w:t>
            </w:r>
          </w:p>
        </w:tc>
      </w:tr>
      <w:tr w:rsidR="005834EC" w:rsidTr="006250DD">
        <w:trPr>
          <w:trHeight w:val="144"/>
        </w:trPr>
        <w:tc>
          <w:tcPr>
            <w:tcW w:w="1912" w:type="dxa"/>
          </w:tcPr>
          <w:p w:rsidR="005834EC" w:rsidRPr="005834EC" w:rsidRDefault="005834EC" w:rsidP="006250DD">
            <w:r w:rsidRPr="005834EC">
              <w:t>CRF</w:t>
            </w:r>
          </w:p>
        </w:tc>
        <w:tc>
          <w:tcPr>
            <w:tcW w:w="6770" w:type="dxa"/>
          </w:tcPr>
          <w:p w:rsidR="005834EC" w:rsidRPr="005834EC" w:rsidRDefault="005834EC" w:rsidP="006250DD">
            <w:r w:rsidRPr="005834EC">
              <w:t>Clinical report form</w:t>
            </w:r>
          </w:p>
        </w:tc>
      </w:tr>
      <w:tr w:rsidR="005834EC" w:rsidTr="006250DD">
        <w:trPr>
          <w:trHeight w:val="144"/>
        </w:trPr>
        <w:tc>
          <w:tcPr>
            <w:tcW w:w="1912" w:type="dxa"/>
          </w:tcPr>
          <w:p w:rsidR="005834EC" w:rsidRPr="005834EC" w:rsidRDefault="005834EC" w:rsidP="006250DD">
            <w:r w:rsidRPr="005834EC">
              <w:t>CSR</w:t>
            </w:r>
          </w:p>
        </w:tc>
        <w:tc>
          <w:tcPr>
            <w:tcW w:w="6770" w:type="dxa"/>
          </w:tcPr>
          <w:p w:rsidR="005834EC" w:rsidRPr="005834EC" w:rsidRDefault="005834EC" w:rsidP="006250DD">
            <w:r w:rsidRPr="005834EC">
              <w:t>Clinical Study Report</w:t>
            </w:r>
          </w:p>
        </w:tc>
      </w:tr>
      <w:tr w:rsidR="005834EC" w:rsidTr="006250DD">
        <w:trPr>
          <w:trHeight w:val="144"/>
        </w:trPr>
        <w:tc>
          <w:tcPr>
            <w:tcW w:w="1912" w:type="dxa"/>
          </w:tcPr>
          <w:p w:rsidR="005834EC" w:rsidRPr="005834EC" w:rsidRDefault="005834EC" w:rsidP="006250DD">
            <w:r w:rsidRPr="005834EC">
              <w:t>DBP</w:t>
            </w:r>
          </w:p>
        </w:tc>
        <w:tc>
          <w:tcPr>
            <w:tcW w:w="6770" w:type="dxa"/>
          </w:tcPr>
          <w:p w:rsidR="005834EC" w:rsidRPr="005834EC" w:rsidRDefault="005834EC" w:rsidP="006250DD">
            <w:r w:rsidRPr="005834EC">
              <w:t>Diastolic blood pressure</w:t>
            </w:r>
          </w:p>
        </w:tc>
      </w:tr>
      <w:tr w:rsidR="005834EC" w:rsidTr="006250DD">
        <w:trPr>
          <w:trHeight w:val="144"/>
        </w:trPr>
        <w:tc>
          <w:tcPr>
            <w:tcW w:w="1912" w:type="dxa"/>
          </w:tcPr>
          <w:p w:rsidR="005834EC" w:rsidRPr="005834EC" w:rsidRDefault="005834EC" w:rsidP="006250DD">
            <w:r w:rsidRPr="005834EC">
              <w:t>DDI</w:t>
            </w:r>
          </w:p>
        </w:tc>
        <w:tc>
          <w:tcPr>
            <w:tcW w:w="6770" w:type="dxa"/>
          </w:tcPr>
          <w:p w:rsidR="005834EC" w:rsidRPr="005834EC" w:rsidRDefault="005834EC" w:rsidP="006250DD">
            <w:r w:rsidRPr="005834EC">
              <w:t>Drug-drug interaction</w:t>
            </w:r>
          </w:p>
        </w:tc>
      </w:tr>
      <w:tr w:rsidR="005834EC" w:rsidTr="006250DD">
        <w:trPr>
          <w:trHeight w:val="144"/>
        </w:trPr>
        <w:tc>
          <w:tcPr>
            <w:tcW w:w="1912" w:type="dxa"/>
          </w:tcPr>
          <w:p w:rsidR="005834EC" w:rsidRPr="005834EC" w:rsidRDefault="005834EC" w:rsidP="006250DD">
            <w:r w:rsidRPr="005834EC">
              <w:t>EOS</w:t>
            </w:r>
          </w:p>
        </w:tc>
        <w:tc>
          <w:tcPr>
            <w:tcW w:w="6770" w:type="dxa"/>
          </w:tcPr>
          <w:p w:rsidR="005834EC" w:rsidRPr="005834EC" w:rsidRDefault="005834EC" w:rsidP="006250DD">
            <w:r w:rsidRPr="005834EC">
              <w:t>End-of-study</w:t>
            </w:r>
          </w:p>
        </w:tc>
      </w:tr>
      <w:tr w:rsidR="005834EC" w:rsidTr="006250DD">
        <w:trPr>
          <w:trHeight w:val="144"/>
        </w:trPr>
        <w:tc>
          <w:tcPr>
            <w:tcW w:w="1912" w:type="dxa"/>
          </w:tcPr>
          <w:p w:rsidR="005834EC" w:rsidRPr="005834EC" w:rsidRDefault="005834EC" w:rsidP="006250DD">
            <w:r w:rsidRPr="005834EC">
              <w:t>EOT</w:t>
            </w:r>
          </w:p>
        </w:tc>
        <w:tc>
          <w:tcPr>
            <w:tcW w:w="6770" w:type="dxa"/>
          </w:tcPr>
          <w:p w:rsidR="005834EC" w:rsidRPr="005834EC" w:rsidRDefault="005834EC" w:rsidP="006250DD">
            <w:r w:rsidRPr="005834EC">
              <w:t>End-of-treatment</w:t>
            </w:r>
          </w:p>
        </w:tc>
      </w:tr>
      <w:tr w:rsidR="005834EC" w:rsidTr="006250DD">
        <w:trPr>
          <w:trHeight w:val="144"/>
        </w:trPr>
        <w:tc>
          <w:tcPr>
            <w:tcW w:w="1912" w:type="dxa"/>
          </w:tcPr>
          <w:p w:rsidR="005834EC" w:rsidRPr="005834EC" w:rsidRDefault="005834EC" w:rsidP="006250DD">
            <w:r w:rsidRPr="005834EC">
              <w:t>EU</w:t>
            </w:r>
          </w:p>
        </w:tc>
        <w:tc>
          <w:tcPr>
            <w:tcW w:w="6770" w:type="dxa"/>
          </w:tcPr>
          <w:p w:rsidR="005834EC" w:rsidRPr="005834EC" w:rsidRDefault="005834EC" w:rsidP="006250DD">
            <w:r w:rsidRPr="005834EC">
              <w:t>European Union</w:t>
            </w:r>
          </w:p>
        </w:tc>
      </w:tr>
      <w:tr w:rsidR="00D31FB2" w:rsidTr="006250DD">
        <w:trPr>
          <w:trHeight w:val="144"/>
        </w:trPr>
        <w:tc>
          <w:tcPr>
            <w:tcW w:w="1912" w:type="dxa"/>
          </w:tcPr>
          <w:p w:rsidR="00D31FB2" w:rsidRPr="005834EC" w:rsidRDefault="00D31FB2" w:rsidP="006250DD">
            <w:r>
              <w:t>FC</w:t>
            </w:r>
          </w:p>
        </w:tc>
        <w:tc>
          <w:tcPr>
            <w:tcW w:w="6770" w:type="dxa"/>
          </w:tcPr>
          <w:p w:rsidR="00D31FB2" w:rsidRPr="005834EC" w:rsidRDefault="00D31FB2" w:rsidP="006250DD">
            <w:r>
              <w:t>(WHO) Functional Class</w:t>
            </w:r>
          </w:p>
        </w:tc>
      </w:tr>
      <w:tr w:rsidR="005834EC" w:rsidTr="006250DD">
        <w:trPr>
          <w:trHeight w:val="494"/>
        </w:trPr>
        <w:tc>
          <w:tcPr>
            <w:tcW w:w="1912" w:type="dxa"/>
          </w:tcPr>
          <w:p w:rsidR="005834EC" w:rsidRPr="005834EC" w:rsidRDefault="005834EC" w:rsidP="006250DD">
            <w:r w:rsidRPr="005834EC">
              <w:t>FDA</w:t>
            </w:r>
          </w:p>
        </w:tc>
        <w:tc>
          <w:tcPr>
            <w:tcW w:w="6770" w:type="dxa"/>
          </w:tcPr>
          <w:p w:rsidR="005834EC" w:rsidRPr="005834EC" w:rsidRDefault="005834EC" w:rsidP="006250DD">
            <w:r w:rsidRPr="005834EC">
              <w:t>Food and Drug Administration</w:t>
            </w:r>
          </w:p>
        </w:tc>
      </w:tr>
      <w:tr w:rsidR="005834EC" w:rsidTr="006250DD">
        <w:trPr>
          <w:trHeight w:val="509"/>
        </w:trPr>
        <w:tc>
          <w:tcPr>
            <w:tcW w:w="1912" w:type="dxa"/>
          </w:tcPr>
          <w:p w:rsidR="005834EC" w:rsidRPr="005834EC" w:rsidRDefault="005834EC" w:rsidP="006250DD">
            <w:r w:rsidRPr="005834EC">
              <w:t>GCP</w:t>
            </w:r>
          </w:p>
        </w:tc>
        <w:tc>
          <w:tcPr>
            <w:tcW w:w="6770" w:type="dxa"/>
          </w:tcPr>
          <w:p w:rsidR="005834EC" w:rsidRPr="005834EC" w:rsidRDefault="005834EC" w:rsidP="006250DD">
            <w:r w:rsidRPr="005834EC">
              <w:t>Good Clinical Practice</w:t>
            </w:r>
          </w:p>
        </w:tc>
      </w:tr>
      <w:tr w:rsidR="005834EC" w:rsidTr="006250DD">
        <w:trPr>
          <w:trHeight w:val="509"/>
        </w:trPr>
        <w:tc>
          <w:tcPr>
            <w:tcW w:w="1912" w:type="dxa"/>
          </w:tcPr>
          <w:p w:rsidR="005834EC" w:rsidRPr="005834EC" w:rsidRDefault="005834EC" w:rsidP="006250DD">
            <w:r w:rsidRPr="005834EC">
              <w:t>HR</w:t>
            </w:r>
          </w:p>
        </w:tc>
        <w:tc>
          <w:tcPr>
            <w:tcW w:w="6770" w:type="dxa"/>
          </w:tcPr>
          <w:p w:rsidR="005834EC" w:rsidRPr="005834EC" w:rsidRDefault="005834EC" w:rsidP="006250DD">
            <w:r w:rsidRPr="005834EC">
              <w:t>Heart rate</w:t>
            </w:r>
          </w:p>
        </w:tc>
      </w:tr>
      <w:tr w:rsidR="005834EC" w:rsidTr="006250DD">
        <w:trPr>
          <w:trHeight w:val="494"/>
        </w:trPr>
        <w:tc>
          <w:tcPr>
            <w:tcW w:w="1912" w:type="dxa"/>
          </w:tcPr>
          <w:p w:rsidR="005834EC" w:rsidRPr="005834EC" w:rsidRDefault="005834EC" w:rsidP="006250DD">
            <w:r w:rsidRPr="005834EC">
              <w:t>IPF</w:t>
            </w:r>
          </w:p>
        </w:tc>
        <w:tc>
          <w:tcPr>
            <w:tcW w:w="6770" w:type="dxa"/>
          </w:tcPr>
          <w:p w:rsidR="005834EC" w:rsidRPr="005834EC" w:rsidRDefault="00D31FB2" w:rsidP="006250DD">
            <w:r>
              <w:t>I</w:t>
            </w:r>
            <w:r w:rsidR="005834EC" w:rsidRPr="005834EC">
              <w:t>diopathic pulmonary fibrosis</w:t>
            </w:r>
          </w:p>
        </w:tc>
      </w:tr>
      <w:tr w:rsidR="005834EC" w:rsidTr="006250DD">
        <w:trPr>
          <w:trHeight w:val="494"/>
        </w:trPr>
        <w:tc>
          <w:tcPr>
            <w:tcW w:w="1912" w:type="dxa"/>
          </w:tcPr>
          <w:p w:rsidR="005834EC" w:rsidRPr="005834EC" w:rsidRDefault="005834EC" w:rsidP="006250DD">
            <w:r w:rsidRPr="005834EC">
              <w:t>L</w:t>
            </w:r>
          </w:p>
        </w:tc>
        <w:tc>
          <w:tcPr>
            <w:tcW w:w="6770" w:type="dxa"/>
          </w:tcPr>
          <w:p w:rsidR="005834EC" w:rsidRPr="005834EC" w:rsidRDefault="005834EC" w:rsidP="006250DD">
            <w:r w:rsidRPr="005834EC">
              <w:t>Litre</w:t>
            </w:r>
          </w:p>
        </w:tc>
      </w:tr>
      <w:tr w:rsidR="005834EC" w:rsidTr="006250DD">
        <w:trPr>
          <w:trHeight w:val="509"/>
        </w:trPr>
        <w:tc>
          <w:tcPr>
            <w:tcW w:w="1912" w:type="dxa"/>
          </w:tcPr>
          <w:p w:rsidR="005834EC" w:rsidRPr="005834EC" w:rsidRDefault="005834EC" w:rsidP="006250DD">
            <w:r w:rsidRPr="005834EC">
              <w:lastRenderedPageBreak/>
              <w:t>m</w:t>
            </w:r>
          </w:p>
        </w:tc>
        <w:tc>
          <w:tcPr>
            <w:tcW w:w="6770" w:type="dxa"/>
          </w:tcPr>
          <w:p w:rsidR="005834EC" w:rsidRPr="005834EC" w:rsidRDefault="005834EC" w:rsidP="006250DD">
            <w:r w:rsidRPr="005834EC">
              <w:t>metre</w:t>
            </w:r>
          </w:p>
        </w:tc>
      </w:tr>
      <w:tr w:rsidR="005834EC" w:rsidTr="006250DD">
        <w:trPr>
          <w:trHeight w:val="494"/>
        </w:trPr>
        <w:tc>
          <w:tcPr>
            <w:tcW w:w="1912" w:type="dxa"/>
          </w:tcPr>
          <w:p w:rsidR="005834EC" w:rsidRPr="005834EC" w:rsidRDefault="005834EC" w:rsidP="006250DD">
            <w:r w:rsidRPr="005834EC">
              <w:t>MAD</w:t>
            </w:r>
          </w:p>
        </w:tc>
        <w:tc>
          <w:tcPr>
            <w:tcW w:w="6770" w:type="dxa"/>
          </w:tcPr>
          <w:p w:rsidR="005834EC" w:rsidRPr="005834EC" w:rsidRDefault="00D31FB2" w:rsidP="006250DD">
            <w:r>
              <w:t>M</w:t>
            </w:r>
            <w:r w:rsidR="005834EC" w:rsidRPr="005834EC">
              <w:t>ultiple-ascending-dose</w:t>
            </w:r>
          </w:p>
        </w:tc>
      </w:tr>
      <w:tr w:rsidR="005834EC" w:rsidTr="006250DD">
        <w:trPr>
          <w:trHeight w:val="509"/>
        </w:trPr>
        <w:tc>
          <w:tcPr>
            <w:tcW w:w="1912" w:type="dxa"/>
          </w:tcPr>
          <w:p w:rsidR="005834EC" w:rsidRPr="005834EC" w:rsidRDefault="005834EC" w:rsidP="006250DD">
            <w:r w:rsidRPr="005834EC">
              <w:t>mg</w:t>
            </w:r>
          </w:p>
        </w:tc>
        <w:tc>
          <w:tcPr>
            <w:tcW w:w="6770" w:type="dxa"/>
          </w:tcPr>
          <w:p w:rsidR="005834EC" w:rsidRPr="005834EC" w:rsidRDefault="005834EC" w:rsidP="006250DD">
            <w:r w:rsidRPr="005834EC">
              <w:t>Milligram</w:t>
            </w:r>
          </w:p>
        </w:tc>
      </w:tr>
      <w:tr w:rsidR="005834EC" w:rsidTr="006250DD">
        <w:trPr>
          <w:trHeight w:val="494"/>
        </w:trPr>
        <w:tc>
          <w:tcPr>
            <w:tcW w:w="1912" w:type="dxa"/>
          </w:tcPr>
          <w:p w:rsidR="005834EC" w:rsidRPr="005834EC" w:rsidRDefault="005834EC" w:rsidP="006250DD">
            <w:r w:rsidRPr="005834EC">
              <w:t>mL</w:t>
            </w:r>
          </w:p>
        </w:tc>
        <w:tc>
          <w:tcPr>
            <w:tcW w:w="6770" w:type="dxa"/>
          </w:tcPr>
          <w:p w:rsidR="005834EC" w:rsidRPr="005834EC" w:rsidRDefault="005834EC" w:rsidP="006250DD">
            <w:r w:rsidRPr="005834EC">
              <w:t>Millilitre</w:t>
            </w:r>
          </w:p>
        </w:tc>
      </w:tr>
      <w:tr w:rsidR="005834EC" w:rsidTr="006250DD">
        <w:trPr>
          <w:trHeight w:val="509"/>
        </w:trPr>
        <w:tc>
          <w:tcPr>
            <w:tcW w:w="1912" w:type="dxa"/>
          </w:tcPr>
          <w:p w:rsidR="005834EC" w:rsidRPr="005834EC" w:rsidRDefault="005834EC" w:rsidP="006250DD">
            <w:r w:rsidRPr="005834EC">
              <w:t>ms</w:t>
            </w:r>
          </w:p>
        </w:tc>
        <w:tc>
          <w:tcPr>
            <w:tcW w:w="6770" w:type="dxa"/>
          </w:tcPr>
          <w:p w:rsidR="005834EC" w:rsidRPr="005834EC" w:rsidRDefault="00D31FB2" w:rsidP="006250DD">
            <w:r>
              <w:t>M</w:t>
            </w:r>
            <w:r w:rsidR="005834EC" w:rsidRPr="005834EC">
              <w:t>illisecond</w:t>
            </w:r>
          </w:p>
        </w:tc>
      </w:tr>
      <w:tr w:rsidR="00987074" w:rsidTr="006250DD">
        <w:trPr>
          <w:trHeight w:val="509"/>
        </w:trPr>
        <w:tc>
          <w:tcPr>
            <w:tcW w:w="1912" w:type="dxa"/>
          </w:tcPr>
          <w:p w:rsidR="00987074" w:rsidRPr="00987074" w:rsidRDefault="00987074" w:rsidP="006250DD">
            <w:r w:rsidRPr="00987074">
              <w:t>NOAEL</w:t>
            </w:r>
          </w:p>
        </w:tc>
        <w:tc>
          <w:tcPr>
            <w:tcW w:w="6770" w:type="dxa"/>
          </w:tcPr>
          <w:p w:rsidR="00987074" w:rsidRPr="00987074" w:rsidRDefault="00987074" w:rsidP="006250DD">
            <w:r w:rsidRPr="00987074">
              <w:t>No observed adverse effects level</w:t>
            </w:r>
          </w:p>
        </w:tc>
      </w:tr>
      <w:tr w:rsidR="005834EC" w:rsidTr="006250DD">
        <w:trPr>
          <w:trHeight w:val="494"/>
        </w:trPr>
        <w:tc>
          <w:tcPr>
            <w:tcW w:w="1912" w:type="dxa"/>
          </w:tcPr>
          <w:p w:rsidR="005834EC" w:rsidRPr="005834EC" w:rsidRDefault="005834EC" w:rsidP="006250DD">
            <w:r w:rsidRPr="005834EC">
              <w:t>PAH</w:t>
            </w:r>
          </w:p>
        </w:tc>
        <w:tc>
          <w:tcPr>
            <w:tcW w:w="6770" w:type="dxa"/>
          </w:tcPr>
          <w:p w:rsidR="005834EC" w:rsidRPr="005834EC" w:rsidRDefault="005834EC" w:rsidP="006250DD">
            <w:r w:rsidRPr="005834EC">
              <w:t>Pulmonary arterial hypertension</w:t>
            </w:r>
          </w:p>
        </w:tc>
      </w:tr>
      <w:tr w:rsidR="005834EC" w:rsidTr="006250DD">
        <w:trPr>
          <w:trHeight w:val="509"/>
        </w:trPr>
        <w:tc>
          <w:tcPr>
            <w:tcW w:w="1912" w:type="dxa"/>
          </w:tcPr>
          <w:p w:rsidR="005834EC" w:rsidRPr="005834EC" w:rsidRDefault="005834EC" w:rsidP="006250DD">
            <w:r w:rsidRPr="005834EC">
              <w:t>PD</w:t>
            </w:r>
          </w:p>
        </w:tc>
        <w:tc>
          <w:tcPr>
            <w:tcW w:w="6770" w:type="dxa"/>
          </w:tcPr>
          <w:p w:rsidR="005834EC" w:rsidRPr="005834EC" w:rsidRDefault="005834EC" w:rsidP="006250DD">
            <w:r w:rsidRPr="005834EC">
              <w:t>Pharmacodynamics</w:t>
            </w:r>
          </w:p>
        </w:tc>
      </w:tr>
      <w:tr w:rsidR="005834EC" w:rsidTr="006250DD">
        <w:trPr>
          <w:trHeight w:val="494"/>
        </w:trPr>
        <w:tc>
          <w:tcPr>
            <w:tcW w:w="1912" w:type="dxa"/>
          </w:tcPr>
          <w:p w:rsidR="005834EC" w:rsidRPr="005834EC" w:rsidRDefault="005834EC" w:rsidP="006250DD">
            <w:r w:rsidRPr="005834EC">
              <w:t>PK</w:t>
            </w:r>
          </w:p>
        </w:tc>
        <w:tc>
          <w:tcPr>
            <w:tcW w:w="6770" w:type="dxa"/>
          </w:tcPr>
          <w:p w:rsidR="005834EC" w:rsidRPr="005834EC" w:rsidRDefault="005834EC" w:rsidP="006250DD">
            <w:r w:rsidRPr="005834EC">
              <w:t>Pharmacokinetics</w:t>
            </w:r>
          </w:p>
        </w:tc>
      </w:tr>
      <w:tr w:rsidR="005834EC" w:rsidTr="006250DD">
        <w:trPr>
          <w:trHeight w:val="509"/>
        </w:trPr>
        <w:tc>
          <w:tcPr>
            <w:tcW w:w="1912" w:type="dxa"/>
          </w:tcPr>
          <w:p w:rsidR="005834EC" w:rsidRPr="005834EC" w:rsidRDefault="005834EC" w:rsidP="006250DD">
            <w:r w:rsidRPr="005834EC">
              <w:t>PR</w:t>
            </w:r>
          </w:p>
        </w:tc>
        <w:tc>
          <w:tcPr>
            <w:tcW w:w="6770" w:type="dxa"/>
          </w:tcPr>
          <w:p w:rsidR="005834EC" w:rsidRPr="005834EC" w:rsidRDefault="005834EC" w:rsidP="006250DD">
            <w:r w:rsidRPr="005834EC">
              <w:t>Pulse rate</w:t>
            </w:r>
          </w:p>
        </w:tc>
      </w:tr>
      <w:tr w:rsidR="005834EC" w:rsidTr="006250DD">
        <w:trPr>
          <w:trHeight w:val="494"/>
        </w:trPr>
        <w:tc>
          <w:tcPr>
            <w:tcW w:w="1912" w:type="dxa"/>
          </w:tcPr>
          <w:p w:rsidR="005834EC" w:rsidRPr="005834EC" w:rsidRDefault="005834EC" w:rsidP="006250DD">
            <w:r w:rsidRPr="005834EC">
              <w:t>qd</w:t>
            </w:r>
          </w:p>
        </w:tc>
        <w:tc>
          <w:tcPr>
            <w:tcW w:w="6770" w:type="dxa"/>
          </w:tcPr>
          <w:p w:rsidR="005834EC" w:rsidRPr="005834EC" w:rsidRDefault="005834EC" w:rsidP="006250DD">
            <w:r w:rsidRPr="005834EC">
              <w:t>Once daily</w:t>
            </w:r>
          </w:p>
        </w:tc>
      </w:tr>
      <w:tr w:rsidR="005834EC" w:rsidTr="006250DD">
        <w:trPr>
          <w:trHeight w:val="509"/>
        </w:trPr>
        <w:tc>
          <w:tcPr>
            <w:tcW w:w="1912" w:type="dxa"/>
          </w:tcPr>
          <w:p w:rsidR="005834EC" w:rsidRPr="005834EC" w:rsidRDefault="005834EC" w:rsidP="006250DD">
            <w:r w:rsidRPr="005834EC">
              <w:t>SAD</w:t>
            </w:r>
          </w:p>
        </w:tc>
        <w:tc>
          <w:tcPr>
            <w:tcW w:w="6770" w:type="dxa"/>
          </w:tcPr>
          <w:p w:rsidR="005834EC" w:rsidRPr="005834EC" w:rsidRDefault="00D31FB2" w:rsidP="006250DD">
            <w:r>
              <w:t>S</w:t>
            </w:r>
            <w:r w:rsidR="005834EC" w:rsidRPr="005834EC">
              <w:t>ingle-ascending-dose</w:t>
            </w:r>
          </w:p>
        </w:tc>
      </w:tr>
      <w:tr w:rsidR="00442579" w:rsidTr="006250DD">
        <w:trPr>
          <w:trHeight w:val="509"/>
        </w:trPr>
        <w:tc>
          <w:tcPr>
            <w:tcW w:w="1912" w:type="dxa"/>
          </w:tcPr>
          <w:p w:rsidR="00442579" w:rsidRPr="005834EC" w:rsidRDefault="00442579" w:rsidP="006250DD">
            <w:r>
              <w:t>SAE</w:t>
            </w:r>
          </w:p>
        </w:tc>
        <w:tc>
          <w:tcPr>
            <w:tcW w:w="6770" w:type="dxa"/>
          </w:tcPr>
          <w:p w:rsidR="00442579" w:rsidRDefault="00442579" w:rsidP="006250DD">
            <w:r>
              <w:t>Serious adverse event</w:t>
            </w:r>
          </w:p>
        </w:tc>
      </w:tr>
      <w:tr w:rsidR="005834EC" w:rsidTr="006250DD">
        <w:trPr>
          <w:trHeight w:val="494"/>
        </w:trPr>
        <w:tc>
          <w:tcPr>
            <w:tcW w:w="1912" w:type="dxa"/>
          </w:tcPr>
          <w:p w:rsidR="005834EC" w:rsidRPr="005834EC" w:rsidRDefault="005834EC" w:rsidP="006250DD">
            <w:r w:rsidRPr="005834EC">
              <w:t>SBP</w:t>
            </w:r>
          </w:p>
        </w:tc>
        <w:tc>
          <w:tcPr>
            <w:tcW w:w="6770" w:type="dxa"/>
          </w:tcPr>
          <w:p w:rsidR="005834EC" w:rsidRPr="005834EC" w:rsidRDefault="005834EC" w:rsidP="006250DD">
            <w:r w:rsidRPr="005834EC">
              <w:t>Systolic blood pressure</w:t>
            </w:r>
          </w:p>
        </w:tc>
      </w:tr>
      <w:tr w:rsidR="005834EC" w:rsidTr="006250DD">
        <w:trPr>
          <w:trHeight w:val="509"/>
        </w:trPr>
        <w:tc>
          <w:tcPr>
            <w:tcW w:w="1912" w:type="dxa"/>
          </w:tcPr>
          <w:p w:rsidR="005834EC" w:rsidRPr="005834EC" w:rsidRDefault="005834EC" w:rsidP="006250DD">
            <w:r w:rsidRPr="005834EC">
              <w:t>SD</w:t>
            </w:r>
          </w:p>
        </w:tc>
        <w:tc>
          <w:tcPr>
            <w:tcW w:w="6770" w:type="dxa"/>
          </w:tcPr>
          <w:p w:rsidR="005834EC" w:rsidRPr="005834EC" w:rsidRDefault="005834EC" w:rsidP="006250DD">
            <w:r w:rsidRPr="005834EC">
              <w:t>Standard Deviation</w:t>
            </w:r>
          </w:p>
        </w:tc>
      </w:tr>
      <w:tr w:rsidR="005834EC" w:rsidTr="006250DD">
        <w:trPr>
          <w:trHeight w:val="509"/>
        </w:trPr>
        <w:tc>
          <w:tcPr>
            <w:tcW w:w="1912" w:type="dxa"/>
          </w:tcPr>
          <w:p w:rsidR="005834EC" w:rsidRPr="005834EC" w:rsidRDefault="005834EC" w:rsidP="006250DD">
            <w:r w:rsidRPr="005834EC">
              <w:t>SE</w:t>
            </w:r>
          </w:p>
        </w:tc>
        <w:tc>
          <w:tcPr>
            <w:tcW w:w="6770" w:type="dxa"/>
          </w:tcPr>
          <w:p w:rsidR="005834EC" w:rsidRPr="005834EC" w:rsidRDefault="005834EC" w:rsidP="006250DD">
            <w:r w:rsidRPr="005834EC">
              <w:t>Standard Error</w:t>
            </w:r>
          </w:p>
        </w:tc>
      </w:tr>
      <w:tr w:rsidR="005834EC" w:rsidTr="006250DD">
        <w:trPr>
          <w:trHeight w:val="494"/>
        </w:trPr>
        <w:tc>
          <w:tcPr>
            <w:tcW w:w="1912" w:type="dxa"/>
          </w:tcPr>
          <w:p w:rsidR="005834EC" w:rsidRPr="005834EC" w:rsidRDefault="005834EC" w:rsidP="006250DD">
            <w:r w:rsidRPr="005834EC">
              <w:t>SOC</w:t>
            </w:r>
          </w:p>
        </w:tc>
        <w:tc>
          <w:tcPr>
            <w:tcW w:w="6770" w:type="dxa"/>
          </w:tcPr>
          <w:p w:rsidR="005834EC" w:rsidRPr="005834EC" w:rsidRDefault="005834EC" w:rsidP="006250DD">
            <w:r w:rsidRPr="005834EC">
              <w:t>System Organ Class</w:t>
            </w:r>
          </w:p>
        </w:tc>
      </w:tr>
      <w:tr w:rsidR="005834EC" w:rsidTr="006250DD">
        <w:trPr>
          <w:trHeight w:val="509"/>
        </w:trPr>
        <w:tc>
          <w:tcPr>
            <w:tcW w:w="1912" w:type="dxa"/>
          </w:tcPr>
          <w:p w:rsidR="005834EC" w:rsidRPr="005834EC" w:rsidRDefault="00E32A65" w:rsidP="006250DD">
            <w:r>
              <w:t>t</w:t>
            </w:r>
            <w:r w:rsidRPr="00E32A65">
              <w:rPr>
                <w:vertAlign w:val="subscript"/>
              </w:rPr>
              <w:t>½</w:t>
            </w:r>
          </w:p>
        </w:tc>
        <w:tc>
          <w:tcPr>
            <w:tcW w:w="6770" w:type="dxa"/>
          </w:tcPr>
          <w:p w:rsidR="005834EC" w:rsidRPr="005834EC" w:rsidRDefault="005834EC" w:rsidP="006250DD">
            <w:r w:rsidRPr="005834EC">
              <w:t>Half-life associated with the terminal slope</w:t>
            </w:r>
          </w:p>
        </w:tc>
      </w:tr>
      <w:tr w:rsidR="005834EC" w:rsidTr="006250DD">
        <w:trPr>
          <w:trHeight w:val="494"/>
        </w:trPr>
        <w:tc>
          <w:tcPr>
            <w:tcW w:w="1912" w:type="dxa"/>
          </w:tcPr>
          <w:p w:rsidR="005834EC" w:rsidRPr="005834EC" w:rsidRDefault="005834EC" w:rsidP="006250DD">
            <w:r w:rsidRPr="005834EC">
              <w:t>TGA</w:t>
            </w:r>
          </w:p>
        </w:tc>
        <w:tc>
          <w:tcPr>
            <w:tcW w:w="6770" w:type="dxa"/>
          </w:tcPr>
          <w:p w:rsidR="005834EC" w:rsidRPr="005834EC" w:rsidRDefault="005834EC" w:rsidP="006250DD">
            <w:r w:rsidRPr="005834EC">
              <w:t>Therapeutic Goods Administration</w:t>
            </w:r>
          </w:p>
        </w:tc>
      </w:tr>
      <w:tr w:rsidR="005834EC" w:rsidTr="006250DD">
        <w:trPr>
          <w:trHeight w:val="509"/>
        </w:trPr>
        <w:tc>
          <w:tcPr>
            <w:tcW w:w="1912" w:type="dxa"/>
          </w:tcPr>
          <w:p w:rsidR="005834EC" w:rsidRPr="005834EC" w:rsidRDefault="005834EC" w:rsidP="006250DD">
            <w:r w:rsidRPr="005834EC">
              <w:t>ULN</w:t>
            </w:r>
          </w:p>
        </w:tc>
        <w:tc>
          <w:tcPr>
            <w:tcW w:w="6770" w:type="dxa"/>
          </w:tcPr>
          <w:p w:rsidR="005834EC" w:rsidRPr="005834EC" w:rsidRDefault="005834EC" w:rsidP="006250DD">
            <w:r w:rsidRPr="005834EC">
              <w:t>Upper limit normal</w:t>
            </w:r>
          </w:p>
        </w:tc>
      </w:tr>
      <w:tr w:rsidR="005834EC" w:rsidTr="006250DD">
        <w:trPr>
          <w:trHeight w:val="494"/>
        </w:trPr>
        <w:tc>
          <w:tcPr>
            <w:tcW w:w="1912" w:type="dxa"/>
          </w:tcPr>
          <w:p w:rsidR="005834EC" w:rsidRPr="005834EC" w:rsidRDefault="005834EC" w:rsidP="006250DD">
            <w:r w:rsidRPr="005834EC">
              <w:t>US</w:t>
            </w:r>
          </w:p>
        </w:tc>
        <w:tc>
          <w:tcPr>
            <w:tcW w:w="6770" w:type="dxa"/>
          </w:tcPr>
          <w:p w:rsidR="005834EC" w:rsidRPr="005834EC" w:rsidRDefault="00AC58FC" w:rsidP="006250DD">
            <w:r>
              <w:t>United States</w:t>
            </w:r>
          </w:p>
        </w:tc>
      </w:tr>
    </w:tbl>
    <w:p w:rsidR="002C320C" w:rsidRDefault="002C320C" w:rsidP="005834EC"/>
    <w:p w:rsidR="002C320C" w:rsidRDefault="002C320C">
      <w:pPr>
        <w:spacing w:before="0" w:after="200" w:line="0" w:lineRule="auto"/>
      </w:pPr>
      <w:r>
        <w:br w:type="page"/>
      </w:r>
    </w:p>
    <w:p w:rsidR="008E7846" w:rsidRDefault="00F53C07" w:rsidP="006250DD">
      <w:pPr>
        <w:pStyle w:val="Heading2"/>
      </w:pPr>
      <w:bookmarkStart w:id="5" w:name="_Toc391645261"/>
      <w:r>
        <w:lastRenderedPageBreak/>
        <w:t>I.</w:t>
      </w:r>
      <w:r w:rsidR="008E7846">
        <w:t xml:space="preserve"> Introduction to </w:t>
      </w:r>
      <w:r w:rsidR="008E7846" w:rsidRPr="006250DD">
        <w:t>product</w:t>
      </w:r>
      <w:r w:rsidR="008E7846">
        <w:t xml:space="preserve"> submission</w:t>
      </w:r>
      <w:bookmarkEnd w:id="0"/>
      <w:bookmarkEnd w:id="3"/>
      <w:bookmarkEnd w:id="5"/>
    </w:p>
    <w:p w:rsidR="008E7846" w:rsidRPr="006250DD" w:rsidRDefault="008E7846" w:rsidP="006250DD">
      <w:pPr>
        <w:pStyle w:val="Heading3"/>
      </w:pPr>
      <w:bookmarkStart w:id="6" w:name="_Toc247691502"/>
      <w:bookmarkStart w:id="7" w:name="_Toc314842483"/>
      <w:bookmarkStart w:id="8" w:name="_Toc391645262"/>
      <w:r>
        <w:rPr>
          <w:lang w:eastAsia="en-AU"/>
        </w:rPr>
        <w:t>Submission details</w:t>
      </w:r>
      <w:bookmarkEnd w:id="6"/>
      <w:bookmarkEnd w:id="7"/>
      <w:bookmarkEnd w:id="8"/>
    </w:p>
    <w:tbl>
      <w:tblPr>
        <w:tblW w:w="9497" w:type="dxa"/>
        <w:tblInd w:w="108" w:type="dxa"/>
        <w:tblLook w:val="01E0" w:firstRow="1" w:lastRow="1" w:firstColumn="1" w:lastColumn="1" w:noHBand="0" w:noVBand="0"/>
      </w:tblPr>
      <w:tblGrid>
        <w:gridCol w:w="2907"/>
        <w:gridCol w:w="6307"/>
        <w:gridCol w:w="283"/>
      </w:tblGrid>
      <w:tr w:rsidR="008E7846" w:rsidRPr="003D1E62" w:rsidTr="0012759D">
        <w:trPr>
          <w:trHeight w:hRule="exact" w:val="454"/>
        </w:trPr>
        <w:tc>
          <w:tcPr>
            <w:tcW w:w="2907" w:type="dxa"/>
          </w:tcPr>
          <w:p w:rsidR="008E7846" w:rsidRPr="003D1E62" w:rsidRDefault="001B5C90" w:rsidP="001B5C90">
            <w:pPr>
              <w:rPr>
                <w:i/>
              </w:rPr>
            </w:pPr>
            <w:r>
              <w:rPr>
                <w:i/>
              </w:rPr>
              <w:t>Type of s</w:t>
            </w:r>
            <w:r w:rsidR="008E7846" w:rsidRPr="003D1E62">
              <w:rPr>
                <w:i/>
              </w:rPr>
              <w:t>ubmission</w:t>
            </w:r>
            <w:r>
              <w:rPr>
                <w:i/>
              </w:rPr>
              <w:t>:</w:t>
            </w:r>
          </w:p>
        </w:tc>
        <w:tc>
          <w:tcPr>
            <w:tcW w:w="6590" w:type="dxa"/>
            <w:gridSpan w:val="2"/>
          </w:tcPr>
          <w:p w:rsidR="008E7846" w:rsidRPr="003D1E62" w:rsidRDefault="008E7846" w:rsidP="00E41600">
            <w:r w:rsidRPr="003D1E62">
              <w:t xml:space="preserve">New </w:t>
            </w:r>
            <w:r w:rsidR="001B5C90">
              <w:t>c</w:t>
            </w:r>
            <w:r w:rsidRPr="003D1E62">
              <w:t xml:space="preserve">hemical </w:t>
            </w:r>
            <w:r w:rsidR="001B5C90">
              <w:t>e</w:t>
            </w:r>
            <w:r w:rsidRPr="003D1E62">
              <w:t>ntity</w:t>
            </w:r>
          </w:p>
        </w:tc>
      </w:tr>
      <w:tr w:rsidR="008E7846" w:rsidRPr="003D1E62" w:rsidTr="0012759D">
        <w:trPr>
          <w:trHeight w:hRule="exact" w:val="454"/>
        </w:trPr>
        <w:tc>
          <w:tcPr>
            <w:tcW w:w="2907" w:type="dxa"/>
          </w:tcPr>
          <w:p w:rsidR="008E7846" w:rsidRPr="003D1E62" w:rsidRDefault="008E7846" w:rsidP="003D1E62">
            <w:r w:rsidRPr="003D1E62">
              <w:rPr>
                <w:i/>
              </w:rPr>
              <w:t>Decision</w:t>
            </w:r>
            <w:r w:rsidRPr="003D1E62">
              <w:t>:</w:t>
            </w:r>
          </w:p>
        </w:tc>
        <w:tc>
          <w:tcPr>
            <w:tcW w:w="6590" w:type="dxa"/>
            <w:gridSpan w:val="2"/>
          </w:tcPr>
          <w:p w:rsidR="008E7846" w:rsidRPr="003D1E62" w:rsidRDefault="008E7846" w:rsidP="00E41600">
            <w:r w:rsidRPr="003D1E62">
              <w:t>Approved</w:t>
            </w:r>
          </w:p>
        </w:tc>
      </w:tr>
      <w:tr w:rsidR="008E7846" w:rsidRPr="003D1E62" w:rsidTr="0012759D">
        <w:trPr>
          <w:trHeight w:hRule="exact" w:val="454"/>
        </w:trPr>
        <w:tc>
          <w:tcPr>
            <w:tcW w:w="2907" w:type="dxa"/>
          </w:tcPr>
          <w:p w:rsidR="008E7846" w:rsidRPr="003D1E62" w:rsidRDefault="008E7846" w:rsidP="001B5C90">
            <w:pPr>
              <w:rPr>
                <w:i/>
              </w:rPr>
            </w:pPr>
            <w:r w:rsidRPr="003D1E62">
              <w:rPr>
                <w:i/>
              </w:rPr>
              <w:t xml:space="preserve">Date of </w:t>
            </w:r>
            <w:r w:rsidR="001B5C90">
              <w:rPr>
                <w:i/>
              </w:rPr>
              <w:t>d</w:t>
            </w:r>
            <w:r w:rsidRPr="003D1E62">
              <w:rPr>
                <w:i/>
              </w:rPr>
              <w:t>ecision:</w:t>
            </w:r>
          </w:p>
        </w:tc>
        <w:tc>
          <w:tcPr>
            <w:tcW w:w="6590" w:type="dxa"/>
            <w:gridSpan w:val="2"/>
          </w:tcPr>
          <w:p w:rsidR="008E7846" w:rsidRPr="003D1E62" w:rsidRDefault="0012759D" w:rsidP="0012759D">
            <w:r>
              <w:t>31 January 2014</w:t>
            </w:r>
          </w:p>
        </w:tc>
      </w:tr>
      <w:tr w:rsidR="008E7846" w:rsidRPr="00487162" w:rsidTr="0012759D">
        <w:trPr>
          <w:gridAfter w:val="1"/>
          <w:wAfter w:w="283" w:type="dxa"/>
        </w:trPr>
        <w:tc>
          <w:tcPr>
            <w:tcW w:w="2907" w:type="dxa"/>
          </w:tcPr>
          <w:p w:rsidR="008E7846" w:rsidRPr="00487162" w:rsidRDefault="001B5C90" w:rsidP="00561EF2">
            <w:pPr>
              <w:rPr>
                <w:i/>
              </w:rPr>
            </w:pPr>
            <w:r>
              <w:rPr>
                <w:i/>
              </w:rPr>
              <w:t>Active ingredient:</w:t>
            </w:r>
          </w:p>
        </w:tc>
        <w:tc>
          <w:tcPr>
            <w:tcW w:w="6307" w:type="dxa"/>
          </w:tcPr>
          <w:p w:rsidR="008E7846" w:rsidRPr="00487162" w:rsidRDefault="00E553B1" w:rsidP="00E553B1">
            <w:r>
              <w:t>M</w:t>
            </w:r>
            <w:r w:rsidR="00561EF2">
              <w:t>acitentan</w:t>
            </w:r>
          </w:p>
        </w:tc>
      </w:tr>
      <w:tr w:rsidR="008E7846" w:rsidRPr="00487162" w:rsidTr="0012759D">
        <w:trPr>
          <w:gridAfter w:val="1"/>
          <w:wAfter w:w="283" w:type="dxa"/>
        </w:trPr>
        <w:tc>
          <w:tcPr>
            <w:tcW w:w="2907" w:type="dxa"/>
          </w:tcPr>
          <w:p w:rsidR="008E7846" w:rsidRPr="00487162" w:rsidRDefault="008E7846" w:rsidP="00561EF2">
            <w:pPr>
              <w:rPr>
                <w:i/>
              </w:rPr>
            </w:pPr>
            <w:r w:rsidRPr="00487162">
              <w:rPr>
                <w:i/>
              </w:rPr>
              <w:t>Product</w:t>
            </w:r>
            <w:r w:rsidR="001B5C90">
              <w:rPr>
                <w:i/>
              </w:rPr>
              <w:t xml:space="preserve"> name:</w:t>
            </w:r>
          </w:p>
        </w:tc>
        <w:tc>
          <w:tcPr>
            <w:tcW w:w="6307" w:type="dxa"/>
          </w:tcPr>
          <w:p w:rsidR="008E7846" w:rsidRPr="00487162" w:rsidRDefault="00561EF2" w:rsidP="00561EF2">
            <w:r>
              <w:t>Opsumit</w:t>
            </w:r>
          </w:p>
        </w:tc>
      </w:tr>
      <w:tr w:rsidR="008E7846" w:rsidRPr="00487162" w:rsidTr="0012759D">
        <w:trPr>
          <w:gridAfter w:val="1"/>
          <w:wAfter w:w="283" w:type="dxa"/>
        </w:trPr>
        <w:tc>
          <w:tcPr>
            <w:tcW w:w="2907" w:type="dxa"/>
          </w:tcPr>
          <w:p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rsidR="006F358B" w:rsidRPr="00487162" w:rsidRDefault="0012759D" w:rsidP="006250DD">
            <w:r>
              <w:t>Actelion Pharmaceuticals Australia Pty Ltd</w:t>
            </w:r>
            <w:r w:rsidR="006250DD">
              <w:br/>
            </w:r>
            <w:r w:rsidR="006F358B">
              <w:t>Suite 6/13B Narabang Way</w:t>
            </w:r>
            <w:r w:rsidR="006250DD">
              <w:br/>
              <w:t xml:space="preserve">BELROSE </w:t>
            </w:r>
            <w:r w:rsidR="006F358B">
              <w:t>NSW 2085</w:t>
            </w:r>
          </w:p>
        </w:tc>
      </w:tr>
      <w:tr w:rsidR="008E7846" w:rsidRPr="00487162" w:rsidTr="0012759D">
        <w:trPr>
          <w:gridAfter w:val="1"/>
          <w:wAfter w:w="283" w:type="dxa"/>
        </w:trPr>
        <w:tc>
          <w:tcPr>
            <w:tcW w:w="2907" w:type="dxa"/>
          </w:tcPr>
          <w:p w:rsidR="008E7846" w:rsidRPr="00487162" w:rsidRDefault="001B5C90" w:rsidP="0012759D">
            <w:pPr>
              <w:rPr>
                <w:i/>
              </w:rPr>
            </w:pPr>
            <w:r>
              <w:rPr>
                <w:i/>
              </w:rPr>
              <w:t>Dose form:</w:t>
            </w:r>
          </w:p>
        </w:tc>
        <w:tc>
          <w:tcPr>
            <w:tcW w:w="6307" w:type="dxa"/>
          </w:tcPr>
          <w:p w:rsidR="008E7846" w:rsidRPr="00487162" w:rsidRDefault="0012759D" w:rsidP="0012759D">
            <w:r>
              <w:t>Film coated tablet</w:t>
            </w:r>
          </w:p>
        </w:tc>
      </w:tr>
      <w:tr w:rsidR="008E7846" w:rsidRPr="00487162" w:rsidTr="0012759D">
        <w:trPr>
          <w:gridAfter w:val="1"/>
          <w:wAfter w:w="283" w:type="dxa"/>
        </w:trPr>
        <w:tc>
          <w:tcPr>
            <w:tcW w:w="2907" w:type="dxa"/>
          </w:tcPr>
          <w:p w:rsidR="008E7846" w:rsidRPr="00487162" w:rsidRDefault="006250DD" w:rsidP="006F358B">
            <w:pPr>
              <w:rPr>
                <w:i/>
              </w:rPr>
            </w:pPr>
            <w:r>
              <w:rPr>
                <w:i/>
              </w:rPr>
              <w:t>Strength:</w:t>
            </w:r>
          </w:p>
        </w:tc>
        <w:tc>
          <w:tcPr>
            <w:tcW w:w="6307" w:type="dxa"/>
          </w:tcPr>
          <w:p w:rsidR="008E7846" w:rsidRPr="00487162" w:rsidRDefault="0012759D" w:rsidP="0012759D">
            <w:r>
              <w:t>10 mg</w:t>
            </w:r>
          </w:p>
        </w:tc>
      </w:tr>
      <w:tr w:rsidR="008E7846" w:rsidRPr="00487162" w:rsidTr="0012759D">
        <w:trPr>
          <w:gridAfter w:val="1"/>
          <w:wAfter w:w="283" w:type="dxa"/>
        </w:trPr>
        <w:tc>
          <w:tcPr>
            <w:tcW w:w="2907" w:type="dxa"/>
          </w:tcPr>
          <w:p w:rsidR="008E7846" w:rsidRPr="00487162" w:rsidRDefault="008E7846" w:rsidP="0012759D">
            <w:pPr>
              <w:rPr>
                <w:i/>
              </w:rPr>
            </w:pPr>
            <w:r w:rsidRPr="00487162">
              <w:rPr>
                <w:i/>
              </w:rPr>
              <w:t>Container</w:t>
            </w:r>
            <w:r w:rsidR="0012759D">
              <w:rPr>
                <w:i/>
              </w:rPr>
              <w:t>s:</w:t>
            </w:r>
          </w:p>
        </w:tc>
        <w:tc>
          <w:tcPr>
            <w:tcW w:w="6307" w:type="dxa"/>
          </w:tcPr>
          <w:p w:rsidR="008E7846" w:rsidRPr="00487162" w:rsidRDefault="0012759D" w:rsidP="0012759D">
            <w:r>
              <w:t>Blister pack and bottle</w:t>
            </w:r>
          </w:p>
        </w:tc>
      </w:tr>
      <w:tr w:rsidR="008E7846" w:rsidRPr="00487162" w:rsidTr="0012759D">
        <w:trPr>
          <w:gridAfter w:val="1"/>
          <w:wAfter w:w="283" w:type="dxa"/>
        </w:trPr>
        <w:tc>
          <w:tcPr>
            <w:tcW w:w="2907" w:type="dxa"/>
          </w:tcPr>
          <w:p w:rsidR="008E7846" w:rsidRPr="00487162" w:rsidRDefault="008E7846" w:rsidP="0012759D">
            <w:pPr>
              <w:rPr>
                <w:i/>
              </w:rPr>
            </w:pPr>
            <w:r w:rsidRPr="00487162">
              <w:rPr>
                <w:i/>
              </w:rPr>
              <w:t>Pack sizes:</w:t>
            </w:r>
          </w:p>
        </w:tc>
        <w:tc>
          <w:tcPr>
            <w:tcW w:w="6307" w:type="dxa"/>
          </w:tcPr>
          <w:p w:rsidR="008E7846" w:rsidRDefault="0012759D" w:rsidP="0012759D">
            <w:r>
              <w:t>Blister pack – 3, 6, 9 and 30 tablets</w:t>
            </w:r>
          </w:p>
          <w:p w:rsidR="0012759D" w:rsidRPr="00487162" w:rsidRDefault="0012759D" w:rsidP="0012759D">
            <w:r>
              <w:t>Bottle – 30 tablets</w:t>
            </w:r>
          </w:p>
        </w:tc>
      </w:tr>
      <w:tr w:rsidR="008E7846" w:rsidRPr="00487162" w:rsidTr="0012759D">
        <w:trPr>
          <w:gridAfter w:val="1"/>
          <w:wAfter w:w="283" w:type="dxa"/>
        </w:trPr>
        <w:tc>
          <w:tcPr>
            <w:tcW w:w="2907" w:type="dxa"/>
          </w:tcPr>
          <w:p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rsidR="00190CE3" w:rsidRPr="000634DA" w:rsidRDefault="00190CE3" w:rsidP="00190CE3">
            <w:pPr>
              <w:rPr>
                <w:i/>
              </w:rPr>
            </w:pPr>
            <w:r w:rsidRPr="000634DA">
              <w:rPr>
                <w:i/>
              </w:rPr>
              <w:t xml:space="preserve">Opsumit; as monotherapy or in combination with approved PAH treatments (phosphodiesterase-5 inhibitors or inhaled prostanoids), is </w:t>
            </w:r>
            <w:r w:rsidR="006250DD">
              <w:rPr>
                <w:i/>
              </w:rPr>
              <w:t>indicated for the treatment of:</w:t>
            </w:r>
          </w:p>
          <w:p w:rsidR="00190CE3" w:rsidRPr="00190CE3" w:rsidRDefault="00190CE3" w:rsidP="00190CE3">
            <w:pPr>
              <w:pStyle w:val="ListBullet"/>
              <w:rPr>
                <w:i/>
              </w:rPr>
            </w:pPr>
            <w:r w:rsidRPr="00190CE3">
              <w:rPr>
                <w:i/>
              </w:rPr>
              <w:t>idiopathic pulmonary arterial hypertension</w:t>
            </w:r>
          </w:p>
          <w:p w:rsidR="00190CE3" w:rsidRPr="00190CE3" w:rsidRDefault="00190CE3" w:rsidP="00190CE3">
            <w:pPr>
              <w:pStyle w:val="ListBullet"/>
              <w:rPr>
                <w:i/>
              </w:rPr>
            </w:pPr>
            <w:r w:rsidRPr="00190CE3">
              <w:rPr>
                <w:i/>
              </w:rPr>
              <w:t>heritable pulmonary arterial hypertension</w:t>
            </w:r>
          </w:p>
          <w:p w:rsidR="00190CE3" w:rsidRPr="00190CE3" w:rsidRDefault="00190CE3" w:rsidP="00190CE3">
            <w:pPr>
              <w:pStyle w:val="ListBullet"/>
              <w:rPr>
                <w:i/>
              </w:rPr>
            </w:pPr>
            <w:r w:rsidRPr="00190CE3">
              <w:rPr>
                <w:i/>
              </w:rPr>
              <w:t>pulmonary arterial hypertension associated with connective tissue disease</w:t>
            </w:r>
          </w:p>
          <w:p w:rsidR="00190CE3" w:rsidRPr="00190CE3" w:rsidRDefault="00190CE3" w:rsidP="00190CE3">
            <w:pPr>
              <w:pStyle w:val="ListBullet"/>
              <w:rPr>
                <w:i/>
              </w:rPr>
            </w:pPr>
            <w:r w:rsidRPr="00190CE3">
              <w:rPr>
                <w:i/>
              </w:rPr>
              <w:t>pulmonary arterial hypertension associated with congenital heart disease with repaired shunts</w:t>
            </w:r>
          </w:p>
          <w:p w:rsidR="008E7846" w:rsidRPr="00487162" w:rsidRDefault="00190CE3" w:rsidP="00190CE3">
            <w:pPr>
              <w:rPr>
                <w:rFonts w:eastAsia="MS Mincho"/>
                <w:lang w:eastAsia="ja-JP"/>
              </w:rPr>
            </w:pPr>
            <w:proofErr w:type="gramStart"/>
            <w:r w:rsidRPr="000634DA">
              <w:rPr>
                <w:i/>
              </w:rPr>
              <w:t>in</w:t>
            </w:r>
            <w:proofErr w:type="gramEnd"/>
            <w:r w:rsidRPr="000634DA">
              <w:rPr>
                <w:i/>
              </w:rPr>
              <w:t xml:space="preserve"> patients with WHO Functional Class II III or IV symptoms.</w:t>
            </w:r>
          </w:p>
        </w:tc>
      </w:tr>
      <w:tr w:rsidR="008E7846" w:rsidRPr="00487162" w:rsidTr="0012759D">
        <w:trPr>
          <w:gridAfter w:val="1"/>
          <w:wAfter w:w="283" w:type="dxa"/>
        </w:trPr>
        <w:tc>
          <w:tcPr>
            <w:tcW w:w="2907" w:type="dxa"/>
          </w:tcPr>
          <w:p w:rsidR="008E7846" w:rsidRPr="00487162" w:rsidRDefault="008E7846" w:rsidP="006F358B">
            <w:pPr>
              <w:rPr>
                <w:i/>
              </w:rPr>
            </w:pPr>
            <w:r w:rsidRPr="00487162">
              <w:rPr>
                <w:i/>
              </w:rPr>
              <w:t>Route of administration:</w:t>
            </w:r>
          </w:p>
        </w:tc>
        <w:tc>
          <w:tcPr>
            <w:tcW w:w="6307" w:type="dxa"/>
          </w:tcPr>
          <w:p w:rsidR="008E7846" w:rsidRPr="00487162" w:rsidRDefault="0012759D" w:rsidP="0012759D">
            <w:r>
              <w:t>Oral</w:t>
            </w:r>
          </w:p>
        </w:tc>
      </w:tr>
      <w:tr w:rsidR="008E7846" w:rsidRPr="00487162" w:rsidTr="0012759D">
        <w:trPr>
          <w:gridAfter w:val="1"/>
          <w:wAfter w:w="283" w:type="dxa"/>
        </w:trPr>
        <w:tc>
          <w:tcPr>
            <w:tcW w:w="2907" w:type="dxa"/>
          </w:tcPr>
          <w:p w:rsidR="008E7846" w:rsidRPr="00487162" w:rsidRDefault="008E7846" w:rsidP="00E45619">
            <w:pPr>
              <w:rPr>
                <w:i/>
              </w:rPr>
            </w:pPr>
            <w:r w:rsidRPr="00487162">
              <w:rPr>
                <w:i/>
              </w:rPr>
              <w:t>Dosage:</w:t>
            </w:r>
          </w:p>
        </w:tc>
        <w:tc>
          <w:tcPr>
            <w:tcW w:w="6307" w:type="dxa"/>
          </w:tcPr>
          <w:p w:rsidR="008E7846" w:rsidRPr="00487162" w:rsidRDefault="005A1E8F" w:rsidP="0012759D">
            <w:r w:rsidRPr="005A1E8F">
              <w:t>10</w:t>
            </w:r>
            <w:r>
              <w:t xml:space="preserve"> </w:t>
            </w:r>
            <w:r w:rsidRPr="005A1E8F">
              <w:t>mg daily in patients 12 years old and above.</w:t>
            </w:r>
          </w:p>
        </w:tc>
      </w:tr>
      <w:tr w:rsidR="008E7846" w:rsidRPr="00487162" w:rsidTr="0012759D">
        <w:trPr>
          <w:gridAfter w:val="1"/>
          <w:wAfter w:w="283" w:type="dxa"/>
        </w:trPr>
        <w:tc>
          <w:tcPr>
            <w:tcW w:w="2907" w:type="dxa"/>
          </w:tcPr>
          <w:p w:rsidR="008E7846" w:rsidRPr="00487162" w:rsidRDefault="008E7846" w:rsidP="006F358B">
            <w:pPr>
              <w:rPr>
                <w:i/>
              </w:rPr>
            </w:pPr>
            <w:r w:rsidRPr="00487162">
              <w:rPr>
                <w:i/>
              </w:rPr>
              <w:t xml:space="preserve">ARTG </w:t>
            </w:r>
            <w:r w:rsidR="001B5C90">
              <w:rPr>
                <w:i/>
              </w:rPr>
              <w:t>n</w:t>
            </w:r>
            <w:r w:rsidRPr="00487162">
              <w:rPr>
                <w:i/>
              </w:rPr>
              <w:t>umbers</w:t>
            </w:r>
            <w:r w:rsidR="001B5C90">
              <w:rPr>
                <w:i/>
              </w:rPr>
              <w:t>:</w:t>
            </w:r>
          </w:p>
        </w:tc>
        <w:tc>
          <w:tcPr>
            <w:tcW w:w="6307" w:type="dxa"/>
          </w:tcPr>
          <w:p w:rsidR="008E7846" w:rsidRDefault="0012759D" w:rsidP="00E45619">
            <w:r>
              <w:t>205624: Blister pack</w:t>
            </w:r>
          </w:p>
          <w:p w:rsidR="0012759D" w:rsidRPr="00487162" w:rsidRDefault="0012759D" w:rsidP="00E45619">
            <w:r>
              <w:t>205427: Bottle</w:t>
            </w:r>
          </w:p>
        </w:tc>
      </w:tr>
    </w:tbl>
    <w:p w:rsidR="002C320C" w:rsidRDefault="002C320C">
      <w:r>
        <w:br w:type="page"/>
      </w:r>
    </w:p>
    <w:p w:rsidR="008E7846" w:rsidRPr="006250DD" w:rsidRDefault="008E7846" w:rsidP="006250DD">
      <w:pPr>
        <w:pStyle w:val="Heading3"/>
      </w:pPr>
      <w:bookmarkStart w:id="9" w:name="_Toc247691503"/>
      <w:bookmarkStart w:id="10" w:name="_Toc314842484"/>
      <w:bookmarkStart w:id="11" w:name="_Toc391645263"/>
      <w:r>
        <w:lastRenderedPageBreak/>
        <w:t>Product background</w:t>
      </w:r>
      <w:bookmarkEnd w:id="9"/>
      <w:bookmarkEnd w:id="10"/>
      <w:bookmarkEnd w:id="11"/>
    </w:p>
    <w:p w:rsidR="00A8320D" w:rsidRDefault="00A8320D" w:rsidP="00956F87">
      <w:r>
        <w:t xml:space="preserve">Opsumit (macitentan) is a new chemical entity for the treatment of pulmonary arterial hypertension (PAH) following its designation as an orphan drug in July 2012 ‘For the treatment of </w:t>
      </w:r>
      <w:r w:rsidR="0064037F">
        <w:t>PAH</w:t>
      </w:r>
      <w:r>
        <w:t xml:space="preserve">’ Macitentan belongs to the same class of pharmaceuticals as bosentan and ambrisentan and the former sitaxentan (withdrawn globally due to liver toxicity) which are orally active endothelin receptor antagonists (ERAs). Macitentan, like bosentan, is a dual endothelin A and B receptor </w:t>
      </w:r>
      <w:proofErr w:type="gramStart"/>
      <w:r>
        <w:t>antagonist</w:t>
      </w:r>
      <w:proofErr w:type="gramEnd"/>
      <w:r>
        <w:t xml:space="preserve"> which is different to ambrisentan </w:t>
      </w:r>
      <w:r w:rsidR="00D65360">
        <w:t xml:space="preserve">and </w:t>
      </w:r>
      <w:r>
        <w:t>is specific for endothelin type A receptors.</w:t>
      </w:r>
    </w:p>
    <w:p w:rsidR="00A8320D" w:rsidRDefault="00A8320D" w:rsidP="00956F87">
      <w:r>
        <w:t>The pathological changes that occur in</w:t>
      </w:r>
      <w:r w:rsidR="0064037F">
        <w:t xml:space="preserve"> PAH</w:t>
      </w:r>
      <w:r>
        <w:t xml:space="preserve"> are thought to be mediated through an up-regulated endothelin-1 </w:t>
      </w:r>
      <w:r w:rsidR="00F55ED2">
        <w:t xml:space="preserve">(ET-1) </w:t>
      </w:r>
      <w:r>
        <w:t xml:space="preserve">system, defective prostacyclin synthase activity and abnormalities of the nitric oxide pathway. Current treatments for PAH are aimed at these </w:t>
      </w:r>
      <w:r w:rsidR="00313370">
        <w:t xml:space="preserve">three </w:t>
      </w:r>
      <w:r>
        <w:t xml:space="preserve">pathways: </w:t>
      </w:r>
      <w:r w:rsidR="00F55ED2">
        <w:t>ERAs</w:t>
      </w:r>
      <w:r>
        <w:t xml:space="preserve"> (inhibit the effects of elevated </w:t>
      </w:r>
      <w:r w:rsidR="00F55ED2">
        <w:t>ET-1</w:t>
      </w:r>
      <w:r>
        <w:t xml:space="preserve"> and thus reduce vasoconstriction, smooth muscle cell proliferation and pulmonary vessel fibrosis), prostacyclin analogs (relax and reduce proliferation of vascular smooth muscle cells) and phosphodiesterase type 5 </w:t>
      </w:r>
      <w:r w:rsidR="00F55ED2">
        <w:t xml:space="preserve">(PDE-5) </w:t>
      </w:r>
      <w:r>
        <w:t>inhibitors (potentiate the anti-platelet, antiproliferative and vasodilatory effects of nitric oxide).</w:t>
      </w:r>
    </w:p>
    <w:p w:rsidR="00A8320D" w:rsidRDefault="00A8320D" w:rsidP="00956F87">
      <w:r>
        <w:t xml:space="preserve">Specific pharmaceutical treatments registered for the treatment of PAH include oral bosentan, ambrisentan, tadalafil and sildenafil, inhaled nitric oxide and iloprost, intravenous </w:t>
      </w:r>
      <w:r w:rsidR="00B90382">
        <w:t xml:space="preserve">(IV) </w:t>
      </w:r>
      <w:r>
        <w:t xml:space="preserve">epoprostenol and subcutaneous </w:t>
      </w:r>
      <w:r w:rsidR="00223C49">
        <w:t xml:space="preserve">(SC) </w:t>
      </w:r>
      <w:r>
        <w:t xml:space="preserve">treprostinil. Recent orphan designations for PAH include imatinib and riociguat. The sponsor claims that macitentan potentially has better efficacy and safety characteristics compared to current ERAs with high affinity and sustained occupancy of endothelin receptors, pharmacokinetic </w:t>
      </w:r>
      <w:r w:rsidR="0011222B">
        <w:t xml:space="preserve">(PK) </w:t>
      </w:r>
      <w:r>
        <w:t>characteristics</w:t>
      </w:r>
      <w:r w:rsidR="009060D1">
        <w:t xml:space="preserve"> that are</w:t>
      </w:r>
      <w:r>
        <w:t xml:space="preserve"> consistent with once daily dosing and</w:t>
      </w:r>
      <w:r w:rsidR="009060D1">
        <w:t>,</w:t>
      </w:r>
      <w:r>
        <w:t xml:space="preserve"> unlike current therapies which have mainly shown a benefit in terms of symptom relief via improvements in exercise capacity, has demonstrated benefit for long term clinical outcome in terms of </w:t>
      </w:r>
      <w:r w:rsidR="00B25DAF">
        <w:t>m</w:t>
      </w:r>
      <w:r>
        <w:t>orbidity and mortality.</w:t>
      </w:r>
    </w:p>
    <w:p w:rsidR="00A8320D" w:rsidRDefault="00A8320D" w:rsidP="00956F87">
      <w:r>
        <w:t>Opsumit has not been previously considered by ACPM.</w:t>
      </w:r>
    </w:p>
    <w:p w:rsidR="00A8320D" w:rsidRPr="00A8320D" w:rsidRDefault="003A06CA" w:rsidP="00A8320D">
      <w:bookmarkStart w:id="12" w:name="_Toc314842485"/>
      <w:bookmarkStart w:id="13" w:name="_Toc247691504"/>
      <w:r>
        <w:t xml:space="preserve">This AusPAR describes the application by </w:t>
      </w:r>
      <w:r w:rsidR="00A8320D" w:rsidRPr="00A8320D">
        <w:t xml:space="preserve">Actelion Pharmaceuticals Ltd </w:t>
      </w:r>
      <w:r>
        <w:t xml:space="preserve">(the sponsor) to </w:t>
      </w:r>
      <w:r w:rsidR="00A8320D" w:rsidRPr="00A8320D">
        <w:t xml:space="preserve">register </w:t>
      </w:r>
      <w:r w:rsidR="0011222B">
        <w:t>Opsumit (</w:t>
      </w:r>
      <w:r w:rsidR="00A8320D" w:rsidRPr="00A8320D">
        <w:t>macitentan</w:t>
      </w:r>
      <w:r w:rsidR="0011222B">
        <w:t>)</w:t>
      </w:r>
      <w:r w:rsidR="00A8320D" w:rsidRPr="00A8320D">
        <w:t xml:space="preserve">, a new chemical entity, for use in the long-term treatment of </w:t>
      </w:r>
      <w:r w:rsidR="00D32A10">
        <w:t>PAH</w:t>
      </w:r>
      <w:r w:rsidR="00A8320D" w:rsidRPr="00A8320D">
        <w:t>.</w:t>
      </w:r>
    </w:p>
    <w:p w:rsidR="008E7846" w:rsidRPr="00956F87" w:rsidRDefault="00386150" w:rsidP="00956F87">
      <w:pPr>
        <w:pStyle w:val="Heading3"/>
      </w:pPr>
      <w:bookmarkStart w:id="14" w:name="_Toc391645264"/>
      <w:r>
        <w:t>Regulatory s</w:t>
      </w:r>
      <w:r w:rsidR="008E7846">
        <w:t>tatus</w:t>
      </w:r>
      <w:bookmarkEnd w:id="12"/>
      <w:bookmarkEnd w:id="13"/>
      <w:bookmarkEnd w:id="14"/>
    </w:p>
    <w:p w:rsidR="0012759D" w:rsidRDefault="008E7846" w:rsidP="00956F87">
      <w:r>
        <w:t>The product received initial ARTG Registration on</w:t>
      </w:r>
      <w:r w:rsidR="0012759D">
        <w:t xml:space="preserve"> 5 February 2014.</w:t>
      </w:r>
    </w:p>
    <w:p w:rsidR="008E7846" w:rsidRDefault="00B25DAF" w:rsidP="00956F87">
      <w:r>
        <w:t>The international regulatory status of m</w:t>
      </w:r>
      <w:r w:rsidR="00A8320D">
        <w:t xml:space="preserve">acitentan </w:t>
      </w:r>
      <w:r>
        <w:t>is included in Table 1.</w:t>
      </w:r>
    </w:p>
    <w:p w:rsidR="005A1E8F" w:rsidRDefault="005A1E8F" w:rsidP="00956F87">
      <w:pPr>
        <w:pStyle w:val="TableTitle"/>
      </w:pPr>
      <w:r>
        <w:t>Table 1: International regulatory status</w:t>
      </w:r>
    </w:p>
    <w:tbl>
      <w:tblPr>
        <w:tblStyle w:val="TableTGAblue"/>
        <w:tblW w:w="0" w:type="auto"/>
        <w:tblLook w:val="04A0" w:firstRow="1" w:lastRow="0" w:firstColumn="1" w:lastColumn="0" w:noHBand="0" w:noVBand="1"/>
      </w:tblPr>
      <w:tblGrid>
        <w:gridCol w:w="2206"/>
        <w:gridCol w:w="2463"/>
        <w:gridCol w:w="3519"/>
      </w:tblGrid>
      <w:tr w:rsidR="003D72AD" w:rsidTr="00956F87">
        <w:trPr>
          <w:cnfStyle w:val="100000000000" w:firstRow="1" w:lastRow="0" w:firstColumn="0" w:lastColumn="0" w:oddVBand="0" w:evenVBand="0" w:oddHBand="0" w:evenHBand="0" w:firstRowFirstColumn="0" w:firstRowLastColumn="0" w:lastRowFirstColumn="0" w:lastRowLastColumn="0"/>
        </w:trPr>
        <w:tc>
          <w:tcPr>
            <w:tcW w:w="2206" w:type="dxa"/>
          </w:tcPr>
          <w:p w:rsidR="003D72AD" w:rsidRDefault="003D72AD" w:rsidP="00956F87">
            <w:pPr>
              <w:ind w:left="0" w:right="0"/>
            </w:pPr>
            <w:r>
              <w:t>Country</w:t>
            </w:r>
          </w:p>
        </w:tc>
        <w:tc>
          <w:tcPr>
            <w:tcW w:w="2463" w:type="dxa"/>
          </w:tcPr>
          <w:p w:rsidR="003D72AD" w:rsidRDefault="003D72AD" w:rsidP="00956F87">
            <w:pPr>
              <w:ind w:left="62" w:right="58"/>
            </w:pPr>
            <w:r>
              <w:t>Submission Date</w:t>
            </w:r>
          </w:p>
        </w:tc>
        <w:tc>
          <w:tcPr>
            <w:tcW w:w="3519" w:type="dxa"/>
          </w:tcPr>
          <w:p w:rsidR="003D72AD" w:rsidRDefault="003D72AD" w:rsidP="00956F87">
            <w:pPr>
              <w:ind w:left="9" w:right="34"/>
            </w:pPr>
            <w:r>
              <w:t>Marketing Application Status</w:t>
            </w:r>
          </w:p>
        </w:tc>
      </w:tr>
      <w:tr w:rsidR="003D72AD" w:rsidTr="00956F87">
        <w:tc>
          <w:tcPr>
            <w:tcW w:w="2206" w:type="dxa"/>
          </w:tcPr>
          <w:p w:rsidR="003D72AD" w:rsidRDefault="003D72AD" w:rsidP="00956F87">
            <w:pPr>
              <w:ind w:left="0" w:right="0"/>
            </w:pPr>
            <w:r>
              <w:t>United States</w:t>
            </w:r>
          </w:p>
        </w:tc>
        <w:tc>
          <w:tcPr>
            <w:tcW w:w="2463" w:type="dxa"/>
          </w:tcPr>
          <w:p w:rsidR="003D72AD" w:rsidRDefault="003D72AD" w:rsidP="00956F87">
            <w:pPr>
              <w:ind w:left="62" w:right="58"/>
            </w:pPr>
            <w:r>
              <w:t>19 October 2012</w:t>
            </w:r>
          </w:p>
        </w:tc>
        <w:tc>
          <w:tcPr>
            <w:tcW w:w="3519" w:type="dxa"/>
          </w:tcPr>
          <w:p w:rsidR="00752F0E" w:rsidRDefault="003D72AD" w:rsidP="00956F87">
            <w:pPr>
              <w:ind w:left="9" w:right="34"/>
            </w:pPr>
            <w:r>
              <w:t>Approved</w:t>
            </w:r>
          </w:p>
          <w:p w:rsidR="003D72AD" w:rsidRDefault="003D72AD" w:rsidP="00956F87">
            <w:pPr>
              <w:ind w:left="9" w:right="34"/>
            </w:pPr>
            <w:r>
              <w:t>18 October 2013</w:t>
            </w:r>
          </w:p>
        </w:tc>
      </w:tr>
      <w:tr w:rsidR="003D72AD" w:rsidTr="00956F87">
        <w:tc>
          <w:tcPr>
            <w:tcW w:w="2206" w:type="dxa"/>
          </w:tcPr>
          <w:p w:rsidR="003D72AD" w:rsidRDefault="003D72AD" w:rsidP="00956F87">
            <w:pPr>
              <w:ind w:left="0" w:right="0"/>
            </w:pPr>
            <w:r>
              <w:t>European Union</w:t>
            </w:r>
          </w:p>
        </w:tc>
        <w:tc>
          <w:tcPr>
            <w:tcW w:w="2463" w:type="dxa"/>
          </w:tcPr>
          <w:p w:rsidR="003D72AD" w:rsidRDefault="003D72AD" w:rsidP="00956F87">
            <w:pPr>
              <w:ind w:left="62" w:right="58"/>
            </w:pPr>
            <w:r>
              <w:t>24 October 2012</w:t>
            </w:r>
          </w:p>
        </w:tc>
        <w:tc>
          <w:tcPr>
            <w:tcW w:w="3519" w:type="dxa"/>
          </w:tcPr>
          <w:p w:rsidR="00752F0E" w:rsidRDefault="003D72AD" w:rsidP="00956F87">
            <w:pPr>
              <w:ind w:left="9" w:right="34"/>
            </w:pPr>
            <w:r>
              <w:t>Positive CHMP Opinion</w:t>
            </w:r>
          </w:p>
          <w:p w:rsidR="003D72AD" w:rsidRDefault="003D72AD" w:rsidP="00956F87">
            <w:pPr>
              <w:ind w:left="9" w:right="34"/>
            </w:pPr>
            <w:r>
              <w:t>25 October 2013</w:t>
            </w:r>
          </w:p>
        </w:tc>
      </w:tr>
      <w:tr w:rsidR="003D72AD" w:rsidTr="00956F87">
        <w:tc>
          <w:tcPr>
            <w:tcW w:w="2206" w:type="dxa"/>
          </w:tcPr>
          <w:p w:rsidR="003D72AD" w:rsidRDefault="00956F87" w:rsidP="00956F87">
            <w:pPr>
              <w:ind w:left="0" w:right="0"/>
            </w:pPr>
            <w:r>
              <w:t>Switzerland</w:t>
            </w:r>
          </w:p>
        </w:tc>
        <w:tc>
          <w:tcPr>
            <w:tcW w:w="2463" w:type="dxa"/>
          </w:tcPr>
          <w:p w:rsidR="003D72AD" w:rsidRDefault="003D72AD" w:rsidP="00956F87">
            <w:pPr>
              <w:ind w:left="62" w:right="58"/>
            </w:pPr>
            <w:r>
              <w:t>10 December 2012</w:t>
            </w:r>
          </w:p>
        </w:tc>
        <w:tc>
          <w:tcPr>
            <w:tcW w:w="3519" w:type="dxa"/>
          </w:tcPr>
          <w:p w:rsidR="003D72AD" w:rsidRDefault="00313370" w:rsidP="00956F87">
            <w:pPr>
              <w:ind w:left="9" w:right="34"/>
            </w:pPr>
            <w:r>
              <w:t>14 Feb 2014</w:t>
            </w:r>
          </w:p>
        </w:tc>
      </w:tr>
      <w:tr w:rsidR="003D72AD" w:rsidTr="00956F87">
        <w:tc>
          <w:tcPr>
            <w:tcW w:w="2206" w:type="dxa"/>
          </w:tcPr>
          <w:p w:rsidR="003D72AD" w:rsidRDefault="003D72AD" w:rsidP="00956F87">
            <w:pPr>
              <w:ind w:left="0" w:right="0"/>
            </w:pPr>
            <w:r>
              <w:t>C</w:t>
            </w:r>
            <w:r w:rsidR="00752F0E">
              <w:t>anada</w:t>
            </w:r>
          </w:p>
        </w:tc>
        <w:tc>
          <w:tcPr>
            <w:tcW w:w="2463" w:type="dxa"/>
          </w:tcPr>
          <w:p w:rsidR="003D72AD" w:rsidRDefault="00752F0E" w:rsidP="00956F87">
            <w:pPr>
              <w:ind w:left="62" w:right="58"/>
            </w:pPr>
            <w:r>
              <w:t>21 December 2012</w:t>
            </w:r>
          </w:p>
        </w:tc>
        <w:tc>
          <w:tcPr>
            <w:tcW w:w="3519" w:type="dxa"/>
          </w:tcPr>
          <w:p w:rsidR="003D72AD" w:rsidRDefault="00752F0E" w:rsidP="00956F87">
            <w:pPr>
              <w:ind w:left="9" w:right="34"/>
            </w:pPr>
            <w:r>
              <w:t>6 November 2013</w:t>
            </w:r>
          </w:p>
        </w:tc>
      </w:tr>
      <w:tr w:rsidR="00F15419" w:rsidTr="00956F87">
        <w:tc>
          <w:tcPr>
            <w:tcW w:w="2206" w:type="dxa"/>
          </w:tcPr>
          <w:p w:rsidR="00F15419" w:rsidRDefault="00F15419" w:rsidP="00956F87">
            <w:pPr>
              <w:ind w:left="0" w:right="0"/>
            </w:pPr>
            <w:r>
              <w:lastRenderedPageBreak/>
              <w:t>New Zealand</w:t>
            </w:r>
          </w:p>
        </w:tc>
        <w:tc>
          <w:tcPr>
            <w:tcW w:w="2463" w:type="dxa"/>
          </w:tcPr>
          <w:p w:rsidR="00F15419" w:rsidRDefault="00F15419" w:rsidP="00956F87">
            <w:pPr>
              <w:ind w:left="62" w:right="58"/>
            </w:pPr>
            <w:r>
              <w:t>17 February 2014</w:t>
            </w:r>
          </w:p>
        </w:tc>
        <w:tc>
          <w:tcPr>
            <w:tcW w:w="3519" w:type="dxa"/>
          </w:tcPr>
          <w:p w:rsidR="00F15419" w:rsidRDefault="00F15419" w:rsidP="00956F87">
            <w:pPr>
              <w:ind w:left="9" w:right="34"/>
            </w:pPr>
            <w:r>
              <w:t>Review ongoing</w:t>
            </w:r>
          </w:p>
        </w:tc>
      </w:tr>
    </w:tbl>
    <w:p w:rsidR="008E7846" w:rsidRPr="00956F87" w:rsidRDefault="008E7846" w:rsidP="00956F87">
      <w:pPr>
        <w:pStyle w:val="Heading3"/>
      </w:pPr>
      <w:bookmarkStart w:id="15" w:name="_Toc247691505"/>
      <w:bookmarkStart w:id="16" w:name="_Toc314842486"/>
      <w:bookmarkStart w:id="17" w:name="_Toc391645265"/>
      <w:r>
        <w:t>Product Information</w:t>
      </w:r>
      <w:bookmarkEnd w:id="15"/>
      <w:bookmarkEnd w:id="16"/>
      <w:bookmarkEnd w:id="17"/>
    </w:p>
    <w:p w:rsidR="008E7846" w:rsidRDefault="008E7846" w:rsidP="00956F87">
      <w:r>
        <w:t>The approved Product Information (PI) current at the time this AusPAR was prepared can be found as Attachment 1.</w:t>
      </w:r>
      <w:bookmarkStart w:id="18" w:name="_Toc247691506"/>
      <w:bookmarkStart w:id="19" w:name="_Toc314842487"/>
    </w:p>
    <w:p w:rsidR="008E7846" w:rsidRPr="003602A9" w:rsidRDefault="008E7846" w:rsidP="00956F87">
      <w:pPr>
        <w:pStyle w:val="Heading2"/>
      </w:pPr>
      <w:bookmarkStart w:id="20" w:name="_Toc391645266"/>
      <w:r>
        <w:t>II. Quality</w:t>
      </w:r>
      <w:bookmarkEnd w:id="1"/>
      <w:r>
        <w:t xml:space="preserve"> </w:t>
      </w:r>
      <w:r w:rsidRPr="00956F87">
        <w:t>findings</w:t>
      </w:r>
      <w:bookmarkEnd w:id="18"/>
      <w:bookmarkEnd w:id="19"/>
      <w:bookmarkEnd w:id="20"/>
    </w:p>
    <w:p w:rsidR="008E7846" w:rsidRDefault="008E7846" w:rsidP="00956F87">
      <w:pPr>
        <w:pStyle w:val="Heading3"/>
      </w:pPr>
      <w:bookmarkStart w:id="21" w:name="_Toc247691507"/>
      <w:bookmarkStart w:id="22" w:name="_Toc314842488"/>
      <w:bookmarkStart w:id="23" w:name="_Toc391645267"/>
      <w:r w:rsidRPr="008751DC">
        <w:t xml:space="preserve">Drug </w:t>
      </w:r>
      <w:r>
        <w:t>s</w:t>
      </w:r>
      <w:r w:rsidRPr="008751DC">
        <w:t>ubstance</w:t>
      </w:r>
      <w:r>
        <w:t xml:space="preserve"> (</w:t>
      </w:r>
      <w:r w:rsidRPr="00956F87">
        <w:t>active</w:t>
      </w:r>
      <w:r>
        <w:t xml:space="preserve"> ingredient)</w:t>
      </w:r>
      <w:bookmarkEnd w:id="21"/>
      <w:bookmarkEnd w:id="22"/>
      <w:bookmarkEnd w:id="23"/>
    </w:p>
    <w:p w:rsidR="00275EC7" w:rsidRDefault="00275EC7" w:rsidP="00956F87">
      <w:r w:rsidRPr="00275EC7">
        <w:t>Macitentan is made by chemical synthesis. It is an achiral molecule. Various polymorphic forms were shown to exist but the most thermodynamically stable form was used in the manufacture of the finished product. Macitentan was shown to be non-hygroscopic. The pKa of macitentan is 6.2.</w:t>
      </w:r>
    </w:p>
    <w:p w:rsidR="002C320C" w:rsidRDefault="002C320C" w:rsidP="00956F87">
      <w:pPr>
        <w:pStyle w:val="FigureTitle"/>
      </w:pPr>
      <w:r>
        <w:t xml:space="preserve">Figure 1: Structure of </w:t>
      </w:r>
      <w:r w:rsidRPr="00956F87">
        <w:t>macitentan</w:t>
      </w:r>
    </w:p>
    <w:p w:rsidR="00275EC7" w:rsidRPr="00051B05" w:rsidRDefault="00275EC7" w:rsidP="00956F87">
      <w:pPr>
        <w:rPr>
          <w:b/>
        </w:rPr>
      </w:pPr>
      <w:r w:rsidRPr="00051B05">
        <w:rPr>
          <w:noProof/>
          <w:lang w:eastAsia="en-AU"/>
        </w:rPr>
        <w:drawing>
          <wp:inline distT="0" distB="0" distL="0" distR="0" wp14:anchorId="79DEEDB0" wp14:editId="785171DE">
            <wp:extent cx="3089910" cy="1461135"/>
            <wp:effectExtent l="0" t="0" r="0" b="5715"/>
            <wp:docPr id="12" name="Picture 1" descr="Figure 1: Structure of maciten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3089910" cy="1461135"/>
                    </a:xfrm>
                    <a:prstGeom prst="rect">
                      <a:avLst/>
                    </a:prstGeom>
                    <a:noFill/>
                    <a:ln w="9525">
                      <a:noFill/>
                      <a:miter lim="800000"/>
                      <a:headEnd/>
                      <a:tailEnd/>
                    </a:ln>
                  </pic:spPr>
                </pic:pic>
              </a:graphicData>
            </a:graphic>
          </wp:inline>
        </w:drawing>
      </w:r>
    </w:p>
    <w:p w:rsidR="00275EC7" w:rsidRPr="00051B05" w:rsidRDefault="00275EC7" w:rsidP="00956F87">
      <w:pPr>
        <w:pStyle w:val="Heading4"/>
      </w:pPr>
      <w:r w:rsidRPr="00051B05">
        <w:t>Macitentan</w:t>
      </w:r>
    </w:p>
    <w:p w:rsidR="00275EC7" w:rsidRDefault="00275EC7" w:rsidP="00956F87">
      <w:r w:rsidRPr="00275EC7">
        <w:t>The API is structurally related to other non-peptide PAH</w:t>
      </w:r>
      <w:r w:rsidR="00F55ED2">
        <w:t xml:space="preserve"> ERA</w:t>
      </w:r>
      <w:r w:rsidRPr="00275EC7">
        <w:t xml:space="preserve"> treatments such as bosentan, ambrisentan, darusentan, tezosentan, zibotentan and sitaxsentan. The structures for these are below.</w:t>
      </w:r>
    </w:p>
    <w:p w:rsidR="002C320C" w:rsidRDefault="002C320C" w:rsidP="00956F87">
      <w:pPr>
        <w:pStyle w:val="FigureTitle"/>
      </w:pPr>
      <w:r>
        <w:lastRenderedPageBreak/>
        <w:t xml:space="preserve">Figure 2: Structures </w:t>
      </w:r>
      <w:r w:rsidRPr="00956F87">
        <w:t>of</w:t>
      </w:r>
      <w:r>
        <w:t xml:space="preserve"> other non-peptide PAH endothelin receptor antagonist treatments</w:t>
      </w:r>
    </w:p>
    <w:p w:rsidR="002C320C" w:rsidRPr="002C320C" w:rsidRDefault="002C320C" w:rsidP="00956F87">
      <w:r>
        <w:rPr>
          <w:noProof/>
          <w:lang w:eastAsia="en-AU"/>
        </w:rPr>
        <w:drawing>
          <wp:inline distT="0" distB="0" distL="0" distR="0" wp14:anchorId="735352CD" wp14:editId="5E9C7E41">
            <wp:extent cx="5000625" cy="4733925"/>
            <wp:effectExtent l="0" t="0" r="9525" b="9525"/>
            <wp:docPr id="5" name="Picture 5" descr="Figure 2: Structures of other non-peptide PAH endothelin receptor antagonist treat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000625" cy="4733925"/>
                    </a:xfrm>
                    <a:prstGeom prst="rect">
                      <a:avLst/>
                    </a:prstGeom>
                  </pic:spPr>
                </pic:pic>
              </a:graphicData>
            </a:graphic>
          </wp:inline>
        </w:drawing>
      </w:r>
    </w:p>
    <w:p w:rsidR="00275EC7" w:rsidRDefault="00275EC7" w:rsidP="00956F87">
      <w:r>
        <w:t>Macitentan is insoluble in aqueous solutions. The solubility of macitentan in organic solvents is shown in the table below:</w:t>
      </w:r>
    </w:p>
    <w:p w:rsidR="002C320C" w:rsidRPr="002130C6" w:rsidRDefault="002C320C" w:rsidP="00956F87">
      <w:pPr>
        <w:pStyle w:val="TableTitle"/>
      </w:pPr>
      <w:r w:rsidRPr="002130C6">
        <w:t xml:space="preserve">Table </w:t>
      </w:r>
      <w:r w:rsidR="0011222B" w:rsidRPr="002130C6">
        <w:t>2</w:t>
      </w:r>
      <w:r w:rsidRPr="002130C6">
        <w:t>: The solubility of macitentan in organic solvents</w:t>
      </w:r>
    </w:p>
    <w:p w:rsidR="00275EC7" w:rsidRDefault="00275EC7" w:rsidP="00956F87">
      <w:r>
        <w:rPr>
          <w:noProof/>
          <w:lang w:eastAsia="en-AU"/>
        </w:rPr>
        <w:drawing>
          <wp:inline distT="0" distB="0" distL="0" distR="0" wp14:anchorId="2B6FE682" wp14:editId="7EEAD187">
            <wp:extent cx="4345940" cy="2573655"/>
            <wp:effectExtent l="0" t="0" r="0" b="0"/>
            <wp:docPr id="50" name="Picture 1" descr="Table 2: The solubility of macitentan in organic solv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4345940" cy="2573655"/>
                    </a:xfrm>
                    <a:prstGeom prst="rect">
                      <a:avLst/>
                    </a:prstGeom>
                    <a:noFill/>
                    <a:ln w="9525">
                      <a:noFill/>
                      <a:miter lim="800000"/>
                      <a:headEnd/>
                      <a:tailEnd/>
                    </a:ln>
                  </pic:spPr>
                </pic:pic>
              </a:graphicData>
            </a:graphic>
          </wp:inline>
        </w:drawing>
      </w:r>
    </w:p>
    <w:p w:rsidR="00275EC7" w:rsidRPr="00275EC7" w:rsidRDefault="00275EC7" w:rsidP="00956F87">
      <w:r w:rsidRPr="00275EC7">
        <w:t>Appropriate particle size controls have been applied by the finished product manufacturer. Impurity controls are acceptable.</w:t>
      </w:r>
    </w:p>
    <w:p w:rsidR="00275EC7" w:rsidRPr="00275EC7" w:rsidRDefault="00275EC7" w:rsidP="00956F87">
      <w:pPr>
        <w:pStyle w:val="Heading4"/>
      </w:pPr>
      <w:r w:rsidRPr="00275EC7">
        <w:lastRenderedPageBreak/>
        <w:t>Tablets</w:t>
      </w:r>
    </w:p>
    <w:p w:rsidR="00275EC7" w:rsidRPr="00275EC7" w:rsidRDefault="00275EC7" w:rsidP="00956F87">
      <w:r w:rsidRPr="00275EC7">
        <w:t>The proposed OPSUMIT tablets are film-coated, immediate release tablets. They are not scored.</w:t>
      </w:r>
    </w:p>
    <w:p w:rsidR="00275EC7" w:rsidRPr="00275EC7" w:rsidRDefault="00275EC7" w:rsidP="00956F87">
      <w:r w:rsidRPr="00275EC7">
        <w:t xml:space="preserve">The formulation is conventional. They are presented in 3, 6, 9, 30 tablets PVC/PE/PVDC/Al blister pack and in 30 tablets HDPE bottle (with </w:t>
      </w:r>
      <w:r w:rsidR="0011222B">
        <w:t xml:space="preserve">a </w:t>
      </w:r>
      <w:r w:rsidRPr="00275EC7">
        <w:t>C</w:t>
      </w:r>
      <w:r w:rsidR="0011222B">
        <w:t xml:space="preserve">hild </w:t>
      </w:r>
      <w:r w:rsidRPr="00275EC7">
        <w:t>R</w:t>
      </w:r>
      <w:r w:rsidR="0011222B">
        <w:t xml:space="preserve">esistant </w:t>
      </w:r>
      <w:r w:rsidRPr="00275EC7">
        <w:t>C</w:t>
      </w:r>
      <w:r w:rsidR="0011222B">
        <w:t>losure (CRC)</w:t>
      </w:r>
      <w:r w:rsidRPr="00275EC7">
        <w:t>).</w:t>
      </w:r>
    </w:p>
    <w:p w:rsidR="00275EC7" w:rsidRPr="00275EC7" w:rsidRDefault="00275EC7" w:rsidP="00956F87">
      <w:r w:rsidRPr="00275EC7">
        <w:t xml:space="preserve">A capsule formulation was initially developed to provide dose flexibility. The capsule formulation was used in early Phase 1 and Phase 2 studies. </w:t>
      </w:r>
      <w:r w:rsidR="00733A28">
        <w:t>T</w:t>
      </w:r>
      <w:r w:rsidRPr="00275EC7">
        <w:t xml:space="preserve">o overcome chemical stability issues observed, a tablet formulation was developed and scaled-up. The film-coated tablet formulation was used in clinical Phases </w:t>
      </w:r>
      <w:r w:rsidR="00B31273">
        <w:t>I</w:t>
      </w:r>
      <w:r w:rsidRPr="00275EC7">
        <w:t xml:space="preserve">, </w:t>
      </w:r>
      <w:r w:rsidR="007E6E54">
        <w:t>II</w:t>
      </w:r>
      <w:r w:rsidRPr="00275EC7">
        <w:t xml:space="preserve"> and </w:t>
      </w:r>
      <w:r w:rsidR="007E6E54">
        <w:t>III</w:t>
      </w:r>
      <w:r w:rsidRPr="00275EC7">
        <w:t xml:space="preserve">. The tablet formulation used in these studies is the same as that proposed for registration. The </w:t>
      </w:r>
      <w:r w:rsidR="0011222B">
        <w:t>PK</w:t>
      </w:r>
      <w:r w:rsidRPr="00275EC7">
        <w:t xml:space="preserve"> profile for the capsule formulation was compared to the tablet </w:t>
      </w:r>
      <w:r w:rsidR="00956F87">
        <w:t>formulation (Study AC-055-108).</w:t>
      </w:r>
    </w:p>
    <w:p w:rsidR="00275EC7" w:rsidRPr="00275EC7" w:rsidRDefault="00275EC7" w:rsidP="00956F87">
      <w:r w:rsidRPr="00275EC7">
        <w:t>The proposed shelf life is 24 months, store below 30</w:t>
      </w:r>
      <w:r w:rsidRPr="00275EC7">
        <w:sym w:font="Symbol" w:char="F0B0"/>
      </w:r>
      <w:r w:rsidRPr="00275EC7">
        <w:t>C and protected from moisture in PVC/PE/PVdC blister packs and HDPE bottles. No changes on storage were detected.</w:t>
      </w:r>
    </w:p>
    <w:p w:rsidR="00275EC7" w:rsidRDefault="00275EC7" w:rsidP="00956F87">
      <w:r w:rsidRPr="00275EC7">
        <w:t>Chemistry and quality control aspects are considered acceptable.</w:t>
      </w:r>
    </w:p>
    <w:p w:rsidR="008E7846" w:rsidRPr="00956F87" w:rsidRDefault="008E7846" w:rsidP="00956F87">
      <w:pPr>
        <w:pStyle w:val="Heading3"/>
      </w:pPr>
      <w:bookmarkStart w:id="24" w:name="_Toc314842491"/>
      <w:bookmarkStart w:id="25" w:name="_Toc391645268"/>
      <w:r>
        <w:t>Biopharmaceutics</w:t>
      </w:r>
      <w:bookmarkEnd w:id="24"/>
      <w:bookmarkEnd w:id="25"/>
    </w:p>
    <w:p w:rsidR="002C320C" w:rsidRPr="002C320C" w:rsidRDefault="002C320C" w:rsidP="00956F87">
      <w:bookmarkStart w:id="26" w:name="_Toc314842492"/>
      <w:r w:rsidRPr="002C320C">
        <w:t xml:space="preserve">The </w:t>
      </w:r>
      <w:r>
        <w:t>PK is</w:t>
      </w:r>
      <w:r w:rsidRPr="002C320C">
        <w:t xml:space="preserve"> dose-proportional up to and including 30 mg, after repeated administration. Maximum plasma concentrations of macitentan are achieved about </w:t>
      </w:r>
      <w:r>
        <w:t>eight</w:t>
      </w:r>
      <w:r w:rsidRPr="002C320C">
        <w:t xml:space="preserve"> hours after administration. Thereafter, plasma concentrations of macitentan and its active metabolite decrease slowly, with an apparent elimination half-life of </w:t>
      </w:r>
      <w:r>
        <w:t>approximately</w:t>
      </w:r>
      <w:r w:rsidRPr="002C320C">
        <w:t xml:space="preserve"> 16 ho</w:t>
      </w:r>
      <w:r w:rsidR="00956F87">
        <w:t>urs and 48 hours, respectively.</w:t>
      </w:r>
    </w:p>
    <w:p w:rsidR="002C320C" w:rsidRPr="002C320C" w:rsidRDefault="002C320C" w:rsidP="00956F87">
      <w:r w:rsidRPr="002C320C">
        <w:t xml:space="preserve">The justification for not conducting an absolute bioavailability was provided which states that the poor aqueous solubility and stability presented barriers to designing an IV and oral solution formulations. The absolute bioavailability was simulated using a physiologically based </w:t>
      </w:r>
      <w:r w:rsidR="0011222B">
        <w:t>PK</w:t>
      </w:r>
      <w:r w:rsidRPr="002C320C">
        <w:t xml:space="preserve"> computer model with generic, physiological, and demographic variables using Monte Carlo methods and equations deri</w:t>
      </w:r>
      <w:r>
        <w:t>ved</w:t>
      </w:r>
      <w:r w:rsidRPr="002C320C">
        <w:t xml:space="preserve"> from population database obtained from literature sources. The results indicated an oral bioavailability of 74% (geometric mean, 95% CI: 72%, 77%).</w:t>
      </w:r>
    </w:p>
    <w:p w:rsidR="002C320C" w:rsidRPr="002C320C" w:rsidRDefault="002C320C" w:rsidP="00956F87">
      <w:r w:rsidRPr="002C320C">
        <w:t>An exploratory, open-label, randomi</w:t>
      </w:r>
      <w:r>
        <w:t>s</w:t>
      </w:r>
      <w:r w:rsidRPr="002C320C">
        <w:t xml:space="preserve">ed, </w:t>
      </w:r>
      <w:r>
        <w:t>two</w:t>
      </w:r>
      <w:r w:rsidRPr="002C320C">
        <w:t xml:space="preserve">-period, </w:t>
      </w:r>
      <w:r>
        <w:t>two</w:t>
      </w:r>
      <w:r w:rsidRPr="002C320C">
        <w:t xml:space="preserve">-treatment, crossover study (Study AC-055-103) was conducted to investigate the effect of food on the </w:t>
      </w:r>
      <w:r w:rsidR="0011222B">
        <w:t xml:space="preserve">PK </w:t>
      </w:r>
      <w:r w:rsidRPr="002C320C">
        <w:t>of ACT-064992 and ACT-132577 in healthy male subjects. The 90% CI’s of the geometric mean ratios of C</w:t>
      </w:r>
      <w:r w:rsidRPr="002C320C">
        <w:rPr>
          <w:vertAlign w:val="subscript"/>
        </w:rPr>
        <w:t>max</w:t>
      </w:r>
      <w:r w:rsidRPr="002C320C">
        <w:t>, AUC</w:t>
      </w:r>
      <w:r w:rsidRPr="002C320C">
        <w:rPr>
          <w:vertAlign w:val="subscript"/>
        </w:rPr>
        <w:t xml:space="preserve">0-t </w:t>
      </w:r>
      <w:r w:rsidRPr="002C320C">
        <w:t>and AUC</w:t>
      </w:r>
      <w:r w:rsidRPr="002C320C">
        <w:rPr>
          <w:vertAlign w:val="subscript"/>
        </w:rPr>
        <w:t>0-∞</w:t>
      </w:r>
      <w:r w:rsidRPr="002C320C">
        <w:t xml:space="preserve"> were between 80-125%. It can be concluded that </w:t>
      </w:r>
      <w:r>
        <w:t>PK</w:t>
      </w:r>
      <w:r w:rsidRPr="002C320C">
        <w:t xml:space="preserve"> of both ACT-064992 and its metabolite, ACT-132577, were unaltered in the presence of food.</w:t>
      </w:r>
    </w:p>
    <w:p w:rsidR="002C320C" w:rsidRPr="002C320C" w:rsidRDefault="002C320C" w:rsidP="00956F87">
      <w:r w:rsidRPr="002C320C">
        <w:t>A single-centre, open-label, randomi</w:t>
      </w:r>
      <w:r>
        <w:t>s</w:t>
      </w:r>
      <w:r w:rsidRPr="002C320C">
        <w:t>ed, two-way crossover study (Study AC-055-108) was conducted to investigate the relative bioavailability of a single-dose tablet and capsule formulation of ACT-064992 in healthy male subjects. The relative bioavailability study serves as a bridging study between the pivotal and early clinical trial formulations. It is noted that mean C</w:t>
      </w:r>
      <w:r w:rsidRPr="002C320C">
        <w:rPr>
          <w:vertAlign w:val="subscript"/>
        </w:rPr>
        <w:t>max</w:t>
      </w:r>
      <w:r w:rsidRPr="002C320C">
        <w:t xml:space="preserve"> for ACT-064992 was approximately 20% lower after ingestion of the tablet compared to the capsule formulation. Consequently, the lower end of the 90% CI of the geometric mean ratio of C</w:t>
      </w:r>
      <w:r w:rsidRPr="002C320C">
        <w:rPr>
          <w:vertAlign w:val="subscript"/>
        </w:rPr>
        <w:t>max</w:t>
      </w:r>
      <w:r w:rsidRPr="002C320C">
        <w:t xml:space="preserve"> failed to comply with the accepted bioequivalence range of 80%-125%. The 90% of the geometric mean ratio of AUC</w:t>
      </w:r>
      <w:r w:rsidRPr="002C320C">
        <w:rPr>
          <w:vertAlign w:val="subscript"/>
        </w:rPr>
        <w:t xml:space="preserve">0-t </w:t>
      </w:r>
      <w:r w:rsidRPr="002C320C">
        <w:t>was within 80-125% and spanned unity (0.89-1.01). The intended use of the drug is as a chronic, multiple dose regime and hence the same steady-state plasma exposures are expected to be achieved of both the active and the metabolite during o</w:t>
      </w:r>
      <w:r w:rsidR="00956F87">
        <w:t>ngoing therapy.</w:t>
      </w:r>
    </w:p>
    <w:p w:rsidR="008E7846" w:rsidRPr="00956F87" w:rsidRDefault="008E7846" w:rsidP="00956F87">
      <w:pPr>
        <w:pStyle w:val="Heading3"/>
      </w:pPr>
      <w:bookmarkStart w:id="27" w:name="_Toc247691509"/>
      <w:bookmarkStart w:id="28" w:name="_Toc314842493"/>
      <w:bookmarkStart w:id="29" w:name="_Toc391645269"/>
      <w:bookmarkEnd w:id="26"/>
      <w:r>
        <w:t>Quality s</w:t>
      </w:r>
      <w:r w:rsidRPr="008751DC">
        <w:t>ummary</w:t>
      </w:r>
      <w:r>
        <w:t xml:space="preserve"> and conclusions</w:t>
      </w:r>
      <w:bookmarkEnd w:id="27"/>
      <w:bookmarkEnd w:id="28"/>
      <w:bookmarkEnd w:id="29"/>
    </w:p>
    <w:p w:rsidR="002C320C" w:rsidRPr="002C320C" w:rsidRDefault="002C320C" w:rsidP="00956F87">
      <w:r w:rsidRPr="002C320C">
        <w:t>Registration is recommended with respect to chemistry, quality control and bioavailability aspects.</w:t>
      </w:r>
    </w:p>
    <w:p w:rsidR="008E7846" w:rsidRDefault="008E7846" w:rsidP="00956F87">
      <w:pPr>
        <w:pStyle w:val="Heading2"/>
      </w:pPr>
      <w:bookmarkStart w:id="30" w:name="_Toc196046439"/>
      <w:bookmarkStart w:id="31" w:name="_Toc247691510"/>
      <w:bookmarkStart w:id="32" w:name="_Toc314842494"/>
      <w:bookmarkStart w:id="33" w:name="_Toc391645270"/>
      <w:r>
        <w:lastRenderedPageBreak/>
        <w:t>III. Nonclinical</w:t>
      </w:r>
      <w:bookmarkEnd w:id="30"/>
      <w:r>
        <w:t xml:space="preserve"> </w:t>
      </w:r>
      <w:r w:rsidRPr="00956F87">
        <w:t>findings</w:t>
      </w:r>
      <w:bookmarkEnd w:id="31"/>
      <w:bookmarkEnd w:id="32"/>
      <w:bookmarkEnd w:id="33"/>
    </w:p>
    <w:p w:rsidR="008E7846" w:rsidRPr="00956F87" w:rsidRDefault="008E7846" w:rsidP="00956F87">
      <w:pPr>
        <w:pStyle w:val="Heading3"/>
      </w:pPr>
      <w:bookmarkStart w:id="34" w:name="_Toc247691511"/>
      <w:bookmarkStart w:id="35" w:name="_Toc314842495"/>
      <w:bookmarkStart w:id="36" w:name="_Toc391645271"/>
      <w:r w:rsidRPr="00733A28">
        <w:t>Introduction</w:t>
      </w:r>
      <w:bookmarkEnd w:id="34"/>
      <w:bookmarkEnd w:id="35"/>
      <w:bookmarkEnd w:id="36"/>
    </w:p>
    <w:p w:rsidR="00733A28" w:rsidRPr="00733A28" w:rsidRDefault="00733A28" w:rsidP="00956F87">
      <w:bookmarkStart w:id="37" w:name="_Toc247691512"/>
      <w:bookmarkStart w:id="38" w:name="_Toc314842496"/>
      <w:r w:rsidRPr="00733A28">
        <w:t>The Sponsor has submitted a comprehensive dossier of high quality studies in support of the efficacy and safety of the novel, sulfamide-type,</w:t>
      </w:r>
      <w:r w:rsidR="00F55ED2">
        <w:t xml:space="preserve"> ERA</w:t>
      </w:r>
      <w:r w:rsidRPr="00733A28">
        <w:t>, macitentan. The pivotal toxicological studies were performed to</w:t>
      </w:r>
      <w:r w:rsidR="0064037F">
        <w:t xml:space="preserve"> Good Laboratory Practice (</w:t>
      </w:r>
      <w:r w:rsidRPr="00733A28">
        <w:t>GLP</w:t>
      </w:r>
      <w:r w:rsidR="0064037F">
        <w:t>)</w:t>
      </w:r>
      <w:r w:rsidRPr="00733A28">
        <w:t xml:space="preserve"> standard</w:t>
      </w:r>
      <w:r w:rsidR="00D32A10">
        <w:t>s</w:t>
      </w:r>
      <w:r w:rsidRPr="00733A28">
        <w:t xml:space="preserve"> by prominent, independent laboratories.</w:t>
      </w:r>
    </w:p>
    <w:p w:rsidR="008E7846" w:rsidRPr="00956F87" w:rsidRDefault="008E7846" w:rsidP="00956F87">
      <w:pPr>
        <w:pStyle w:val="Heading3"/>
      </w:pPr>
      <w:bookmarkStart w:id="39" w:name="_Toc391645272"/>
      <w:r w:rsidRPr="00020030">
        <w:t>Pharmacology</w:t>
      </w:r>
      <w:bookmarkEnd w:id="37"/>
      <w:bookmarkEnd w:id="38"/>
      <w:bookmarkEnd w:id="39"/>
    </w:p>
    <w:p w:rsidR="00733A28" w:rsidRPr="00956F87" w:rsidRDefault="00733A28" w:rsidP="00956F87">
      <w:pPr>
        <w:pStyle w:val="Heading4"/>
      </w:pPr>
      <w:bookmarkStart w:id="40" w:name="_Toc247691513"/>
      <w:bookmarkStart w:id="41" w:name="_Toc314842497"/>
      <w:r>
        <w:t>Primary pharmacology</w:t>
      </w:r>
    </w:p>
    <w:p w:rsidR="00733A28" w:rsidRPr="00733A28" w:rsidRDefault="00733A28" w:rsidP="00956F87">
      <w:r w:rsidRPr="00733A28">
        <w:t>PAH is associated with marked increases in the plasma concentration of the peptide ET-1 and with thickening of the artery wall, and can be explained as deriving (at least in part) from the vasoconstrictive and mitogenic actions of ET-1. Macitentan has been developed as an antagonist to the binding of ET-1 to both the ET</w:t>
      </w:r>
      <w:r w:rsidRPr="00D32A10">
        <w:rPr>
          <w:vertAlign w:val="subscript"/>
        </w:rPr>
        <w:t>A</w:t>
      </w:r>
      <w:r w:rsidRPr="00733A28">
        <w:t xml:space="preserve"> and ET</w:t>
      </w:r>
      <w:r w:rsidRPr="00D32A10">
        <w:rPr>
          <w:vertAlign w:val="subscript"/>
        </w:rPr>
        <w:t>B</w:t>
      </w:r>
      <w:r w:rsidRPr="00733A28">
        <w:t xml:space="preserve"> receptors. In this regard, macitentan is similar to another ET-1 receptor antagonist, bosentan, but differs from ambrisentan, which is a selective inhibitor of the ET</w:t>
      </w:r>
      <w:r w:rsidRPr="00D32A10">
        <w:rPr>
          <w:vertAlign w:val="subscript"/>
        </w:rPr>
        <w:t>A</w:t>
      </w:r>
      <w:r w:rsidRPr="00733A28">
        <w:t xml:space="preserve"> receptor. There has been considerable debate about the merits of treating PAH patients with antagonists that inhibit one versus both ET-1 receptors (particularly given that activation of the ET</w:t>
      </w:r>
      <w:r w:rsidRPr="00D32A10">
        <w:rPr>
          <w:vertAlign w:val="subscript"/>
        </w:rPr>
        <w:t xml:space="preserve">B </w:t>
      </w:r>
      <w:r w:rsidRPr="00733A28">
        <w:t>receptor can be vasodilatory). Nevertheless, there is evidence that both ET-1 receptors can contribute to vasoconstriction, and this was a basis for the development of macitentan.</w:t>
      </w:r>
    </w:p>
    <w:p w:rsidR="00733A28" w:rsidRPr="00733A28" w:rsidRDefault="00733A28" w:rsidP="00956F87">
      <w:r w:rsidRPr="00733A28">
        <w:t>Both macitentan and its major plasma metabolite, ACT-132577, acted as competitive antagonists of ET</w:t>
      </w:r>
      <w:r w:rsidRPr="00D32A10">
        <w:rPr>
          <w:vertAlign w:val="subscript"/>
        </w:rPr>
        <w:t>A</w:t>
      </w:r>
      <w:r w:rsidRPr="00733A28">
        <w:t xml:space="preserve"> and ET</w:t>
      </w:r>
      <w:r w:rsidRPr="00D32A10">
        <w:rPr>
          <w:vertAlign w:val="subscript"/>
        </w:rPr>
        <w:t>B</w:t>
      </w:r>
      <w:r w:rsidRPr="00733A28">
        <w:t xml:space="preserve"> receptors in in vitro biochemical assays and in functional assays using isolated rat tissues. Macitentan was a more potent antagonist than ACT-132577: IC</w:t>
      </w:r>
      <w:r w:rsidRPr="00733A28">
        <w:rPr>
          <w:vertAlign w:val="subscript"/>
        </w:rPr>
        <w:t>50</w:t>
      </w:r>
      <w:r w:rsidRPr="00733A28">
        <w:t xml:space="preserve"> values for inhibition of ET-1 binding to the human ET</w:t>
      </w:r>
      <w:r w:rsidRPr="00D32A10">
        <w:rPr>
          <w:vertAlign w:val="subscript"/>
        </w:rPr>
        <w:t>A</w:t>
      </w:r>
      <w:r w:rsidRPr="00733A28">
        <w:t xml:space="preserve"> receptor were 0.5 and 3.4 nM and to the human ET</w:t>
      </w:r>
      <w:r w:rsidRPr="00D32A10">
        <w:rPr>
          <w:vertAlign w:val="subscript"/>
        </w:rPr>
        <w:t>B</w:t>
      </w:r>
      <w:r w:rsidRPr="00733A28">
        <w:t xml:space="preserve"> receptor were 391 and 987 nM for macitentan and ACT-132577, respectively. In contrast, another major human plasma metabolite, ACT-373898, showed no antagonistic activity towards ET-1 receptors.</w:t>
      </w:r>
    </w:p>
    <w:p w:rsidR="00733A28" w:rsidRPr="00733A28" w:rsidRDefault="00733A28" w:rsidP="00956F87">
      <w:r w:rsidRPr="00733A28">
        <w:t>In vitro comparison of the inhibition of ET-1-induced intracellular Ca</w:t>
      </w:r>
      <w:r w:rsidRPr="00733A28">
        <w:rPr>
          <w:vertAlign w:val="superscript"/>
        </w:rPr>
        <w:t>2+</w:t>
      </w:r>
      <w:r w:rsidRPr="00733A28">
        <w:t xml:space="preserve"> release in human pulmonary arterial smooth muscle cells suggested that macitentan is a more potent antagonist than bosentan and has similar potency to ambrisentan. Similarly, under in vivo conditions, macitentan showed ten-fold higher potency for binding to ET-1 receptors in rats than bosentan. Following drug wash-out from treated smooth muscle cells, return of ET-1 responsiveness was much slower after macitentan treatment. Estimated receptor occupancy half-life values were 40 sec</w:t>
      </w:r>
      <w:r>
        <w:t>ond</w:t>
      </w:r>
      <w:r w:rsidRPr="00733A28">
        <w:t xml:space="preserve"> (ambrisentan), 70 sec</w:t>
      </w:r>
      <w:r>
        <w:t>ond</w:t>
      </w:r>
      <w:r w:rsidR="00041712">
        <w:t>s</w:t>
      </w:r>
      <w:r w:rsidRPr="00733A28">
        <w:t xml:space="preserve"> (bosentan), and 17 min</w:t>
      </w:r>
      <w:r>
        <w:t>ute</w:t>
      </w:r>
      <w:r w:rsidR="00D32A10">
        <w:t>s</w:t>
      </w:r>
      <w:r w:rsidRPr="00733A28">
        <w:t xml:space="preserve"> (macitentan). This result indicates that macitentan is an orthosteric competitive antagonist with a long receptor occupancy half-life.</w:t>
      </w:r>
    </w:p>
    <w:p w:rsidR="00733A28" w:rsidRPr="00733A28" w:rsidRDefault="00733A28" w:rsidP="00956F87">
      <w:r w:rsidRPr="00733A28">
        <w:t>The ability of macitentan to lower</w:t>
      </w:r>
      <w:r w:rsidR="00D32A10">
        <w:t xml:space="preserve"> blood pressure (</w:t>
      </w:r>
      <w:r w:rsidRPr="00733A28">
        <w:t>BP</w:t>
      </w:r>
      <w:r w:rsidR="00D32A10">
        <w:t>)</w:t>
      </w:r>
      <w:r w:rsidRPr="00733A28">
        <w:t xml:space="preserve"> or inhibit induction of pulmonary fibrosis was tested in rat salt-induced hypertension models and in rat bleomycin- or monocrotaline-induced PAH models. In each of these models, macitentan was approximately ten-fold more potent than bosentan. Macitentan was also shown to produce a significant additional lowering of BP when administered to hypertensive rats following a maximally effective dose of ambrisentan. Conversely, dosing with ambrisentan following a maximally effective dose of macitentan or ambrisentan did not produce additional BP lowering.</w:t>
      </w:r>
    </w:p>
    <w:p w:rsidR="00733A28" w:rsidRDefault="00733A28" w:rsidP="00956F87">
      <w:pPr>
        <w:pStyle w:val="Heading5"/>
      </w:pPr>
      <w:r>
        <w:lastRenderedPageBreak/>
        <w:t>Secondary pharmacodynamics and safety pharmacology</w:t>
      </w:r>
    </w:p>
    <w:p w:rsidR="00733A28" w:rsidRPr="00733A28" w:rsidRDefault="00733A28" w:rsidP="00956F87">
      <w:r w:rsidRPr="00733A28">
        <w:t>None of 63 different receptors and enzymes showed more than 50% inhibition of radioligand binding in the presence of 10 µM macitentan, indicating that it is highly selective for the ET</w:t>
      </w:r>
      <w:r w:rsidRPr="00733A28">
        <w:rPr>
          <w:vertAlign w:val="subscript"/>
        </w:rPr>
        <w:t>A</w:t>
      </w:r>
      <w:r w:rsidRPr="00733A28">
        <w:t xml:space="preserve"> and ET</w:t>
      </w:r>
      <w:r w:rsidRPr="00733A28">
        <w:rPr>
          <w:vertAlign w:val="subscript"/>
        </w:rPr>
        <w:t>B</w:t>
      </w:r>
      <w:r w:rsidRPr="00733A28">
        <w:t xml:space="preserve"> receptors.</w:t>
      </w:r>
    </w:p>
    <w:p w:rsidR="00733A28" w:rsidRPr="00733A28" w:rsidRDefault="00733A28" w:rsidP="00956F87">
      <w:r w:rsidRPr="00733A28">
        <w:t xml:space="preserve">Further </w:t>
      </w:r>
      <w:r w:rsidRPr="00340A9C">
        <w:t>in vitro</w:t>
      </w:r>
      <w:r w:rsidRPr="00733A28">
        <w:t xml:space="preserve"> studies showed that macitentan and its metabolite ACT-132577 inhibited human sodium-dependent taurocholate co-transporting polypeptide (transports bile salts from blood into hepatocytes) with IC</w:t>
      </w:r>
      <w:r w:rsidRPr="00733A28">
        <w:rPr>
          <w:vertAlign w:val="subscript"/>
        </w:rPr>
        <w:t>50</w:t>
      </w:r>
      <w:r w:rsidRPr="00733A28">
        <w:t xml:space="preserve"> values of 19 μM and 14 μM, respectively, and inhibited the bile salt export pump with IC</w:t>
      </w:r>
      <w:r w:rsidRPr="00733A28">
        <w:rPr>
          <w:vertAlign w:val="subscript"/>
        </w:rPr>
        <w:t>50</w:t>
      </w:r>
      <w:r w:rsidRPr="00733A28">
        <w:t xml:space="preserve"> values of 18 μM and 50 μM, respectively. Steady-state total plasma concentrations of macitentan and ACT-132577, in healthy male subjects receiving the recommended clinical dose of 10 mg once daily, were about 0.63 μM and 1.5 μM, respectively (clinical report no. D-06.044). At those concentrations, binding of macitentan and ACT-132577 to human plasma proteins in vitro was about 99.6 % and 99.5 %, respectively, suggesting free plasma concentrations of approximately 2.5 nM and 7.3 nM</w:t>
      </w:r>
      <w:r w:rsidR="00D67C70">
        <w:t>.</w:t>
      </w:r>
      <w:r w:rsidRPr="00733A28">
        <w:t xml:space="preserve"> As cellular uptake of macitentan and ACT-132577 is largely driven by passive diffusion, it is likely that the free steady-state concentrations of both compounds are similar in hepatocytes and in plasma. Accordingly, it appears unlikely that clinical levels of macitentan and ACT-132577 would significantly influence bile salt transport.</w:t>
      </w:r>
    </w:p>
    <w:p w:rsidR="00733A28" w:rsidRPr="00733A28" w:rsidRDefault="00733A28" w:rsidP="00956F87">
      <w:r w:rsidRPr="00733A28">
        <w:t>Human hepatotoxicity induced by bosentan has been related to its ability to increase plasma bile salt levels in humans (Fattinger et al. 2001</w:t>
      </w:r>
      <w:r>
        <w:rPr>
          <w:rStyle w:val="FootnoteReference"/>
        </w:rPr>
        <w:footnoteReference w:id="1"/>
      </w:r>
      <w:r w:rsidRPr="00733A28">
        <w:t>), due, at least in part, to inhibition of the human bile salt export pump (Mano et al. 2007</w:t>
      </w:r>
      <w:r>
        <w:rPr>
          <w:rStyle w:val="FootnoteReference"/>
        </w:rPr>
        <w:footnoteReference w:id="2"/>
      </w:r>
      <w:r w:rsidRPr="00733A28">
        <w:t>). Bosentan may be a less potent inhibitor of the human bile salt export pump than macitentan (Mano et al. 2007), although other factors, such as active accumulation of bosentan in hepatocytes, might explain the apparent discrepancy that bosentan increased plasma bile salt levels in rats (Fattinger et al. 2001) but macitentan showed no consistent effects on plasma bile salt levels in rats and other animals. Indeed, rats dosed with macitentan at 10 or 250 mg/kg/day for 26 weeks showed statistically significant decreases in plasma bile salt levels.</w:t>
      </w:r>
    </w:p>
    <w:p w:rsidR="00733A28" w:rsidRPr="00733A28" w:rsidRDefault="00733A28" w:rsidP="00956F87">
      <w:r w:rsidRPr="00733A28">
        <w:t xml:space="preserve">Safety pharmacology studies examined macitentan effects on the </w:t>
      </w:r>
      <w:r w:rsidR="00D67C70">
        <w:t>central nervous system (</w:t>
      </w:r>
      <w:r w:rsidRPr="00733A28">
        <w:t>CNS</w:t>
      </w:r>
      <w:r w:rsidR="00D67C70">
        <w:t>)</w:t>
      </w:r>
      <w:r w:rsidRPr="00733A28">
        <w:t>, cardiovascular, and respiratory systems. At doses up to 100 mg/kg (expected to produce a C</w:t>
      </w:r>
      <w:r w:rsidRPr="00193B88">
        <w:rPr>
          <w:vertAlign w:val="subscript"/>
        </w:rPr>
        <w:t>max</w:t>
      </w:r>
      <w:r w:rsidRPr="00733A28">
        <w:t xml:space="preserve"> approximately 50-times that in humans receiving the maximum recommended dose), macitentan had no effect on respiratory parameters or on behavioural and physiological variables related to the central and peripheral nervous systems of the rat. Macitentan had a negligible effect on the hERG K+ current in CHO cells (18% reduction of current amplitude at 10 µM; approximately 2000-fold higher than the anticipated unbound plasma concentrations of macitentan and ACT-132577 in patients receiving the recommended dose). ACT-132577 showed similar effects.</w:t>
      </w:r>
    </w:p>
    <w:p w:rsidR="00733A28" w:rsidRDefault="00733A28" w:rsidP="00956F87">
      <w:r>
        <w:t>Guinea-pigs given</w:t>
      </w:r>
      <w:r w:rsidR="00B90382">
        <w:t xml:space="preserve"> </w:t>
      </w:r>
      <w:r w:rsidRPr="00854F02">
        <w:t xml:space="preserve">IV macitentan at 10 mg/kg </w:t>
      </w:r>
      <w:r>
        <w:t>showed</w:t>
      </w:r>
      <w:r w:rsidRPr="00854F02">
        <w:t xml:space="preserve"> no effect</w:t>
      </w:r>
      <w:r>
        <w:t>s</w:t>
      </w:r>
      <w:r w:rsidRPr="00854F02">
        <w:t xml:space="preserve"> on heart rate or electrocardiogram intervals.</w:t>
      </w:r>
      <w:r>
        <w:t xml:space="preserve"> Beagle dogs, orally dosed with macitentan, showed a dose-dependent decrease in mean, systolic, and diastolic arterial BP (statistically significant at ≥</w:t>
      </w:r>
      <w:r w:rsidR="00B90382">
        <w:t> </w:t>
      </w:r>
      <w:r>
        <w:t xml:space="preserve">0.3 mg/kg), which at 5 and 30 mg/kg was associated with a slight, compensatory increase in heart rate (no effect on electrocardiogram parameters). </w:t>
      </w:r>
      <w:r>
        <w:rPr>
          <w:kern w:val="2"/>
        </w:rPr>
        <w:t>C</w:t>
      </w:r>
      <w:r>
        <w:rPr>
          <w:kern w:val="2"/>
          <w:vertAlign w:val="subscript"/>
        </w:rPr>
        <w:t>max</w:t>
      </w:r>
      <w:r>
        <w:rPr>
          <w:kern w:val="2"/>
        </w:rPr>
        <w:t xml:space="preserve"> values for m</w:t>
      </w:r>
      <w:r>
        <w:t>acitentan</w:t>
      </w:r>
      <w:r>
        <w:rPr>
          <w:kern w:val="2"/>
        </w:rPr>
        <w:t xml:space="preserve"> in dogs dosed at 0.3 mg/kg were similar to human values, whilst dogs dosed at 5 mg/kg had values about 10-times those of humans receiving 10 mg/day.</w:t>
      </w:r>
    </w:p>
    <w:p w:rsidR="008E7846" w:rsidRPr="00193B88" w:rsidRDefault="008E7846" w:rsidP="00956F87">
      <w:pPr>
        <w:pStyle w:val="Heading3"/>
      </w:pPr>
      <w:bookmarkStart w:id="42" w:name="_Toc391645273"/>
      <w:r w:rsidRPr="00956F87">
        <w:lastRenderedPageBreak/>
        <w:t>Pharmacokinetics</w:t>
      </w:r>
      <w:bookmarkEnd w:id="40"/>
      <w:bookmarkEnd w:id="41"/>
      <w:bookmarkEnd w:id="42"/>
    </w:p>
    <w:p w:rsidR="00193B88" w:rsidRPr="00193B88" w:rsidRDefault="00193B88" w:rsidP="00956F87">
      <w:bookmarkStart w:id="43" w:name="_Toc247691514"/>
      <w:bookmarkStart w:id="44" w:name="_Toc314842498"/>
      <w:r w:rsidRPr="00193B88">
        <w:rPr>
          <w:b/>
        </w:rPr>
        <w:t>Absorption</w:t>
      </w:r>
      <w:r w:rsidRPr="00193B88">
        <w:t>: Following oral dosing, macitentan generally showed fairly slow absorption with t</w:t>
      </w:r>
      <w:r w:rsidRPr="00EA4E04">
        <w:rPr>
          <w:vertAlign w:val="subscript"/>
        </w:rPr>
        <w:t>max</w:t>
      </w:r>
      <w:r w:rsidRPr="00193B88">
        <w:t xml:space="preserve"> occurring at </w:t>
      </w:r>
      <w:r w:rsidR="00EA4E04">
        <w:t>approximately one to two hours</w:t>
      </w:r>
      <w:r w:rsidRPr="00193B88">
        <w:t xml:space="preserve"> (mice),</w:t>
      </w:r>
      <w:r w:rsidR="00EA4E04">
        <w:t>approximately two to six hours</w:t>
      </w:r>
      <w:r w:rsidRPr="00193B88">
        <w:t xml:space="preserve"> (rats and dogs), and </w:t>
      </w:r>
      <w:r w:rsidR="00EA4E04">
        <w:t xml:space="preserve">approximately eight hours </w:t>
      </w:r>
      <w:r w:rsidRPr="00193B88">
        <w:t xml:space="preserve">(humans). Bioavailability showed marked dose dependence in rats, increasing from 30 to 90% over the range </w:t>
      </w:r>
      <w:r w:rsidR="00EA4E04">
        <w:t xml:space="preserve">1 to </w:t>
      </w:r>
      <w:r w:rsidRPr="00193B88">
        <w:t xml:space="preserve">30 mg/kg, but was </w:t>
      </w:r>
      <w:r w:rsidR="00EA4E04">
        <w:t xml:space="preserve">approximately </w:t>
      </w:r>
      <w:r w:rsidRPr="00193B88">
        <w:t>80% at all doses over the range 0.3‒10 mg/kg in dogs. Exposure to macitentan in humans showed an approximately linear increase with dose over the range 1‒10 mg/day but a somewhat less than proportional increase at 30 mg/day. At the higher doses used in animal studies, exposure generally increased considerably less than proportionally with dose.</w:t>
      </w:r>
    </w:p>
    <w:p w:rsidR="00193B88" w:rsidRPr="00193B88" w:rsidRDefault="00193B88" w:rsidP="00956F87">
      <w:r w:rsidRPr="00EA4E04">
        <w:rPr>
          <w:b/>
        </w:rPr>
        <w:t>Distribution</w:t>
      </w:r>
      <w:r w:rsidRPr="00193B88">
        <w:t>: As indicated above, plasma protein binding of macitentan and its major metabolite, ACT-132577, was high in all species examined (&gt;</w:t>
      </w:r>
      <w:r w:rsidR="00B90382">
        <w:t xml:space="preserve"> </w:t>
      </w:r>
      <w:r w:rsidRPr="00193B88">
        <w:t xml:space="preserve">98% over </w:t>
      </w:r>
      <w:r w:rsidR="00B90382">
        <w:t>t</w:t>
      </w:r>
      <w:r w:rsidRPr="00193B88">
        <w:t>he range 0.1</w:t>
      </w:r>
      <w:r w:rsidR="00B90382">
        <w:t xml:space="preserve"> to </w:t>
      </w:r>
      <w:r w:rsidRPr="00193B88">
        <w:t xml:space="preserve">300 µg/mL). Albumin is probably the major plasma protein responsible for macitentan binding, with a lesser contribution from α1-acid glycoprotein. Volume of distribution at steady state, for rats and dogs, was greater than total body water indicating distribution of macitentan into tissues. Radiolabelled macitentan showed a wide tissue distribution in rats after oral administration. At </w:t>
      </w:r>
      <w:r w:rsidR="00EA4E04">
        <w:t>eight hours</w:t>
      </w:r>
      <w:r w:rsidRPr="00193B88">
        <w:t xml:space="preserve"> after dosing (time of peak concentration for plasma and most tissues), the highest levels of radioactivity were in liver, kidney cortex, blood, lung, and myocardium. Significant radioactivity was found in both bile ducts and urinary bladder, suggesting elimination by both routes. Tissues showing notably low radioactivity concentrations at all time</w:t>
      </w:r>
      <w:r w:rsidR="00EA4E04">
        <w:t>-</w:t>
      </w:r>
      <w:r w:rsidRPr="00193B88">
        <w:t>points included CNS (brain and spinal cord), testis, and lens (body and wall). There may be a minor degree of binding of macitentan to melanin. Comparison of the radioactivity distribution in control and bleomycin-treated (induces pulmonary fibrosis) rats suggested that radioactivity was preferentially located at diseased sites.</w:t>
      </w:r>
    </w:p>
    <w:p w:rsidR="00193B88" w:rsidRPr="00EA4E04" w:rsidRDefault="00193B88" w:rsidP="00956F87">
      <w:r w:rsidRPr="00EA4E04">
        <w:rPr>
          <w:b/>
        </w:rPr>
        <w:t>Metabolism:</w:t>
      </w:r>
      <w:r w:rsidRPr="00EA4E04">
        <w:t xml:space="preserve"> The major route of macitentan metabolism in all species examined (rat, dog, and human, plus more limited results for mouse, pig, and monkey) involved removal of the propylaminosulfone side chain. This removal could take place in one step, to generate ACT-080803 (the major metabolite in faeces, and also present in urine), or in two steps via the depropylated intermediate ACT-132577. In all species examined, ACT-132577 was the major metabolite present in plasma. ACT-132577 is an antagonist of ET-1 receptors (see above) and also has a considerably longer plasma half-life than the parent compound (t</w:t>
      </w:r>
      <w:r w:rsidR="00EA4E04">
        <w:t xml:space="preserve">½ </w:t>
      </w:r>
      <w:r w:rsidRPr="00EA4E04">
        <w:t xml:space="preserve">values for male rats were </w:t>
      </w:r>
      <w:r w:rsidR="00EA4E04">
        <w:t xml:space="preserve">approximately two </w:t>
      </w:r>
      <w:r w:rsidRPr="00EA4E04">
        <w:t xml:space="preserve">and </w:t>
      </w:r>
      <w:r w:rsidR="00EA4E04">
        <w:t>eight hours</w:t>
      </w:r>
      <w:r w:rsidRPr="00EA4E04">
        <w:t xml:space="preserve">, and for humans were </w:t>
      </w:r>
      <w:r w:rsidR="00EA4E04">
        <w:t>approximately 1</w:t>
      </w:r>
      <w:r w:rsidRPr="00EA4E04">
        <w:t xml:space="preserve">5 and </w:t>
      </w:r>
      <w:r w:rsidR="00EA4E04">
        <w:t>approximately 5</w:t>
      </w:r>
      <w:r w:rsidRPr="00EA4E04">
        <w:t>0 h</w:t>
      </w:r>
      <w:r w:rsidR="00EA4E04">
        <w:t>ours</w:t>
      </w:r>
      <w:r w:rsidRPr="00EA4E04">
        <w:t>, for macitentan and ACT-132577, respectively). Another route of macitentan metabolism is removal of the bromopyrimidine moiety to produce ACT-373898, which was identified as a major metabolite in human plasma but was only found at very low concentrations (generally less than a thousandth of that for macitentan or ACT-132577) in plasma from mice, rats, and dogs. Glucose and glucuronic acid conjugates of macitentan metabolites were also identified in bile and urine from rats and dogs. These conjugates in bile were cleaved by the gut flora and subsequently hydrolysed to ACT-080803.</w:t>
      </w:r>
    </w:p>
    <w:p w:rsidR="00193B88" w:rsidRPr="00EA4E04" w:rsidRDefault="00193B88" w:rsidP="00956F87">
      <w:r w:rsidRPr="00EA4E04">
        <w:t>CYP3A4 was identified as the major enzyme responsible for the production of ACT-132577 in man, with CYP2C19 perhaps playing a minor role. Studies in mice, rats, and dogs showed that macitentan and ACT-132577 had the ability to increase the expression of mRNAs encoding macitentan-metabolising enzymes and to increase the activity of these enzymes. However, the animal studies used drug exposures exceeding the clinical range and it was questionable whether similar effects would be seen in patients. Indeed, repeat-dose studies in animals generally showed an initial decline in exposure levels and no evidence for significant accumulation of macitentan or ACT-132577, whereas the opposite appeared true of human studies.</w:t>
      </w:r>
    </w:p>
    <w:p w:rsidR="00193B88" w:rsidRPr="00EA4E04" w:rsidRDefault="00193B88" w:rsidP="00956F87">
      <w:r w:rsidRPr="00EA4E04">
        <w:rPr>
          <w:b/>
        </w:rPr>
        <w:t>Excretion:</w:t>
      </w:r>
      <w:r w:rsidRPr="00EA4E04">
        <w:t xml:space="preserve"> Bile was the major route of excretion in both rats and dogs. Following administration of radiolabelled macitentan to male Wistar rats, recovery from bile </w:t>
      </w:r>
      <w:r w:rsidRPr="00EA4E04">
        <w:lastRenderedPageBreak/>
        <w:t xml:space="preserve">represented </w:t>
      </w:r>
      <w:r w:rsidR="00EA4E04">
        <w:t xml:space="preserve">approximately </w:t>
      </w:r>
      <w:r w:rsidRPr="00EA4E04">
        <w:t>50</w:t>
      </w:r>
      <w:r w:rsidR="00EA4E04">
        <w:t xml:space="preserve"> to 7</w:t>
      </w:r>
      <w:r w:rsidRPr="00EA4E04">
        <w:t xml:space="preserve">0% of the dose, whilst faeces and urine accounted for </w:t>
      </w:r>
      <w:r w:rsidR="00EA4E04">
        <w:t xml:space="preserve">approximately </w:t>
      </w:r>
      <w:r w:rsidRPr="00EA4E04">
        <w:t>10</w:t>
      </w:r>
      <w:r w:rsidR="00EA4E04">
        <w:t xml:space="preserve"> to </w:t>
      </w:r>
      <w:r w:rsidRPr="00EA4E04">
        <w:t xml:space="preserve">25% and </w:t>
      </w:r>
      <w:r w:rsidR="00EA4E04">
        <w:t xml:space="preserve">approximately </w:t>
      </w:r>
      <w:r w:rsidRPr="00EA4E04">
        <w:t xml:space="preserve">20% of the dose, respectively. In humans, urine was the major route of excretion (accounting for </w:t>
      </w:r>
      <w:r w:rsidR="00EA4E04">
        <w:t>approximately</w:t>
      </w:r>
      <w:r w:rsidRPr="00EA4E04">
        <w:t>70% of the recovered dose), with the remainder in faeces.</w:t>
      </w:r>
    </w:p>
    <w:p w:rsidR="00193B88" w:rsidRPr="00EA4E04" w:rsidRDefault="00193B88" w:rsidP="00956F87">
      <w:r w:rsidRPr="00EA4E04">
        <w:rPr>
          <w:b/>
        </w:rPr>
        <w:t>Conclusion:</w:t>
      </w:r>
      <w:r w:rsidRPr="00EA4E04">
        <w:t xml:space="preserve"> As noted above, while there were some differences in the metabolism and </w:t>
      </w:r>
      <w:r w:rsidR="0011222B">
        <w:t xml:space="preserve">PK </w:t>
      </w:r>
      <w:r w:rsidRPr="00EA4E04">
        <w:t>of macitentan between humans and the tested animal species these were not sufficient to preclude the validity of the animal models for the assessment of macitentan toxicity.</w:t>
      </w:r>
    </w:p>
    <w:p w:rsidR="00193B88" w:rsidRPr="00BC0C01" w:rsidRDefault="00193B88" w:rsidP="00BC0C01">
      <w:pPr>
        <w:pStyle w:val="Heading4"/>
      </w:pPr>
      <w:bookmarkStart w:id="45" w:name="_Toc294861725"/>
      <w:r w:rsidRPr="001258AE">
        <w:t>Pharmacokinetic drug interactions</w:t>
      </w:r>
      <w:bookmarkEnd w:id="45"/>
    </w:p>
    <w:p w:rsidR="00193B88" w:rsidRPr="00EA4E04" w:rsidRDefault="00193B88" w:rsidP="00BC0C01">
      <w:r w:rsidRPr="00EA4E04">
        <w:t>The ability of macitentan, ACT-132577, and ACT-080803 to inhibit human CYPs was tested using liver microsome preparations and recombinant enzymes. Micromolar concentrations of these compounds were required to inhibit CYP activities. As patient free plasma concentrations of these compounds are estimated to be in the nanomolar range (see above), it is unlikely that they will have a significant effect on CYP activities.</w:t>
      </w:r>
    </w:p>
    <w:p w:rsidR="00193B88" w:rsidRPr="00EA4E04" w:rsidRDefault="00193B88" w:rsidP="00BC0C01">
      <w:r w:rsidRPr="00EA4E04">
        <w:t>Cellular uptake of macitentan appeared to be by passive diffusion and was not affected by P-gp inhibition. Conversely, macitentan, at concentrations up to 100 µM, had no effect on the transport of P-gp substrates. In similar studies, inhibition of various human organic anion transporting polypeptides (OATP1B1, OATP1B3, and OATP2B1) had no effect on the uptake of macitentan and ACT-132577. Both compounds were generally moderate to weak OATP inhibitors, although macitentan showed significant inhibitory activity towards OATP2B1 (IC</w:t>
      </w:r>
      <w:r w:rsidRPr="00A63C30">
        <w:rPr>
          <w:vertAlign w:val="superscript"/>
        </w:rPr>
        <w:t>50</w:t>
      </w:r>
      <w:r w:rsidRPr="00EA4E04">
        <w:t xml:space="preserve"> = 0.8 µM). OATP2B1 mediates uptake from blood into hepatocytes of various substrates, including the bile salt taurocholate (The International Transporter Consortium 2010). As detailed above, patient free plasma concentrations are markedly lower than 0.8 µM. Hence, macitentan and ACT-132577 are unlikely to change the </w:t>
      </w:r>
      <w:r w:rsidR="0011222B">
        <w:t>PK o</w:t>
      </w:r>
      <w:r w:rsidRPr="00EA4E04">
        <w:t>f co-administered drugs via inhibition of OATP transporters.</w:t>
      </w:r>
    </w:p>
    <w:p w:rsidR="001B5C90" w:rsidRPr="00BC0C01" w:rsidRDefault="008E7846" w:rsidP="00BC0C01">
      <w:pPr>
        <w:pStyle w:val="Heading3"/>
      </w:pPr>
      <w:bookmarkStart w:id="46" w:name="_Toc391645274"/>
      <w:r>
        <w:t>Toxicology</w:t>
      </w:r>
      <w:bookmarkEnd w:id="43"/>
      <w:bookmarkEnd w:id="44"/>
      <w:bookmarkEnd w:id="46"/>
    </w:p>
    <w:p w:rsidR="00262098" w:rsidRPr="00BC0C01" w:rsidRDefault="00262098" w:rsidP="00BC0C01">
      <w:pPr>
        <w:pStyle w:val="Heading4"/>
      </w:pPr>
      <w:bookmarkStart w:id="47" w:name="_Toc294861727"/>
      <w:r w:rsidRPr="00262098">
        <w:t>Acute toxicity</w:t>
      </w:r>
      <w:bookmarkEnd w:id="47"/>
    </w:p>
    <w:p w:rsidR="00262098" w:rsidRPr="00262098" w:rsidRDefault="00262098" w:rsidP="00BC0C01">
      <w:r w:rsidRPr="00262098">
        <w:t>Single-dose toxicity studies were performed with mice and rats. For both species, the maximum, non-lethal, orally administered dose of macitentan was ≥ 2000 mg/kg.</w:t>
      </w:r>
    </w:p>
    <w:p w:rsidR="00262098" w:rsidRPr="00262098" w:rsidRDefault="00262098" w:rsidP="00BC0C01">
      <w:pPr>
        <w:pStyle w:val="Heading4"/>
      </w:pPr>
      <w:bookmarkStart w:id="48" w:name="_Toc294861728"/>
      <w:r w:rsidRPr="00262098">
        <w:t xml:space="preserve">Repeat-dose </w:t>
      </w:r>
      <w:r w:rsidRPr="00BC0C01">
        <w:t>toxicity</w:t>
      </w:r>
      <w:bookmarkEnd w:id="48"/>
    </w:p>
    <w:p w:rsidR="00262098" w:rsidRPr="00262098" w:rsidRDefault="00262098" w:rsidP="00BC0C01">
      <w:r w:rsidRPr="00262098">
        <w:t>Pivotal studies were performed in mice, rats, and dogs at durations of up to 13, 26, and 39 weeks, respectively. All studies used once daily, oral dosing, which is consistent with the mode and frequency of clinical dosing. The design of the studies was consistent with the relevant EMA guideline (CPMP/SWP/1042/99 Rev 1).</w:t>
      </w:r>
    </w:p>
    <w:p w:rsidR="00262098" w:rsidRPr="00262098" w:rsidRDefault="00262098" w:rsidP="00BC0C01">
      <w:pPr>
        <w:pStyle w:val="Heading5"/>
      </w:pPr>
      <w:r w:rsidRPr="00262098">
        <w:t xml:space="preserve">Relative </w:t>
      </w:r>
      <w:r w:rsidRPr="00BC0C01">
        <w:t>exposure</w:t>
      </w:r>
    </w:p>
    <w:p w:rsidR="00262098" w:rsidRPr="00262098" w:rsidRDefault="00262098" w:rsidP="00BC0C01">
      <w:r w:rsidRPr="00262098">
        <w:t>The approach of using combined AUC values for macitentan and ACT-132577</w:t>
      </w:r>
      <w:r>
        <w:t xml:space="preserve"> for exposure comparison </w:t>
      </w:r>
      <w:r w:rsidRPr="00262098">
        <w:t xml:space="preserve">was not considered valid as the pharmacological activity of ACT-132577 is significantly less than the parent. Relative exposures to macitentan and ACT-132577 attained at the NOAEL </w:t>
      </w:r>
      <w:r w:rsidR="00987074">
        <w:t xml:space="preserve">(no observed adverse effects level) </w:t>
      </w:r>
      <w:r w:rsidRPr="00262098">
        <w:t>doses were low to modest: 12</w:t>
      </w:r>
      <w:r w:rsidR="00987074">
        <w:t xml:space="preserve"> to </w:t>
      </w:r>
      <w:r w:rsidRPr="00262098">
        <w:t>18 for B6C3F1 mice dosed for 13 weeks; approximately</w:t>
      </w:r>
      <w:r>
        <w:t xml:space="preserve"> two to </w:t>
      </w:r>
      <w:r w:rsidRPr="00262098">
        <w:t xml:space="preserve">12 for Wistar rats dosed for 13 or 26 weeks; and about </w:t>
      </w:r>
      <w:r>
        <w:t xml:space="preserve">one to </w:t>
      </w:r>
      <w:r w:rsidRPr="00262098">
        <w:t>11 for beagle dogs</w:t>
      </w:r>
      <w:r w:rsidR="00987074">
        <w:t xml:space="preserve"> dosed for 13 or 39 weeks (see T</w:t>
      </w:r>
      <w:r w:rsidRPr="00262098">
        <w:t>able</w:t>
      </w:r>
      <w:r>
        <w:t xml:space="preserve"> </w:t>
      </w:r>
      <w:r w:rsidR="00987074">
        <w:t>3</w:t>
      </w:r>
      <w:r w:rsidR="00BC0C01">
        <w:t>).</w:t>
      </w:r>
    </w:p>
    <w:p w:rsidR="00262098" w:rsidRPr="00262098" w:rsidRDefault="00262098" w:rsidP="00BC0C01">
      <w:pPr>
        <w:pStyle w:val="TableTitle"/>
      </w:pPr>
      <w:r>
        <w:lastRenderedPageBreak/>
        <w:t xml:space="preserve">Table </w:t>
      </w:r>
      <w:r w:rsidR="00987074">
        <w:t>3</w:t>
      </w:r>
      <w:r>
        <w:t xml:space="preserve">: </w:t>
      </w:r>
      <w:r w:rsidRPr="00262098">
        <w:t>Relative exposure in repeat-dose toxicity and carcinogenicity studies</w:t>
      </w:r>
    </w:p>
    <w:tbl>
      <w:tblPr>
        <w:tblStyle w:val="TableTGAblue"/>
        <w:tblW w:w="5020" w:type="pct"/>
        <w:tblLayout w:type="fixed"/>
        <w:tblLook w:val="01E0" w:firstRow="1" w:lastRow="1" w:firstColumn="1" w:lastColumn="1" w:noHBand="0" w:noVBand="0"/>
      </w:tblPr>
      <w:tblGrid>
        <w:gridCol w:w="1013"/>
        <w:gridCol w:w="1399"/>
        <w:gridCol w:w="11"/>
        <w:gridCol w:w="1147"/>
        <w:gridCol w:w="566"/>
        <w:gridCol w:w="9"/>
        <w:gridCol w:w="1122"/>
        <w:gridCol w:w="23"/>
        <w:gridCol w:w="1005"/>
        <w:gridCol w:w="1005"/>
        <w:gridCol w:w="1455"/>
      </w:tblGrid>
      <w:tr w:rsidR="00262098" w:rsidRPr="005674EC" w:rsidTr="00BC0C01">
        <w:trPr>
          <w:cnfStyle w:val="100000000000" w:firstRow="1" w:lastRow="0" w:firstColumn="0" w:lastColumn="0" w:oddVBand="0" w:evenVBand="0" w:oddHBand="0" w:evenHBand="0" w:firstRowFirstColumn="0" w:firstRowLastColumn="0" w:lastRowFirstColumn="0" w:lastRowLastColumn="0"/>
          <w:trHeight w:val="893"/>
        </w:trPr>
        <w:tc>
          <w:tcPr>
            <w:tcW w:w="579" w:type="pct"/>
            <w:vMerge w:val="restart"/>
          </w:tcPr>
          <w:p w:rsidR="00262098" w:rsidRPr="005674EC" w:rsidRDefault="00262098" w:rsidP="00BC0C01">
            <w:pPr>
              <w:ind w:left="0" w:right="0"/>
              <w:rPr>
                <w:b w:val="0"/>
              </w:rPr>
            </w:pPr>
            <w:r w:rsidRPr="005674EC">
              <w:t>Species</w:t>
            </w:r>
          </w:p>
        </w:tc>
        <w:tc>
          <w:tcPr>
            <w:tcW w:w="799" w:type="pct"/>
            <w:vMerge w:val="restart"/>
          </w:tcPr>
          <w:p w:rsidR="00262098" w:rsidRPr="005674EC" w:rsidRDefault="00262098" w:rsidP="00BC0C01">
            <w:pPr>
              <w:ind w:left="0" w:right="0"/>
              <w:rPr>
                <w:b w:val="0"/>
              </w:rPr>
            </w:pPr>
            <w:r w:rsidRPr="005674EC">
              <w:t>Study duration</w:t>
            </w:r>
            <w:r w:rsidRPr="005674EC">
              <w:br/>
              <w:t>(number)</w:t>
            </w:r>
          </w:p>
        </w:tc>
        <w:tc>
          <w:tcPr>
            <w:tcW w:w="661" w:type="pct"/>
            <w:gridSpan w:val="2"/>
            <w:vMerge w:val="restart"/>
          </w:tcPr>
          <w:p w:rsidR="00262098" w:rsidRPr="005674EC" w:rsidRDefault="00262098" w:rsidP="00BC0C01">
            <w:pPr>
              <w:ind w:left="0" w:right="0"/>
              <w:rPr>
                <w:b w:val="0"/>
              </w:rPr>
            </w:pPr>
            <w:r w:rsidRPr="005674EC">
              <w:t>Dose</w:t>
            </w:r>
            <w:r w:rsidRPr="005674EC">
              <w:br/>
              <w:t>(mg/kg/day)</w:t>
            </w:r>
            <w:r w:rsidRPr="005674EC">
              <w:rPr>
                <w:vertAlign w:val="superscript"/>
              </w:rPr>
              <w:t>b</w:t>
            </w:r>
          </w:p>
        </w:tc>
        <w:tc>
          <w:tcPr>
            <w:tcW w:w="323" w:type="pct"/>
            <w:vMerge w:val="restart"/>
          </w:tcPr>
          <w:p w:rsidR="00262098" w:rsidRPr="005674EC" w:rsidRDefault="00262098" w:rsidP="00BC0C01">
            <w:pPr>
              <w:ind w:left="0" w:right="0"/>
              <w:rPr>
                <w:b w:val="0"/>
              </w:rPr>
            </w:pPr>
          </w:p>
        </w:tc>
        <w:tc>
          <w:tcPr>
            <w:tcW w:w="1233" w:type="pct"/>
            <w:gridSpan w:val="4"/>
          </w:tcPr>
          <w:p w:rsidR="00262098" w:rsidRPr="005674EC" w:rsidRDefault="00262098" w:rsidP="00BC0C01">
            <w:pPr>
              <w:ind w:left="0" w:right="0"/>
              <w:rPr>
                <w:b w:val="0"/>
              </w:rPr>
            </w:pPr>
            <w:r w:rsidRPr="005674EC">
              <w:t>AUC</w:t>
            </w:r>
            <w:r w:rsidRPr="005674EC">
              <w:rPr>
                <w:vertAlign w:val="subscript"/>
              </w:rPr>
              <w:t>0–24</w:t>
            </w:r>
            <w:r w:rsidRPr="005674EC">
              <w:rPr>
                <w:w w:val="50"/>
                <w:vertAlign w:val="subscript"/>
              </w:rPr>
              <w:t> </w:t>
            </w:r>
            <w:r w:rsidRPr="005674EC">
              <w:rPr>
                <w:vertAlign w:val="subscript"/>
              </w:rPr>
              <w:t xml:space="preserve">h </w:t>
            </w:r>
            <w:r w:rsidRPr="005674EC">
              <w:t>(µg∙h/mL)</w:t>
            </w:r>
          </w:p>
        </w:tc>
        <w:tc>
          <w:tcPr>
            <w:tcW w:w="1405" w:type="pct"/>
            <w:gridSpan w:val="2"/>
          </w:tcPr>
          <w:p w:rsidR="00262098" w:rsidRPr="005674EC" w:rsidRDefault="00262098" w:rsidP="00BC0C01">
            <w:pPr>
              <w:ind w:left="0" w:right="0"/>
              <w:rPr>
                <w:b w:val="0"/>
              </w:rPr>
            </w:pPr>
            <w:r w:rsidRPr="005674EC">
              <w:t>Exposure ratio</w:t>
            </w:r>
            <w:r w:rsidRPr="005674EC">
              <w:rPr>
                <w:vertAlign w:val="superscript"/>
              </w:rPr>
              <w:t>c</w:t>
            </w:r>
          </w:p>
        </w:tc>
      </w:tr>
      <w:tr w:rsidR="00262098" w:rsidRPr="005674EC" w:rsidTr="00BC0C01">
        <w:trPr>
          <w:cnfStyle w:val="100000000000" w:firstRow="1" w:lastRow="0" w:firstColumn="0" w:lastColumn="0" w:oddVBand="0" w:evenVBand="0" w:oddHBand="0" w:evenHBand="0" w:firstRowFirstColumn="0" w:firstRowLastColumn="0" w:lastRowFirstColumn="0" w:lastRowLastColumn="0"/>
        </w:trPr>
        <w:tc>
          <w:tcPr>
            <w:tcW w:w="579" w:type="pct"/>
            <w:vMerge/>
          </w:tcPr>
          <w:p w:rsidR="00262098" w:rsidRPr="005674EC" w:rsidRDefault="00262098" w:rsidP="00BC0C01">
            <w:pPr>
              <w:ind w:left="0" w:right="0"/>
              <w:rPr>
                <w:b w:val="0"/>
              </w:rPr>
            </w:pPr>
          </w:p>
        </w:tc>
        <w:tc>
          <w:tcPr>
            <w:tcW w:w="799" w:type="pct"/>
            <w:vMerge/>
          </w:tcPr>
          <w:p w:rsidR="00262098" w:rsidRPr="005674EC" w:rsidRDefault="00262098" w:rsidP="00BC0C01">
            <w:pPr>
              <w:ind w:left="0" w:right="0"/>
              <w:rPr>
                <w:b w:val="0"/>
              </w:rPr>
            </w:pPr>
          </w:p>
        </w:tc>
        <w:tc>
          <w:tcPr>
            <w:tcW w:w="661" w:type="pct"/>
            <w:gridSpan w:val="2"/>
            <w:vMerge/>
          </w:tcPr>
          <w:p w:rsidR="00262098" w:rsidRPr="005674EC" w:rsidRDefault="00262098" w:rsidP="00BC0C01">
            <w:pPr>
              <w:ind w:left="0" w:right="0"/>
              <w:rPr>
                <w:b w:val="0"/>
              </w:rPr>
            </w:pPr>
          </w:p>
        </w:tc>
        <w:tc>
          <w:tcPr>
            <w:tcW w:w="323" w:type="pct"/>
            <w:vMerge/>
          </w:tcPr>
          <w:p w:rsidR="00262098" w:rsidRPr="005674EC" w:rsidRDefault="00262098" w:rsidP="00BC0C01">
            <w:pPr>
              <w:ind w:left="0" w:right="0"/>
              <w:rPr>
                <w:b w:val="0"/>
              </w:rPr>
            </w:pPr>
          </w:p>
        </w:tc>
        <w:tc>
          <w:tcPr>
            <w:tcW w:w="646" w:type="pct"/>
            <w:gridSpan w:val="2"/>
          </w:tcPr>
          <w:p w:rsidR="00262098" w:rsidRPr="005674EC" w:rsidRDefault="00262098" w:rsidP="00BC0C01">
            <w:pPr>
              <w:ind w:left="0" w:right="0"/>
              <w:rPr>
                <w:b w:val="0"/>
              </w:rPr>
            </w:pPr>
            <w:r w:rsidRPr="005674EC">
              <w:t>Macitentan</w:t>
            </w:r>
          </w:p>
        </w:tc>
        <w:tc>
          <w:tcPr>
            <w:tcW w:w="587" w:type="pct"/>
            <w:gridSpan w:val="2"/>
          </w:tcPr>
          <w:p w:rsidR="00262098" w:rsidRPr="005674EC" w:rsidRDefault="00262098" w:rsidP="00BC0C01">
            <w:pPr>
              <w:ind w:left="0" w:right="0"/>
              <w:rPr>
                <w:b w:val="0"/>
              </w:rPr>
            </w:pPr>
            <w:r w:rsidRPr="005674EC">
              <w:t>ACT-132577</w:t>
            </w:r>
          </w:p>
        </w:tc>
        <w:tc>
          <w:tcPr>
            <w:tcW w:w="574" w:type="pct"/>
          </w:tcPr>
          <w:p w:rsidR="00262098" w:rsidRPr="005674EC" w:rsidRDefault="00262098" w:rsidP="00BC0C01">
            <w:pPr>
              <w:ind w:left="0" w:right="0"/>
              <w:rPr>
                <w:b w:val="0"/>
              </w:rPr>
            </w:pPr>
            <w:r w:rsidRPr="005674EC">
              <w:t>Macitentan</w:t>
            </w:r>
          </w:p>
        </w:tc>
        <w:tc>
          <w:tcPr>
            <w:tcW w:w="831" w:type="pct"/>
          </w:tcPr>
          <w:p w:rsidR="00262098" w:rsidRPr="005674EC" w:rsidRDefault="00262098" w:rsidP="00BC0C01">
            <w:pPr>
              <w:ind w:left="0" w:right="0"/>
              <w:rPr>
                <w:b w:val="0"/>
              </w:rPr>
            </w:pPr>
            <w:r w:rsidRPr="005674EC">
              <w:t>ACT-132577</w:t>
            </w:r>
          </w:p>
        </w:tc>
      </w:tr>
      <w:tr w:rsidR="00262098" w:rsidRPr="005674EC" w:rsidTr="00262098">
        <w:trPr>
          <w:trHeight w:val="227"/>
        </w:trPr>
        <w:tc>
          <w:tcPr>
            <w:tcW w:w="579" w:type="pct"/>
            <w:vMerge w:val="restart"/>
          </w:tcPr>
          <w:p w:rsidR="00262098" w:rsidRPr="005674EC" w:rsidRDefault="00262098" w:rsidP="00BC0C01">
            <w:pPr>
              <w:ind w:left="0" w:right="0"/>
            </w:pPr>
            <w:r w:rsidRPr="005674EC">
              <w:t>Mouse</w:t>
            </w:r>
            <w:r w:rsidRPr="005674EC">
              <w:br/>
              <w:t>(CD-1)</w:t>
            </w:r>
          </w:p>
        </w:tc>
        <w:tc>
          <w:tcPr>
            <w:tcW w:w="799" w:type="pct"/>
            <w:vMerge w:val="restart"/>
          </w:tcPr>
          <w:p w:rsidR="00262098" w:rsidRPr="005674EC" w:rsidRDefault="00262098" w:rsidP="00BC0C01">
            <w:pPr>
              <w:ind w:left="0" w:right="0"/>
            </w:pPr>
            <w:r w:rsidRPr="005674EC">
              <w:t>13 weeks</w:t>
            </w:r>
          </w:p>
          <w:p w:rsidR="00262098" w:rsidRPr="005674EC" w:rsidRDefault="00262098" w:rsidP="00BC0C01">
            <w:pPr>
              <w:ind w:left="0" w:right="0"/>
            </w:pPr>
            <w:r w:rsidRPr="005674EC">
              <w:t>(T-05.155)</w:t>
            </w:r>
          </w:p>
        </w:tc>
        <w:tc>
          <w:tcPr>
            <w:tcW w:w="661" w:type="pct"/>
            <w:gridSpan w:val="2"/>
            <w:vMerge w:val="restart"/>
          </w:tcPr>
          <w:p w:rsidR="00262098" w:rsidRPr="005674EC" w:rsidRDefault="00262098" w:rsidP="00BC0C01">
            <w:pPr>
              <w:ind w:left="0" w:right="0"/>
            </w:pPr>
            <w:r w:rsidRPr="005674EC">
              <w:t>75, 300, 900</w:t>
            </w:r>
          </w:p>
        </w:tc>
        <w:tc>
          <w:tcPr>
            <w:tcW w:w="323" w:type="pct"/>
          </w:tcPr>
          <w:p w:rsidR="00262098" w:rsidRPr="005674EC" w:rsidRDefault="00262098" w:rsidP="00BC0C01">
            <w:pPr>
              <w:ind w:left="0" w:right="0"/>
            </w:pPr>
            <w:r w:rsidRPr="005674EC">
              <w:rPr>
                <w:rFonts w:ascii="Times New Roman" w:hAnsi="Times New Roman"/>
              </w:rPr>
              <w:t>♂</w:t>
            </w:r>
          </w:p>
        </w:tc>
        <w:tc>
          <w:tcPr>
            <w:tcW w:w="646" w:type="pct"/>
            <w:gridSpan w:val="2"/>
          </w:tcPr>
          <w:p w:rsidR="00262098" w:rsidRPr="005674EC" w:rsidRDefault="00262098" w:rsidP="00BC0C01">
            <w:pPr>
              <w:ind w:left="0" w:right="0"/>
            </w:pPr>
            <w:r w:rsidRPr="005674EC">
              <w:t>428, 528, 571 (day 92)</w:t>
            </w:r>
          </w:p>
        </w:tc>
        <w:tc>
          <w:tcPr>
            <w:tcW w:w="587" w:type="pct"/>
            <w:gridSpan w:val="2"/>
          </w:tcPr>
          <w:p w:rsidR="00262098" w:rsidRPr="005674EC" w:rsidRDefault="00262098" w:rsidP="00BC0C01">
            <w:pPr>
              <w:ind w:left="0" w:right="0"/>
            </w:pPr>
            <w:r w:rsidRPr="005674EC">
              <w:t>706, 1113, 1676 (day 92)</w:t>
            </w:r>
          </w:p>
        </w:tc>
        <w:tc>
          <w:tcPr>
            <w:tcW w:w="574" w:type="pct"/>
          </w:tcPr>
          <w:p w:rsidR="00262098" w:rsidRPr="005674EC" w:rsidRDefault="00262098" w:rsidP="00BC0C01">
            <w:pPr>
              <w:ind w:left="0" w:right="0"/>
            </w:pPr>
            <w:r w:rsidRPr="005674EC">
              <w:t>79, 98, 106</w:t>
            </w:r>
          </w:p>
        </w:tc>
        <w:tc>
          <w:tcPr>
            <w:tcW w:w="831" w:type="pct"/>
          </w:tcPr>
          <w:p w:rsidR="00262098" w:rsidRPr="005674EC" w:rsidRDefault="00262098" w:rsidP="00BC0C01">
            <w:pPr>
              <w:ind w:left="0" w:right="0"/>
            </w:pPr>
            <w:r w:rsidRPr="005674EC">
              <w:t>45, 72, 108</w:t>
            </w:r>
          </w:p>
        </w:tc>
      </w:tr>
      <w:tr w:rsidR="00262098" w:rsidRPr="005674EC" w:rsidTr="00262098">
        <w:trPr>
          <w:trHeight w:val="227"/>
        </w:trPr>
        <w:tc>
          <w:tcPr>
            <w:tcW w:w="579" w:type="pct"/>
            <w:vMerge/>
          </w:tcPr>
          <w:p w:rsidR="00262098" w:rsidRPr="005674EC" w:rsidRDefault="00262098" w:rsidP="00BC0C01">
            <w:pPr>
              <w:ind w:left="0" w:right="0"/>
            </w:pPr>
          </w:p>
        </w:tc>
        <w:tc>
          <w:tcPr>
            <w:tcW w:w="799" w:type="pct"/>
            <w:vMerge/>
          </w:tcPr>
          <w:p w:rsidR="00262098" w:rsidRPr="005674EC" w:rsidRDefault="00262098" w:rsidP="00BC0C01">
            <w:pPr>
              <w:ind w:left="0" w:right="0"/>
            </w:pPr>
          </w:p>
        </w:tc>
        <w:tc>
          <w:tcPr>
            <w:tcW w:w="661" w:type="pct"/>
            <w:gridSpan w:val="2"/>
            <w:vMerge/>
          </w:tcPr>
          <w:p w:rsidR="00262098" w:rsidRPr="005674EC" w:rsidRDefault="00262098" w:rsidP="00BC0C01">
            <w:pPr>
              <w:ind w:left="0" w:right="0"/>
            </w:pPr>
          </w:p>
        </w:tc>
        <w:tc>
          <w:tcPr>
            <w:tcW w:w="323" w:type="pct"/>
          </w:tcPr>
          <w:p w:rsidR="00262098" w:rsidRPr="005674EC" w:rsidRDefault="00262098" w:rsidP="00BC0C01">
            <w:pPr>
              <w:ind w:left="0" w:right="0"/>
            </w:pPr>
            <w:r w:rsidRPr="005674EC">
              <w:rPr>
                <w:rFonts w:ascii="Times New Roman" w:hAnsi="Times New Roman"/>
              </w:rPr>
              <w:t>♀</w:t>
            </w:r>
          </w:p>
        </w:tc>
        <w:tc>
          <w:tcPr>
            <w:tcW w:w="646" w:type="pct"/>
            <w:gridSpan w:val="2"/>
          </w:tcPr>
          <w:p w:rsidR="00262098" w:rsidRPr="005674EC" w:rsidRDefault="00262098" w:rsidP="00BC0C01">
            <w:pPr>
              <w:ind w:left="0" w:right="0"/>
            </w:pPr>
            <w:r w:rsidRPr="005674EC">
              <w:t>670, 823, 953 (day 92)</w:t>
            </w:r>
          </w:p>
        </w:tc>
        <w:tc>
          <w:tcPr>
            <w:tcW w:w="587" w:type="pct"/>
            <w:gridSpan w:val="2"/>
          </w:tcPr>
          <w:p w:rsidR="00262098" w:rsidRPr="005674EC" w:rsidRDefault="00262098" w:rsidP="00BC0C01">
            <w:pPr>
              <w:ind w:left="0" w:right="0"/>
            </w:pPr>
            <w:r w:rsidRPr="005674EC">
              <w:t>928, 1409, 2608 (day 92)</w:t>
            </w:r>
          </w:p>
        </w:tc>
        <w:tc>
          <w:tcPr>
            <w:tcW w:w="574" w:type="pct"/>
          </w:tcPr>
          <w:p w:rsidR="00262098" w:rsidRPr="005674EC" w:rsidRDefault="00262098" w:rsidP="00BC0C01">
            <w:pPr>
              <w:ind w:left="0" w:right="0"/>
            </w:pPr>
            <w:r w:rsidRPr="005674EC">
              <w:t>124, 152, 176</w:t>
            </w:r>
          </w:p>
        </w:tc>
        <w:tc>
          <w:tcPr>
            <w:tcW w:w="831" w:type="pct"/>
          </w:tcPr>
          <w:p w:rsidR="00262098" w:rsidRPr="005674EC" w:rsidRDefault="00262098" w:rsidP="00BC0C01">
            <w:pPr>
              <w:ind w:left="0" w:right="0"/>
            </w:pPr>
            <w:r w:rsidRPr="005674EC">
              <w:t>60, 91, 168</w:t>
            </w:r>
          </w:p>
        </w:tc>
      </w:tr>
      <w:tr w:rsidR="00262098" w:rsidRPr="005674EC" w:rsidTr="00262098">
        <w:trPr>
          <w:trHeight w:val="227"/>
        </w:trPr>
        <w:tc>
          <w:tcPr>
            <w:tcW w:w="579" w:type="pct"/>
            <w:vMerge/>
          </w:tcPr>
          <w:p w:rsidR="00262098" w:rsidRPr="005674EC" w:rsidRDefault="00262098" w:rsidP="00BC0C01">
            <w:pPr>
              <w:ind w:left="0" w:right="0"/>
            </w:pPr>
          </w:p>
        </w:tc>
        <w:tc>
          <w:tcPr>
            <w:tcW w:w="799" w:type="pct"/>
            <w:vMerge w:val="restart"/>
          </w:tcPr>
          <w:p w:rsidR="00262098" w:rsidRPr="00262098" w:rsidRDefault="00262098" w:rsidP="00BC0C01">
            <w:pPr>
              <w:ind w:left="0" w:right="0"/>
            </w:pPr>
            <w:r w:rsidRPr="00262098">
              <w:t>13 weeks</w:t>
            </w:r>
          </w:p>
          <w:p w:rsidR="00262098" w:rsidRPr="00262098" w:rsidRDefault="00262098" w:rsidP="00BC0C01">
            <w:pPr>
              <w:ind w:left="0" w:right="0"/>
            </w:pPr>
            <w:r w:rsidRPr="00262098">
              <w:t>(T-07.208)</w:t>
            </w:r>
          </w:p>
        </w:tc>
        <w:tc>
          <w:tcPr>
            <w:tcW w:w="661" w:type="pct"/>
            <w:gridSpan w:val="2"/>
            <w:vMerge w:val="restart"/>
          </w:tcPr>
          <w:p w:rsidR="00262098" w:rsidRPr="00262098" w:rsidRDefault="00262098" w:rsidP="00BC0C01">
            <w:pPr>
              <w:ind w:left="0" w:right="0"/>
            </w:pPr>
            <w:r w:rsidRPr="00262098">
              <w:t>5, 20, 75</w:t>
            </w:r>
          </w:p>
        </w:tc>
        <w:tc>
          <w:tcPr>
            <w:tcW w:w="323" w:type="pct"/>
          </w:tcPr>
          <w:p w:rsidR="00262098" w:rsidRPr="00262098" w:rsidRDefault="00262098" w:rsidP="00BC0C01">
            <w:pPr>
              <w:ind w:left="0" w:right="0"/>
            </w:pPr>
            <w:r w:rsidRPr="00262098">
              <w:rPr>
                <w:rFonts w:ascii="Times New Roman" w:hAnsi="Times New Roman"/>
              </w:rPr>
              <w:t>♂</w:t>
            </w:r>
          </w:p>
        </w:tc>
        <w:tc>
          <w:tcPr>
            <w:tcW w:w="646" w:type="pct"/>
            <w:gridSpan w:val="2"/>
          </w:tcPr>
          <w:p w:rsidR="00262098" w:rsidRPr="00262098" w:rsidRDefault="00262098" w:rsidP="00BC0C01">
            <w:pPr>
              <w:ind w:left="0" w:right="0"/>
            </w:pPr>
            <w:r w:rsidRPr="00262098">
              <w:t>19.7, 75.5, 224 (day 88)</w:t>
            </w:r>
          </w:p>
        </w:tc>
        <w:tc>
          <w:tcPr>
            <w:tcW w:w="587" w:type="pct"/>
            <w:gridSpan w:val="2"/>
          </w:tcPr>
          <w:p w:rsidR="00262098" w:rsidRPr="00262098" w:rsidRDefault="00262098" w:rsidP="00BC0C01">
            <w:pPr>
              <w:ind w:left="0" w:right="0"/>
            </w:pPr>
            <w:r w:rsidRPr="00262098">
              <w:t>72.3, 219, 535 (day 88)</w:t>
            </w:r>
          </w:p>
        </w:tc>
        <w:tc>
          <w:tcPr>
            <w:tcW w:w="574" w:type="pct"/>
          </w:tcPr>
          <w:p w:rsidR="00262098" w:rsidRPr="00262098" w:rsidRDefault="00262098" w:rsidP="00BC0C01">
            <w:pPr>
              <w:ind w:left="0" w:right="0"/>
            </w:pPr>
            <w:r w:rsidRPr="00262098">
              <w:t>3.6, 14, 41</w:t>
            </w:r>
          </w:p>
        </w:tc>
        <w:tc>
          <w:tcPr>
            <w:tcW w:w="831" w:type="pct"/>
          </w:tcPr>
          <w:p w:rsidR="00262098" w:rsidRPr="00262098" w:rsidRDefault="00262098" w:rsidP="00BC0C01">
            <w:pPr>
              <w:ind w:left="0" w:right="0"/>
            </w:pPr>
            <w:r w:rsidRPr="00262098">
              <w:t>4.7, 14, 34</w:t>
            </w:r>
          </w:p>
        </w:tc>
      </w:tr>
      <w:tr w:rsidR="00262098" w:rsidRPr="005674EC" w:rsidTr="00262098">
        <w:trPr>
          <w:trHeight w:val="227"/>
        </w:trPr>
        <w:tc>
          <w:tcPr>
            <w:tcW w:w="579" w:type="pct"/>
            <w:vMerge/>
          </w:tcPr>
          <w:p w:rsidR="00262098" w:rsidRPr="005674EC" w:rsidRDefault="00262098" w:rsidP="00BC0C01">
            <w:pPr>
              <w:ind w:left="0" w:right="0"/>
            </w:pPr>
          </w:p>
        </w:tc>
        <w:tc>
          <w:tcPr>
            <w:tcW w:w="799" w:type="pct"/>
            <w:vMerge/>
          </w:tcPr>
          <w:p w:rsidR="00262098" w:rsidRPr="00262098" w:rsidRDefault="00262098" w:rsidP="00BC0C01">
            <w:pPr>
              <w:ind w:left="0" w:right="0"/>
            </w:pPr>
          </w:p>
        </w:tc>
        <w:tc>
          <w:tcPr>
            <w:tcW w:w="661" w:type="pct"/>
            <w:gridSpan w:val="2"/>
            <w:vMerge/>
          </w:tcPr>
          <w:p w:rsidR="00262098" w:rsidRPr="00262098" w:rsidRDefault="00262098" w:rsidP="00BC0C01">
            <w:pPr>
              <w:ind w:left="0" w:right="0"/>
            </w:pPr>
          </w:p>
        </w:tc>
        <w:tc>
          <w:tcPr>
            <w:tcW w:w="323" w:type="pct"/>
          </w:tcPr>
          <w:p w:rsidR="00262098" w:rsidRPr="00262098" w:rsidRDefault="00262098" w:rsidP="00BC0C01">
            <w:pPr>
              <w:ind w:left="0" w:right="0"/>
            </w:pPr>
            <w:r w:rsidRPr="00262098">
              <w:rPr>
                <w:rFonts w:ascii="Times New Roman" w:hAnsi="Times New Roman"/>
              </w:rPr>
              <w:t>♀</w:t>
            </w:r>
          </w:p>
        </w:tc>
        <w:tc>
          <w:tcPr>
            <w:tcW w:w="646" w:type="pct"/>
            <w:gridSpan w:val="2"/>
          </w:tcPr>
          <w:p w:rsidR="00262098" w:rsidRPr="00262098" w:rsidRDefault="00262098" w:rsidP="00BC0C01">
            <w:pPr>
              <w:ind w:left="0" w:right="0"/>
            </w:pPr>
            <w:r w:rsidRPr="00262098">
              <w:t>35.8, 127, 358 (day 88)</w:t>
            </w:r>
          </w:p>
        </w:tc>
        <w:tc>
          <w:tcPr>
            <w:tcW w:w="587" w:type="pct"/>
            <w:gridSpan w:val="2"/>
          </w:tcPr>
          <w:p w:rsidR="00262098" w:rsidRPr="00262098" w:rsidRDefault="00262098" w:rsidP="00BC0C01">
            <w:pPr>
              <w:ind w:left="0" w:right="0"/>
            </w:pPr>
            <w:r w:rsidRPr="00262098">
              <w:t>89.6, 255, 641 (day 88)</w:t>
            </w:r>
          </w:p>
        </w:tc>
        <w:tc>
          <w:tcPr>
            <w:tcW w:w="574" w:type="pct"/>
          </w:tcPr>
          <w:p w:rsidR="00262098" w:rsidRPr="00262098" w:rsidRDefault="00262098" w:rsidP="00BC0C01">
            <w:pPr>
              <w:ind w:left="0" w:right="0"/>
            </w:pPr>
            <w:r w:rsidRPr="00262098">
              <w:t>6.6, 24, 66</w:t>
            </w:r>
          </w:p>
        </w:tc>
        <w:tc>
          <w:tcPr>
            <w:tcW w:w="831" w:type="pct"/>
          </w:tcPr>
          <w:p w:rsidR="00262098" w:rsidRPr="00262098" w:rsidRDefault="00262098" w:rsidP="00BC0C01">
            <w:pPr>
              <w:ind w:left="0" w:right="0"/>
            </w:pPr>
            <w:r w:rsidRPr="00262098">
              <w:t>5.8, 16, 41</w:t>
            </w:r>
          </w:p>
        </w:tc>
      </w:tr>
      <w:tr w:rsidR="00262098" w:rsidRPr="005674EC" w:rsidTr="00262098">
        <w:trPr>
          <w:trHeight w:val="227"/>
        </w:trPr>
        <w:tc>
          <w:tcPr>
            <w:tcW w:w="579" w:type="pct"/>
            <w:vMerge w:val="restart"/>
          </w:tcPr>
          <w:p w:rsidR="00262098" w:rsidRPr="005674EC" w:rsidRDefault="00262098" w:rsidP="00BC0C01">
            <w:pPr>
              <w:ind w:left="0" w:right="0"/>
            </w:pPr>
            <w:r w:rsidRPr="005674EC">
              <w:t>Mouse</w:t>
            </w:r>
            <w:r w:rsidRPr="005674EC">
              <w:br/>
              <w:t>(B6C3F1)</w:t>
            </w:r>
          </w:p>
        </w:tc>
        <w:tc>
          <w:tcPr>
            <w:tcW w:w="799" w:type="pct"/>
            <w:vMerge w:val="restart"/>
          </w:tcPr>
          <w:p w:rsidR="00262098" w:rsidRPr="00262098" w:rsidRDefault="00262098" w:rsidP="00BC0C01">
            <w:pPr>
              <w:ind w:left="0" w:right="0"/>
            </w:pPr>
            <w:r w:rsidRPr="00262098">
              <w:t>13 weeks</w:t>
            </w:r>
          </w:p>
          <w:p w:rsidR="00262098" w:rsidRPr="00262098" w:rsidRDefault="00262098" w:rsidP="00BC0C01">
            <w:pPr>
              <w:ind w:left="0" w:right="0"/>
            </w:pPr>
            <w:r w:rsidRPr="00262098">
              <w:t>(T-08.388)</w:t>
            </w:r>
          </w:p>
        </w:tc>
        <w:tc>
          <w:tcPr>
            <w:tcW w:w="661" w:type="pct"/>
            <w:gridSpan w:val="2"/>
            <w:vMerge w:val="restart"/>
          </w:tcPr>
          <w:p w:rsidR="00262098" w:rsidRPr="00262098" w:rsidRDefault="00262098" w:rsidP="00BC0C01">
            <w:pPr>
              <w:ind w:left="0" w:right="0"/>
            </w:pPr>
            <w:r w:rsidRPr="00262098">
              <w:rPr>
                <w:u w:val="single"/>
              </w:rPr>
              <w:t>10</w:t>
            </w:r>
            <w:r w:rsidRPr="00262098">
              <w:rPr>
                <w:vertAlign w:val="superscript"/>
              </w:rPr>
              <w:t>d</w:t>
            </w:r>
            <w:r w:rsidRPr="00262098">
              <w:t>, 50, 400, 1500</w:t>
            </w:r>
          </w:p>
        </w:tc>
        <w:tc>
          <w:tcPr>
            <w:tcW w:w="323" w:type="pct"/>
          </w:tcPr>
          <w:p w:rsidR="00262098" w:rsidRPr="00262098" w:rsidRDefault="00262098" w:rsidP="00BC0C01">
            <w:pPr>
              <w:ind w:left="0" w:right="0"/>
            </w:pPr>
            <w:r w:rsidRPr="00262098">
              <w:rPr>
                <w:rFonts w:ascii="Times New Roman" w:hAnsi="Times New Roman"/>
              </w:rPr>
              <w:t>♂</w:t>
            </w:r>
          </w:p>
        </w:tc>
        <w:tc>
          <w:tcPr>
            <w:tcW w:w="646" w:type="pct"/>
            <w:gridSpan w:val="2"/>
          </w:tcPr>
          <w:p w:rsidR="00262098" w:rsidRPr="00262098" w:rsidRDefault="00262098" w:rsidP="00BC0C01">
            <w:pPr>
              <w:ind w:left="0" w:right="0"/>
            </w:pPr>
            <w:r w:rsidRPr="00262098">
              <w:rPr>
                <w:u w:val="single"/>
              </w:rPr>
              <w:t>&gt;66</w:t>
            </w:r>
            <w:r w:rsidRPr="00262098">
              <w:t>, 307, 653, 1090 (day 88)</w:t>
            </w:r>
          </w:p>
        </w:tc>
        <w:tc>
          <w:tcPr>
            <w:tcW w:w="587" w:type="pct"/>
            <w:gridSpan w:val="2"/>
          </w:tcPr>
          <w:p w:rsidR="00262098" w:rsidRPr="00262098" w:rsidRDefault="00262098" w:rsidP="00BC0C01">
            <w:pPr>
              <w:ind w:left="0" w:right="0"/>
            </w:pPr>
            <w:r w:rsidRPr="00262098">
              <w:rPr>
                <w:u w:val="single"/>
              </w:rPr>
              <w:t>185</w:t>
            </w:r>
            <w:r w:rsidRPr="00262098">
              <w:t>, 632, 1600, 2710 (day 88)</w:t>
            </w:r>
          </w:p>
        </w:tc>
        <w:tc>
          <w:tcPr>
            <w:tcW w:w="574" w:type="pct"/>
          </w:tcPr>
          <w:p w:rsidR="00262098" w:rsidRPr="00262098" w:rsidRDefault="00262098" w:rsidP="00BC0C01">
            <w:pPr>
              <w:ind w:left="0" w:right="0"/>
            </w:pPr>
            <w:r w:rsidRPr="00262098">
              <w:rPr>
                <w:u w:val="single"/>
              </w:rPr>
              <w:t>&gt;12</w:t>
            </w:r>
            <w:r w:rsidRPr="00262098">
              <w:t>, 57, 121, 202</w:t>
            </w:r>
          </w:p>
        </w:tc>
        <w:tc>
          <w:tcPr>
            <w:tcW w:w="831" w:type="pct"/>
          </w:tcPr>
          <w:p w:rsidR="00262098" w:rsidRPr="00262098" w:rsidRDefault="00262098" w:rsidP="00BC0C01">
            <w:pPr>
              <w:ind w:left="0" w:right="0"/>
            </w:pPr>
            <w:r w:rsidRPr="00262098">
              <w:rPr>
                <w:u w:val="single"/>
              </w:rPr>
              <w:t>12</w:t>
            </w:r>
            <w:r w:rsidRPr="00262098">
              <w:t>, 41, 103, 174</w:t>
            </w:r>
          </w:p>
        </w:tc>
      </w:tr>
      <w:tr w:rsidR="00262098" w:rsidRPr="005674EC" w:rsidTr="00262098">
        <w:trPr>
          <w:trHeight w:val="227"/>
        </w:trPr>
        <w:tc>
          <w:tcPr>
            <w:tcW w:w="579" w:type="pct"/>
            <w:vMerge/>
          </w:tcPr>
          <w:p w:rsidR="00262098" w:rsidRPr="005674EC" w:rsidRDefault="00262098" w:rsidP="00BC0C01">
            <w:pPr>
              <w:ind w:left="0" w:right="0"/>
            </w:pPr>
          </w:p>
        </w:tc>
        <w:tc>
          <w:tcPr>
            <w:tcW w:w="799" w:type="pct"/>
            <w:vMerge/>
          </w:tcPr>
          <w:p w:rsidR="00262098" w:rsidRPr="00262098" w:rsidRDefault="00262098" w:rsidP="00BC0C01">
            <w:pPr>
              <w:ind w:left="0" w:right="0"/>
            </w:pPr>
          </w:p>
        </w:tc>
        <w:tc>
          <w:tcPr>
            <w:tcW w:w="661" w:type="pct"/>
            <w:gridSpan w:val="2"/>
            <w:vMerge/>
          </w:tcPr>
          <w:p w:rsidR="00262098" w:rsidRPr="00262098" w:rsidRDefault="00262098" w:rsidP="00BC0C01">
            <w:pPr>
              <w:ind w:left="0" w:right="0"/>
            </w:pPr>
          </w:p>
        </w:tc>
        <w:tc>
          <w:tcPr>
            <w:tcW w:w="323" w:type="pct"/>
          </w:tcPr>
          <w:p w:rsidR="00262098" w:rsidRPr="00262098" w:rsidRDefault="00262098" w:rsidP="00BC0C01">
            <w:pPr>
              <w:ind w:left="0" w:right="0"/>
            </w:pPr>
            <w:r w:rsidRPr="00262098">
              <w:rPr>
                <w:rFonts w:ascii="Times New Roman" w:hAnsi="Times New Roman"/>
              </w:rPr>
              <w:t>♀</w:t>
            </w:r>
          </w:p>
        </w:tc>
        <w:tc>
          <w:tcPr>
            <w:tcW w:w="646" w:type="pct"/>
            <w:gridSpan w:val="2"/>
          </w:tcPr>
          <w:p w:rsidR="00262098" w:rsidRPr="00262098" w:rsidRDefault="00262098" w:rsidP="00BC0C01">
            <w:pPr>
              <w:ind w:left="0" w:right="0"/>
            </w:pPr>
            <w:r w:rsidRPr="00262098">
              <w:rPr>
                <w:u w:val="single"/>
              </w:rPr>
              <w:t>99.7</w:t>
            </w:r>
            <w:r w:rsidRPr="00262098">
              <w:t>, 428, 1140, 1340 (day 88)</w:t>
            </w:r>
          </w:p>
        </w:tc>
        <w:tc>
          <w:tcPr>
            <w:tcW w:w="587" w:type="pct"/>
            <w:gridSpan w:val="2"/>
          </w:tcPr>
          <w:p w:rsidR="00262098" w:rsidRPr="00262098" w:rsidRDefault="00262098" w:rsidP="00BC0C01">
            <w:pPr>
              <w:ind w:left="0" w:right="0"/>
            </w:pPr>
            <w:r w:rsidRPr="00262098">
              <w:rPr>
                <w:u w:val="single"/>
              </w:rPr>
              <w:t>238</w:t>
            </w:r>
            <w:r w:rsidRPr="00262098">
              <w:t>, 768, 1720, 2970 (day 88)</w:t>
            </w:r>
          </w:p>
        </w:tc>
        <w:tc>
          <w:tcPr>
            <w:tcW w:w="574" w:type="pct"/>
          </w:tcPr>
          <w:p w:rsidR="00262098" w:rsidRPr="00262098" w:rsidRDefault="00262098" w:rsidP="00BC0C01">
            <w:pPr>
              <w:ind w:left="0" w:right="0"/>
            </w:pPr>
            <w:r w:rsidRPr="00262098">
              <w:rPr>
                <w:u w:val="single"/>
              </w:rPr>
              <w:t>18</w:t>
            </w:r>
            <w:r w:rsidRPr="00262098">
              <w:t>, 79, 211, 248</w:t>
            </w:r>
          </w:p>
        </w:tc>
        <w:tc>
          <w:tcPr>
            <w:tcW w:w="831" w:type="pct"/>
          </w:tcPr>
          <w:p w:rsidR="00262098" w:rsidRPr="00262098" w:rsidRDefault="00262098" w:rsidP="00BC0C01">
            <w:pPr>
              <w:ind w:left="0" w:right="0"/>
            </w:pPr>
            <w:r w:rsidRPr="00262098">
              <w:rPr>
                <w:u w:val="single"/>
              </w:rPr>
              <w:t>15</w:t>
            </w:r>
            <w:r w:rsidRPr="00262098">
              <w:t>, 49, 111, 191</w:t>
            </w:r>
          </w:p>
        </w:tc>
      </w:tr>
      <w:tr w:rsidR="00262098" w:rsidRPr="005674EC" w:rsidTr="00262098">
        <w:trPr>
          <w:trHeight w:val="227"/>
        </w:trPr>
        <w:tc>
          <w:tcPr>
            <w:tcW w:w="579" w:type="pct"/>
            <w:vMerge/>
          </w:tcPr>
          <w:p w:rsidR="00262098" w:rsidRPr="005674EC" w:rsidRDefault="00262098" w:rsidP="00BC0C01">
            <w:pPr>
              <w:ind w:left="0" w:right="0"/>
            </w:pPr>
          </w:p>
        </w:tc>
        <w:tc>
          <w:tcPr>
            <w:tcW w:w="799" w:type="pct"/>
            <w:vMerge w:val="restart"/>
          </w:tcPr>
          <w:p w:rsidR="00262098" w:rsidRPr="00262098" w:rsidRDefault="00262098" w:rsidP="00BC0C01">
            <w:pPr>
              <w:ind w:left="0" w:right="0"/>
            </w:pPr>
            <w:r w:rsidRPr="00262098">
              <w:t>2 years</w:t>
            </w:r>
          </w:p>
          <w:p w:rsidR="00262098" w:rsidRPr="00262098" w:rsidRDefault="00262098" w:rsidP="00BC0C01">
            <w:pPr>
              <w:ind w:left="0" w:right="0"/>
            </w:pPr>
            <w:r w:rsidRPr="00262098">
              <w:t>(T-09.160)</w:t>
            </w:r>
            <w:r w:rsidRPr="00262098">
              <w:br/>
              <w:t>[carcinogenicity]</w:t>
            </w:r>
          </w:p>
        </w:tc>
        <w:tc>
          <w:tcPr>
            <w:tcW w:w="661" w:type="pct"/>
            <w:gridSpan w:val="2"/>
            <w:vMerge w:val="restart"/>
          </w:tcPr>
          <w:p w:rsidR="00262098" w:rsidRPr="00262098" w:rsidRDefault="00262098" w:rsidP="00BC0C01">
            <w:pPr>
              <w:ind w:left="0" w:right="0"/>
            </w:pPr>
            <w:r w:rsidRPr="00262098">
              <w:t>5, 30, 100, 400</w:t>
            </w:r>
          </w:p>
        </w:tc>
        <w:tc>
          <w:tcPr>
            <w:tcW w:w="323" w:type="pct"/>
          </w:tcPr>
          <w:p w:rsidR="00262098" w:rsidRPr="00262098" w:rsidRDefault="00262098" w:rsidP="00BC0C01">
            <w:pPr>
              <w:ind w:left="0" w:right="0"/>
            </w:pPr>
            <w:r w:rsidRPr="00262098">
              <w:rPr>
                <w:rFonts w:ascii="Times New Roman" w:hAnsi="Times New Roman"/>
              </w:rPr>
              <w:t>♂</w:t>
            </w:r>
          </w:p>
        </w:tc>
        <w:tc>
          <w:tcPr>
            <w:tcW w:w="646" w:type="pct"/>
            <w:gridSpan w:val="2"/>
          </w:tcPr>
          <w:p w:rsidR="00262098" w:rsidRPr="00262098" w:rsidRDefault="00262098" w:rsidP="00BC0C01">
            <w:pPr>
              <w:ind w:left="0" w:right="0"/>
            </w:pPr>
            <w:r w:rsidRPr="00262098">
              <w:t>31.1, 261, 405, 751 (week 26)</w:t>
            </w:r>
          </w:p>
        </w:tc>
        <w:tc>
          <w:tcPr>
            <w:tcW w:w="587" w:type="pct"/>
            <w:gridSpan w:val="2"/>
          </w:tcPr>
          <w:p w:rsidR="00262098" w:rsidRPr="00262098" w:rsidRDefault="00262098" w:rsidP="00BC0C01">
            <w:pPr>
              <w:ind w:left="0" w:right="0"/>
            </w:pPr>
            <w:r w:rsidRPr="00262098">
              <w:t>106, 574, 907, 1750 (week 26)</w:t>
            </w:r>
          </w:p>
        </w:tc>
        <w:tc>
          <w:tcPr>
            <w:tcW w:w="574" w:type="pct"/>
          </w:tcPr>
          <w:p w:rsidR="00262098" w:rsidRPr="00262098" w:rsidRDefault="00262098" w:rsidP="00BC0C01">
            <w:pPr>
              <w:ind w:left="0" w:right="0"/>
            </w:pPr>
            <w:r w:rsidRPr="00262098">
              <w:t>5.8, 48, 75, 139</w:t>
            </w:r>
          </w:p>
        </w:tc>
        <w:tc>
          <w:tcPr>
            <w:tcW w:w="831" w:type="pct"/>
          </w:tcPr>
          <w:p w:rsidR="00262098" w:rsidRPr="00262098" w:rsidRDefault="00262098" w:rsidP="00BC0C01">
            <w:pPr>
              <w:ind w:left="0" w:right="0"/>
            </w:pPr>
            <w:r w:rsidRPr="00262098">
              <w:t>6.8, 37, 58, 113</w:t>
            </w:r>
          </w:p>
        </w:tc>
      </w:tr>
      <w:tr w:rsidR="00262098" w:rsidRPr="005674EC" w:rsidTr="00262098">
        <w:trPr>
          <w:trHeight w:val="227"/>
        </w:trPr>
        <w:tc>
          <w:tcPr>
            <w:tcW w:w="579" w:type="pct"/>
            <w:vMerge/>
          </w:tcPr>
          <w:p w:rsidR="00262098" w:rsidRPr="005674EC" w:rsidRDefault="00262098" w:rsidP="00BC0C01">
            <w:pPr>
              <w:ind w:left="0" w:right="0"/>
            </w:pPr>
          </w:p>
        </w:tc>
        <w:tc>
          <w:tcPr>
            <w:tcW w:w="799" w:type="pct"/>
            <w:vMerge/>
          </w:tcPr>
          <w:p w:rsidR="00262098" w:rsidRPr="00262098" w:rsidRDefault="00262098" w:rsidP="00BC0C01">
            <w:pPr>
              <w:ind w:left="0" w:right="0"/>
            </w:pPr>
          </w:p>
        </w:tc>
        <w:tc>
          <w:tcPr>
            <w:tcW w:w="661" w:type="pct"/>
            <w:gridSpan w:val="2"/>
            <w:vMerge/>
          </w:tcPr>
          <w:p w:rsidR="00262098" w:rsidRPr="00262098" w:rsidRDefault="00262098" w:rsidP="00BC0C01">
            <w:pPr>
              <w:ind w:left="0" w:right="0"/>
            </w:pPr>
          </w:p>
        </w:tc>
        <w:tc>
          <w:tcPr>
            <w:tcW w:w="323" w:type="pct"/>
          </w:tcPr>
          <w:p w:rsidR="00262098" w:rsidRPr="00262098" w:rsidRDefault="00262098" w:rsidP="00BC0C01">
            <w:pPr>
              <w:ind w:left="0" w:right="0"/>
            </w:pPr>
            <w:r w:rsidRPr="00262098">
              <w:rPr>
                <w:rFonts w:ascii="Times New Roman" w:hAnsi="Times New Roman"/>
              </w:rPr>
              <w:t>♀</w:t>
            </w:r>
          </w:p>
        </w:tc>
        <w:tc>
          <w:tcPr>
            <w:tcW w:w="646" w:type="pct"/>
            <w:gridSpan w:val="2"/>
          </w:tcPr>
          <w:p w:rsidR="00262098" w:rsidRPr="00262098" w:rsidRDefault="00262098" w:rsidP="00BC0C01">
            <w:pPr>
              <w:ind w:left="0" w:right="0"/>
            </w:pPr>
            <w:r w:rsidRPr="00262098">
              <w:t>60.7, 392, 751, 1110 (week 26)</w:t>
            </w:r>
          </w:p>
        </w:tc>
        <w:tc>
          <w:tcPr>
            <w:tcW w:w="587" w:type="pct"/>
            <w:gridSpan w:val="2"/>
          </w:tcPr>
          <w:p w:rsidR="00262098" w:rsidRPr="00262098" w:rsidRDefault="00262098" w:rsidP="00BC0C01">
            <w:pPr>
              <w:ind w:left="0" w:right="0"/>
            </w:pPr>
            <w:r w:rsidRPr="00262098">
              <w:t>129, 609, 1190, 1920 (week 26)</w:t>
            </w:r>
          </w:p>
        </w:tc>
        <w:tc>
          <w:tcPr>
            <w:tcW w:w="574" w:type="pct"/>
          </w:tcPr>
          <w:p w:rsidR="00262098" w:rsidRPr="00262098" w:rsidRDefault="00262098" w:rsidP="00BC0C01">
            <w:pPr>
              <w:ind w:left="0" w:right="0"/>
            </w:pPr>
            <w:r w:rsidRPr="00262098">
              <w:t>11, 73, 139, 206</w:t>
            </w:r>
          </w:p>
        </w:tc>
        <w:tc>
          <w:tcPr>
            <w:tcW w:w="831" w:type="pct"/>
          </w:tcPr>
          <w:p w:rsidR="00262098" w:rsidRPr="00262098" w:rsidRDefault="00262098" w:rsidP="00BC0C01">
            <w:pPr>
              <w:ind w:left="0" w:right="0"/>
            </w:pPr>
            <w:r w:rsidRPr="00262098">
              <w:t>8.3, 39, 77, 124</w:t>
            </w:r>
          </w:p>
        </w:tc>
      </w:tr>
      <w:tr w:rsidR="00262098" w:rsidRPr="005674EC" w:rsidTr="00262098">
        <w:tc>
          <w:tcPr>
            <w:tcW w:w="579" w:type="pct"/>
            <w:vMerge w:val="restart"/>
          </w:tcPr>
          <w:p w:rsidR="00262098" w:rsidRPr="005674EC" w:rsidRDefault="00262098" w:rsidP="00BC0C01">
            <w:pPr>
              <w:ind w:left="0" w:right="0"/>
            </w:pPr>
            <w:r w:rsidRPr="005674EC">
              <w:lastRenderedPageBreak/>
              <w:t>Species</w:t>
            </w:r>
          </w:p>
        </w:tc>
        <w:tc>
          <w:tcPr>
            <w:tcW w:w="805" w:type="pct"/>
            <w:gridSpan w:val="2"/>
            <w:vMerge w:val="restart"/>
          </w:tcPr>
          <w:p w:rsidR="00262098" w:rsidRPr="005674EC" w:rsidRDefault="00262098" w:rsidP="00BC0C01">
            <w:pPr>
              <w:ind w:left="0" w:right="0"/>
            </w:pPr>
            <w:r w:rsidRPr="005674EC">
              <w:t>Study duration</w:t>
            </w:r>
            <w:r w:rsidRPr="005674EC">
              <w:br/>
              <w:t>(number)</w:t>
            </w:r>
          </w:p>
        </w:tc>
        <w:tc>
          <w:tcPr>
            <w:tcW w:w="655" w:type="pct"/>
            <w:vMerge w:val="restart"/>
          </w:tcPr>
          <w:p w:rsidR="00262098" w:rsidRPr="005674EC" w:rsidRDefault="00262098" w:rsidP="00BC0C01">
            <w:pPr>
              <w:ind w:left="0" w:right="0"/>
            </w:pPr>
            <w:r w:rsidRPr="005674EC">
              <w:t>Dose</w:t>
            </w:r>
            <w:r w:rsidRPr="005674EC">
              <w:br/>
              <w:t>(mg/kg/day)</w:t>
            </w:r>
            <w:r w:rsidRPr="005674EC">
              <w:rPr>
                <w:vertAlign w:val="superscript"/>
              </w:rPr>
              <w:t>b</w:t>
            </w:r>
          </w:p>
        </w:tc>
        <w:tc>
          <w:tcPr>
            <w:tcW w:w="328" w:type="pct"/>
            <w:gridSpan w:val="2"/>
            <w:vMerge w:val="restart"/>
          </w:tcPr>
          <w:p w:rsidR="00262098" w:rsidRPr="005674EC" w:rsidRDefault="00262098" w:rsidP="00BC0C01">
            <w:pPr>
              <w:ind w:left="0" w:right="0"/>
            </w:pPr>
          </w:p>
        </w:tc>
        <w:tc>
          <w:tcPr>
            <w:tcW w:w="1228" w:type="pct"/>
            <w:gridSpan w:val="3"/>
          </w:tcPr>
          <w:p w:rsidR="00262098" w:rsidRPr="005674EC" w:rsidRDefault="00262098" w:rsidP="00BC0C01">
            <w:pPr>
              <w:ind w:left="0" w:right="0"/>
            </w:pPr>
            <w:r w:rsidRPr="005674EC">
              <w:t>AUC</w:t>
            </w:r>
            <w:r w:rsidRPr="005674EC">
              <w:rPr>
                <w:vertAlign w:val="subscript"/>
              </w:rPr>
              <w:t>0–24</w:t>
            </w:r>
            <w:r w:rsidRPr="005674EC">
              <w:rPr>
                <w:w w:val="50"/>
                <w:vertAlign w:val="subscript"/>
              </w:rPr>
              <w:t> </w:t>
            </w:r>
            <w:r w:rsidRPr="005674EC">
              <w:rPr>
                <w:vertAlign w:val="subscript"/>
              </w:rPr>
              <w:t xml:space="preserve">h </w:t>
            </w:r>
            <w:r w:rsidRPr="005674EC">
              <w:t>(µg∙h/mL)</w:t>
            </w:r>
          </w:p>
        </w:tc>
        <w:tc>
          <w:tcPr>
            <w:tcW w:w="1405" w:type="pct"/>
            <w:gridSpan w:val="2"/>
          </w:tcPr>
          <w:p w:rsidR="00262098" w:rsidRPr="005674EC" w:rsidRDefault="00262098" w:rsidP="00BC0C01">
            <w:pPr>
              <w:ind w:left="0" w:right="0"/>
            </w:pPr>
            <w:r w:rsidRPr="005674EC">
              <w:t>Exposure ratio</w:t>
            </w:r>
            <w:r w:rsidRPr="005674EC">
              <w:rPr>
                <w:vertAlign w:val="superscript"/>
              </w:rPr>
              <w:t>c</w:t>
            </w:r>
          </w:p>
        </w:tc>
      </w:tr>
      <w:tr w:rsidR="00262098" w:rsidRPr="005674EC" w:rsidTr="00262098">
        <w:tc>
          <w:tcPr>
            <w:tcW w:w="579" w:type="pct"/>
            <w:vMerge/>
          </w:tcPr>
          <w:p w:rsidR="00262098" w:rsidRPr="005674EC" w:rsidRDefault="00262098" w:rsidP="00BC0C01">
            <w:pPr>
              <w:ind w:left="0" w:right="0"/>
            </w:pPr>
          </w:p>
        </w:tc>
        <w:tc>
          <w:tcPr>
            <w:tcW w:w="805" w:type="pct"/>
            <w:gridSpan w:val="2"/>
            <w:vMerge/>
          </w:tcPr>
          <w:p w:rsidR="00262098" w:rsidRPr="005674EC" w:rsidRDefault="00262098" w:rsidP="00BC0C01">
            <w:pPr>
              <w:ind w:left="0" w:right="0"/>
            </w:pPr>
          </w:p>
        </w:tc>
        <w:tc>
          <w:tcPr>
            <w:tcW w:w="655" w:type="pct"/>
            <w:vMerge/>
          </w:tcPr>
          <w:p w:rsidR="00262098" w:rsidRPr="005674EC" w:rsidRDefault="00262098" w:rsidP="00BC0C01">
            <w:pPr>
              <w:ind w:left="0" w:right="0"/>
            </w:pPr>
          </w:p>
        </w:tc>
        <w:tc>
          <w:tcPr>
            <w:tcW w:w="328" w:type="pct"/>
            <w:gridSpan w:val="2"/>
            <w:vMerge/>
          </w:tcPr>
          <w:p w:rsidR="00262098" w:rsidRPr="005674EC" w:rsidRDefault="00262098" w:rsidP="00BC0C01">
            <w:pPr>
              <w:ind w:left="0" w:right="0"/>
            </w:pPr>
          </w:p>
        </w:tc>
        <w:tc>
          <w:tcPr>
            <w:tcW w:w="654" w:type="pct"/>
            <w:gridSpan w:val="2"/>
          </w:tcPr>
          <w:p w:rsidR="00262098" w:rsidRPr="005674EC" w:rsidRDefault="00262098" w:rsidP="00BC0C01">
            <w:pPr>
              <w:ind w:left="0" w:right="0"/>
            </w:pPr>
            <w:r w:rsidRPr="005674EC">
              <w:t>Macitentan</w:t>
            </w:r>
          </w:p>
        </w:tc>
        <w:tc>
          <w:tcPr>
            <w:tcW w:w="574" w:type="pct"/>
          </w:tcPr>
          <w:p w:rsidR="00262098" w:rsidRPr="005674EC" w:rsidRDefault="00262098" w:rsidP="00BC0C01">
            <w:pPr>
              <w:ind w:left="0" w:right="0"/>
            </w:pPr>
            <w:r w:rsidRPr="005674EC">
              <w:t>ACT-132577</w:t>
            </w:r>
          </w:p>
        </w:tc>
        <w:tc>
          <w:tcPr>
            <w:tcW w:w="574" w:type="pct"/>
          </w:tcPr>
          <w:p w:rsidR="00262098" w:rsidRPr="005674EC" w:rsidRDefault="00262098" w:rsidP="00BC0C01">
            <w:pPr>
              <w:ind w:left="0" w:right="0"/>
            </w:pPr>
            <w:r w:rsidRPr="005674EC">
              <w:t>Macitentan</w:t>
            </w:r>
          </w:p>
        </w:tc>
        <w:tc>
          <w:tcPr>
            <w:tcW w:w="831" w:type="pct"/>
          </w:tcPr>
          <w:p w:rsidR="00262098" w:rsidRPr="005674EC" w:rsidRDefault="00262098" w:rsidP="00BC0C01">
            <w:pPr>
              <w:ind w:left="0" w:right="0"/>
            </w:pPr>
            <w:r w:rsidRPr="005674EC">
              <w:t>ACT-132577</w:t>
            </w:r>
          </w:p>
        </w:tc>
      </w:tr>
      <w:tr w:rsidR="00262098" w:rsidRPr="00262098" w:rsidTr="00262098">
        <w:trPr>
          <w:trHeight w:val="227"/>
        </w:trPr>
        <w:tc>
          <w:tcPr>
            <w:tcW w:w="579" w:type="pct"/>
            <w:vMerge w:val="restart"/>
          </w:tcPr>
          <w:p w:rsidR="00262098" w:rsidRPr="00262098" w:rsidRDefault="00262098" w:rsidP="00BC0C01">
            <w:pPr>
              <w:ind w:left="0" w:right="0"/>
            </w:pPr>
            <w:r w:rsidRPr="00262098">
              <w:t>Rat</w:t>
            </w:r>
            <w:r w:rsidRPr="00262098">
              <w:br/>
              <w:t>(SD)</w:t>
            </w:r>
          </w:p>
        </w:tc>
        <w:tc>
          <w:tcPr>
            <w:tcW w:w="805" w:type="pct"/>
            <w:gridSpan w:val="2"/>
            <w:vMerge w:val="restart"/>
          </w:tcPr>
          <w:p w:rsidR="00262098" w:rsidRPr="00262098" w:rsidRDefault="00262098" w:rsidP="00BC0C01">
            <w:pPr>
              <w:ind w:left="0" w:right="0"/>
            </w:pPr>
            <w:r w:rsidRPr="00262098">
              <w:t>4 weeks</w:t>
            </w:r>
          </w:p>
          <w:p w:rsidR="00262098" w:rsidRPr="00262098" w:rsidRDefault="00262098" w:rsidP="00BC0C01">
            <w:pPr>
              <w:ind w:left="0" w:right="0"/>
            </w:pPr>
            <w:r w:rsidRPr="00262098">
              <w:t>(T-04.043)</w:t>
            </w:r>
          </w:p>
        </w:tc>
        <w:tc>
          <w:tcPr>
            <w:tcW w:w="655" w:type="pct"/>
            <w:vMerge w:val="restart"/>
          </w:tcPr>
          <w:p w:rsidR="00262098" w:rsidRPr="00262098" w:rsidRDefault="00262098" w:rsidP="00BC0C01">
            <w:pPr>
              <w:ind w:left="0" w:right="0"/>
            </w:pPr>
            <w:r w:rsidRPr="00262098">
              <w:t xml:space="preserve">50, 150, 450, </w:t>
            </w:r>
            <w:r w:rsidRPr="00262098">
              <w:rPr>
                <w:u w:val="single"/>
              </w:rPr>
              <w:t>1500</w:t>
            </w:r>
          </w:p>
        </w:tc>
        <w:tc>
          <w:tcPr>
            <w:tcW w:w="328" w:type="pct"/>
            <w:gridSpan w:val="2"/>
          </w:tcPr>
          <w:p w:rsidR="00262098" w:rsidRPr="00262098" w:rsidRDefault="00262098" w:rsidP="00BC0C01">
            <w:pPr>
              <w:ind w:left="0" w:right="0"/>
              <w:rPr>
                <w:rFonts w:ascii="Times New Roman" w:hAnsi="Times New Roman"/>
              </w:rPr>
            </w:pPr>
            <w:r w:rsidRPr="00262098">
              <w:rPr>
                <w:rFonts w:ascii="Times New Roman" w:hAnsi="Times New Roman"/>
              </w:rPr>
              <w:t>♂</w:t>
            </w:r>
          </w:p>
        </w:tc>
        <w:tc>
          <w:tcPr>
            <w:tcW w:w="654" w:type="pct"/>
            <w:gridSpan w:val="2"/>
          </w:tcPr>
          <w:p w:rsidR="00262098" w:rsidRPr="00262098" w:rsidRDefault="00262098" w:rsidP="00BC0C01">
            <w:pPr>
              <w:ind w:left="0" w:right="0"/>
            </w:pPr>
            <w:r w:rsidRPr="00262098">
              <w:t xml:space="preserve">114, 200, 327, </w:t>
            </w:r>
            <w:r w:rsidRPr="00262098">
              <w:rPr>
                <w:u w:val="single"/>
              </w:rPr>
              <w:t>365</w:t>
            </w:r>
            <w:r w:rsidRPr="00262098">
              <w:t xml:space="preserve"> (day 28)</w:t>
            </w:r>
          </w:p>
        </w:tc>
        <w:tc>
          <w:tcPr>
            <w:tcW w:w="574" w:type="pct"/>
          </w:tcPr>
          <w:p w:rsidR="00262098" w:rsidRPr="00262098" w:rsidRDefault="00262098" w:rsidP="00BC0C01">
            <w:pPr>
              <w:ind w:left="0" w:right="0"/>
            </w:pPr>
            <w:r w:rsidRPr="00262098">
              <w:t xml:space="preserve">288, 499, 695, </w:t>
            </w:r>
            <w:r w:rsidRPr="00262098">
              <w:rPr>
                <w:u w:val="single"/>
              </w:rPr>
              <w:t>925</w:t>
            </w:r>
            <w:r w:rsidRPr="00262098">
              <w:t xml:space="preserve"> (day 28)</w:t>
            </w:r>
          </w:p>
        </w:tc>
        <w:tc>
          <w:tcPr>
            <w:tcW w:w="574" w:type="pct"/>
          </w:tcPr>
          <w:p w:rsidR="00262098" w:rsidRPr="00262098" w:rsidRDefault="00262098" w:rsidP="00BC0C01">
            <w:pPr>
              <w:ind w:left="0" w:right="0"/>
            </w:pPr>
            <w:r w:rsidRPr="00262098">
              <w:t xml:space="preserve">21, 37, 61, </w:t>
            </w:r>
            <w:r w:rsidRPr="00262098">
              <w:rPr>
                <w:u w:val="single"/>
              </w:rPr>
              <w:t>68</w:t>
            </w:r>
          </w:p>
        </w:tc>
        <w:tc>
          <w:tcPr>
            <w:tcW w:w="831" w:type="pct"/>
          </w:tcPr>
          <w:p w:rsidR="00262098" w:rsidRPr="00262098" w:rsidRDefault="00262098" w:rsidP="00BC0C01">
            <w:pPr>
              <w:ind w:left="0" w:right="0"/>
            </w:pPr>
            <w:r w:rsidRPr="00262098">
              <w:t xml:space="preserve">19, 32, 45, </w:t>
            </w:r>
            <w:r w:rsidRPr="00262098">
              <w:rPr>
                <w:u w:val="single"/>
              </w:rPr>
              <w:t>60</w:t>
            </w:r>
          </w:p>
        </w:tc>
      </w:tr>
      <w:tr w:rsidR="00262098" w:rsidRPr="00262098" w:rsidTr="00262098">
        <w:trPr>
          <w:trHeight w:val="227"/>
        </w:trPr>
        <w:tc>
          <w:tcPr>
            <w:tcW w:w="579" w:type="pct"/>
            <w:vMerge/>
          </w:tcPr>
          <w:p w:rsidR="00262098" w:rsidRPr="00262098" w:rsidRDefault="00262098" w:rsidP="00BC0C01">
            <w:pPr>
              <w:ind w:left="0" w:right="0"/>
            </w:pPr>
          </w:p>
        </w:tc>
        <w:tc>
          <w:tcPr>
            <w:tcW w:w="805" w:type="pct"/>
            <w:gridSpan w:val="2"/>
            <w:vMerge/>
          </w:tcPr>
          <w:p w:rsidR="00262098" w:rsidRPr="00262098" w:rsidRDefault="00262098" w:rsidP="00BC0C01">
            <w:pPr>
              <w:ind w:left="0" w:right="0"/>
            </w:pPr>
          </w:p>
        </w:tc>
        <w:tc>
          <w:tcPr>
            <w:tcW w:w="655" w:type="pct"/>
            <w:vMerge/>
          </w:tcPr>
          <w:p w:rsidR="00262098" w:rsidRPr="00262098" w:rsidRDefault="00262098" w:rsidP="00BC0C01">
            <w:pPr>
              <w:ind w:left="0" w:right="0"/>
            </w:pPr>
          </w:p>
        </w:tc>
        <w:tc>
          <w:tcPr>
            <w:tcW w:w="328" w:type="pct"/>
            <w:gridSpan w:val="2"/>
          </w:tcPr>
          <w:p w:rsidR="00262098" w:rsidRPr="00262098" w:rsidRDefault="00262098" w:rsidP="00BC0C01">
            <w:pPr>
              <w:ind w:left="0" w:right="0"/>
              <w:rPr>
                <w:rFonts w:ascii="Times New Roman" w:hAnsi="Times New Roman"/>
              </w:rPr>
            </w:pPr>
            <w:r w:rsidRPr="00262098">
              <w:rPr>
                <w:rFonts w:ascii="Times New Roman" w:hAnsi="Times New Roman"/>
              </w:rPr>
              <w:t>♀</w:t>
            </w:r>
          </w:p>
        </w:tc>
        <w:tc>
          <w:tcPr>
            <w:tcW w:w="654" w:type="pct"/>
            <w:gridSpan w:val="2"/>
          </w:tcPr>
          <w:p w:rsidR="00262098" w:rsidRPr="00262098" w:rsidRDefault="00262098" w:rsidP="00BC0C01">
            <w:pPr>
              <w:ind w:left="0" w:right="0"/>
            </w:pPr>
            <w:r w:rsidRPr="00262098">
              <w:t xml:space="preserve">490, 776, 1276, </w:t>
            </w:r>
            <w:r w:rsidRPr="00262098">
              <w:rPr>
                <w:u w:val="single"/>
              </w:rPr>
              <w:t>1588</w:t>
            </w:r>
            <w:r w:rsidRPr="00262098">
              <w:t xml:space="preserve"> (day 28)</w:t>
            </w:r>
          </w:p>
        </w:tc>
        <w:tc>
          <w:tcPr>
            <w:tcW w:w="574" w:type="pct"/>
          </w:tcPr>
          <w:p w:rsidR="00262098" w:rsidRPr="00262098" w:rsidRDefault="00262098" w:rsidP="00BC0C01">
            <w:pPr>
              <w:ind w:left="0" w:right="0"/>
            </w:pPr>
            <w:r w:rsidRPr="00262098">
              <w:t xml:space="preserve">342, 556, 497, </w:t>
            </w:r>
            <w:r w:rsidRPr="00262098">
              <w:rPr>
                <w:u w:val="single"/>
              </w:rPr>
              <w:t>1684</w:t>
            </w:r>
            <w:r w:rsidRPr="00262098">
              <w:t xml:space="preserve"> (day 28)</w:t>
            </w:r>
          </w:p>
        </w:tc>
        <w:tc>
          <w:tcPr>
            <w:tcW w:w="574" w:type="pct"/>
          </w:tcPr>
          <w:p w:rsidR="00262098" w:rsidRPr="00262098" w:rsidRDefault="00262098" w:rsidP="00BC0C01">
            <w:pPr>
              <w:ind w:left="0" w:right="0"/>
            </w:pPr>
            <w:r w:rsidRPr="00262098">
              <w:t xml:space="preserve">91, 144, 236, </w:t>
            </w:r>
            <w:r w:rsidRPr="00262098">
              <w:rPr>
                <w:u w:val="single"/>
              </w:rPr>
              <w:t>294</w:t>
            </w:r>
          </w:p>
        </w:tc>
        <w:tc>
          <w:tcPr>
            <w:tcW w:w="831" w:type="pct"/>
          </w:tcPr>
          <w:p w:rsidR="00262098" w:rsidRPr="00262098" w:rsidRDefault="00262098" w:rsidP="00BC0C01">
            <w:pPr>
              <w:ind w:left="0" w:right="0"/>
            </w:pPr>
            <w:r w:rsidRPr="00262098">
              <w:t xml:space="preserve">22, 36, 32, </w:t>
            </w:r>
            <w:r w:rsidRPr="00262098">
              <w:rPr>
                <w:u w:val="single"/>
              </w:rPr>
              <w:t>108</w:t>
            </w:r>
          </w:p>
        </w:tc>
      </w:tr>
      <w:tr w:rsidR="00262098" w:rsidRPr="00262098" w:rsidTr="00262098">
        <w:trPr>
          <w:trHeight w:val="227"/>
        </w:trPr>
        <w:tc>
          <w:tcPr>
            <w:tcW w:w="579" w:type="pct"/>
            <w:vMerge w:val="restart"/>
          </w:tcPr>
          <w:p w:rsidR="00262098" w:rsidRPr="00262098" w:rsidRDefault="00262098" w:rsidP="00BC0C01">
            <w:pPr>
              <w:ind w:left="0" w:right="0"/>
            </w:pPr>
            <w:r w:rsidRPr="00262098">
              <w:t>Rat</w:t>
            </w:r>
            <w:r w:rsidRPr="00262098">
              <w:br/>
              <w:t>(Wistar)</w:t>
            </w:r>
          </w:p>
        </w:tc>
        <w:tc>
          <w:tcPr>
            <w:tcW w:w="805" w:type="pct"/>
            <w:gridSpan w:val="2"/>
            <w:vMerge w:val="restart"/>
          </w:tcPr>
          <w:p w:rsidR="00262098" w:rsidRPr="00262098" w:rsidRDefault="00262098" w:rsidP="00BC0C01">
            <w:pPr>
              <w:ind w:left="0" w:right="0"/>
            </w:pPr>
            <w:r w:rsidRPr="00262098">
              <w:t>13 weeks</w:t>
            </w:r>
          </w:p>
          <w:p w:rsidR="00262098" w:rsidRPr="00262098" w:rsidRDefault="00262098" w:rsidP="00BC0C01">
            <w:pPr>
              <w:ind w:left="0" w:right="0"/>
            </w:pPr>
            <w:r w:rsidRPr="00262098">
              <w:t>(T-04.076)</w:t>
            </w:r>
          </w:p>
        </w:tc>
        <w:tc>
          <w:tcPr>
            <w:tcW w:w="655" w:type="pct"/>
            <w:vMerge w:val="restart"/>
          </w:tcPr>
          <w:p w:rsidR="00262098" w:rsidRPr="00262098" w:rsidRDefault="00262098" w:rsidP="00BC0C01">
            <w:pPr>
              <w:ind w:left="0" w:right="0"/>
            </w:pPr>
            <w:r w:rsidRPr="00262098">
              <w:rPr>
                <w:u w:val="single"/>
              </w:rPr>
              <w:t>10</w:t>
            </w:r>
            <w:r w:rsidRPr="00262098">
              <w:t>, 50, 250</w:t>
            </w:r>
          </w:p>
        </w:tc>
        <w:tc>
          <w:tcPr>
            <w:tcW w:w="328" w:type="pct"/>
            <w:gridSpan w:val="2"/>
          </w:tcPr>
          <w:p w:rsidR="00262098" w:rsidRPr="00262098" w:rsidRDefault="00262098" w:rsidP="00BC0C01">
            <w:pPr>
              <w:ind w:left="0" w:right="0"/>
            </w:pPr>
            <w:r w:rsidRPr="00262098">
              <w:rPr>
                <w:rFonts w:ascii="Times New Roman" w:hAnsi="Times New Roman"/>
              </w:rPr>
              <w:t>♂</w:t>
            </w:r>
          </w:p>
        </w:tc>
        <w:tc>
          <w:tcPr>
            <w:tcW w:w="654" w:type="pct"/>
            <w:gridSpan w:val="2"/>
          </w:tcPr>
          <w:p w:rsidR="00262098" w:rsidRPr="00262098" w:rsidRDefault="00262098" w:rsidP="00BC0C01">
            <w:pPr>
              <w:ind w:left="0" w:right="0"/>
            </w:pPr>
            <w:r w:rsidRPr="00262098">
              <w:rPr>
                <w:u w:val="single"/>
              </w:rPr>
              <w:t>11.3</w:t>
            </w:r>
            <w:r w:rsidRPr="00262098">
              <w:t>, 34.1, 74.2 (week 13)</w:t>
            </w:r>
          </w:p>
        </w:tc>
        <w:tc>
          <w:tcPr>
            <w:tcW w:w="574" w:type="pct"/>
          </w:tcPr>
          <w:p w:rsidR="00262098" w:rsidRPr="00262098" w:rsidRDefault="00262098" w:rsidP="00BC0C01">
            <w:pPr>
              <w:ind w:left="0" w:right="0"/>
            </w:pPr>
            <w:r w:rsidRPr="00262098">
              <w:rPr>
                <w:u w:val="single"/>
              </w:rPr>
              <w:t>44.9</w:t>
            </w:r>
            <w:r w:rsidRPr="00262098">
              <w:t>, 142, 324 (week 13)</w:t>
            </w:r>
          </w:p>
        </w:tc>
        <w:tc>
          <w:tcPr>
            <w:tcW w:w="574" w:type="pct"/>
          </w:tcPr>
          <w:p w:rsidR="00262098" w:rsidRPr="00262098" w:rsidRDefault="00262098" w:rsidP="00BC0C01">
            <w:pPr>
              <w:ind w:left="0" w:right="0"/>
            </w:pPr>
            <w:r w:rsidRPr="00262098">
              <w:rPr>
                <w:u w:val="single"/>
              </w:rPr>
              <w:t>2.1</w:t>
            </w:r>
            <w:r w:rsidRPr="00262098">
              <w:t>, 6.3, 14</w:t>
            </w:r>
          </w:p>
        </w:tc>
        <w:tc>
          <w:tcPr>
            <w:tcW w:w="831" w:type="pct"/>
          </w:tcPr>
          <w:p w:rsidR="00262098" w:rsidRPr="00262098" w:rsidRDefault="00262098" w:rsidP="00BC0C01">
            <w:pPr>
              <w:ind w:left="0" w:right="0"/>
            </w:pPr>
            <w:r w:rsidRPr="00262098">
              <w:rPr>
                <w:u w:val="single"/>
              </w:rPr>
              <w:t>2.9</w:t>
            </w:r>
            <w:r w:rsidRPr="00262098">
              <w:t>, 9.1, 21</w:t>
            </w:r>
          </w:p>
        </w:tc>
      </w:tr>
      <w:tr w:rsidR="00262098" w:rsidRPr="00262098" w:rsidTr="00262098">
        <w:trPr>
          <w:trHeight w:val="227"/>
        </w:trPr>
        <w:tc>
          <w:tcPr>
            <w:tcW w:w="579" w:type="pct"/>
            <w:vMerge/>
          </w:tcPr>
          <w:p w:rsidR="00262098" w:rsidRPr="00262098" w:rsidRDefault="00262098" w:rsidP="00BC0C01">
            <w:pPr>
              <w:ind w:left="0" w:right="0"/>
            </w:pPr>
          </w:p>
        </w:tc>
        <w:tc>
          <w:tcPr>
            <w:tcW w:w="805" w:type="pct"/>
            <w:gridSpan w:val="2"/>
            <w:vMerge/>
          </w:tcPr>
          <w:p w:rsidR="00262098" w:rsidRPr="00262098" w:rsidRDefault="00262098" w:rsidP="00BC0C01">
            <w:pPr>
              <w:ind w:left="0" w:right="0"/>
            </w:pPr>
          </w:p>
        </w:tc>
        <w:tc>
          <w:tcPr>
            <w:tcW w:w="655" w:type="pct"/>
            <w:vMerge/>
          </w:tcPr>
          <w:p w:rsidR="00262098" w:rsidRPr="00262098" w:rsidRDefault="00262098" w:rsidP="00BC0C01">
            <w:pPr>
              <w:ind w:left="0" w:right="0"/>
            </w:pPr>
          </w:p>
        </w:tc>
        <w:tc>
          <w:tcPr>
            <w:tcW w:w="328" w:type="pct"/>
            <w:gridSpan w:val="2"/>
          </w:tcPr>
          <w:p w:rsidR="00262098" w:rsidRPr="00262098" w:rsidRDefault="00262098" w:rsidP="00BC0C01">
            <w:pPr>
              <w:ind w:left="0" w:right="0"/>
            </w:pPr>
            <w:r w:rsidRPr="00262098">
              <w:rPr>
                <w:rFonts w:ascii="Times New Roman" w:hAnsi="Times New Roman"/>
              </w:rPr>
              <w:t>♀</w:t>
            </w:r>
          </w:p>
        </w:tc>
        <w:tc>
          <w:tcPr>
            <w:tcW w:w="654" w:type="pct"/>
            <w:gridSpan w:val="2"/>
          </w:tcPr>
          <w:p w:rsidR="00262098" w:rsidRPr="00262098" w:rsidRDefault="00262098" w:rsidP="00BC0C01">
            <w:pPr>
              <w:ind w:left="0" w:right="0"/>
            </w:pPr>
            <w:r w:rsidRPr="00262098">
              <w:rPr>
                <w:u w:val="single"/>
              </w:rPr>
              <w:t>66.9</w:t>
            </w:r>
            <w:r w:rsidRPr="00262098">
              <w:t>, 170, 446 (week 13)</w:t>
            </w:r>
          </w:p>
        </w:tc>
        <w:tc>
          <w:tcPr>
            <w:tcW w:w="574" w:type="pct"/>
          </w:tcPr>
          <w:p w:rsidR="00262098" w:rsidRPr="00262098" w:rsidRDefault="00262098" w:rsidP="00BC0C01">
            <w:pPr>
              <w:ind w:left="0" w:right="0"/>
            </w:pPr>
            <w:r w:rsidRPr="00262098">
              <w:rPr>
                <w:u w:val="single"/>
              </w:rPr>
              <w:t>52.4</w:t>
            </w:r>
            <w:r w:rsidRPr="00262098">
              <w:t>, 169, 490 (week 13)</w:t>
            </w:r>
          </w:p>
        </w:tc>
        <w:tc>
          <w:tcPr>
            <w:tcW w:w="574" w:type="pct"/>
          </w:tcPr>
          <w:p w:rsidR="00262098" w:rsidRPr="00262098" w:rsidRDefault="00262098" w:rsidP="00BC0C01">
            <w:pPr>
              <w:ind w:left="0" w:right="0"/>
            </w:pPr>
            <w:r w:rsidRPr="00262098">
              <w:rPr>
                <w:u w:val="single"/>
              </w:rPr>
              <w:t>12</w:t>
            </w:r>
            <w:r w:rsidRPr="00262098">
              <w:t>, 31, 83</w:t>
            </w:r>
          </w:p>
        </w:tc>
        <w:tc>
          <w:tcPr>
            <w:tcW w:w="831" w:type="pct"/>
          </w:tcPr>
          <w:p w:rsidR="00262098" w:rsidRPr="00262098" w:rsidRDefault="00262098" w:rsidP="00BC0C01">
            <w:pPr>
              <w:ind w:left="0" w:right="0"/>
            </w:pPr>
            <w:r w:rsidRPr="00262098">
              <w:rPr>
                <w:u w:val="single"/>
              </w:rPr>
              <w:t>3.4</w:t>
            </w:r>
            <w:r w:rsidRPr="00262098">
              <w:t>, 11, 32</w:t>
            </w:r>
          </w:p>
        </w:tc>
      </w:tr>
      <w:tr w:rsidR="00262098" w:rsidRPr="00262098" w:rsidTr="00262098">
        <w:trPr>
          <w:trHeight w:val="227"/>
        </w:trPr>
        <w:tc>
          <w:tcPr>
            <w:tcW w:w="579" w:type="pct"/>
            <w:vMerge/>
          </w:tcPr>
          <w:p w:rsidR="00262098" w:rsidRPr="00262098" w:rsidRDefault="00262098" w:rsidP="00BC0C01">
            <w:pPr>
              <w:ind w:left="0" w:right="0"/>
            </w:pPr>
          </w:p>
        </w:tc>
        <w:tc>
          <w:tcPr>
            <w:tcW w:w="805" w:type="pct"/>
            <w:gridSpan w:val="2"/>
            <w:vMerge w:val="restart"/>
          </w:tcPr>
          <w:p w:rsidR="00262098" w:rsidRPr="00262098" w:rsidRDefault="00262098" w:rsidP="00BC0C01">
            <w:pPr>
              <w:ind w:left="0" w:right="0"/>
            </w:pPr>
            <w:r w:rsidRPr="00262098">
              <w:t>26 weeks</w:t>
            </w:r>
          </w:p>
          <w:p w:rsidR="00262098" w:rsidRPr="00262098" w:rsidRDefault="00262098" w:rsidP="00BC0C01">
            <w:pPr>
              <w:ind w:left="0" w:right="0"/>
            </w:pPr>
            <w:r w:rsidRPr="00262098">
              <w:t>(T-05.045)</w:t>
            </w:r>
          </w:p>
        </w:tc>
        <w:tc>
          <w:tcPr>
            <w:tcW w:w="655" w:type="pct"/>
            <w:vMerge w:val="restart"/>
          </w:tcPr>
          <w:p w:rsidR="00262098" w:rsidRPr="00262098" w:rsidRDefault="00262098" w:rsidP="00BC0C01">
            <w:pPr>
              <w:ind w:left="0" w:right="0"/>
            </w:pPr>
            <w:r w:rsidRPr="00262098">
              <w:rPr>
                <w:u w:val="single"/>
              </w:rPr>
              <w:t>10</w:t>
            </w:r>
            <w:r w:rsidRPr="00262098">
              <w:t>, 50, 250</w:t>
            </w:r>
          </w:p>
        </w:tc>
        <w:tc>
          <w:tcPr>
            <w:tcW w:w="328" w:type="pct"/>
            <w:gridSpan w:val="2"/>
          </w:tcPr>
          <w:p w:rsidR="00262098" w:rsidRPr="00262098" w:rsidRDefault="00262098" w:rsidP="00BC0C01">
            <w:pPr>
              <w:ind w:left="0" w:right="0"/>
            </w:pPr>
            <w:r w:rsidRPr="00262098">
              <w:rPr>
                <w:rFonts w:ascii="Times New Roman" w:hAnsi="Times New Roman"/>
              </w:rPr>
              <w:t>♂</w:t>
            </w:r>
          </w:p>
        </w:tc>
        <w:tc>
          <w:tcPr>
            <w:tcW w:w="654" w:type="pct"/>
            <w:gridSpan w:val="2"/>
          </w:tcPr>
          <w:p w:rsidR="00262098" w:rsidRPr="00262098" w:rsidRDefault="00262098" w:rsidP="00BC0C01">
            <w:pPr>
              <w:ind w:left="0" w:right="0"/>
            </w:pPr>
            <w:r w:rsidRPr="00262098">
              <w:rPr>
                <w:u w:val="single"/>
              </w:rPr>
              <w:t>9.11</w:t>
            </w:r>
            <w:r w:rsidRPr="00262098">
              <w:t>, 30.2, 39.5 (week 26)</w:t>
            </w:r>
          </w:p>
        </w:tc>
        <w:tc>
          <w:tcPr>
            <w:tcW w:w="574" w:type="pct"/>
          </w:tcPr>
          <w:p w:rsidR="00262098" w:rsidRPr="00262098" w:rsidRDefault="00262098" w:rsidP="00BC0C01">
            <w:pPr>
              <w:ind w:left="0" w:right="0"/>
            </w:pPr>
            <w:r w:rsidRPr="00262098">
              <w:rPr>
                <w:u w:val="single"/>
              </w:rPr>
              <w:t>41.0</w:t>
            </w:r>
            <w:r w:rsidRPr="00262098">
              <w:t>, 122, 210 (week 26)</w:t>
            </w:r>
          </w:p>
        </w:tc>
        <w:tc>
          <w:tcPr>
            <w:tcW w:w="574" w:type="pct"/>
          </w:tcPr>
          <w:p w:rsidR="00262098" w:rsidRPr="00262098" w:rsidRDefault="00262098" w:rsidP="00BC0C01">
            <w:pPr>
              <w:ind w:left="0" w:right="0"/>
            </w:pPr>
            <w:r w:rsidRPr="00262098">
              <w:rPr>
                <w:u w:val="single"/>
              </w:rPr>
              <w:t>1.7</w:t>
            </w:r>
            <w:r w:rsidRPr="00262098">
              <w:t>, 5.6, 7.3</w:t>
            </w:r>
          </w:p>
        </w:tc>
        <w:tc>
          <w:tcPr>
            <w:tcW w:w="831" w:type="pct"/>
          </w:tcPr>
          <w:p w:rsidR="00262098" w:rsidRPr="00262098" w:rsidRDefault="00262098" w:rsidP="00BC0C01">
            <w:pPr>
              <w:ind w:left="0" w:right="0"/>
            </w:pPr>
            <w:r w:rsidRPr="00262098">
              <w:rPr>
                <w:u w:val="single"/>
              </w:rPr>
              <w:t>2.6</w:t>
            </w:r>
            <w:r w:rsidRPr="00262098">
              <w:t>, 7.9, 14</w:t>
            </w:r>
          </w:p>
        </w:tc>
      </w:tr>
      <w:tr w:rsidR="00262098" w:rsidRPr="00262098" w:rsidTr="00262098">
        <w:trPr>
          <w:trHeight w:val="227"/>
        </w:trPr>
        <w:tc>
          <w:tcPr>
            <w:tcW w:w="579" w:type="pct"/>
            <w:vMerge/>
          </w:tcPr>
          <w:p w:rsidR="00262098" w:rsidRPr="00262098" w:rsidRDefault="00262098" w:rsidP="00BC0C01">
            <w:pPr>
              <w:ind w:left="0" w:right="0"/>
            </w:pPr>
          </w:p>
        </w:tc>
        <w:tc>
          <w:tcPr>
            <w:tcW w:w="805" w:type="pct"/>
            <w:gridSpan w:val="2"/>
            <w:vMerge/>
          </w:tcPr>
          <w:p w:rsidR="00262098" w:rsidRPr="00262098" w:rsidRDefault="00262098" w:rsidP="00BC0C01">
            <w:pPr>
              <w:ind w:left="0" w:right="0"/>
            </w:pPr>
          </w:p>
        </w:tc>
        <w:tc>
          <w:tcPr>
            <w:tcW w:w="655" w:type="pct"/>
            <w:vMerge/>
          </w:tcPr>
          <w:p w:rsidR="00262098" w:rsidRPr="00262098" w:rsidRDefault="00262098" w:rsidP="00BC0C01">
            <w:pPr>
              <w:ind w:left="0" w:right="0"/>
            </w:pPr>
          </w:p>
        </w:tc>
        <w:tc>
          <w:tcPr>
            <w:tcW w:w="328" w:type="pct"/>
            <w:gridSpan w:val="2"/>
          </w:tcPr>
          <w:p w:rsidR="00262098" w:rsidRPr="00262098" w:rsidRDefault="00262098" w:rsidP="00BC0C01">
            <w:pPr>
              <w:ind w:left="0" w:right="0"/>
            </w:pPr>
            <w:r w:rsidRPr="00262098">
              <w:rPr>
                <w:rFonts w:ascii="Times New Roman" w:hAnsi="Times New Roman"/>
              </w:rPr>
              <w:t>♀</w:t>
            </w:r>
          </w:p>
        </w:tc>
        <w:tc>
          <w:tcPr>
            <w:tcW w:w="654" w:type="pct"/>
            <w:gridSpan w:val="2"/>
          </w:tcPr>
          <w:p w:rsidR="00262098" w:rsidRPr="00262098" w:rsidRDefault="00262098" w:rsidP="00BC0C01">
            <w:pPr>
              <w:ind w:left="0" w:right="0"/>
            </w:pPr>
            <w:r w:rsidRPr="00262098">
              <w:rPr>
                <w:u w:val="single"/>
              </w:rPr>
              <w:t>67.4</w:t>
            </w:r>
            <w:r w:rsidRPr="00262098">
              <w:t>, 229, 371 (week 26)</w:t>
            </w:r>
          </w:p>
        </w:tc>
        <w:tc>
          <w:tcPr>
            <w:tcW w:w="574" w:type="pct"/>
          </w:tcPr>
          <w:p w:rsidR="00262098" w:rsidRPr="00262098" w:rsidRDefault="00262098" w:rsidP="00BC0C01">
            <w:pPr>
              <w:ind w:left="0" w:right="0"/>
            </w:pPr>
            <w:r w:rsidRPr="00262098">
              <w:rPr>
                <w:u w:val="single"/>
              </w:rPr>
              <w:t>62.1</w:t>
            </w:r>
            <w:r w:rsidRPr="00262098">
              <w:t>, 214, 467 (week 26)</w:t>
            </w:r>
          </w:p>
        </w:tc>
        <w:tc>
          <w:tcPr>
            <w:tcW w:w="574" w:type="pct"/>
          </w:tcPr>
          <w:p w:rsidR="00262098" w:rsidRPr="00262098" w:rsidRDefault="00262098" w:rsidP="00BC0C01">
            <w:pPr>
              <w:ind w:left="0" w:right="0"/>
            </w:pPr>
            <w:r w:rsidRPr="00262098">
              <w:rPr>
                <w:u w:val="single"/>
              </w:rPr>
              <w:t>12</w:t>
            </w:r>
            <w:r w:rsidRPr="00262098">
              <w:t>, 42, 69</w:t>
            </w:r>
          </w:p>
        </w:tc>
        <w:tc>
          <w:tcPr>
            <w:tcW w:w="831" w:type="pct"/>
          </w:tcPr>
          <w:p w:rsidR="00262098" w:rsidRPr="00262098" w:rsidRDefault="00262098" w:rsidP="00BC0C01">
            <w:pPr>
              <w:ind w:left="0" w:right="0"/>
            </w:pPr>
            <w:r w:rsidRPr="00262098">
              <w:rPr>
                <w:u w:val="single"/>
              </w:rPr>
              <w:t>4.0</w:t>
            </w:r>
            <w:r w:rsidRPr="00262098">
              <w:t>, 14, 30</w:t>
            </w:r>
          </w:p>
        </w:tc>
      </w:tr>
      <w:tr w:rsidR="00262098" w:rsidRPr="00262098" w:rsidTr="00262098">
        <w:trPr>
          <w:trHeight w:val="227"/>
        </w:trPr>
        <w:tc>
          <w:tcPr>
            <w:tcW w:w="579" w:type="pct"/>
            <w:vMerge/>
          </w:tcPr>
          <w:p w:rsidR="00262098" w:rsidRPr="00262098" w:rsidRDefault="00262098" w:rsidP="00BC0C01">
            <w:pPr>
              <w:ind w:left="0" w:right="0"/>
            </w:pPr>
          </w:p>
        </w:tc>
        <w:tc>
          <w:tcPr>
            <w:tcW w:w="805" w:type="pct"/>
            <w:gridSpan w:val="2"/>
            <w:vMerge w:val="restart"/>
          </w:tcPr>
          <w:p w:rsidR="00262098" w:rsidRPr="00262098" w:rsidRDefault="00262098" w:rsidP="00BC0C01">
            <w:pPr>
              <w:ind w:left="0" w:right="0"/>
            </w:pPr>
            <w:r w:rsidRPr="00262098">
              <w:t>2 years</w:t>
            </w:r>
          </w:p>
          <w:p w:rsidR="00262098" w:rsidRPr="00262098" w:rsidRDefault="00262098" w:rsidP="00BC0C01">
            <w:pPr>
              <w:ind w:left="0" w:right="0"/>
            </w:pPr>
            <w:r w:rsidRPr="00262098">
              <w:t>(T-09.159)</w:t>
            </w:r>
            <w:r w:rsidRPr="00262098">
              <w:br/>
              <w:t>[carcinogeni</w:t>
            </w:r>
            <w:r w:rsidRPr="00262098">
              <w:lastRenderedPageBreak/>
              <w:t>city]</w:t>
            </w:r>
          </w:p>
        </w:tc>
        <w:tc>
          <w:tcPr>
            <w:tcW w:w="655" w:type="pct"/>
            <w:vMerge w:val="restart"/>
          </w:tcPr>
          <w:p w:rsidR="00262098" w:rsidRPr="00262098" w:rsidRDefault="00262098" w:rsidP="00BC0C01">
            <w:pPr>
              <w:ind w:left="0" w:right="0"/>
            </w:pPr>
            <w:r w:rsidRPr="00262098">
              <w:rPr>
                <w:rFonts w:ascii="Times New Roman" w:hAnsi="Times New Roman"/>
              </w:rPr>
              <w:lastRenderedPageBreak/>
              <w:t>♂</w:t>
            </w:r>
            <w:r w:rsidRPr="00262098">
              <w:t xml:space="preserve"> = 10, 50, 250</w:t>
            </w:r>
            <w:r w:rsidRPr="00262098">
              <w:br/>
            </w:r>
            <w:r w:rsidRPr="00262098">
              <w:rPr>
                <w:rFonts w:ascii="Times New Roman" w:hAnsi="Times New Roman"/>
              </w:rPr>
              <w:t>♀</w:t>
            </w:r>
            <w:r w:rsidRPr="00262098">
              <w:t xml:space="preserve"> = 10, 50/25, </w:t>
            </w:r>
            <w:r w:rsidRPr="00262098">
              <w:lastRenderedPageBreak/>
              <w:t>250/50</w:t>
            </w:r>
          </w:p>
        </w:tc>
        <w:tc>
          <w:tcPr>
            <w:tcW w:w="328" w:type="pct"/>
            <w:gridSpan w:val="2"/>
          </w:tcPr>
          <w:p w:rsidR="00262098" w:rsidRPr="00262098" w:rsidRDefault="00262098" w:rsidP="00BC0C01">
            <w:pPr>
              <w:ind w:left="0" w:right="0"/>
            </w:pPr>
            <w:r w:rsidRPr="00262098">
              <w:rPr>
                <w:rFonts w:ascii="Times New Roman" w:hAnsi="Times New Roman"/>
              </w:rPr>
              <w:lastRenderedPageBreak/>
              <w:t>♂</w:t>
            </w:r>
          </w:p>
        </w:tc>
        <w:tc>
          <w:tcPr>
            <w:tcW w:w="654" w:type="pct"/>
            <w:gridSpan w:val="2"/>
          </w:tcPr>
          <w:p w:rsidR="00262098" w:rsidRPr="00262098" w:rsidRDefault="00262098" w:rsidP="00BC0C01">
            <w:pPr>
              <w:ind w:left="0" w:right="0"/>
            </w:pPr>
            <w:r w:rsidRPr="00262098">
              <w:t>18.3, 45.1, 97.4 (week 26)</w:t>
            </w:r>
          </w:p>
        </w:tc>
        <w:tc>
          <w:tcPr>
            <w:tcW w:w="574" w:type="pct"/>
          </w:tcPr>
          <w:p w:rsidR="00262098" w:rsidRPr="00262098" w:rsidRDefault="00262098" w:rsidP="00BC0C01">
            <w:pPr>
              <w:ind w:left="0" w:right="0"/>
            </w:pPr>
            <w:r w:rsidRPr="00262098">
              <w:t xml:space="preserve">72.7, 164, 291 (week </w:t>
            </w:r>
            <w:r w:rsidRPr="00262098">
              <w:lastRenderedPageBreak/>
              <w:t>26)</w:t>
            </w:r>
          </w:p>
        </w:tc>
        <w:tc>
          <w:tcPr>
            <w:tcW w:w="574" w:type="pct"/>
          </w:tcPr>
          <w:p w:rsidR="00262098" w:rsidRPr="00262098" w:rsidRDefault="00262098" w:rsidP="00BC0C01">
            <w:pPr>
              <w:ind w:left="0" w:right="0"/>
            </w:pPr>
            <w:r w:rsidRPr="00262098">
              <w:lastRenderedPageBreak/>
              <w:t>3.4, 8.4, 18</w:t>
            </w:r>
          </w:p>
        </w:tc>
        <w:tc>
          <w:tcPr>
            <w:tcW w:w="831" w:type="pct"/>
          </w:tcPr>
          <w:p w:rsidR="00262098" w:rsidRPr="00262098" w:rsidRDefault="00262098" w:rsidP="00BC0C01">
            <w:pPr>
              <w:ind w:left="0" w:right="0"/>
            </w:pPr>
            <w:r w:rsidRPr="00262098">
              <w:t>4.7, 11, 19</w:t>
            </w:r>
          </w:p>
        </w:tc>
      </w:tr>
      <w:tr w:rsidR="00262098" w:rsidRPr="00262098" w:rsidTr="00262098">
        <w:trPr>
          <w:trHeight w:val="227"/>
        </w:trPr>
        <w:tc>
          <w:tcPr>
            <w:tcW w:w="579" w:type="pct"/>
            <w:vMerge/>
          </w:tcPr>
          <w:p w:rsidR="00262098" w:rsidRPr="00262098" w:rsidRDefault="00262098" w:rsidP="00BC0C01">
            <w:pPr>
              <w:ind w:left="0" w:right="0"/>
            </w:pPr>
          </w:p>
        </w:tc>
        <w:tc>
          <w:tcPr>
            <w:tcW w:w="805" w:type="pct"/>
            <w:gridSpan w:val="2"/>
            <w:vMerge/>
          </w:tcPr>
          <w:p w:rsidR="00262098" w:rsidRPr="00262098" w:rsidRDefault="00262098" w:rsidP="00BC0C01">
            <w:pPr>
              <w:ind w:left="0" w:right="0"/>
            </w:pPr>
          </w:p>
        </w:tc>
        <w:tc>
          <w:tcPr>
            <w:tcW w:w="655" w:type="pct"/>
            <w:vMerge/>
          </w:tcPr>
          <w:p w:rsidR="00262098" w:rsidRPr="00262098" w:rsidRDefault="00262098" w:rsidP="00BC0C01">
            <w:pPr>
              <w:ind w:left="0" w:right="0"/>
            </w:pPr>
          </w:p>
        </w:tc>
        <w:tc>
          <w:tcPr>
            <w:tcW w:w="328" w:type="pct"/>
            <w:gridSpan w:val="2"/>
          </w:tcPr>
          <w:p w:rsidR="00262098" w:rsidRPr="00262098" w:rsidRDefault="00262098" w:rsidP="00BC0C01">
            <w:pPr>
              <w:ind w:left="0" w:right="0"/>
            </w:pPr>
            <w:r w:rsidRPr="00262098">
              <w:rPr>
                <w:rFonts w:ascii="Times New Roman" w:hAnsi="Times New Roman"/>
              </w:rPr>
              <w:t>♀</w:t>
            </w:r>
          </w:p>
        </w:tc>
        <w:tc>
          <w:tcPr>
            <w:tcW w:w="654" w:type="pct"/>
            <w:gridSpan w:val="2"/>
          </w:tcPr>
          <w:p w:rsidR="00262098" w:rsidRPr="00262098" w:rsidRDefault="00262098" w:rsidP="00BC0C01">
            <w:pPr>
              <w:ind w:left="0" w:right="0"/>
            </w:pPr>
            <w:r w:rsidRPr="00262098">
              <w:t>104, 227, 506 (week 26)</w:t>
            </w:r>
          </w:p>
        </w:tc>
        <w:tc>
          <w:tcPr>
            <w:tcW w:w="574" w:type="pct"/>
          </w:tcPr>
          <w:p w:rsidR="00262098" w:rsidRPr="00262098" w:rsidRDefault="00262098" w:rsidP="00BC0C01">
            <w:pPr>
              <w:ind w:left="0" w:right="0"/>
            </w:pPr>
            <w:r w:rsidRPr="00262098">
              <w:t>98.2, 227, 497 (week 26)</w:t>
            </w:r>
          </w:p>
        </w:tc>
        <w:tc>
          <w:tcPr>
            <w:tcW w:w="574" w:type="pct"/>
          </w:tcPr>
          <w:p w:rsidR="00262098" w:rsidRPr="00262098" w:rsidRDefault="00262098" w:rsidP="00BC0C01">
            <w:pPr>
              <w:ind w:left="0" w:right="0"/>
            </w:pPr>
            <w:r w:rsidRPr="00262098">
              <w:t>19, 42, 94</w:t>
            </w:r>
          </w:p>
        </w:tc>
        <w:tc>
          <w:tcPr>
            <w:tcW w:w="831" w:type="pct"/>
          </w:tcPr>
          <w:p w:rsidR="00262098" w:rsidRPr="00262098" w:rsidRDefault="00262098" w:rsidP="00BC0C01">
            <w:pPr>
              <w:ind w:left="0" w:right="0"/>
            </w:pPr>
            <w:r w:rsidRPr="00262098">
              <w:t>6.3, 15, 32</w:t>
            </w:r>
          </w:p>
        </w:tc>
      </w:tr>
      <w:tr w:rsidR="00262098" w:rsidRPr="00262098" w:rsidTr="00262098">
        <w:trPr>
          <w:trHeight w:val="227"/>
        </w:trPr>
        <w:tc>
          <w:tcPr>
            <w:tcW w:w="579" w:type="pct"/>
            <w:vMerge w:val="restart"/>
          </w:tcPr>
          <w:p w:rsidR="00262098" w:rsidRPr="00262098" w:rsidRDefault="00262098" w:rsidP="00BC0C01">
            <w:pPr>
              <w:ind w:left="0" w:right="0"/>
            </w:pPr>
            <w:r w:rsidRPr="00262098">
              <w:t>Dog</w:t>
            </w:r>
            <w:r w:rsidRPr="00262098">
              <w:br/>
              <w:t>(beagle)</w:t>
            </w:r>
          </w:p>
        </w:tc>
        <w:tc>
          <w:tcPr>
            <w:tcW w:w="805" w:type="pct"/>
            <w:gridSpan w:val="2"/>
            <w:vMerge w:val="restart"/>
          </w:tcPr>
          <w:p w:rsidR="00262098" w:rsidRPr="00262098" w:rsidRDefault="00262098" w:rsidP="00BC0C01">
            <w:pPr>
              <w:ind w:left="0" w:right="0"/>
            </w:pPr>
            <w:r w:rsidRPr="00262098">
              <w:t>2 weeks</w:t>
            </w:r>
          </w:p>
          <w:p w:rsidR="00262098" w:rsidRPr="00262098" w:rsidRDefault="00262098" w:rsidP="00BC0C01">
            <w:pPr>
              <w:ind w:left="0" w:right="0"/>
            </w:pPr>
            <w:r w:rsidRPr="00262098">
              <w:t>(T-04.048)</w:t>
            </w:r>
          </w:p>
        </w:tc>
        <w:tc>
          <w:tcPr>
            <w:tcW w:w="655" w:type="pct"/>
            <w:vMerge w:val="restart"/>
          </w:tcPr>
          <w:p w:rsidR="00262098" w:rsidRPr="00262098" w:rsidRDefault="00262098" w:rsidP="00BC0C01">
            <w:pPr>
              <w:ind w:left="0" w:right="0"/>
            </w:pPr>
            <w:r w:rsidRPr="00262098">
              <w:rPr>
                <w:u w:val="single"/>
              </w:rPr>
              <w:t>30</w:t>
            </w:r>
            <w:r w:rsidRPr="00262098">
              <w:t>, 100, 300, 600</w:t>
            </w:r>
          </w:p>
        </w:tc>
        <w:tc>
          <w:tcPr>
            <w:tcW w:w="328" w:type="pct"/>
            <w:gridSpan w:val="2"/>
          </w:tcPr>
          <w:p w:rsidR="00262098" w:rsidRPr="00262098" w:rsidRDefault="00262098" w:rsidP="00BC0C01">
            <w:pPr>
              <w:ind w:left="0" w:right="0"/>
            </w:pPr>
            <w:r w:rsidRPr="00262098">
              <w:rPr>
                <w:rFonts w:ascii="Times New Roman" w:hAnsi="Times New Roman"/>
              </w:rPr>
              <w:t>♂</w:t>
            </w:r>
          </w:p>
        </w:tc>
        <w:tc>
          <w:tcPr>
            <w:tcW w:w="654" w:type="pct"/>
            <w:gridSpan w:val="2"/>
          </w:tcPr>
          <w:p w:rsidR="00262098" w:rsidRPr="00262098" w:rsidRDefault="00262098" w:rsidP="00BC0C01">
            <w:pPr>
              <w:ind w:left="0" w:right="0"/>
            </w:pPr>
            <w:r w:rsidRPr="00262098">
              <w:rPr>
                <w:u w:val="single"/>
              </w:rPr>
              <w:t>37</w:t>
            </w:r>
            <w:r w:rsidRPr="00262098">
              <w:t>, 106, 87, 192 (day 14)</w:t>
            </w:r>
          </w:p>
        </w:tc>
        <w:tc>
          <w:tcPr>
            <w:tcW w:w="574" w:type="pct"/>
          </w:tcPr>
          <w:p w:rsidR="00262098" w:rsidRPr="00262098" w:rsidRDefault="00262098" w:rsidP="00BC0C01">
            <w:pPr>
              <w:ind w:left="0" w:right="0"/>
            </w:pPr>
            <w:r w:rsidRPr="00262098">
              <w:t>‒</w:t>
            </w:r>
          </w:p>
        </w:tc>
        <w:tc>
          <w:tcPr>
            <w:tcW w:w="574" w:type="pct"/>
          </w:tcPr>
          <w:p w:rsidR="00262098" w:rsidRPr="00262098" w:rsidRDefault="00262098" w:rsidP="00BC0C01">
            <w:pPr>
              <w:ind w:left="0" w:right="0"/>
            </w:pPr>
            <w:r w:rsidRPr="00262098">
              <w:rPr>
                <w:u w:val="single"/>
              </w:rPr>
              <w:t>6.9</w:t>
            </w:r>
            <w:r w:rsidRPr="00262098">
              <w:t>, 20, 16, 36</w:t>
            </w:r>
          </w:p>
        </w:tc>
        <w:tc>
          <w:tcPr>
            <w:tcW w:w="831" w:type="pct"/>
          </w:tcPr>
          <w:p w:rsidR="00262098" w:rsidRPr="00262098" w:rsidRDefault="00262098" w:rsidP="00BC0C01">
            <w:pPr>
              <w:ind w:left="0" w:right="0"/>
            </w:pPr>
            <w:r w:rsidRPr="00262098">
              <w:t>‒</w:t>
            </w:r>
          </w:p>
        </w:tc>
      </w:tr>
      <w:tr w:rsidR="00262098" w:rsidRPr="00262098" w:rsidTr="00262098">
        <w:trPr>
          <w:trHeight w:val="227"/>
        </w:trPr>
        <w:tc>
          <w:tcPr>
            <w:tcW w:w="579" w:type="pct"/>
            <w:vMerge/>
          </w:tcPr>
          <w:p w:rsidR="00262098" w:rsidRPr="00262098" w:rsidRDefault="00262098" w:rsidP="00BC0C01">
            <w:pPr>
              <w:ind w:left="0" w:right="0"/>
            </w:pPr>
          </w:p>
        </w:tc>
        <w:tc>
          <w:tcPr>
            <w:tcW w:w="805" w:type="pct"/>
            <w:gridSpan w:val="2"/>
            <w:vMerge/>
          </w:tcPr>
          <w:p w:rsidR="00262098" w:rsidRPr="00262098" w:rsidRDefault="00262098" w:rsidP="00BC0C01">
            <w:pPr>
              <w:ind w:left="0" w:right="0"/>
            </w:pPr>
          </w:p>
        </w:tc>
        <w:tc>
          <w:tcPr>
            <w:tcW w:w="655" w:type="pct"/>
            <w:vMerge/>
          </w:tcPr>
          <w:p w:rsidR="00262098" w:rsidRPr="00262098" w:rsidRDefault="00262098" w:rsidP="00BC0C01">
            <w:pPr>
              <w:ind w:left="0" w:right="0"/>
            </w:pPr>
          </w:p>
        </w:tc>
        <w:tc>
          <w:tcPr>
            <w:tcW w:w="328" w:type="pct"/>
            <w:gridSpan w:val="2"/>
          </w:tcPr>
          <w:p w:rsidR="00262098" w:rsidRPr="00262098" w:rsidRDefault="00262098" w:rsidP="00BC0C01">
            <w:pPr>
              <w:ind w:left="0" w:right="0"/>
            </w:pPr>
            <w:r w:rsidRPr="00262098">
              <w:rPr>
                <w:rFonts w:ascii="Times New Roman" w:hAnsi="Times New Roman"/>
              </w:rPr>
              <w:t>♀</w:t>
            </w:r>
          </w:p>
        </w:tc>
        <w:tc>
          <w:tcPr>
            <w:tcW w:w="654" w:type="pct"/>
            <w:gridSpan w:val="2"/>
          </w:tcPr>
          <w:p w:rsidR="00262098" w:rsidRPr="00262098" w:rsidRDefault="00262098" w:rsidP="00BC0C01">
            <w:pPr>
              <w:ind w:left="0" w:right="0"/>
            </w:pPr>
            <w:r w:rsidRPr="00262098">
              <w:rPr>
                <w:u w:val="single"/>
              </w:rPr>
              <w:t>37</w:t>
            </w:r>
            <w:r w:rsidRPr="00262098">
              <w:t>, 56, 95, 153 (day 14)</w:t>
            </w:r>
          </w:p>
        </w:tc>
        <w:tc>
          <w:tcPr>
            <w:tcW w:w="574" w:type="pct"/>
          </w:tcPr>
          <w:p w:rsidR="00262098" w:rsidRPr="00262098" w:rsidRDefault="00262098" w:rsidP="00BC0C01">
            <w:pPr>
              <w:ind w:left="0" w:right="0"/>
            </w:pPr>
            <w:r w:rsidRPr="00262098">
              <w:t>‒</w:t>
            </w:r>
          </w:p>
        </w:tc>
        <w:tc>
          <w:tcPr>
            <w:tcW w:w="574" w:type="pct"/>
          </w:tcPr>
          <w:p w:rsidR="00262098" w:rsidRPr="00262098" w:rsidRDefault="00262098" w:rsidP="00BC0C01">
            <w:pPr>
              <w:ind w:left="0" w:right="0"/>
            </w:pPr>
            <w:r w:rsidRPr="00262098">
              <w:rPr>
                <w:u w:val="single"/>
              </w:rPr>
              <w:t>6.9</w:t>
            </w:r>
            <w:r w:rsidRPr="00262098">
              <w:t>, 10, 18, 28</w:t>
            </w:r>
          </w:p>
        </w:tc>
        <w:tc>
          <w:tcPr>
            <w:tcW w:w="831" w:type="pct"/>
          </w:tcPr>
          <w:p w:rsidR="00262098" w:rsidRPr="00262098" w:rsidRDefault="00262098" w:rsidP="00BC0C01">
            <w:pPr>
              <w:ind w:left="0" w:right="0"/>
            </w:pPr>
            <w:r w:rsidRPr="00262098">
              <w:t>‒</w:t>
            </w:r>
          </w:p>
        </w:tc>
      </w:tr>
      <w:tr w:rsidR="00262098" w:rsidRPr="00262098" w:rsidTr="00262098">
        <w:trPr>
          <w:trHeight w:val="227"/>
        </w:trPr>
        <w:tc>
          <w:tcPr>
            <w:tcW w:w="579" w:type="pct"/>
            <w:vMerge/>
          </w:tcPr>
          <w:p w:rsidR="00262098" w:rsidRPr="00262098" w:rsidRDefault="00262098" w:rsidP="00BC0C01">
            <w:pPr>
              <w:ind w:left="0" w:right="0"/>
            </w:pPr>
          </w:p>
        </w:tc>
        <w:tc>
          <w:tcPr>
            <w:tcW w:w="805" w:type="pct"/>
            <w:gridSpan w:val="2"/>
            <w:vMerge w:val="restart"/>
          </w:tcPr>
          <w:p w:rsidR="00262098" w:rsidRPr="00262098" w:rsidRDefault="00262098" w:rsidP="00BC0C01">
            <w:pPr>
              <w:ind w:left="0" w:right="0"/>
            </w:pPr>
            <w:r w:rsidRPr="00262098">
              <w:t>4 weeks</w:t>
            </w:r>
          </w:p>
          <w:p w:rsidR="00262098" w:rsidRPr="00262098" w:rsidRDefault="00262098" w:rsidP="00BC0C01">
            <w:pPr>
              <w:ind w:left="0" w:right="0"/>
            </w:pPr>
            <w:r w:rsidRPr="00262098">
              <w:t>(T-04.049)</w:t>
            </w:r>
          </w:p>
        </w:tc>
        <w:tc>
          <w:tcPr>
            <w:tcW w:w="655" w:type="pct"/>
            <w:vMerge w:val="restart"/>
          </w:tcPr>
          <w:p w:rsidR="00262098" w:rsidRPr="00262098" w:rsidRDefault="00262098" w:rsidP="00BC0C01">
            <w:pPr>
              <w:ind w:left="0" w:right="0"/>
            </w:pPr>
            <w:r w:rsidRPr="00262098">
              <w:rPr>
                <w:u w:val="single"/>
              </w:rPr>
              <w:t>5</w:t>
            </w:r>
            <w:r w:rsidRPr="00262098">
              <w:t>, 50, 500/250</w:t>
            </w:r>
          </w:p>
        </w:tc>
        <w:tc>
          <w:tcPr>
            <w:tcW w:w="328" w:type="pct"/>
            <w:gridSpan w:val="2"/>
          </w:tcPr>
          <w:p w:rsidR="00262098" w:rsidRPr="00262098" w:rsidRDefault="00262098" w:rsidP="00BC0C01">
            <w:pPr>
              <w:ind w:left="0" w:right="0"/>
            </w:pPr>
            <w:r w:rsidRPr="00262098">
              <w:rPr>
                <w:rFonts w:ascii="Times New Roman" w:hAnsi="Times New Roman"/>
              </w:rPr>
              <w:t>♂</w:t>
            </w:r>
          </w:p>
        </w:tc>
        <w:tc>
          <w:tcPr>
            <w:tcW w:w="654" w:type="pct"/>
            <w:gridSpan w:val="2"/>
          </w:tcPr>
          <w:p w:rsidR="00262098" w:rsidRPr="00262098" w:rsidRDefault="00262098" w:rsidP="00BC0C01">
            <w:pPr>
              <w:ind w:left="0" w:right="0"/>
            </w:pPr>
            <w:r w:rsidRPr="00262098">
              <w:rPr>
                <w:u w:val="single"/>
              </w:rPr>
              <w:t>14.7</w:t>
            </w:r>
            <w:r w:rsidRPr="00262098">
              <w:t>, 39.1, 44.9 (day 27)</w:t>
            </w:r>
          </w:p>
        </w:tc>
        <w:tc>
          <w:tcPr>
            <w:tcW w:w="574" w:type="pct"/>
          </w:tcPr>
          <w:p w:rsidR="00262098" w:rsidRPr="00262098" w:rsidRDefault="00262098" w:rsidP="00BC0C01">
            <w:pPr>
              <w:ind w:left="0" w:right="0"/>
            </w:pPr>
            <w:r w:rsidRPr="00262098">
              <w:rPr>
                <w:u w:val="single"/>
              </w:rPr>
              <w:t>146</w:t>
            </w:r>
            <w:r w:rsidRPr="00262098">
              <w:t>, 1362, 2525 (day 27)</w:t>
            </w:r>
          </w:p>
        </w:tc>
        <w:tc>
          <w:tcPr>
            <w:tcW w:w="574" w:type="pct"/>
          </w:tcPr>
          <w:p w:rsidR="00262098" w:rsidRPr="00262098" w:rsidRDefault="00262098" w:rsidP="00BC0C01">
            <w:pPr>
              <w:ind w:left="0" w:right="0"/>
            </w:pPr>
            <w:r w:rsidRPr="00262098">
              <w:rPr>
                <w:u w:val="single"/>
              </w:rPr>
              <w:t>2.7</w:t>
            </w:r>
            <w:r w:rsidRPr="00262098">
              <w:t>, 7.2, 8.3</w:t>
            </w:r>
          </w:p>
        </w:tc>
        <w:tc>
          <w:tcPr>
            <w:tcW w:w="831" w:type="pct"/>
          </w:tcPr>
          <w:p w:rsidR="00262098" w:rsidRPr="00262098" w:rsidRDefault="00262098" w:rsidP="00BC0C01">
            <w:pPr>
              <w:ind w:left="0" w:right="0"/>
            </w:pPr>
            <w:r w:rsidRPr="00262098">
              <w:rPr>
                <w:u w:val="single"/>
              </w:rPr>
              <w:t>9.4</w:t>
            </w:r>
            <w:r w:rsidRPr="00262098">
              <w:t>, 88, 162</w:t>
            </w:r>
          </w:p>
        </w:tc>
      </w:tr>
      <w:tr w:rsidR="00262098" w:rsidRPr="00262098" w:rsidTr="00262098">
        <w:trPr>
          <w:trHeight w:val="227"/>
        </w:trPr>
        <w:tc>
          <w:tcPr>
            <w:tcW w:w="579" w:type="pct"/>
            <w:vMerge/>
          </w:tcPr>
          <w:p w:rsidR="00262098" w:rsidRPr="00262098" w:rsidRDefault="00262098" w:rsidP="00BC0C01">
            <w:pPr>
              <w:ind w:left="0" w:right="0"/>
            </w:pPr>
          </w:p>
        </w:tc>
        <w:tc>
          <w:tcPr>
            <w:tcW w:w="805" w:type="pct"/>
            <w:gridSpan w:val="2"/>
            <w:vMerge/>
          </w:tcPr>
          <w:p w:rsidR="00262098" w:rsidRPr="00262098" w:rsidRDefault="00262098" w:rsidP="00BC0C01">
            <w:pPr>
              <w:ind w:left="0" w:right="0"/>
            </w:pPr>
          </w:p>
        </w:tc>
        <w:tc>
          <w:tcPr>
            <w:tcW w:w="655" w:type="pct"/>
            <w:vMerge/>
          </w:tcPr>
          <w:p w:rsidR="00262098" w:rsidRPr="00262098" w:rsidRDefault="00262098" w:rsidP="00BC0C01">
            <w:pPr>
              <w:ind w:left="0" w:right="0"/>
            </w:pPr>
          </w:p>
        </w:tc>
        <w:tc>
          <w:tcPr>
            <w:tcW w:w="328" w:type="pct"/>
            <w:gridSpan w:val="2"/>
          </w:tcPr>
          <w:p w:rsidR="00262098" w:rsidRPr="00262098" w:rsidRDefault="00262098" w:rsidP="00BC0C01">
            <w:pPr>
              <w:ind w:left="0" w:right="0"/>
            </w:pPr>
            <w:r w:rsidRPr="00262098">
              <w:rPr>
                <w:rFonts w:ascii="Times New Roman" w:hAnsi="Times New Roman"/>
              </w:rPr>
              <w:t>♀</w:t>
            </w:r>
          </w:p>
        </w:tc>
        <w:tc>
          <w:tcPr>
            <w:tcW w:w="654" w:type="pct"/>
            <w:gridSpan w:val="2"/>
          </w:tcPr>
          <w:p w:rsidR="00262098" w:rsidRPr="00262098" w:rsidRDefault="00262098" w:rsidP="00BC0C01">
            <w:pPr>
              <w:ind w:left="0" w:right="0"/>
            </w:pPr>
            <w:r w:rsidRPr="00262098">
              <w:rPr>
                <w:u w:val="single"/>
              </w:rPr>
              <w:t>10.5</w:t>
            </w:r>
            <w:r w:rsidRPr="00262098">
              <w:t>, 46.5, 84.4 (day 27)</w:t>
            </w:r>
          </w:p>
        </w:tc>
        <w:tc>
          <w:tcPr>
            <w:tcW w:w="574" w:type="pct"/>
          </w:tcPr>
          <w:p w:rsidR="00262098" w:rsidRPr="00262098" w:rsidRDefault="00262098" w:rsidP="00BC0C01">
            <w:pPr>
              <w:ind w:left="0" w:right="0"/>
            </w:pPr>
            <w:r w:rsidRPr="00262098">
              <w:rPr>
                <w:u w:val="single"/>
              </w:rPr>
              <w:t>164</w:t>
            </w:r>
            <w:r w:rsidRPr="00262098">
              <w:t>, 1223, 3129 (day 27)</w:t>
            </w:r>
          </w:p>
        </w:tc>
        <w:tc>
          <w:tcPr>
            <w:tcW w:w="574" w:type="pct"/>
          </w:tcPr>
          <w:p w:rsidR="00262098" w:rsidRPr="00262098" w:rsidRDefault="00262098" w:rsidP="00BC0C01">
            <w:pPr>
              <w:ind w:left="0" w:right="0"/>
            </w:pPr>
            <w:r w:rsidRPr="00262098">
              <w:rPr>
                <w:u w:val="single"/>
              </w:rPr>
              <w:t>1.9</w:t>
            </w:r>
            <w:r w:rsidRPr="00262098">
              <w:t>, 8.6, 16</w:t>
            </w:r>
          </w:p>
        </w:tc>
        <w:tc>
          <w:tcPr>
            <w:tcW w:w="831" w:type="pct"/>
          </w:tcPr>
          <w:p w:rsidR="00262098" w:rsidRPr="00262098" w:rsidRDefault="00262098" w:rsidP="00BC0C01">
            <w:pPr>
              <w:ind w:left="0" w:right="0"/>
            </w:pPr>
            <w:r w:rsidRPr="00262098">
              <w:rPr>
                <w:u w:val="single"/>
              </w:rPr>
              <w:t>11</w:t>
            </w:r>
            <w:r w:rsidRPr="00262098">
              <w:t>, 79, 201</w:t>
            </w:r>
          </w:p>
        </w:tc>
      </w:tr>
      <w:tr w:rsidR="00262098" w:rsidRPr="00262098" w:rsidTr="00262098">
        <w:trPr>
          <w:trHeight w:val="227"/>
        </w:trPr>
        <w:tc>
          <w:tcPr>
            <w:tcW w:w="579" w:type="pct"/>
            <w:vMerge/>
          </w:tcPr>
          <w:p w:rsidR="00262098" w:rsidRPr="00262098" w:rsidRDefault="00262098" w:rsidP="00BC0C01">
            <w:pPr>
              <w:ind w:left="0" w:right="0"/>
            </w:pPr>
          </w:p>
        </w:tc>
        <w:tc>
          <w:tcPr>
            <w:tcW w:w="805" w:type="pct"/>
            <w:gridSpan w:val="2"/>
            <w:vMerge w:val="restart"/>
          </w:tcPr>
          <w:p w:rsidR="00262098" w:rsidRPr="00262098" w:rsidRDefault="00262098" w:rsidP="00BC0C01">
            <w:pPr>
              <w:ind w:left="0" w:right="0"/>
            </w:pPr>
            <w:r w:rsidRPr="00262098">
              <w:t>13 weeks</w:t>
            </w:r>
          </w:p>
          <w:p w:rsidR="00262098" w:rsidRPr="00262098" w:rsidRDefault="00262098" w:rsidP="00BC0C01">
            <w:pPr>
              <w:ind w:left="0" w:right="0"/>
            </w:pPr>
            <w:r w:rsidRPr="00262098">
              <w:t>(T-04.077)</w:t>
            </w:r>
          </w:p>
        </w:tc>
        <w:tc>
          <w:tcPr>
            <w:tcW w:w="655" w:type="pct"/>
            <w:vMerge w:val="restart"/>
          </w:tcPr>
          <w:p w:rsidR="00262098" w:rsidRPr="00262098" w:rsidRDefault="00262098" w:rsidP="00BC0C01">
            <w:pPr>
              <w:ind w:left="0" w:right="0"/>
            </w:pPr>
            <w:r w:rsidRPr="00262098">
              <w:t xml:space="preserve">2, </w:t>
            </w:r>
            <w:r w:rsidRPr="00262098">
              <w:rPr>
                <w:u w:val="single"/>
              </w:rPr>
              <w:t>5</w:t>
            </w:r>
            <w:r w:rsidRPr="00262098">
              <w:t>, 30, 100</w:t>
            </w:r>
          </w:p>
        </w:tc>
        <w:tc>
          <w:tcPr>
            <w:tcW w:w="328" w:type="pct"/>
            <w:gridSpan w:val="2"/>
          </w:tcPr>
          <w:p w:rsidR="00262098" w:rsidRPr="00262098" w:rsidRDefault="00262098" w:rsidP="00BC0C01">
            <w:pPr>
              <w:ind w:left="0" w:right="0"/>
            </w:pPr>
            <w:r w:rsidRPr="00262098">
              <w:rPr>
                <w:rFonts w:ascii="Times New Roman" w:hAnsi="Times New Roman"/>
              </w:rPr>
              <w:t>♂</w:t>
            </w:r>
          </w:p>
        </w:tc>
        <w:tc>
          <w:tcPr>
            <w:tcW w:w="654" w:type="pct"/>
            <w:gridSpan w:val="2"/>
          </w:tcPr>
          <w:p w:rsidR="00262098" w:rsidRPr="00262098" w:rsidRDefault="00262098" w:rsidP="00BC0C01">
            <w:pPr>
              <w:ind w:left="0" w:right="0"/>
            </w:pPr>
            <w:r w:rsidRPr="00262098">
              <w:t xml:space="preserve">9.16, </w:t>
            </w:r>
            <w:r w:rsidRPr="00262098">
              <w:rPr>
                <w:u w:val="single"/>
              </w:rPr>
              <w:t>15.4</w:t>
            </w:r>
            <w:r w:rsidRPr="00262098">
              <w:t>, 55.1, 60.2 (week 13)</w:t>
            </w:r>
          </w:p>
        </w:tc>
        <w:tc>
          <w:tcPr>
            <w:tcW w:w="574" w:type="pct"/>
          </w:tcPr>
          <w:p w:rsidR="00262098" w:rsidRPr="00262098" w:rsidRDefault="00262098" w:rsidP="00BC0C01">
            <w:pPr>
              <w:ind w:left="0" w:right="0"/>
            </w:pPr>
            <w:r w:rsidRPr="00262098">
              <w:t xml:space="preserve">56.7, </w:t>
            </w:r>
            <w:r w:rsidRPr="00262098">
              <w:rPr>
                <w:u w:val="single"/>
              </w:rPr>
              <w:t>178</w:t>
            </w:r>
            <w:r w:rsidRPr="00262098">
              <w:t>, 966, 1990 (week 13)</w:t>
            </w:r>
          </w:p>
        </w:tc>
        <w:tc>
          <w:tcPr>
            <w:tcW w:w="574" w:type="pct"/>
          </w:tcPr>
          <w:p w:rsidR="00262098" w:rsidRPr="00262098" w:rsidRDefault="00262098" w:rsidP="00BC0C01">
            <w:pPr>
              <w:ind w:left="0" w:right="0"/>
            </w:pPr>
            <w:r w:rsidRPr="00262098">
              <w:t xml:space="preserve">1.7, </w:t>
            </w:r>
            <w:r w:rsidRPr="00262098">
              <w:rPr>
                <w:u w:val="single"/>
              </w:rPr>
              <w:t>2.9</w:t>
            </w:r>
            <w:r w:rsidRPr="00262098">
              <w:t>, 10, 11</w:t>
            </w:r>
          </w:p>
        </w:tc>
        <w:tc>
          <w:tcPr>
            <w:tcW w:w="831" w:type="pct"/>
          </w:tcPr>
          <w:p w:rsidR="00262098" w:rsidRPr="00262098" w:rsidRDefault="00262098" w:rsidP="00BC0C01">
            <w:pPr>
              <w:ind w:left="0" w:right="0"/>
            </w:pPr>
            <w:r w:rsidRPr="00262098">
              <w:t xml:space="preserve">3.6, </w:t>
            </w:r>
            <w:r w:rsidRPr="00262098">
              <w:rPr>
                <w:u w:val="single"/>
              </w:rPr>
              <w:t>11</w:t>
            </w:r>
            <w:r w:rsidRPr="00262098">
              <w:t>, 62, 128</w:t>
            </w:r>
          </w:p>
        </w:tc>
      </w:tr>
      <w:tr w:rsidR="00262098" w:rsidRPr="00262098" w:rsidTr="00262098">
        <w:trPr>
          <w:trHeight w:val="227"/>
        </w:trPr>
        <w:tc>
          <w:tcPr>
            <w:tcW w:w="579" w:type="pct"/>
            <w:vMerge/>
          </w:tcPr>
          <w:p w:rsidR="00262098" w:rsidRPr="00262098" w:rsidRDefault="00262098" w:rsidP="00BC0C01">
            <w:pPr>
              <w:ind w:left="0" w:right="0"/>
            </w:pPr>
          </w:p>
        </w:tc>
        <w:tc>
          <w:tcPr>
            <w:tcW w:w="805" w:type="pct"/>
            <w:gridSpan w:val="2"/>
            <w:vMerge/>
          </w:tcPr>
          <w:p w:rsidR="00262098" w:rsidRPr="00262098" w:rsidRDefault="00262098" w:rsidP="00BC0C01">
            <w:pPr>
              <w:ind w:left="0" w:right="0"/>
            </w:pPr>
          </w:p>
        </w:tc>
        <w:tc>
          <w:tcPr>
            <w:tcW w:w="655" w:type="pct"/>
            <w:vMerge/>
          </w:tcPr>
          <w:p w:rsidR="00262098" w:rsidRPr="00262098" w:rsidRDefault="00262098" w:rsidP="00BC0C01">
            <w:pPr>
              <w:ind w:left="0" w:right="0"/>
            </w:pPr>
          </w:p>
        </w:tc>
        <w:tc>
          <w:tcPr>
            <w:tcW w:w="328" w:type="pct"/>
            <w:gridSpan w:val="2"/>
          </w:tcPr>
          <w:p w:rsidR="00262098" w:rsidRPr="00262098" w:rsidRDefault="00262098" w:rsidP="00BC0C01">
            <w:pPr>
              <w:ind w:left="0" w:right="0"/>
            </w:pPr>
            <w:r w:rsidRPr="00262098">
              <w:rPr>
                <w:rFonts w:ascii="Times New Roman" w:hAnsi="Times New Roman"/>
              </w:rPr>
              <w:t>♀</w:t>
            </w:r>
          </w:p>
        </w:tc>
        <w:tc>
          <w:tcPr>
            <w:tcW w:w="654" w:type="pct"/>
            <w:gridSpan w:val="2"/>
          </w:tcPr>
          <w:p w:rsidR="00262098" w:rsidRPr="00262098" w:rsidRDefault="00262098" w:rsidP="00BC0C01">
            <w:pPr>
              <w:ind w:left="0" w:right="0"/>
            </w:pPr>
            <w:r w:rsidRPr="00262098">
              <w:t xml:space="preserve">7.33, </w:t>
            </w:r>
            <w:r w:rsidRPr="00262098">
              <w:rPr>
                <w:u w:val="single"/>
              </w:rPr>
              <w:t>24.4</w:t>
            </w:r>
            <w:r w:rsidRPr="00262098">
              <w:t>, 34.3, 101 (week 13)</w:t>
            </w:r>
          </w:p>
        </w:tc>
        <w:tc>
          <w:tcPr>
            <w:tcW w:w="574" w:type="pct"/>
          </w:tcPr>
          <w:p w:rsidR="00262098" w:rsidRPr="00262098" w:rsidRDefault="00262098" w:rsidP="00BC0C01">
            <w:pPr>
              <w:ind w:left="0" w:right="0"/>
            </w:pPr>
            <w:r w:rsidRPr="00262098">
              <w:t xml:space="preserve">66.4, </w:t>
            </w:r>
            <w:r w:rsidRPr="00262098">
              <w:rPr>
                <w:u w:val="single"/>
              </w:rPr>
              <w:t>160</w:t>
            </w:r>
            <w:r w:rsidRPr="00262098">
              <w:t>, 843, 1580 (week 13)</w:t>
            </w:r>
          </w:p>
        </w:tc>
        <w:tc>
          <w:tcPr>
            <w:tcW w:w="574" w:type="pct"/>
          </w:tcPr>
          <w:p w:rsidR="00262098" w:rsidRPr="00262098" w:rsidRDefault="00262098" w:rsidP="00BC0C01">
            <w:pPr>
              <w:ind w:left="0" w:right="0"/>
            </w:pPr>
            <w:r w:rsidRPr="00262098">
              <w:t xml:space="preserve">1.4, </w:t>
            </w:r>
            <w:r w:rsidRPr="00262098">
              <w:rPr>
                <w:u w:val="single"/>
              </w:rPr>
              <w:t>4.5</w:t>
            </w:r>
            <w:r w:rsidRPr="00262098">
              <w:t>, 6.4, 19</w:t>
            </w:r>
          </w:p>
        </w:tc>
        <w:tc>
          <w:tcPr>
            <w:tcW w:w="831" w:type="pct"/>
          </w:tcPr>
          <w:p w:rsidR="00262098" w:rsidRPr="00262098" w:rsidRDefault="00262098" w:rsidP="00BC0C01">
            <w:pPr>
              <w:ind w:left="0" w:right="0"/>
            </w:pPr>
            <w:r w:rsidRPr="00262098">
              <w:t xml:space="preserve">4.3, </w:t>
            </w:r>
            <w:r w:rsidRPr="00262098">
              <w:rPr>
                <w:u w:val="single"/>
              </w:rPr>
              <w:t>10</w:t>
            </w:r>
            <w:r w:rsidRPr="00262098">
              <w:t>, 54, 102</w:t>
            </w:r>
          </w:p>
        </w:tc>
      </w:tr>
      <w:tr w:rsidR="00262098" w:rsidRPr="00262098" w:rsidTr="00262098">
        <w:trPr>
          <w:trHeight w:val="227"/>
        </w:trPr>
        <w:tc>
          <w:tcPr>
            <w:tcW w:w="579" w:type="pct"/>
            <w:vMerge/>
          </w:tcPr>
          <w:p w:rsidR="00262098" w:rsidRPr="00262098" w:rsidRDefault="00262098" w:rsidP="00BC0C01">
            <w:pPr>
              <w:ind w:left="0" w:right="0"/>
            </w:pPr>
          </w:p>
        </w:tc>
        <w:tc>
          <w:tcPr>
            <w:tcW w:w="805" w:type="pct"/>
            <w:gridSpan w:val="2"/>
            <w:vMerge w:val="restart"/>
          </w:tcPr>
          <w:p w:rsidR="00262098" w:rsidRPr="00262098" w:rsidRDefault="00262098" w:rsidP="00BC0C01">
            <w:pPr>
              <w:ind w:left="0" w:right="0"/>
            </w:pPr>
            <w:r w:rsidRPr="00262098">
              <w:t>39 weeks</w:t>
            </w:r>
          </w:p>
          <w:p w:rsidR="00262098" w:rsidRPr="00262098" w:rsidRDefault="00262098" w:rsidP="00BC0C01">
            <w:pPr>
              <w:ind w:left="0" w:right="0"/>
            </w:pPr>
            <w:r w:rsidRPr="00262098">
              <w:t>(T-05.027)</w:t>
            </w:r>
          </w:p>
        </w:tc>
        <w:tc>
          <w:tcPr>
            <w:tcW w:w="655" w:type="pct"/>
            <w:vMerge w:val="restart"/>
          </w:tcPr>
          <w:p w:rsidR="00262098" w:rsidRPr="00262098" w:rsidRDefault="00262098" w:rsidP="00BC0C01">
            <w:pPr>
              <w:ind w:left="0" w:right="0"/>
            </w:pPr>
            <w:r w:rsidRPr="00262098">
              <w:rPr>
                <w:u w:val="single"/>
              </w:rPr>
              <w:t>5</w:t>
            </w:r>
            <w:r w:rsidRPr="00262098">
              <w:t>, 30, 100/75</w:t>
            </w:r>
          </w:p>
        </w:tc>
        <w:tc>
          <w:tcPr>
            <w:tcW w:w="328" w:type="pct"/>
            <w:gridSpan w:val="2"/>
          </w:tcPr>
          <w:p w:rsidR="00262098" w:rsidRPr="00262098" w:rsidRDefault="00262098" w:rsidP="00BC0C01">
            <w:pPr>
              <w:ind w:left="0" w:right="0"/>
            </w:pPr>
            <w:r w:rsidRPr="00262098">
              <w:rPr>
                <w:rFonts w:ascii="Times New Roman" w:hAnsi="Times New Roman"/>
              </w:rPr>
              <w:t>♂</w:t>
            </w:r>
          </w:p>
        </w:tc>
        <w:tc>
          <w:tcPr>
            <w:tcW w:w="654" w:type="pct"/>
            <w:gridSpan w:val="2"/>
          </w:tcPr>
          <w:p w:rsidR="00262098" w:rsidRPr="00262098" w:rsidRDefault="00262098" w:rsidP="00BC0C01">
            <w:pPr>
              <w:ind w:left="0" w:right="0"/>
            </w:pPr>
            <w:r w:rsidRPr="00262098">
              <w:rPr>
                <w:u w:val="single"/>
              </w:rPr>
              <w:t>9.88</w:t>
            </w:r>
            <w:r w:rsidRPr="00262098">
              <w:t>, 22.9, 31.3 (week 39)</w:t>
            </w:r>
          </w:p>
        </w:tc>
        <w:tc>
          <w:tcPr>
            <w:tcW w:w="574" w:type="pct"/>
          </w:tcPr>
          <w:p w:rsidR="00262098" w:rsidRPr="00262098" w:rsidRDefault="00262098" w:rsidP="00BC0C01">
            <w:pPr>
              <w:ind w:left="0" w:right="0"/>
            </w:pPr>
            <w:r w:rsidRPr="00262098">
              <w:rPr>
                <w:u w:val="single"/>
              </w:rPr>
              <w:t>114</w:t>
            </w:r>
            <w:r w:rsidRPr="00262098">
              <w:t>, 465, 942 (week 39)</w:t>
            </w:r>
          </w:p>
        </w:tc>
        <w:tc>
          <w:tcPr>
            <w:tcW w:w="574" w:type="pct"/>
          </w:tcPr>
          <w:p w:rsidR="00262098" w:rsidRPr="00262098" w:rsidRDefault="00262098" w:rsidP="00BC0C01">
            <w:pPr>
              <w:ind w:left="0" w:right="0"/>
            </w:pPr>
            <w:r w:rsidRPr="00262098">
              <w:rPr>
                <w:u w:val="single"/>
              </w:rPr>
              <w:t>1.8</w:t>
            </w:r>
            <w:r w:rsidRPr="00262098">
              <w:t>, 4.2, 5.8</w:t>
            </w:r>
          </w:p>
        </w:tc>
        <w:tc>
          <w:tcPr>
            <w:tcW w:w="831" w:type="pct"/>
          </w:tcPr>
          <w:p w:rsidR="00262098" w:rsidRPr="00262098" w:rsidRDefault="00262098" w:rsidP="00BC0C01">
            <w:pPr>
              <w:ind w:left="0" w:right="0"/>
            </w:pPr>
            <w:r w:rsidRPr="00262098">
              <w:rPr>
                <w:u w:val="single"/>
              </w:rPr>
              <w:t>7.3</w:t>
            </w:r>
            <w:r w:rsidRPr="00262098">
              <w:t>, 30, 61</w:t>
            </w:r>
          </w:p>
        </w:tc>
      </w:tr>
      <w:tr w:rsidR="00262098" w:rsidRPr="00262098" w:rsidTr="00262098">
        <w:trPr>
          <w:trHeight w:val="227"/>
        </w:trPr>
        <w:tc>
          <w:tcPr>
            <w:tcW w:w="579" w:type="pct"/>
            <w:vMerge/>
          </w:tcPr>
          <w:p w:rsidR="00262098" w:rsidRPr="00262098" w:rsidRDefault="00262098" w:rsidP="00BC0C01">
            <w:pPr>
              <w:ind w:left="0" w:right="0"/>
            </w:pPr>
          </w:p>
        </w:tc>
        <w:tc>
          <w:tcPr>
            <w:tcW w:w="805" w:type="pct"/>
            <w:gridSpan w:val="2"/>
            <w:vMerge/>
          </w:tcPr>
          <w:p w:rsidR="00262098" w:rsidRPr="00262098" w:rsidRDefault="00262098" w:rsidP="00BC0C01">
            <w:pPr>
              <w:ind w:left="0" w:right="0"/>
            </w:pPr>
          </w:p>
        </w:tc>
        <w:tc>
          <w:tcPr>
            <w:tcW w:w="655" w:type="pct"/>
            <w:vMerge/>
          </w:tcPr>
          <w:p w:rsidR="00262098" w:rsidRPr="00262098" w:rsidRDefault="00262098" w:rsidP="00BC0C01">
            <w:pPr>
              <w:ind w:left="0" w:right="0"/>
            </w:pPr>
          </w:p>
        </w:tc>
        <w:tc>
          <w:tcPr>
            <w:tcW w:w="328" w:type="pct"/>
            <w:gridSpan w:val="2"/>
          </w:tcPr>
          <w:p w:rsidR="00262098" w:rsidRPr="00262098" w:rsidRDefault="00262098" w:rsidP="00BC0C01">
            <w:pPr>
              <w:ind w:left="0" w:right="0"/>
            </w:pPr>
            <w:r w:rsidRPr="00262098">
              <w:rPr>
                <w:rFonts w:ascii="Times New Roman" w:hAnsi="Times New Roman"/>
              </w:rPr>
              <w:t>♀</w:t>
            </w:r>
          </w:p>
        </w:tc>
        <w:tc>
          <w:tcPr>
            <w:tcW w:w="654" w:type="pct"/>
            <w:gridSpan w:val="2"/>
          </w:tcPr>
          <w:p w:rsidR="00262098" w:rsidRPr="00262098" w:rsidRDefault="00262098" w:rsidP="00BC0C01">
            <w:pPr>
              <w:ind w:left="0" w:right="0"/>
            </w:pPr>
            <w:r w:rsidRPr="00262098">
              <w:rPr>
                <w:u w:val="single"/>
              </w:rPr>
              <w:t>6.14</w:t>
            </w:r>
            <w:r w:rsidRPr="00262098">
              <w:t>, 21.9, 37.9 (week 39)</w:t>
            </w:r>
          </w:p>
        </w:tc>
        <w:tc>
          <w:tcPr>
            <w:tcW w:w="574" w:type="pct"/>
          </w:tcPr>
          <w:p w:rsidR="00262098" w:rsidRPr="00262098" w:rsidRDefault="00262098" w:rsidP="00BC0C01">
            <w:pPr>
              <w:ind w:left="0" w:right="0"/>
            </w:pPr>
            <w:r w:rsidRPr="00262098">
              <w:rPr>
                <w:u w:val="single"/>
              </w:rPr>
              <w:t>77.8</w:t>
            </w:r>
            <w:r w:rsidRPr="00262098">
              <w:t>, 341, 1200 (week 39)</w:t>
            </w:r>
          </w:p>
        </w:tc>
        <w:tc>
          <w:tcPr>
            <w:tcW w:w="574" w:type="pct"/>
          </w:tcPr>
          <w:p w:rsidR="00262098" w:rsidRPr="00262098" w:rsidRDefault="00262098" w:rsidP="00BC0C01">
            <w:pPr>
              <w:ind w:left="0" w:right="0"/>
            </w:pPr>
            <w:r w:rsidRPr="00262098">
              <w:rPr>
                <w:u w:val="single"/>
              </w:rPr>
              <w:t>1.1</w:t>
            </w:r>
            <w:r w:rsidRPr="00262098">
              <w:t>, 4.1, 7.0</w:t>
            </w:r>
          </w:p>
        </w:tc>
        <w:tc>
          <w:tcPr>
            <w:tcW w:w="831" w:type="pct"/>
          </w:tcPr>
          <w:p w:rsidR="00262098" w:rsidRPr="00262098" w:rsidRDefault="00262098" w:rsidP="00BC0C01">
            <w:pPr>
              <w:ind w:left="0" w:right="0"/>
            </w:pPr>
            <w:r w:rsidRPr="00262098">
              <w:rPr>
                <w:u w:val="single"/>
              </w:rPr>
              <w:t>5.0</w:t>
            </w:r>
            <w:r w:rsidRPr="00262098">
              <w:t>, 22, 77</w:t>
            </w:r>
          </w:p>
        </w:tc>
      </w:tr>
      <w:tr w:rsidR="00262098" w:rsidRPr="00262098" w:rsidTr="00262098">
        <w:trPr>
          <w:trHeight w:val="227"/>
        </w:trPr>
        <w:tc>
          <w:tcPr>
            <w:tcW w:w="579" w:type="pct"/>
          </w:tcPr>
          <w:p w:rsidR="00262098" w:rsidRPr="00262098" w:rsidRDefault="00262098" w:rsidP="00BC0C01">
            <w:pPr>
              <w:ind w:left="0" w:right="0"/>
            </w:pPr>
            <w:r w:rsidRPr="00262098">
              <w:t>Human</w:t>
            </w:r>
            <w:r w:rsidRPr="00262098">
              <w:br/>
              <w:t>(healthy volunteers)</w:t>
            </w:r>
          </w:p>
        </w:tc>
        <w:tc>
          <w:tcPr>
            <w:tcW w:w="805" w:type="pct"/>
            <w:gridSpan w:val="2"/>
          </w:tcPr>
          <w:p w:rsidR="00262098" w:rsidRPr="00262098" w:rsidRDefault="00262098" w:rsidP="00BC0C01">
            <w:pPr>
              <w:ind w:left="0" w:right="0"/>
            </w:pPr>
            <w:r w:rsidRPr="00262098">
              <w:t>steady state</w:t>
            </w:r>
          </w:p>
          <w:p w:rsidR="00262098" w:rsidRPr="00262098" w:rsidRDefault="00262098" w:rsidP="00BC0C01">
            <w:pPr>
              <w:ind w:left="0" w:right="0"/>
            </w:pPr>
            <w:r w:rsidRPr="00262098">
              <w:t>‒ 10 days</w:t>
            </w:r>
          </w:p>
          <w:p w:rsidR="00262098" w:rsidRPr="00262098" w:rsidRDefault="00262098" w:rsidP="00BC0C01">
            <w:pPr>
              <w:ind w:left="0" w:right="0"/>
            </w:pPr>
            <w:r w:rsidRPr="00262098">
              <w:t>(D-06.044)</w:t>
            </w:r>
          </w:p>
          <w:p w:rsidR="00262098" w:rsidRPr="00262098" w:rsidRDefault="00262098" w:rsidP="00BC0C01">
            <w:pPr>
              <w:ind w:left="0" w:right="0"/>
            </w:pPr>
            <w:r w:rsidRPr="00262098">
              <w:t>(AC-055-102)</w:t>
            </w:r>
          </w:p>
        </w:tc>
        <w:tc>
          <w:tcPr>
            <w:tcW w:w="655" w:type="pct"/>
          </w:tcPr>
          <w:p w:rsidR="00262098" w:rsidRPr="00262098" w:rsidRDefault="00262098" w:rsidP="00BC0C01">
            <w:pPr>
              <w:ind w:left="0" w:right="0"/>
            </w:pPr>
            <w:r w:rsidRPr="00262098">
              <w:t>[10 mg]</w:t>
            </w:r>
          </w:p>
        </w:tc>
        <w:tc>
          <w:tcPr>
            <w:tcW w:w="328" w:type="pct"/>
            <w:gridSpan w:val="2"/>
          </w:tcPr>
          <w:p w:rsidR="00262098" w:rsidRPr="00262098" w:rsidRDefault="00262098" w:rsidP="00BC0C01">
            <w:pPr>
              <w:ind w:left="0" w:right="0"/>
            </w:pPr>
            <w:r w:rsidRPr="00262098">
              <w:rPr>
                <w:rFonts w:ascii="Times New Roman" w:hAnsi="Times New Roman"/>
              </w:rPr>
              <w:t>♂</w:t>
            </w:r>
          </w:p>
        </w:tc>
        <w:tc>
          <w:tcPr>
            <w:tcW w:w="654" w:type="pct"/>
            <w:gridSpan w:val="2"/>
          </w:tcPr>
          <w:p w:rsidR="00262098" w:rsidRPr="00262098" w:rsidRDefault="00262098" w:rsidP="00BC0C01">
            <w:pPr>
              <w:ind w:left="0" w:right="0"/>
            </w:pPr>
            <w:r w:rsidRPr="00262098">
              <w:t>5.40</w:t>
            </w:r>
          </w:p>
        </w:tc>
        <w:tc>
          <w:tcPr>
            <w:tcW w:w="574" w:type="pct"/>
          </w:tcPr>
          <w:p w:rsidR="00262098" w:rsidRPr="00262098" w:rsidRDefault="00262098" w:rsidP="00BC0C01">
            <w:pPr>
              <w:ind w:left="0" w:right="0"/>
            </w:pPr>
            <w:r w:rsidRPr="00262098">
              <w:t>15.54</w:t>
            </w:r>
          </w:p>
        </w:tc>
        <w:tc>
          <w:tcPr>
            <w:tcW w:w="574" w:type="pct"/>
          </w:tcPr>
          <w:p w:rsidR="00262098" w:rsidRPr="00262098" w:rsidRDefault="00262098" w:rsidP="00BC0C01">
            <w:pPr>
              <w:ind w:left="0" w:right="0"/>
            </w:pPr>
            <w:r w:rsidRPr="00262098">
              <w:t>‒</w:t>
            </w:r>
          </w:p>
        </w:tc>
        <w:tc>
          <w:tcPr>
            <w:tcW w:w="831" w:type="pct"/>
          </w:tcPr>
          <w:p w:rsidR="00262098" w:rsidRPr="00262098" w:rsidRDefault="00262098" w:rsidP="00BC0C01">
            <w:pPr>
              <w:ind w:left="0" w:right="0"/>
            </w:pPr>
            <w:r w:rsidRPr="00262098">
              <w:t>–</w:t>
            </w:r>
          </w:p>
        </w:tc>
      </w:tr>
    </w:tbl>
    <w:p w:rsidR="00262098" w:rsidRPr="00AC0446" w:rsidRDefault="00AC0446" w:rsidP="00BC0C01">
      <w:pPr>
        <w:pStyle w:val="TableDescription"/>
      </w:pPr>
      <w:proofErr w:type="gramStart"/>
      <w:r w:rsidRPr="00AC0446">
        <w:rPr>
          <w:vertAlign w:val="superscript"/>
        </w:rPr>
        <w:t>a</w:t>
      </w:r>
      <w:r>
        <w:t>All</w:t>
      </w:r>
      <w:proofErr w:type="gramEnd"/>
      <w:r>
        <w:t xml:space="preserve"> listed studies are GLP compliant; </w:t>
      </w:r>
      <w:r w:rsidRPr="00AC0446">
        <w:rPr>
          <w:vertAlign w:val="superscript"/>
        </w:rPr>
        <w:t>b</w:t>
      </w:r>
      <w:r>
        <w:t xml:space="preserve">doses given po (gavage); </w:t>
      </w:r>
      <w:r w:rsidRPr="00AC0446">
        <w:rPr>
          <w:vertAlign w:val="superscript"/>
        </w:rPr>
        <w:t>c</w:t>
      </w:r>
      <w:r>
        <w:t>animal:human plasma AUC</w:t>
      </w:r>
      <w:r w:rsidRPr="00AC0446">
        <w:rPr>
          <w:vertAlign w:val="subscript"/>
        </w:rPr>
        <w:t>0-24h</w:t>
      </w:r>
      <w:r>
        <w:rPr>
          <w:vertAlign w:val="subscript"/>
        </w:rPr>
        <w:t xml:space="preserve">; </w:t>
      </w:r>
      <w:r w:rsidRPr="00AC0446">
        <w:rPr>
          <w:vertAlign w:val="superscript"/>
        </w:rPr>
        <w:t>d</w:t>
      </w:r>
      <w:r>
        <w:t>values at NOAEL are bolded and underlined (where no value so indicated NOAEL = &lt; LD).</w:t>
      </w:r>
    </w:p>
    <w:p w:rsidR="00AC0446" w:rsidRPr="00BC0C01" w:rsidRDefault="00AC0446" w:rsidP="00BC0C01">
      <w:pPr>
        <w:pStyle w:val="Heading5"/>
      </w:pPr>
      <w:r>
        <w:t>Major toxicities</w:t>
      </w:r>
    </w:p>
    <w:p w:rsidR="00AC0446" w:rsidRPr="00AC0446" w:rsidRDefault="00AC0446" w:rsidP="00BC0C01">
      <w:r w:rsidRPr="00AC0446">
        <w:t>Major test article-related findings occurred in liver, haemopoietic system, testis, and vasculature. Exposure ratios mentioned below refer to macitentan rather than total active moiety as ACT-132577 has significantly less activity than the parent compound.</w:t>
      </w:r>
    </w:p>
    <w:p w:rsidR="00AC0446" w:rsidRPr="00AC0446" w:rsidRDefault="00AC0446" w:rsidP="00AC0446">
      <w:r w:rsidRPr="00AC0446">
        <w:t>Mouse 13-week dosing studies demonstrated centrilobular hepatocytic hypertrophy and bile duct reactive hyperplasia, disturbances in liver homeostasis (decreases in cholesterol, triglycerides, and albumin), and liver toxicity (hepatocytic necrosis [often associated with inflammation] and increases in plasma AST and ALT levels). However, these effects were generally only prominent in groups given relatively high doses of macitentan (exposure ratios of ≥</w:t>
      </w:r>
      <w:r>
        <w:t xml:space="preserve"> </w:t>
      </w:r>
      <w:r w:rsidRPr="00AC0446">
        <w:t xml:space="preserve">14 and &gt; 50 for CD-1 and B6C3F1 mice, respectively). Rats dosed for 13 or 26 weeks with macitentan showed centrilobular hepatocytic hypertrophy (reversible after drug-free recovery period), but no evidence of liver toxicity, except for animals that died prematurely after dosing at 1500 mg/kg (exposure ratio of &gt; 60). Similarly, dogs dosed for up to 39 weeks (exposure ratio of approximately </w:t>
      </w:r>
      <w:r w:rsidR="00987074">
        <w:t>6</w:t>
      </w:r>
      <w:r w:rsidRPr="00AC0446">
        <w:t xml:space="preserve"> for macitentan) showed centrilobular hepatocytic hypertrophy (reversible after drug-free recovery period), but no evidence of liver toxicity. These results suggest that macitentan does not pose a pronounced risk for liver toxicity in patients. This is significant because other sulfonamide-type ET-1 receptor antagonists, bosentan and sitaxentan, have been linked to cases of acute liver injury (Hoeper 2009</w:t>
      </w:r>
      <w:r>
        <w:rPr>
          <w:rStyle w:val="FootnoteReference"/>
        </w:rPr>
        <w:footnoteReference w:id="3"/>
      </w:r>
      <w:r w:rsidRPr="00AC0446">
        <w:t>).</w:t>
      </w:r>
    </w:p>
    <w:p w:rsidR="00AC0446" w:rsidRDefault="00AC0446" w:rsidP="00BC0C01">
      <w:r>
        <w:t>Many of the studies indicated effects of the test article on the haemopoietic system; however, the effects were inconsistent or not apparent between species. CD-1 mice dosed for 13 weeks at ≥ 75 mg/kg/day (exposure ratio &gt; 50) showed increases in</w:t>
      </w:r>
      <w:r w:rsidR="00987074">
        <w:t xml:space="preserve"> red blood cell (RBC)</w:t>
      </w:r>
      <w:r>
        <w:t xml:space="preserve"> count and extramedullary haemopoiesis in the spleen, and increases in bone marrow myelopoiesis. Male (but not female) Wistar rats dosed for 13 or 26 weeks at 250 mg/kg/day (exposure ratio </w:t>
      </w:r>
      <w:r w:rsidR="00987074">
        <w:t>7</w:t>
      </w:r>
      <w:r>
        <w:t xml:space="preserve"> to 14) showed moderate, reversible increases in platelet counts and a</w:t>
      </w:r>
      <w:r w:rsidRPr="000923A6">
        <w:t>ctivated partial thromboplastin time</w:t>
      </w:r>
      <w:r>
        <w:t xml:space="preserve">. Dogs dosed for 39 weeks at 100/75 mg/kg/day (exposure ratio about six) also showed moderate increases in platelet counts, </w:t>
      </w:r>
      <w:r>
        <w:lastRenderedPageBreak/>
        <w:t>as well as decreased RBC counts. Premature decedents from the dog study (mostly dosed at 100/75 mg/kg/day) showed anaemia and low neutrophil counts. Given the fairly high exposure ratios for the haemopoietic changes they are considered unlikely to be of clinical relevance.</w:t>
      </w:r>
    </w:p>
    <w:p w:rsidR="00AC0446" w:rsidRDefault="00AC0446" w:rsidP="00BC0C01">
      <w:r>
        <w:t>Testicular effects were seen in both rat and dog studies: tubular dilation and tubular atrophy (exposure ratio ≥ 14 for 13</w:t>
      </w:r>
      <w:r w:rsidR="00987074">
        <w:t xml:space="preserve"> </w:t>
      </w:r>
      <w:r>
        <w:t xml:space="preserve">weeks dosing at 250 mg/kg/day) and an increased incidence of morphologically abnormal sperm (exposure ratio &gt; </w:t>
      </w:r>
      <w:r w:rsidR="00987074">
        <w:t>5</w:t>
      </w:r>
      <w:r>
        <w:t xml:space="preserve"> for 26-weeks dosing at 50 mg/kg/day) in rats, and tubular dilation (exposure ratio &gt; </w:t>
      </w:r>
      <w:r w:rsidR="00987074">
        <w:t>4</w:t>
      </w:r>
      <w:r>
        <w:t xml:space="preserve"> for 39-weeks dosing at 30 mg/kg/day) and hypospermatogenesis (exposure ratio &gt; </w:t>
      </w:r>
      <w:r w:rsidR="00987074">
        <w:t>6</w:t>
      </w:r>
      <w:r>
        <w:t xml:space="preserve"> for 39-weeks dosing at 30 mg/kg/day) </w:t>
      </w:r>
      <w:r w:rsidRPr="00393A05">
        <w:t>in dogs</w:t>
      </w:r>
      <w:r>
        <w:t xml:space="preserve">. These effects are thought to derive, at least in part, from inhibition of ET-1-induced contraction of peritubular myoid cells; a process that normally impels spermatozoa towards the rete testis (Tripiciano </w:t>
      </w:r>
      <w:r w:rsidRPr="00AC0446">
        <w:t>et al.</w:t>
      </w:r>
      <w:r>
        <w:t xml:space="preserve"> 1996</w:t>
      </w:r>
      <w:r>
        <w:rPr>
          <w:rStyle w:val="FootnoteReference"/>
        </w:rPr>
        <w:footnoteReference w:id="4"/>
      </w:r>
      <w:r>
        <w:t>). The testicular effects in animals were reversed after a drug-free period, but are of potential relevance to human use given the relatively low exposure margins.</w:t>
      </w:r>
    </w:p>
    <w:p w:rsidR="00AC0446" w:rsidRPr="00CB2383" w:rsidRDefault="00AC0446" w:rsidP="00BC0C01">
      <w:pPr>
        <w:rPr>
          <w:kern w:val="2"/>
        </w:rPr>
      </w:pPr>
      <w:r>
        <w:t>Premature decedents from the 39-week dog study (mostly dosed at 100/75 mg/kg/day)</w:t>
      </w:r>
      <w:r w:rsidRPr="00113961">
        <w:t xml:space="preserve"> </w:t>
      </w:r>
      <w:r>
        <w:t>showed multicentric arteritis/periarteritis (a range of vascular lesions extending from a focal mononuclear cell infiltration, to extensive mixed inflammatory lesions involving medial fibrinoid necrosis) in the heart and also affecting other organs including lung, thymus, kidney and vessels around the optic nerve. A</w:t>
      </w:r>
      <w:r w:rsidRPr="009E255C">
        <w:rPr>
          <w:kern w:val="2"/>
        </w:rPr>
        <w:t>rteritis/periarteritis</w:t>
      </w:r>
      <w:r>
        <w:rPr>
          <w:kern w:val="2"/>
        </w:rPr>
        <w:t xml:space="preserve"> was also seen in survivors dosed at ≥ 5 mg/kg/day </w:t>
      </w:r>
      <w:r>
        <w:t xml:space="preserve">(exposure ratio &gt; </w:t>
      </w:r>
      <w:r w:rsidR="00987074">
        <w:t>1</w:t>
      </w:r>
      <w:r>
        <w:t xml:space="preserve">), and </w:t>
      </w:r>
      <w:r w:rsidRPr="009E255C">
        <w:rPr>
          <w:kern w:val="2"/>
        </w:rPr>
        <w:t>extramural arterial intimal thickening</w:t>
      </w:r>
      <w:r>
        <w:rPr>
          <w:kern w:val="2"/>
        </w:rPr>
        <w:t xml:space="preserve"> was seen in survivors dosed at ≥ 30 mg/kg/day </w:t>
      </w:r>
      <w:r>
        <w:t xml:space="preserve">(exposure ratio &gt; </w:t>
      </w:r>
      <w:r w:rsidR="00987074">
        <w:t>4</w:t>
      </w:r>
      <w:r>
        <w:t xml:space="preserve">). </w:t>
      </w:r>
      <w:r>
        <w:rPr>
          <w:kern w:val="2"/>
        </w:rPr>
        <w:t xml:space="preserve">Various other </w:t>
      </w:r>
      <w:r>
        <w:t>ET-1 receptor antagonists, as well as a diverse group of vasodilators, have been shown to induce a</w:t>
      </w:r>
      <w:r>
        <w:rPr>
          <w:kern w:val="2"/>
        </w:rPr>
        <w:t xml:space="preserve">rteritis in dogs (for example, Jones </w:t>
      </w:r>
      <w:r w:rsidRPr="00AC0446">
        <w:rPr>
          <w:kern w:val="2"/>
        </w:rPr>
        <w:t>et al.</w:t>
      </w:r>
      <w:r>
        <w:rPr>
          <w:kern w:val="2"/>
        </w:rPr>
        <w:t xml:space="preserve"> 2003</w:t>
      </w:r>
      <w:r>
        <w:rPr>
          <w:rStyle w:val="FootnoteReference"/>
          <w:kern w:val="2"/>
        </w:rPr>
        <w:footnoteReference w:id="5"/>
      </w:r>
      <w:r>
        <w:rPr>
          <w:kern w:val="2"/>
        </w:rPr>
        <w:t xml:space="preserve">, McDuffie </w:t>
      </w:r>
      <w:r w:rsidRPr="00014FC0">
        <w:rPr>
          <w:kern w:val="2"/>
        </w:rPr>
        <w:t>et al.</w:t>
      </w:r>
      <w:r>
        <w:rPr>
          <w:kern w:val="2"/>
        </w:rPr>
        <w:t xml:space="preserve"> 2006</w:t>
      </w:r>
      <w:r w:rsidR="00014FC0">
        <w:rPr>
          <w:rStyle w:val="FootnoteReference"/>
          <w:kern w:val="2"/>
        </w:rPr>
        <w:footnoteReference w:id="6"/>
      </w:r>
      <w:r w:rsidR="00BC0C01">
        <w:rPr>
          <w:kern w:val="2"/>
        </w:rPr>
        <w:t>).</w:t>
      </w:r>
    </w:p>
    <w:p w:rsidR="00AC0446" w:rsidRDefault="00AC0446" w:rsidP="00BC0C01">
      <w:r>
        <w:t xml:space="preserve">Rat studies indicated increases in thyroid weight and thyroid follicular cell hypertrophy (particularly in males) following repeat dosing with macitentan. This is considered a species-specific, adaptive response, related to increased thyroxine </w:t>
      </w:r>
      <w:r w:rsidRPr="00C03A6F">
        <w:t xml:space="preserve">clearance </w:t>
      </w:r>
      <w:r>
        <w:t>following</w:t>
      </w:r>
      <w:r w:rsidRPr="00C03A6F">
        <w:t xml:space="preserve"> microsomal enzyme induction, </w:t>
      </w:r>
      <w:r>
        <w:t>(</w:t>
      </w:r>
      <w:r w:rsidRPr="00C03A6F">
        <w:t>particularly induction of thyroxine glucuronidation</w:t>
      </w:r>
      <w:r>
        <w:t>) and to the short half-life of thyroxine in rats (</w:t>
      </w:r>
      <w:r w:rsidR="00BD2E95">
        <w:t xml:space="preserve">for example, </w:t>
      </w:r>
      <w:r>
        <w:rPr>
          <w:rFonts w:asciiTheme="minorHAnsi" w:hAnsiTheme="minorHAnsi"/>
        </w:rPr>
        <w:t>Vansell and Klaassen 2001</w:t>
      </w:r>
      <w:r w:rsidR="00EC1D71">
        <w:rPr>
          <w:rStyle w:val="FootnoteReference"/>
          <w:rFonts w:asciiTheme="minorHAnsi" w:hAnsiTheme="minorHAnsi"/>
        </w:rPr>
        <w:footnoteReference w:id="7"/>
      </w:r>
      <w:r>
        <w:rPr>
          <w:rFonts w:asciiTheme="minorHAnsi" w:hAnsiTheme="minorHAnsi"/>
        </w:rPr>
        <w:t>)</w:t>
      </w:r>
      <w:r>
        <w:t>. Male rats dosed with macitentan for 26 weeks at 250 mg/kg/day (exposure ratio &gt;</w:t>
      </w:r>
      <w:r w:rsidR="00987074">
        <w:t xml:space="preserve"> 7</w:t>
      </w:r>
      <w:r>
        <w:t xml:space="preserve">) showed renal hyaline droplet accumulation. This is also considered a species-specific response that is not relevant to humans (Hard </w:t>
      </w:r>
      <w:r w:rsidRPr="00014FC0">
        <w:t>et al.</w:t>
      </w:r>
      <w:r>
        <w:t xml:space="preserve"> 1993</w:t>
      </w:r>
      <w:r w:rsidR="00014FC0">
        <w:rPr>
          <w:rStyle w:val="FootnoteReference"/>
        </w:rPr>
        <w:footnoteReference w:id="8"/>
      </w:r>
      <w:r>
        <w:t>).</w:t>
      </w:r>
    </w:p>
    <w:p w:rsidR="00AC0446" w:rsidRPr="00BC0C01" w:rsidRDefault="00AC0446" w:rsidP="00BC0C01">
      <w:pPr>
        <w:pStyle w:val="Heading4"/>
      </w:pPr>
      <w:bookmarkStart w:id="49" w:name="_Toc294861729"/>
      <w:r w:rsidRPr="001258AE">
        <w:t>Genotoxicity</w:t>
      </w:r>
      <w:bookmarkEnd w:id="49"/>
    </w:p>
    <w:p w:rsidR="00AC0446" w:rsidRPr="00014FC0" w:rsidRDefault="00AC0446" w:rsidP="00BC0C01">
      <w:r w:rsidRPr="00014FC0">
        <w:t xml:space="preserve">Macitentan was not mutagenic at up to 5 mg/plate in both the presence and absence of metabolic activation in standard </w:t>
      </w:r>
      <w:r w:rsidRPr="00014FC0">
        <w:rPr>
          <w:i/>
        </w:rPr>
        <w:t>Salmonella typhimurium</w:t>
      </w:r>
      <w:r w:rsidRPr="00014FC0">
        <w:t xml:space="preserve"> strains. The rat liver S9 preparation was shown to generate ACT-080803 (present in excreta) and ACT-132577 (predominant metabolite in plasma). Macitentan was also negative in the mouse lymphoma L5178Y TK+/‒ assay at concentrations up to those inducing toxicity. Tests of in vitro (PHA-stimulated human lymphocytes) and in vivo (rat bone marrow micronucleus test) clastogenicity were also negative. The assays used and the conditions employed were consistent with the relevant EMA guideline (CPMP/ICH/141/95).</w:t>
      </w:r>
    </w:p>
    <w:p w:rsidR="00AC0446" w:rsidRPr="00014FC0" w:rsidRDefault="00AC0446" w:rsidP="00014FC0">
      <w:r w:rsidRPr="00014FC0">
        <w:lastRenderedPageBreak/>
        <w:t>Two macitentan metabolites, ACT-080803 and ACT-373898 (present in plasma and excreta), were also negative when tested in isolated form in Ames bacterial mutagenesis assays.</w:t>
      </w:r>
    </w:p>
    <w:p w:rsidR="00AC0446" w:rsidRPr="00B45B28" w:rsidRDefault="00AC0446" w:rsidP="00B45B28">
      <w:pPr>
        <w:pStyle w:val="Heading4"/>
      </w:pPr>
      <w:bookmarkStart w:id="50" w:name="_Toc294861730"/>
      <w:r w:rsidRPr="001258AE">
        <w:t>Carcinogenicity</w:t>
      </w:r>
      <w:bookmarkEnd w:id="50"/>
    </w:p>
    <w:p w:rsidR="00AC0446" w:rsidRPr="00014FC0" w:rsidRDefault="00AC0446" w:rsidP="00B45B28">
      <w:r w:rsidRPr="00014FC0">
        <w:t>Two-year carcinogenicity studies, conducted according to the relevant EMA guideline (CPMP/ICH/299/95), were performed using B6C3F1 mice and Wistar rats of both sexes given a daily oral dose of macitentan. In both studies, the high dose (HD) approximated the MTD for males, as indicated by clinical signs and effects on body weight, and exceeded the MTD for females. The HD produced exposure ratios of &gt;</w:t>
      </w:r>
      <w:r w:rsidR="00014FC0" w:rsidRPr="00014FC0">
        <w:t xml:space="preserve"> </w:t>
      </w:r>
      <w:r w:rsidRPr="00014FC0">
        <w:t>100 for both macitentan and for ACT-132577 in mice of both sexes, and ranged from 20</w:t>
      </w:r>
      <w:r w:rsidR="00014FC0">
        <w:t xml:space="preserve"> to </w:t>
      </w:r>
      <w:r w:rsidRPr="00014FC0">
        <w:t>100 in rats. Macitentan showed no signals for oncogenic potential, consistent with its lack of activity in genotoxicity assays.</w:t>
      </w:r>
    </w:p>
    <w:p w:rsidR="00AC0446" w:rsidRPr="00B45B28" w:rsidRDefault="00AC0446" w:rsidP="00B45B28">
      <w:pPr>
        <w:pStyle w:val="Heading4"/>
      </w:pPr>
      <w:r>
        <w:t>Reproductive toxicity</w:t>
      </w:r>
    </w:p>
    <w:p w:rsidR="00AC0446" w:rsidRDefault="00AC0446" w:rsidP="00B45B28">
      <w:r w:rsidRPr="00014FC0">
        <w:t>Macitentan was assessed for effects on fertility (both sexes), embryofetal development, and pre-/postnatal development in Wistar rats, and for effects on embryofetal development in rabbits. The scope and design of the studies were appropriate and consistent with the relevant EMA guideline (CPMP/ICH/386/95).</w:t>
      </w:r>
    </w:p>
    <w:p w:rsidR="00B52397" w:rsidRDefault="00B52397" w:rsidP="00B45B28">
      <w:pPr>
        <w:pStyle w:val="TableTitle"/>
      </w:pPr>
      <w:r>
        <w:t xml:space="preserve">Table </w:t>
      </w:r>
      <w:r w:rsidR="00987074">
        <w:t>4</w:t>
      </w:r>
      <w:r>
        <w:t>: Relative exposure</w:t>
      </w:r>
      <w:r w:rsidRPr="00B52397">
        <w:rPr>
          <w:vertAlign w:val="superscript"/>
        </w:rPr>
        <w:t>a</w:t>
      </w:r>
    </w:p>
    <w:tbl>
      <w:tblPr>
        <w:tblStyle w:val="TableTGAblue"/>
        <w:tblW w:w="4833" w:type="pct"/>
        <w:tblLook w:val="01E0" w:firstRow="1" w:lastRow="1" w:firstColumn="1" w:lastColumn="1" w:noHBand="0" w:noVBand="0"/>
      </w:tblPr>
      <w:tblGrid>
        <w:gridCol w:w="1188"/>
        <w:gridCol w:w="1315"/>
        <w:gridCol w:w="1395"/>
        <w:gridCol w:w="532"/>
        <w:gridCol w:w="1218"/>
        <w:gridCol w:w="949"/>
        <w:gridCol w:w="1218"/>
        <w:gridCol w:w="905"/>
      </w:tblGrid>
      <w:tr w:rsidR="00C17A70" w:rsidTr="00B45B28">
        <w:trPr>
          <w:cnfStyle w:val="100000000000" w:firstRow="1" w:lastRow="0" w:firstColumn="0" w:lastColumn="0" w:oddVBand="0" w:evenVBand="0" w:oddHBand="0" w:evenHBand="0" w:firstRowFirstColumn="0" w:firstRowLastColumn="0" w:lastRowFirstColumn="0" w:lastRowLastColumn="0"/>
        </w:trPr>
        <w:tc>
          <w:tcPr>
            <w:tcW w:w="564" w:type="pct"/>
            <w:vMerge w:val="restart"/>
            <w:hideMark/>
          </w:tcPr>
          <w:p w:rsidR="00B52397" w:rsidRPr="00FF6225" w:rsidRDefault="00B52397" w:rsidP="00C17A70">
            <w:pPr>
              <w:ind w:left="0" w:right="10"/>
            </w:pPr>
            <w:r w:rsidRPr="00FF6225">
              <w:t>Species</w:t>
            </w:r>
          </w:p>
        </w:tc>
        <w:tc>
          <w:tcPr>
            <w:tcW w:w="1088" w:type="pct"/>
            <w:vMerge w:val="restart"/>
            <w:hideMark/>
          </w:tcPr>
          <w:p w:rsidR="00B52397" w:rsidRPr="00FF6225" w:rsidRDefault="00B52397" w:rsidP="00C17A70">
            <w:pPr>
              <w:ind w:left="13" w:right="0"/>
            </w:pPr>
            <w:r w:rsidRPr="00FF6225">
              <w:t>Study type</w:t>
            </w:r>
            <w:r w:rsidRPr="00FF6225">
              <w:br/>
              <w:t>(number)</w:t>
            </w:r>
          </w:p>
        </w:tc>
        <w:tc>
          <w:tcPr>
            <w:tcW w:w="765" w:type="pct"/>
            <w:vMerge w:val="restart"/>
            <w:hideMark/>
          </w:tcPr>
          <w:p w:rsidR="00B52397" w:rsidRPr="00FF6225" w:rsidRDefault="00B52397" w:rsidP="00C17A70">
            <w:pPr>
              <w:ind w:left="14" w:right="0"/>
            </w:pPr>
            <w:r w:rsidRPr="00FF6225">
              <w:t>Dose</w:t>
            </w:r>
            <w:r w:rsidRPr="00FF6225">
              <w:rPr>
                <w:vertAlign w:val="superscript"/>
              </w:rPr>
              <w:t>b</w:t>
            </w:r>
            <w:r w:rsidRPr="00FF6225">
              <w:br/>
              <w:t>(mg/kg/day)</w:t>
            </w:r>
          </w:p>
        </w:tc>
        <w:tc>
          <w:tcPr>
            <w:tcW w:w="216" w:type="pct"/>
            <w:vMerge w:val="restart"/>
          </w:tcPr>
          <w:p w:rsidR="00B52397" w:rsidRPr="00FF6225" w:rsidRDefault="00B52397" w:rsidP="00C17A70">
            <w:pPr>
              <w:ind w:left="22" w:right="0" w:firstLine="1"/>
            </w:pPr>
          </w:p>
        </w:tc>
        <w:tc>
          <w:tcPr>
            <w:tcW w:w="1230" w:type="pct"/>
            <w:gridSpan w:val="2"/>
            <w:hideMark/>
          </w:tcPr>
          <w:p w:rsidR="00B52397" w:rsidRPr="00FF6225" w:rsidRDefault="00B52397" w:rsidP="00C17A70">
            <w:pPr>
              <w:ind w:left="0" w:right="0"/>
            </w:pPr>
            <w:r w:rsidRPr="00FF6225">
              <w:t>AUC</w:t>
            </w:r>
            <w:r w:rsidRPr="00FF6225">
              <w:rPr>
                <w:vertAlign w:val="subscript"/>
              </w:rPr>
              <w:t>0–24</w:t>
            </w:r>
            <w:r w:rsidRPr="00FF6225">
              <w:rPr>
                <w:w w:val="50"/>
                <w:vertAlign w:val="subscript"/>
              </w:rPr>
              <w:t> </w:t>
            </w:r>
            <w:r w:rsidRPr="00FF6225">
              <w:rPr>
                <w:vertAlign w:val="subscript"/>
              </w:rPr>
              <w:t xml:space="preserve">h </w:t>
            </w:r>
            <w:r w:rsidRPr="00FF6225">
              <w:t>(µg∙h/mL)</w:t>
            </w:r>
          </w:p>
        </w:tc>
        <w:tc>
          <w:tcPr>
            <w:tcW w:w="1137" w:type="pct"/>
            <w:gridSpan w:val="2"/>
            <w:hideMark/>
          </w:tcPr>
          <w:p w:rsidR="00B52397" w:rsidRPr="00FF6225" w:rsidRDefault="00B52397" w:rsidP="00C17A70">
            <w:pPr>
              <w:ind w:left="0" w:right="0"/>
            </w:pPr>
            <w:r w:rsidRPr="00FF6225">
              <w:t>Exposure ratio</w:t>
            </w:r>
            <w:r w:rsidRPr="00FF6225">
              <w:rPr>
                <w:vertAlign w:val="superscript"/>
              </w:rPr>
              <w:t>c</w:t>
            </w:r>
          </w:p>
        </w:tc>
      </w:tr>
      <w:tr w:rsidR="00C17A70" w:rsidTr="00B45B28">
        <w:trPr>
          <w:cnfStyle w:val="100000000000" w:firstRow="1" w:lastRow="0" w:firstColumn="0" w:lastColumn="0" w:oddVBand="0" w:evenVBand="0" w:oddHBand="0" w:evenHBand="0" w:firstRowFirstColumn="0" w:firstRowLastColumn="0" w:lastRowFirstColumn="0" w:lastRowLastColumn="0"/>
        </w:trPr>
        <w:tc>
          <w:tcPr>
            <w:tcW w:w="564" w:type="pct"/>
            <w:vMerge/>
            <w:hideMark/>
          </w:tcPr>
          <w:p w:rsidR="00B52397" w:rsidRPr="00FF6225" w:rsidRDefault="00B52397" w:rsidP="00C17A70">
            <w:pPr>
              <w:ind w:left="0" w:right="10"/>
            </w:pPr>
          </w:p>
        </w:tc>
        <w:tc>
          <w:tcPr>
            <w:tcW w:w="1088" w:type="pct"/>
            <w:vMerge/>
            <w:hideMark/>
          </w:tcPr>
          <w:p w:rsidR="00B52397" w:rsidRPr="00FF6225" w:rsidRDefault="00B52397" w:rsidP="00C17A70">
            <w:pPr>
              <w:ind w:left="13" w:right="0"/>
            </w:pPr>
          </w:p>
        </w:tc>
        <w:tc>
          <w:tcPr>
            <w:tcW w:w="765" w:type="pct"/>
            <w:vMerge/>
            <w:hideMark/>
          </w:tcPr>
          <w:p w:rsidR="00B52397" w:rsidRPr="00FF6225" w:rsidRDefault="00B52397" w:rsidP="00C17A70">
            <w:pPr>
              <w:ind w:left="14" w:right="0"/>
            </w:pPr>
          </w:p>
        </w:tc>
        <w:tc>
          <w:tcPr>
            <w:tcW w:w="216" w:type="pct"/>
            <w:vMerge/>
            <w:hideMark/>
          </w:tcPr>
          <w:p w:rsidR="00B52397" w:rsidRPr="00FF6225" w:rsidRDefault="00B52397" w:rsidP="00C17A70">
            <w:pPr>
              <w:ind w:left="107" w:hanging="84"/>
            </w:pPr>
          </w:p>
        </w:tc>
        <w:tc>
          <w:tcPr>
            <w:tcW w:w="635" w:type="pct"/>
            <w:hideMark/>
          </w:tcPr>
          <w:p w:rsidR="00B52397" w:rsidRPr="00FF6225" w:rsidRDefault="00B52397" w:rsidP="00C17A70">
            <w:pPr>
              <w:ind w:left="0" w:right="0"/>
            </w:pPr>
            <w:r w:rsidRPr="00FF6225">
              <w:t>Macitentan</w:t>
            </w:r>
          </w:p>
        </w:tc>
        <w:tc>
          <w:tcPr>
            <w:tcW w:w="595" w:type="pct"/>
            <w:hideMark/>
          </w:tcPr>
          <w:p w:rsidR="00B52397" w:rsidRPr="00FF6225" w:rsidRDefault="00B52397" w:rsidP="00C17A70">
            <w:pPr>
              <w:ind w:left="0" w:right="0"/>
            </w:pPr>
            <w:r w:rsidRPr="00FF6225">
              <w:t>ACT-132577</w:t>
            </w:r>
          </w:p>
        </w:tc>
        <w:tc>
          <w:tcPr>
            <w:tcW w:w="630" w:type="pct"/>
            <w:hideMark/>
          </w:tcPr>
          <w:p w:rsidR="00B52397" w:rsidRPr="00FF6225" w:rsidRDefault="00B52397" w:rsidP="00C17A70">
            <w:pPr>
              <w:ind w:left="0" w:right="0"/>
            </w:pPr>
            <w:r w:rsidRPr="00FF6225">
              <w:t>Macitentan</w:t>
            </w:r>
          </w:p>
        </w:tc>
        <w:tc>
          <w:tcPr>
            <w:tcW w:w="507" w:type="pct"/>
          </w:tcPr>
          <w:p w:rsidR="00B52397" w:rsidRPr="00FF6225" w:rsidRDefault="00B52397" w:rsidP="00C17A70">
            <w:pPr>
              <w:ind w:left="0" w:right="0"/>
            </w:pPr>
            <w:r w:rsidRPr="00FF6225">
              <w:t>ACT-132577</w:t>
            </w:r>
          </w:p>
        </w:tc>
      </w:tr>
      <w:tr w:rsidR="00C17A70" w:rsidTr="00B45B28">
        <w:trPr>
          <w:trHeight w:val="640"/>
        </w:trPr>
        <w:tc>
          <w:tcPr>
            <w:tcW w:w="564" w:type="pct"/>
            <w:vMerge w:val="restart"/>
            <w:hideMark/>
          </w:tcPr>
          <w:p w:rsidR="00B52397" w:rsidRPr="00FF6225" w:rsidRDefault="00B52397" w:rsidP="00C17A70">
            <w:pPr>
              <w:ind w:left="0" w:right="10"/>
            </w:pPr>
            <w:r w:rsidRPr="00FF6225">
              <w:rPr>
                <w:b/>
              </w:rPr>
              <w:t>Rat</w:t>
            </w:r>
            <w:r w:rsidRPr="00FF6225">
              <w:br/>
              <w:t>(Wistar)</w:t>
            </w:r>
          </w:p>
        </w:tc>
        <w:tc>
          <w:tcPr>
            <w:tcW w:w="1088" w:type="pct"/>
            <w:hideMark/>
          </w:tcPr>
          <w:p w:rsidR="00B52397" w:rsidRPr="00FF6225" w:rsidRDefault="00B52397" w:rsidP="00C17A70">
            <w:pPr>
              <w:ind w:left="13" w:right="0"/>
            </w:pPr>
            <w:r w:rsidRPr="00FF6225">
              <w:t>Embryofetal development</w:t>
            </w:r>
            <w:r w:rsidRPr="00FF6225">
              <w:br/>
              <w:t>(T-05.008)</w:t>
            </w:r>
          </w:p>
        </w:tc>
        <w:tc>
          <w:tcPr>
            <w:tcW w:w="765" w:type="pct"/>
            <w:hideMark/>
          </w:tcPr>
          <w:p w:rsidR="00B52397" w:rsidRPr="00FF6225" w:rsidRDefault="00B52397" w:rsidP="00C17A70">
            <w:pPr>
              <w:ind w:left="14" w:right="0"/>
            </w:pPr>
            <w:r w:rsidRPr="00FF6225">
              <w:t xml:space="preserve">150, </w:t>
            </w:r>
            <w:r w:rsidRPr="00FF6225">
              <w:rPr>
                <w:u w:val="single"/>
              </w:rPr>
              <w:t>450</w:t>
            </w:r>
            <w:r w:rsidRPr="00FF6225">
              <w:rPr>
                <w:vertAlign w:val="superscript"/>
              </w:rPr>
              <w:t>d</w:t>
            </w:r>
          </w:p>
        </w:tc>
        <w:tc>
          <w:tcPr>
            <w:tcW w:w="216" w:type="pct"/>
            <w:hideMark/>
          </w:tcPr>
          <w:p w:rsidR="00B52397" w:rsidRPr="00FF6225" w:rsidRDefault="00B52397" w:rsidP="00C17A70">
            <w:pPr>
              <w:ind w:left="107" w:hanging="84"/>
              <w:rPr>
                <w:rFonts w:ascii="Times New Roman" w:hAnsi="Times New Roman"/>
              </w:rPr>
            </w:pPr>
            <w:r w:rsidRPr="00FF6225">
              <w:rPr>
                <w:rFonts w:ascii="Times New Roman" w:hAnsi="Times New Roman"/>
              </w:rPr>
              <w:t>♀</w:t>
            </w:r>
          </w:p>
        </w:tc>
        <w:tc>
          <w:tcPr>
            <w:tcW w:w="635" w:type="pct"/>
            <w:hideMark/>
          </w:tcPr>
          <w:p w:rsidR="00B52397" w:rsidRPr="00FF6225" w:rsidRDefault="00B52397" w:rsidP="00C17A70">
            <w:pPr>
              <w:ind w:left="0" w:right="0"/>
            </w:pPr>
            <w:r w:rsidRPr="00FF6225">
              <w:t xml:space="preserve">552, </w:t>
            </w:r>
            <w:r w:rsidRPr="00FF6225">
              <w:rPr>
                <w:u w:val="single"/>
              </w:rPr>
              <w:t>726</w:t>
            </w:r>
            <w:r w:rsidRPr="00FF6225">
              <w:t xml:space="preserve"> (GD17)</w:t>
            </w:r>
          </w:p>
        </w:tc>
        <w:tc>
          <w:tcPr>
            <w:tcW w:w="595" w:type="pct"/>
            <w:hideMark/>
          </w:tcPr>
          <w:p w:rsidR="00B52397" w:rsidRPr="00FF6225" w:rsidRDefault="00B52397" w:rsidP="00C17A70">
            <w:pPr>
              <w:ind w:left="0" w:right="0"/>
            </w:pPr>
            <w:r w:rsidRPr="00FF6225">
              <w:t xml:space="preserve">477, </w:t>
            </w:r>
            <w:r w:rsidRPr="00FF6225">
              <w:rPr>
                <w:u w:val="single"/>
              </w:rPr>
              <w:t>823</w:t>
            </w:r>
            <w:r w:rsidRPr="00FF6225">
              <w:t xml:space="preserve"> (GD17)</w:t>
            </w:r>
          </w:p>
        </w:tc>
        <w:tc>
          <w:tcPr>
            <w:tcW w:w="630" w:type="pct"/>
            <w:hideMark/>
          </w:tcPr>
          <w:p w:rsidR="00B52397" w:rsidRPr="00FF6225" w:rsidRDefault="00B52397" w:rsidP="00C17A70">
            <w:pPr>
              <w:ind w:left="0" w:right="0"/>
            </w:pPr>
            <w:r w:rsidRPr="00FF6225">
              <w:t xml:space="preserve">102, </w:t>
            </w:r>
            <w:r w:rsidRPr="00FF6225">
              <w:rPr>
                <w:u w:val="single"/>
              </w:rPr>
              <w:t>134</w:t>
            </w:r>
          </w:p>
        </w:tc>
        <w:tc>
          <w:tcPr>
            <w:tcW w:w="507" w:type="pct"/>
          </w:tcPr>
          <w:p w:rsidR="00B52397" w:rsidRPr="00FF6225" w:rsidRDefault="00B52397" w:rsidP="00C17A70">
            <w:pPr>
              <w:ind w:left="0" w:right="0"/>
            </w:pPr>
            <w:r w:rsidRPr="00FF6225">
              <w:t xml:space="preserve">31, </w:t>
            </w:r>
            <w:r w:rsidRPr="00FF6225">
              <w:rPr>
                <w:u w:val="single"/>
              </w:rPr>
              <w:t>53</w:t>
            </w:r>
          </w:p>
        </w:tc>
      </w:tr>
      <w:tr w:rsidR="00C17A70" w:rsidTr="00B45B28">
        <w:trPr>
          <w:trHeight w:val="520"/>
        </w:trPr>
        <w:tc>
          <w:tcPr>
            <w:tcW w:w="564" w:type="pct"/>
            <w:vMerge/>
            <w:hideMark/>
          </w:tcPr>
          <w:p w:rsidR="00B52397" w:rsidRPr="00FF6225" w:rsidRDefault="00B52397" w:rsidP="00C17A70">
            <w:pPr>
              <w:ind w:left="0" w:right="10"/>
            </w:pPr>
          </w:p>
        </w:tc>
        <w:tc>
          <w:tcPr>
            <w:tcW w:w="1088" w:type="pct"/>
            <w:hideMark/>
          </w:tcPr>
          <w:p w:rsidR="00B52397" w:rsidRPr="00FF6225" w:rsidRDefault="00B52397" w:rsidP="00C17A70">
            <w:pPr>
              <w:ind w:left="13" w:right="0"/>
            </w:pPr>
            <w:r w:rsidRPr="00FF6225">
              <w:t>Pre-/Postnatal development</w:t>
            </w:r>
            <w:r w:rsidRPr="00FF6225">
              <w:br/>
              <w:t>(T-09.617)</w:t>
            </w:r>
          </w:p>
        </w:tc>
        <w:tc>
          <w:tcPr>
            <w:tcW w:w="765" w:type="pct"/>
            <w:hideMark/>
          </w:tcPr>
          <w:p w:rsidR="00B52397" w:rsidRPr="00FF6225" w:rsidRDefault="00B52397" w:rsidP="00C17A70">
            <w:pPr>
              <w:ind w:left="14" w:right="0"/>
            </w:pPr>
            <w:r w:rsidRPr="00FF6225">
              <w:t>10, 50, 250</w:t>
            </w:r>
          </w:p>
        </w:tc>
        <w:tc>
          <w:tcPr>
            <w:tcW w:w="216" w:type="pct"/>
            <w:hideMark/>
          </w:tcPr>
          <w:p w:rsidR="00B52397" w:rsidRPr="00FF6225" w:rsidRDefault="00B52397" w:rsidP="00C17A70">
            <w:pPr>
              <w:ind w:left="107" w:hanging="84"/>
            </w:pPr>
            <w:r w:rsidRPr="00FF6225">
              <w:rPr>
                <w:rFonts w:ascii="Times New Roman" w:hAnsi="Times New Roman"/>
              </w:rPr>
              <w:t>♀</w:t>
            </w:r>
          </w:p>
        </w:tc>
        <w:tc>
          <w:tcPr>
            <w:tcW w:w="635" w:type="pct"/>
            <w:hideMark/>
          </w:tcPr>
          <w:p w:rsidR="00B52397" w:rsidRPr="00FF6225" w:rsidRDefault="00B52397" w:rsidP="00C17A70">
            <w:pPr>
              <w:ind w:left="0" w:right="0"/>
            </w:pPr>
            <w:r w:rsidRPr="00FF6225">
              <w:t>69.1, 143, 294 (PND12)</w:t>
            </w:r>
          </w:p>
        </w:tc>
        <w:tc>
          <w:tcPr>
            <w:tcW w:w="595" w:type="pct"/>
            <w:hideMark/>
          </w:tcPr>
          <w:p w:rsidR="00B52397" w:rsidRPr="00FF6225" w:rsidRDefault="00B52397" w:rsidP="00C17A70">
            <w:pPr>
              <w:ind w:left="0" w:right="0"/>
            </w:pPr>
            <w:r w:rsidRPr="00FF6225">
              <w:t>69.8, 185, 375 (PND12)</w:t>
            </w:r>
          </w:p>
        </w:tc>
        <w:tc>
          <w:tcPr>
            <w:tcW w:w="630" w:type="pct"/>
            <w:hideMark/>
          </w:tcPr>
          <w:p w:rsidR="00B52397" w:rsidRPr="00FF6225" w:rsidRDefault="00B52397" w:rsidP="00C17A70">
            <w:pPr>
              <w:ind w:left="0" w:right="0"/>
            </w:pPr>
            <w:r w:rsidRPr="00FF6225">
              <w:t>13, 26, 54</w:t>
            </w:r>
          </w:p>
        </w:tc>
        <w:tc>
          <w:tcPr>
            <w:tcW w:w="507" w:type="pct"/>
          </w:tcPr>
          <w:p w:rsidR="00B52397" w:rsidRPr="00FF6225" w:rsidRDefault="00B52397" w:rsidP="00C17A70">
            <w:pPr>
              <w:ind w:left="0" w:right="0"/>
            </w:pPr>
            <w:r w:rsidRPr="00FF6225">
              <w:t>4.5, 12, 24</w:t>
            </w:r>
          </w:p>
        </w:tc>
      </w:tr>
      <w:tr w:rsidR="00C17A70" w:rsidTr="00B45B28">
        <w:trPr>
          <w:trHeight w:val="227"/>
        </w:trPr>
        <w:tc>
          <w:tcPr>
            <w:tcW w:w="564" w:type="pct"/>
            <w:vMerge/>
            <w:hideMark/>
          </w:tcPr>
          <w:p w:rsidR="00B52397" w:rsidRPr="00FF6225" w:rsidRDefault="00B52397" w:rsidP="00C17A70">
            <w:pPr>
              <w:ind w:left="0" w:right="10"/>
              <w:rPr>
                <w:rFonts w:eastAsia="Times New Roman"/>
              </w:rPr>
            </w:pPr>
          </w:p>
        </w:tc>
        <w:tc>
          <w:tcPr>
            <w:tcW w:w="1088" w:type="pct"/>
            <w:vMerge w:val="restart"/>
            <w:hideMark/>
          </w:tcPr>
          <w:p w:rsidR="00B52397" w:rsidRPr="00FF6225" w:rsidRDefault="00B52397" w:rsidP="00C17A70">
            <w:pPr>
              <w:ind w:left="13" w:right="0"/>
            </w:pPr>
            <w:r w:rsidRPr="00FF6225">
              <w:t>Juvenile development</w:t>
            </w:r>
            <w:r w:rsidRPr="00FF6225">
              <w:br/>
              <w:t>(T-11.001)</w:t>
            </w:r>
          </w:p>
        </w:tc>
        <w:tc>
          <w:tcPr>
            <w:tcW w:w="765" w:type="pct"/>
            <w:vMerge w:val="restart"/>
            <w:hideMark/>
          </w:tcPr>
          <w:p w:rsidR="00B52397" w:rsidRPr="00FF6225" w:rsidRDefault="00B52397" w:rsidP="00C17A70">
            <w:pPr>
              <w:ind w:left="14" w:right="0"/>
            </w:pPr>
            <w:r w:rsidRPr="00FF6225">
              <w:rPr>
                <w:b/>
              </w:rPr>
              <w:t>3</w:t>
            </w:r>
            <w:r w:rsidRPr="00FF6225">
              <w:t>, 10, 30</w:t>
            </w:r>
          </w:p>
        </w:tc>
        <w:tc>
          <w:tcPr>
            <w:tcW w:w="216" w:type="pct"/>
            <w:hideMark/>
          </w:tcPr>
          <w:p w:rsidR="00B52397" w:rsidRPr="00FF6225" w:rsidRDefault="00B52397" w:rsidP="00C17A70">
            <w:pPr>
              <w:ind w:left="107" w:hanging="84"/>
            </w:pPr>
            <w:r w:rsidRPr="00FF6225">
              <w:rPr>
                <w:rFonts w:ascii="Times New Roman" w:hAnsi="Times New Roman"/>
              </w:rPr>
              <w:t>♂</w:t>
            </w:r>
          </w:p>
        </w:tc>
        <w:tc>
          <w:tcPr>
            <w:tcW w:w="635" w:type="pct"/>
            <w:hideMark/>
          </w:tcPr>
          <w:p w:rsidR="00B52397" w:rsidRPr="00FF6225" w:rsidRDefault="00B52397" w:rsidP="00C17A70">
            <w:pPr>
              <w:ind w:left="0" w:right="0"/>
            </w:pPr>
            <w:r w:rsidRPr="00FF6225">
              <w:rPr>
                <w:b/>
                <w:u w:val="single"/>
              </w:rPr>
              <w:t>&gt;3.9</w:t>
            </w:r>
            <w:r w:rsidRPr="00FF6225">
              <w:t>, 16.8, 22.2 (PND69)</w:t>
            </w:r>
          </w:p>
        </w:tc>
        <w:tc>
          <w:tcPr>
            <w:tcW w:w="595" w:type="pct"/>
            <w:hideMark/>
          </w:tcPr>
          <w:p w:rsidR="00B52397" w:rsidRPr="00FF6225" w:rsidRDefault="00B52397" w:rsidP="00C17A70">
            <w:pPr>
              <w:ind w:left="0" w:right="0"/>
            </w:pPr>
            <w:r w:rsidRPr="00FF6225">
              <w:rPr>
                <w:b/>
                <w:u w:val="single"/>
              </w:rPr>
              <w:t>&gt;32.4</w:t>
            </w:r>
            <w:r w:rsidRPr="00FF6225">
              <w:t>, 64.0, 121 (PND69)</w:t>
            </w:r>
          </w:p>
        </w:tc>
        <w:tc>
          <w:tcPr>
            <w:tcW w:w="630" w:type="pct"/>
            <w:hideMark/>
          </w:tcPr>
          <w:p w:rsidR="00B52397" w:rsidRPr="00FF6225" w:rsidRDefault="00B52397" w:rsidP="00C17A70">
            <w:pPr>
              <w:ind w:left="0" w:right="0"/>
            </w:pPr>
            <w:r w:rsidRPr="00FF6225">
              <w:rPr>
                <w:b/>
                <w:u w:val="single"/>
              </w:rPr>
              <w:t>&gt;0.7</w:t>
            </w:r>
            <w:r w:rsidRPr="00FF6225">
              <w:t>, 3.1, 4.1</w:t>
            </w:r>
          </w:p>
        </w:tc>
        <w:tc>
          <w:tcPr>
            <w:tcW w:w="507" w:type="pct"/>
          </w:tcPr>
          <w:p w:rsidR="00B52397" w:rsidRPr="00FF6225" w:rsidRDefault="00B52397" w:rsidP="00C17A70">
            <w:pPr>
              <w:ind w:left="0" w:right="0"/>
            </w:pPr>
            <w:r w:rsidRPr="00FF6225">
              <w:rPr>
                <w:b/>
                <w:u w:val="single"/>
              </w:rPr>
              <w:t>2.1</w:t>
            </w:r>
            <w:r w:rsidRPr="00FF6225">
              <w:t>, 4.1, 7.8</w:t>
            </w:r>
          </w:p>
        </w:tc>
      </w:tr>
      <w:tr w:rsidR="00C17A70" w:rsidTr="00B45B28">
        <w:trPr>
          <w:trHeight w:val="227"/>
        </w:trPr>
        <w:tc>
          <w:tcPr>
            <w:tcW w:w="564" w:type="pct"/>
            <w:vMerge/>
            <w:hideMark/>
          </w:tcPr>
          <w:p w:rsidR="00B52397" w:rsidRPr="00FF6225" w:rsidRDefault="00B52397" w:rsidP="00C17A70">
            <w:pPr>
              <w:ind w:left="0" w:right="10"/>
              <w:rPr>
                <w:rFonts w:eastAsia="Times New Roman"/>
              </w:rPr>
            </w:pPr>
          </w:p>
        </w:tc>
        <w:tc>
          <w:tcPr>
            <w:tcW w:w="1088" w:type="pct"/>
            <w:vMerge/>
            <w:hideMark/>
          </w:tcPr>
          <w:p w:rsidR="00B52397" w:rsidRPr="00FF6225" w:rsidRDefault="00B52397" w:rsidP="00C17A70">
            <w:pPr>
              <w:ind w:left="13" w:right="0"/>
              <w:rPr>
                <w:rFonts w:eastAsia="Times New Roman"/>
              </w:rPr>
            </w:pPr>
          </w:p>
        </w:tc>
        <w:tc>
          <w:tcPr>
            <w:tcW w:w="765" w:type="pct"/>
            <w:vMerge/>
            <w:hideMark/>
          </w:tcPr>
          <w:p w:rsidR="00B52397" w:rsidRPr="00FF6225" w:rsidRDefault="00B52397" w:rsidP="00C17A70">
            <w:pPr>
              <w:ind w:left="14" w:right="0"/>
              <w:rPr>
                <w:rFonts w:eastAsia="Times New Roman"/>
              </w:rPr>
            </w:pPr>
          </w:p>
        </w:tc>
        <w:tc>
          <w:tcPr>
            <w:tcW w:w="216" w:type="pct"/>
            <w:hideMark/>
          </w:tcPr>
          <w:p w:rsidR="00B52397" w:rsidRPr="00FF6225" w:rsidRDefault="00B52397" w:rsidP="00C17A70">
            <w:pPr>
              <w:ind w:left="107" w:hanging="84"/>
            </w:pPr>
            <w:r w:rsidRPr="00FF6225">
              <w:rPr>
                <w:rFonts w:ascii="Times New Roman" w:hAnsi="Times New Roman"/>
              </w:rPr>
              <w:t>♀</w:t>
            </w:r>
          </w:p>
        </w:tc>
        <w:tc>
          <w:tcPr>
            <w:tcW w:w="635" w:type="pct"/>
            <w:hideMark/>
          </w:tcPr>
          <w:p w:rsidR="00B52397" w:rsidRPr="00FF6225" w:rsidRDefault="00B52397" w:rsidP="00C17A70">
            <w:pPr>
              <w:ind w:left="0" w:right="0"/>
            </w:pPr>
            <w:r w:rsidRPr="00FF6225">
              <w:rPr>
                <w:b/>
                <w:u w:val="single"/>
              </w:rPr>
              <w:t>32.9</w:t>
            </w:r>
            <w:r w:rsidRPr="00FF6225">
              <w:t>, 53.4, 102 (PND69)</w:t>
            </w:r>
          </w:p>
        </w:tc>
        <w:tc>
          <w:tcPr>
            <w:tcW w:w="595" w:type="pct"/>
            <w:hideMark/>
          </w:tcPr>
          <w:p w:rsidR="00B52397" w:rsidRPr="00FF6225" w:rsidRDefault="00B52397" w:rsidP="00C17A70">
            <w:pPr>
              <w:ind w:left="0" w:right="0"/>
            </w:pPr>
            <w:r w:rsidRPr="00FF6225">
              <w:rPr>
                <w:b/>
                <w:u w:val="single"/>
              </w:rPr>
              <w:t>34.9</w:t>
            </w:r>
            <w:r w:rsidRPr="00FF6225">
              <w:t>, 66.7, 111 (PND69)</w:t>
            </w:r>
          </w:p>
        </w:tc>
        <w:tc>
          <w:tcPr>
            <w:tcW w:w="630" w:type="pct"/>
            <w:hideMark/>
          </w:tcPr>
          <w:p w:rsidR="00B52397" w:rsidRPr="00FF6225" w:rsidRDefault="00B52397" w:rsidP="00C17A70">
            <w:pPr>
              <w:ind w:left="0" w:right="0"/>
            </w:pPr>
            <w:r w:rsidRPr="00FF6225">
              <w:rPr>
                <w:b/>
                <w:u w:val="single"/>
              </w:rPr>
              <w:t>6.1</w:t>
            </w:r>
            <w:r w:rsidRPr="00FF6225">
              <w:t>, 9.9, 19</w:t>
            </w:r>
          </w:p>
        </w:tc>
        <w:tc>
          <w:tcPr>
            <w:tcW w:w="507" w:type="pct"/>
          </w:tcPr>
          <w:p w:rsidR="00B52397" w:rsidRPr="00FF6225" w:rsidRDefault="00B52397" w:rsidP="00C17A70">
            <w:pPr>
              <w:ind w:left="0" w:right="0"/>
            </w:pPr>
            <w:r w:rsidRPr="00FF6225">
              <w:rPr>
                <w:b/>
                <w:u w:val="single"/>
              </w:rPr>
              <w:t>2.2</w:t>
            </w:r>
            <w:r w:rsidRPr="00FF6225">
              <w:t>, 4.3, 7.1</w:t>
            </w:r>
          </w:p>
        </w:tc>
      </w:tr>
      <w:tr w:rsidR="00C17A70" w:rsidTr="00B45B28">
        <w:trPr>
          <w:trHeight w:val="640"/>
        </w:trPr>
        <w:tc>
          <w:tcPr>
            <w:tcW w:w="564" w:type="pct"/>
            <w:hideMark/>
          </w:tcPr>
          <w:p w:rsidR="00B52397" w:rsidRPr="00FF6225" w:rsidRDefault="00B52397" w:rsidP="00C17A70">
            <w:pPr>
              <w:ind w:left="0" w:right="10"/>
              <w:rPr>
                <w:rFonts w:eastAsia="Times New Roman"/>
              </w:rPr>
            </w:pPr>
            <w:r w:rsidRPr="00FF6225">
              <w:rPr>
                <w:rFonts w:eastAsia="Times New Roman"/>
                <w:b/>
              </w:rPr>
              <w:lastRenderedPageBreak/>
              <w:t>Rabbit</w:t>
            </w:r>
            <w:r w:rsidRPr="00FF6225">
              <w:rPr>
                <w:rFonts w:eastAsia="Times New Roman"/>
              </w:rPr>
              <w:br/>
              <w:t>(NZW)</w:t>
            </w:r>
          </w:p>
        </w:tc>
        <w:tc>
          <w:tcPr>
            <w:tcW w:w="1088" w:type="pct"/>
            <w:hideMark/>
          </w:tcPr>
          <w:p w:rsidR="00B52397" w:rsidRPr="00FF6225" w:rsidRDefault="00B52397" w:rsidP="00C17A70">
            <w:pPr>
              <w:ind w:left="13" w:right="0"/>
            </w:pPr>
            <w:r w:rsidRPr="00FF6225">
              <w:t>Embryofetal development</w:t>
            </w:r>
            <w:r w:rsidRPr="00FF6225">
              <w:br/>
              <w:t>(T-05.029)</w:t>
            </w:r>
          </w:p>
        </w:tc>
        <w:tc>
          <w:tcPr>
            <w:tcW w:w="765" w:type="pct"/>
            <w:hideMark/>
          </w:tcPr>
          <w:p w:rsidR="00B52397" w:rsidRPr="00FF6225" w:rsidRDefault="00B52397" w:rsidP="00C17A70">
            <w:pPr>
              <w:ind w:left="14" w:right="0"/>
            </w:pPr>
            <w:r w:rsidRPr="00FF6225">
              <w:t xml:space="preserve">2.5, 12.5, </w:t>
            </w:r>
            <w:r w:rsidRPr="00FF6225">
              <w:rPr>
                <w:u w:val="single"/>
              </w:rPr>
              <w:t>25</w:t>
            </w:r>
          </w:p>
        </w:tc>
        <w:tc>
          <w:tcPr>
            <w:tcW w:w="216" w:type="pct"/>
            <w:hideMark/>
          </w:tcPr>
          <w:p w:rsidR="00B52397" w:rsidRPr="00FF6225" w:rsidRDefault="00B52397" w:rsidP="00C17A70">
            <w:pPr>
              <w:ind w:left="107" w:hanging="84"/>
            </w:pPr>
            <w:r w:rsidRPr="00FF6225">
              <w:rPr>
                <w:rFonts w:ascii="Times New Roman" w:hAnsi="Times New Roman"/>
              </w:rPr>
              <w:t>♀</w:t>
            </w:r>
          </w:p>
        </w:tc>
        <w:tc>
          <w:tcPr>
            <w:tcW w:w="635" w:type="pct"/>
            <w:hideMark/>
          </w:tcPr>
          <w:p w:rsidR="00B52397" w:rsidRPr="00FF6225" w:rsidRDefault="00B52397" w:rsidP="00C17A70">
            <w:pPr>
              <w:ind w:left="0" w:right="0"/>
            </w:pPr>
            <w:r w:rsidRPr="00FF6225">
              <w:t xml:space="preserve">118, 323, </w:t>
            </w:r>
            <w:r w:rsidRPr="00FF6225">
              <w:rPr>
                <w:u w:val="single"/>
              </w:rPr>
              <w:t>396</w:t>
            </w:r>
            <w:r w:rsidRPr="00FF6225">
              <w:t xml:space="preserve"> (GD19)</w:t>
            </w:r>
          </w:p>
        </w:tc>
        <w:tc>
          <w:tcPr>
            <w:tcW w:w="595" w:type="pct"/>
            <w:hideMark/>
          </w:tcPr>
          <w:p w:rsidR="00B52397" w:rsidRPr="00FF6225" w:rsidRDefault="00B52397" w:rsidP="00C17A70">
            <w:pPr>
              <w:ind w:left="0" w:right="0"/>
            </w:pPr>
            <w:r w:rsidRPr="00FF6225">
              <w:t xml:space="preserve">520, 2280, </w:t>
            </w:r>
            <w:r w:rsidRPr="00FF6225">
              <w:rPr>
                <w:u w:val="single"/>
              </w:rPr>
              <w:t>4290</w:t>
            </w:r>
            <w:r w:rsidRPr="00FF6225">
              <w:t xml:space="preserve"> (GD19)</w:t>
            </w:r>
          </w:p>
        </w:tc>
        <w:tc>
          <w:tcPr>
            <w:tcW w:w="630" w:type="pct"/>
            <w:hideMark/>
          </w:tcPr>
          <w:p w:rsidR="00B52397" w:rsidRPr="00FF6225" w:rsidRDefault="00B52397" w:rsidP="00C17A70">
            <w:pPr>
              <w:ind w:left="0" w:right="0"/>
            </w:pPr>
            <w:r w:rsidRPr="00FF6225">
              <w:t xml:space="preserve">22, 60, </w:t>
            </w:r>
            <w:r w:rsidRPr="00FF6225">
              <w:rPr>
                <w:u w:val="single"/>
              </w:rPr>
              <w:t>73</w:t>
            </w:r>
          </w:p>
        </w:tc>
        <w:tc>
          <w:tcPr>
            <w:tcW w:w="507" w:type="pct"/>
          </w:tcPr>
          <w:p w:rsidR="00B52397" w:rsidRPr="00FF6225" w:rsidRDefault="00B52397" w:rsidP="00C17A70">
            <w:pPr>
              <w:ind w:left="0" w:right="0"/>
            </w:pPr>
            <w:r w:rsidRPr="00FF6225">
              <w:t xml:space="preserve">33, 147, </w:t>
            </w:r>
            <w:r w:rsidRPr="00FF6225">
              <w:rPr>
                <w:u w:val="single"/>
              </w:rPr>
              <w:t>276</w:t>
            </w:r>
          </w:p>
        </w:tc>
      </w:tr>
      <w:tr w:rsidR="00C17A70" w:rsidTr="00B45B28">
        <w:trPr>
          <w:trHeight w:val="227"/>
        </w:trPr>
        <w:tc>
          <w:tcPr>
            <w:tcW w:w="564" w:type="pct"/>
            <w:hideMark/>
          </w:tcPr>
          <w:p w:rsidR="00B52397" w:rsidRPr="00FF6225" w:rsidRDefault="00B52397" w:rsidP="00C17A70">
            <w:pPr>
              <w:ind w:left="0" w:right="10"/>
            </w:pPr>
            <w:r w:rsidRPr="00FF6225">
              <w:rPr>
                <w:b/>
              </w:rPr>
              <w:t>Human</w:t>
            </w:r>
            <w:r w:rsidRPr="00FF6225">
              <w:br/>
              <w:t>(healthy</w:t>
            </w:r>
            <w:r w:rsidRPr="00FF6225">
              <w:br/>
              <w:t>volunteers)</w:t>
            </w:r>
          </w:p>
        </w:tc>
        <w:tc>
          <w:tcPr>
            <w:tcW w:w="1088" w:type="pct"/>
            <w:hideMark/>
          </w:tcPr>
          <w:p w:rsidR="00B52397" w:rsidRPr="00FF6225" w:rsidRDefault="00B52397" w:rsidP="00C17A70">
            <w:pPr>
              <w:ind w:left="13" w:right="0"/>
            </w:pPr>
            <w:r w:rsidRPr="00FF6225">
              <w:t>steady state‒ 10 days (D-06.044 (AC-055-102))</w:t>
            </w:r>
          </w:p>
        </w:tc>
        <w:tc>
          <w:tcPr>
            <w:tcW w:w="765" w:type="pct"/>
            <w:hideMark/>
          </w:tcPr>
          <w:p w:rsidR="00B52397" w:rsidRPr="00FF6225" w:rsidRDefault="00B52397" w:rsidP="00C17A70">
            <w:pPr>
              <w:ind w:left="14" w:right="0"/>
            </w:pPr>
            <w:r w:rsidRPr="00FF6225">
              <w:t>[10 mg]</w:t>
            </w:r>
          </w:p>
        </w:tc>
        <w:tc>
          <w:tcPr>
            <w:tcW w:w="216" w:type="pct"/>
            <w:hideMark/>
          </w:tcPr>
          <w:p w:rsidR="00B52397" w:rsidRPr="00FF6225" w:rsidRDefault="00B52397" w:rsidP="00C17A70">
            <w:pPr>
              <w:ind w:left="107" w:hanging="84"/>
            </w:pPr>
            <w:r w:rsidRPr="00FF6225">
              <w:rPr>
                <w:rFonts w:ascii="Times New Roman" w:hAnsi="Times New Roman"/>
              </w:rPr>
              <w:t>♂</w:t>
            </w:r>
          </w:p>
        </w:tc>
        <w:tc>
          <w:tcPr>
            <w:tcW w:w="635" w:type="pct"/>
            <w:hideMark/>
          </w:tcPr>
          <w:p w:rsidR="00B52397" w:rsidRPr="00FF6225" w:rsidRDefault="00B52397" w:rsidP="00C17A70">
            <w:pPr>
              <w:ind w:left="0" w:right="0"/>
            </w:pPr>
            <w:r w:rsidRPr="00FF6225">
              <w:t>5.40</w:t>
            </w:r>
          </w:p>
        </w:tc>
        <w:tc>
          <w:tcPr>
            <w:tcW w:w="595" w:type="pct"/>
            <w:hideMark/>
          </w:tcPr>
          <w:p w:rsidR="00B52397" w:rsidRPr="00FF6225" w:rsidRDefault="00B52397" w:rsidP="00C17A70">
            <w:pPr>
              <w:ind w:left="0" w:right="0"/>
            </w:pPr>
            <w:r w:rsidRPr="00FF6225">
              <w:t>15.54</w:t>
            </w:r>
          </w:p>
        </w:tc>
        <w:tc>
          <w:tcPr>
            <w:tcW w:w="630" w:type="pct"/>
            <w:hideMark/>
          </w:tcPr>
          <w:p w:rsidR="00B52397" w:rsidRPr="00FF6225" w:rsidRDefault="00B52397" w:rsidP="00C17A70">
            <w:pPr>
              <w:ind w:left="0" w:right="0"/>
            </w:pPr>
            <w:r w:rsidRPr="00FF6225">
              <w:t>‒</w:t>
            </w:r>
          </w:p>
        </w:tc>
        <w:tc>
          <w:tcPr>
            <w:tcW w:w="507" w:type="pct"/>
          </w:tcPr>
          <w:p w:rsidR="00B52397" w:rsidRPr="00FF6225" w:rsidRDefault="00B52397" w:rsidP="00C17A70">
            <w:pPr>
              <w:ind w:left="0" w:right="0"/>
            </w:pPr>
            <w:r w:rsidRPr="00FF6225">
              <w:t>–</w:t>
            </w:r>
          </w:p>
        </w:tc>
      </w:tr>
    </w:tbl>
    <w:p w:rsidR="00014FC0" w:rsidRPr="00B52397" w:rsidRDefault="00B52397" w:rsidP="00C17A70">
      <w:pPr>
        <w:pStyle w:val="TableDescription"/>
      </w:pPr>
      <w:proofErr w:type="gramStart"/>
      <w:r w:rsidRPr="00B52397">
        <w:rPr>
          <w:vertAlign w:val="superscript"/>
        </w:rPr>
        <w:t>a</w:t>
      </w:r>
      <w:r w:rsidRPr="00B52397">
        <w:t>All</w:t>
      </w:r>
      <w:proofErr w:type="gramEnd"/>
      <w:r w:rsidRPr="00B52397">
        <w:t xml:space="preserve"> listed studies are GLP compliant; </w:t>
      </w:r>
      <w:r w:rsidRPr="00B52397">
        <w:rPr>
          <w:vertAlign w:val="superscript"/>
        </w:rPr>
        <w:t>b</w:t>
      </w:r>
      <w:r w:rsidRPr="00B52397">
        <w:t xml:space="preserve">doses given po (gavage); </w:t>
      </w:r>
      <w:r w:rsidRPr="00B52397">
        <w:rPr>
          <w:vertAlign w:val="superscript"/>
        </w:rPr>
        <w:t>c</w:t>
      </w:r>
      <w:r w:rsidRPr="00B52397">
        <w:t xml:space="preserve">animal:human plasma AUC </w:t>
      </w:r>
      <w:r w:rsidRPr="00B52397">
        <w:rPr>
          <w:vertAlign w:val="subscript"/>
        </w:rPr>
        <w:t>0-24h</w:t>
      </w:r>
      <w:r w:rsidRPr="00B52397">
        <w:t xml:space="preserve">; </w:t>
      </w:r>
      <w:r w:rsidRPr="00B52397">
        <w:rPr>
          <w:vertAlign w:val="superscript"/>
        </w:rPr>
        <w:t>d</w:t>
      </w:r>
      <w:r w:rsidRPr="00B52397">
        <w:t>values at NOAEL dose for maternal toxicity are underlined and for juvenile toxicity are bolded and underlines (NOAEL values for embryofetal development were &lt; LD). As indicated in the table, exposure ratios at maternal NOAEL doses, for both rat and rabbits, were &gt; 50, however, embryofetal development was much more sensitive to the test article and NOAEL doses were not identified for either species.</w:t>
      </w:r>
    </w:p>
    <w:p w:rsidR="00B52397" w:rsidRPr="00B52397" w:rsidRDefault="00B52397" w:rsidP="009901E6">
      <w:r w:rsidRPr="00B52397">
        <w:t>Male rats treated for ≥</w:t>
      </w:r>
      <w:r>
        <w:t xml:space="preserve"> </w:t>
      </w:r>
      <w:r w:rsidRPr="00B52397">
        <w:t>10 weeks and female rats treated for ≥</w:t>
      </w:r>
      <w:r>
        <w:t xml:space="preserve"> three</w:t>
      </w:r>
      <w:r w:rsidRPr="00B52397">
        <w:t xml:space="preserve"> weeks with relatively high macitentan doses (NOAEL = 250 mg/kg/day) showed no effects on fertility. However, oral dosing of pregnant rats and rabbits with macitentan produced significant post-implantation loss and an increased incidence of mandibular arch fusion and cardiovascular abnormalities. For example, all rabbit fetuses from does dosed orally from GD6‒GD19 at 12.5 mg/kg/day of macitentan showed mandibular arch fusion abnormalities and about a quarter showed cardiovascular abnormalities. It was concluded that macitentan is fetotoxic at high doses and teratogenic at all doses tested. The teratogenicity of macitentan is a known drug class effect for ET-1 receptor antagonists, which recapitulates effects seen in fetuses with gene knockouts of ET-1 or the ETA receptor, and may be due to inhibition of migration and/or proliferation of cranial neural crest cells (</w:t>
      </w:r>
      <w:r>
        <w:t xml:space="preserve">for example, </w:t>
      </w:r>
      <w:r w:rsidRPr="00B52397">
        <w:t>Spence et al. 1999</w:t>
      </w:r>
      <w:r>
        <w:rPr>
          <w:rStyle w:val="FootnoteReference"/>
        </w:rPr>
        <w:footnoteReference w:id="9"/>
      </w:r>
      <w:r w:rsidRPr="00B52397">
        <w:t>). Placental transfer of macitentan was not examined; however, the lack of such data is of little consequence given the demonstrated teratogenicity of this drug.</w:t>
      </w:r>
    </w:p>
    <w:p w:rsidR="00B52397" w:rsidRPr="0021616F" w:rsidRDefault="00B52397" w:rsidP="009901E6">
      <w:r w:rsidRPr="00B52397">
        <w:t>Oral dosing of rats, from late pregnancy through lactation, at macitentan doses producing exposure ratios of approximately 10 or greater, produced significant increases in pup deaths, reduction in fertility of offspring, and histological changes in pups (including enlarged periportal hepatocytes, bile duct hyperplasia, and tubular atrophy of testis).</w:t>
      </w:r>
      <w:r>
        <w:t xml:space="preserve"> Consistent with these findings, macitentan and its metabolites were shown to be excreted into milk by rats.</w:t>
      </w:r>
    </w:p>
    <w:p w:rsidR="00B52397" w:rsidRPr="009901E6" w:rsidRDefault="00B52397" w:rsidP="009901E6">
      <w:pPr>
        <w:pStyle w:val="Heading5"/>
      </w:pPr>
      <w:r>
        <w:t>Pregnancy classification</w:t>
      </w:r>
    </w:p>
    <w:p w:rsidR="00B52397" w:rsidRPr="00942FFA" w:rsidRDefault="00B52397" w:rsidP="009901E6">
      <w:r w:rsidRPr="004D61EA">
        <w:t>The sponsor has proposed Pregnancy Category X</w:t>
      </w:r>
      <w:r w:rsidR="004D61EA" w:rsidRPr="004D61EA">
        <w:t>. Category X covers</w:t>
      </w:r>
      <w:r w:rsidR="004D61EA">
        <w:t xml:space="preserve"> ‘d</w:t>
      </w:r>
      <w:r w:rsidR="004D61EA" w:rsidRPr="004D61EA">
        <w:t>rugs which have such a high risk of causing permanent damage to the fetus that they should not be used in pregnancy or when there is a possibility of pregnancy</w:t>
      </w:r>
      <w:r w:rsidR="004D61EA">
        <w:t>’</w:t>
      </w:r>
      <w:r w:rsidRPr="004D61EA">
        <w:t>. This category is appropriate given the experimental findings that macitentan is fetotoxic and teratogenic.</w:t>
      </w:r>
    </w:p>
    <w:p w:rsidR="00B52397" w:rsidRDefault="00B52397" w:rsidP="009901E6">
      <w:pPr>
        <w:pStyle w:val="Heading4"/>
      </w:pPr>
      <w:r w:rsidRPr="009901E6">
        <w:lastRenderedPageBreak/>
        <w:t>Impurities</w:t>
      </w:r>
    </w:p>
    <w:p w:rsidR="00B52397" w:rsidRPr="00882067" w:rsidRDefault="00B52397" w:rsidP="009901E6">
      <w:r w:rsidRPr="00882067">
        <w:t>A repeat-dose toxicity study in rats suggested that the levels of two impurities in the drug substance/product were not of toxicological concern. All macitentan impurities were negative for genotoxic potential in the Ames assay using predictive computer programs, and the major impurity was confirmed as being negative in actual Ames assay testing.</w:t>
      </w:r>
    </w:p>
    <w:p w:rsidR="00B52397" w:rsidRPr="00D14021" w:rsidRDefault="00B52397" w:rsidP="009901E6">
      <w:pPr>
        <w:pStyle w:val="Heading4"/>
      </w:pPr>
      <w:r w:rsidRPr="009901E6">
        <w:t>Paediatric</w:t>
      </w:r>
      <w:r w:rsidRPr="00D14021">
        <w:t xml:space="preserve"> use</w:t>
      </w:r>
    </w:p>
    <w:p w:rsidR="00B52397" w:rsidRPr="00882067" w:rsidRDefault="00B52397" w:rsidP="009901E6">
      <w:r w:rsidRPr="00882067">
        <w:t xml:space="preserve">Macitentan is intended for use by persons of 12 years of age and over. The safety of macitentan use in young animals was tested by daily oral dosing of Wistar rats from PND4‒69. The NOAEL dose from this study produced exposure ratios of approximately </w:t>
      </w:r>
      <w:r w:rsidR="00987074">
        <w:t>6</w:t>
      </w:r>
      <w:r w:rsidRPr="00882067">
        <w:t xml:space="preserve"> or less for macitentan and about </w:t>
      </w:r>
      <w:r w:rsidR="00882067">
        <w:t>two</w:t>
      </w:r>
      <w:r w:rsidRPr="00882067">
        <w:t xml:space="preserve"> for ACT-132577 (see </w:t>
      </w:r>
      <w:r w:rsidR="00882067">
        <w:t>‘</w:t>
      </w:r>
      <w:r w:rsidRPr="00882067">
        <w:t>juvenile development</w:t>
      </w:r>
      <w:r w:rsidR="00882067">
        <w:t>’</w:t>
      </w:r>
      <w:r w:rsidRPr="00882067">
        <w:t xml:space="preserve"> study in </w:t>
      </w:r>
      <w:r w:rsidR="00F55ED2" w:rsidRPr="00F55ED2">
        <w:t>T</w:t>
      </w:r>
      <w:r w:rsidRPr="00F55ED2">
        <w:t>able</w:t>
      </w:r>
      <w:r w:rsidR="00882067" w:rsidRPr="00F55ED2">
        <w:t xml:space="preserve"> </w:t>
      </w:r>
      <w:r w:rsidR="00F55ED2" w:rsidRPr="00F55ED2">
        <w:t>4</w:t>
      </w:r>
      <w:r w:rsidR="00F55ED2">
        <w:t xml:space="preserve"> above</w:t>
      </w:r>
      <w:r w:rsidRPr="00F55ED2">
        <w:t>).</w:t>
      </w:r>
      <w:r w:rsidRPr="00882067">
        <w:t xml:space="preserve"> These values are not markedly different from those for more mature animals.</w:t>
      </w:r>
    </w:p>
    <w:p w:rsidR="00B52397" w:rsidRDefault="00B52397" w:rsidP="009901E6">
      <w:pPr>
        <w:pStyle w:val="Heading4"/>
      </w:pPr>
      <w:r w:rsidRPr="009901E6">
        <w:t>Phototoxicity</w:t>
      </w:r>
    </w:p>
    <w:p w:rsidR="00B52397" w:rsidRPr="00882067" w:rsidRDefault="00B52397" w:rsidP="009901E6">
      <w:r w:rsidRPr="00882067">
        <w:t>Macitentan contains two bromine-substituted moieties which may potentially undergo photocleavage reactions, raising the possibility of photosensitisation. Exposure of mouse Balb/c 3T3 fibroblasts to macitentan with or without ultraviolet-</w:t>
      </w:r>
      <w:proofErr w:type="gramStart"/>
      <w:r w:rsidRPr="00882067">
        <w:t>A</w:t>
      </w:r>
      <w:proofErr w:type="gramEnd"/>
      <w:r w:rsidRPr="00882067">
        <w:t xml:space="preserve"> irradiation produced a modest increase in phototoxicity. However, no evidence of photosensitisation was observed in an in vivo study in macitentan-treated hairless rats. The weight of evidence suggests that photosensitisation should not be an issue for macitentan-treated patients.</w:t>
      </w:r>
    </w:p>
    <w:p w:rsidR="008E7846" w:rsidRPr="009901E6" w:rsidRDefault="008E7846" w:rsidP="009901E6">
      <w:pPr>
        <w:pStyle w:val="Heading3"/>
      </w:pPr>
      <w:bookmarkStart w:id="51" w:name="startRMP"/>
      <w:bookmarkStart w:id="52" w:name="_Toc247691515"/>
      <w:bookmarkStart w:id="53" w:name="_Toc314842499"/>
      <w:bookmarkStart w:id="54" w:name="_Toc391645275"/>
      <w:bookmarkEnd w:id="51"/>
      <w:r>
        <w:t>Nonclinical summary and conclusions</w:t>
      </w:r>
      <w:bookmarkEnd w:id="52"/>
      <w:bookmarkEnd w:id="53"/>
      <w:bookmarkEnd w:id="54"/>
    </w:p>
    <w:p w:rsidR="00C92010" w:rsidRPr="00C92010" w:rsidRDefault="00C92010" w:rsidP="009901E6">
      <w:pPr>
        <w:pStyle w:val="ListBullet"/>
      </w:pPr>
      <w:r w:rsidRPr="00C92010">
        <w:t>The nonclinical studies presented were comprehensive and had no major deficiencies.</w:t>
      </w:r>
    </w:p>
    <w:p w:rsidR="00C92010" w:rsidRPr="00C92010" w:rsidRDefault="00C92010" w:rsidP="009901E6">
      <w:pPr>
        <w:pStyle w:val="ListBullet"/>
      </w:pPr>
      <w:r w:rsidRPr="00C92010">
        <w:t xml:space="preserve">Results of the primary pharmacology </w:t>
      </w:r>
      <w:r w:rsidRPr="009901E6">
        <w:t>studies</w:t>
      </w:r>
      <w:r w:rsidRPr="00C92010">
        <w:t xml:space="preserve"> support the use of macitentan for the treatment of PAH.</w:t>
      </w:r>
    </w:p>
    <w:p w:rsidR="00C92010" w:rsidRPr="00C92010" w:rsidRDefault="00C92010" w:rsidP="009901E6">
      <w:pPr>
        <w:pStyle w:val="ListBullet"/>
      </w:pPr>
      <w:r w:rsidRPr="00C92010">
        <w:t xml:space="preserve">Secondary </w:t>
      </w:r>
      <w:r>
        <w:t>PD</w:t>
      </w:r>
      <w:r w:rsidRPr="00C92010">
        <w:t xml:space="preserve"> and safety </w:t>
      </w:r>
      <w:r w:rsidRPr="009901E6">
        <w:t>pharmacology</w:t>
      </w:r>
      <w:r w:rsidRPr="00C92010">
        <w:t xml:space="preserve"> studies did not identify any unexpected clinical hazards.</w:t>
      </w:r>
    </w:p>
    <w:p w:rsidR="00C92010" w:rsidRPr="00C92010" w:rsidRDefault="00C92010" w:rsidP="009901E6">
      <w:pPr>
        <w:pStyle w:val="ListBullet"/>
      </w:pPr>
      <w:r w:rsidRPr="00C92010">
        <w:t xml:space="preserve">Drug interaction studies suggested </w:t>
      </w:r>
      <w:r w:rsidRPr="009901E6">
        <w:t>that</w:t>
      </w:r>
      <w:r w:rsidRPr="00C92010">
        <w:t xml:space="preserve"> macitentan and its metabolites are unlikely to change the </w:t>
      </w:r>
      <w:r>
        <w:t>PK</w:t>
      </w:r>
      <w:r w:rsidRPr="00C92010">
        <w:t xml:space="preserve"> of co-administered drugs via inhibition of CYP enzyme metabolism or inhibition of the membrane transporter proteins.</w:t>
      </w:r>
    </w:p>
    <w:p w:rsidR="00C92010" w:rsidRPr="00C92010" w:rsidRDefault="00C92010" w:rsidP="009901E6">
      <w:pPr>
        <w:pStyle w:val="ListBullet"/>
      </w:pPr>
      <w:r w:rsidRPr="00C92010">
        <w:t>Target organs identified in repeat-dose toxicity studies included liver, haemopoietic system, testis, and vasculature.</w:t>
      </w:r>
    </w:p>
    <w:p w:rsidR="00C92010" w:rsidRPr="00C92010" w:rsidRDefault="00C92010" w:rsidP="009901E6">
      <w:pPr>
        <w:pStyle w:val="ListBullet"/>
      </w:pPr>
      <w:r w:rsidRPr="00C92010">
        <w:t xml:space="preserve">Liver effects were not of clinical </w:t>
      </w:r>
      <w:r w:rsidRPr="009901E6">
        <w:t>concern</w:t>
      </w:r>
      <w:r w:rsidRPr="00C92010">
        <w:t xml:space="preserve"> as they were primarily adaptive in nature and only occurred at very high relative exposure margins. Moreover, neither macitentan nor its active metabolite inhibited bile salt transport.</w:t>
      </w:r>
    </w:p>
    <w:p w:rsidR="00C92010" w:rsidRPr="00C92010" w:rsidRDefault="00C92010" w:rsidP="009901E6">
      <w:pPr>
        <w:pStyle w:val="ListBullet"/>
      </w:pPr>
      <w:r w:rsidRPr="00C92010">
        <w:t xml:space="preserve">Dose-related, reversible decreases in </w:t>
      </w:r>
      <w:r w:rsidRPr="009901E6">
        <w:t>haematocrit</w:t>
      </w:r>
      <w:r w:rsidRPr="00C92010">
        <w:t xml:space="preserve">, RBC count and haemoglobin were observed in nonclinical studies and are a known clinical adverse effect of macitentan and other </w:t>
      </w:r>
      <w:r w:rsidR="00F55ED2">
        <w:t>ERA</w:t>
      </w:r>
      <w:r w:rsidR="009901E6">
        <w:t>s.</w:t>
      </w:r>
    </w:p>
    <w:p w:rsidR="00C92010" w:rsidRPr="00C92010" w:rsidRDefault="00C92010" w:rsidP="009901E6">
      <w:pPr>
        <w:pStyle w:val="ListBullet"/>
      </w:pPr>
      <w:r w:rsidRPr="00C92010">
        <w:t xml:space="preserve">Dog studies </w:t>
      </w:r>
      <w:r w:rsidRPr="009901E6">
        <w:t>showed</w:t>
      </w:r>
      <w:r w:rsidRPr="00C92010">
        <w:t xml:space="preserve"> induction of multicentric arteritis/periarteritis in the heart and other organs at clinical exposure levels and extramural arterial intimal thickening at higher exposure levels. Endothelin antagonist-induced arteritis in dogs (not seen in rats or mice) has been well described in the literature and appears to be a species-specific effect. While the mechanism remains unclear, it is not associated with systemic vasodilation, hypotension, and reflex tachycardia that are easy to monitor in patients.</w:t>
      </w:r>
    </w:p>
    <w:p w:rsidR="00C92010" w:rsidRPr="00C92010" w:rsidRDefault="00C92010" w:rsidP="009901E6">
      <w:pPr>
        <w:pStyle w:val="ListBullet"/>
      </w:pPr>
      <w:r w:rsidRPr="00C92010">
        <w:t xml:space="preserve">The clinical relevance of the various observed effects of macitentan on the testicles and sperm in rats and dogs at </w:t>
      </w:r>
      <w:r w:rsidRPr="009901E6">
        <w:t>relatively</w:t>
      </w:r>
      <w:r w:rsidRPr="00C92010">
        <w:t xml:space="preserve"> low exposure margins cannot be fully </w:t>
      </w:r>
      <w:r w:rsidRPr="00C92010">
        <w:lastRenderedPageBreak/>
        <w:t>excluded. The findings are appropriately summari</w:t>
      </w:r>
      <w:r w:rsidR="00F55ED2">
        <w:t>s</w:t>
      </w:r>
      <w:r w:rsidRPr="00C92010">
        <w:t xml:space="preserve">ed both in the nonclinical safety concern section of the Risk Management Plan </w:t>
      </w:r>
      <w:r w:rsidR="00C81A95">
        <w:t xml:space="preserve">(RMP) </w:t>
      </w:r>
      <w:r w:rsidRPr="00C92010">
        <w:t>and in the “Male Fertility” section of the PI under P</w:t>
      </w:r>
      <w:r>
        <w:t>recautions</w:t>
      </w:r>
      <w:r w:rsidRPr="00C92010">
        <w:t>.</w:t>
      </w:r>
    </w:p>
    <w:p w:rsidR="00C92010" w:rsidRPr="00C92010" w:rsidRDefault="00C92010" w:rsidP="009901E6">
      <w:pPr>
        <w:pStyle w:val="ListBullet"/>
      </w:pPr>
      <w:r w:rsidRPr="00C92010">
        <w:t xml:space="preserve">There was no evidence to </w:t>
      </w:r>
      <w:r w:rsidRPr="009901E6">
        <w:t>suggest</w:t>
      </w:r>
      <w:r w:rsidRPr="00C92010">
        <w:t xml:space="preserve"> that macitentan poses a genotoxic or carcinogenic risk.</w:t>
      </w:r>
    </w:p>
    <w:p w:rsidR="00C92010" w:rsidRPr="00C92010" w:rsidRDefault="00C92010" w:rsidP="009901E6">
      <w:pPr>
        <w:pStyle w:val="ListBullet"/>
      </w:pPr>
      <w:r w:rsidRPr="00C92010">
        <w:t xml:space="preserve">Macitentan was teratogenic in animal models and was appropriately categorised as </w:t>
      </w:r>
      <w:r w:rsidRPr="004D61EA">
        <w:t>Pregnancy Category X.</w:t>
      </w:r>
    </w:p>
    <w:p w:rsidR="00C92010" w:rsidRPr="00C92010" w:rsidRDefault="00C92010" w:rsidP="009901E6">
      <w:pPr>
        <w:pStyle w:val="ListBullet"/>
      </w:pPr>
      <w:r w:rsidRPr="00C92010">
        <w:t xml:space="preserve">There are no nonclinical </w:t>
      </w:r>
      <w:r w:rsidRPr="009901E6">
        <w:t>objections</w:t>
      </w:r>
      <w:r w:rsidRPr="00C92010">
        <w:t xml:space="preserve"> to the registration of macitentan.</w:t>
      </w:r>
    </w:p>
    <w:p w:rsidR="00C92010" w:rsidRPr="00C92010" w:rsidRDefault="00C92010" w:rsidP="009901E6">
      <w:pPr>
        <w:pStyle w:val="ListBullet"/>
      </w:pPr>
      <w:r w:rsidRPr="00C92010">
        <w:t xml:space="preserve">The drafts of the RMP and of </w:t>
      </w:r>
      <w:r w:rsidRPr="009901E6">
        <w:t>the</w:t>
      </w:r>
      <w:r w:rsidRPr="00C92010">
        <w:t xml:space="preserve"> P</w:t>
      </w:r>
      <w:r w:rsidR="0011222B">
        <w:t>I</w:t>
      </w:r>
      <w:r w:rsidRPr="00C92010">
        <w:t xml:space="preserve"> should be amended</w:t>
      </w:r>
      <w:r>
        <w:t>.</w:t>
      </w:r>
    </w:p>
    <w:p w:rsidR="008E7846" w:rsidRPr="00E317A3" w:rsidRDefault="008E7846" w:rsidP="00E317A3">
      <w:pPr>
        <w:pStyle w:val="Heading2"/>
      </w:pPr>
      <w:bookmarkStart w:id="55" w:name="_Toc196046462"/>
      <w:bookmarkStart w:id="56" w:name="_Toc247691516"/>
      <w:bookmarkStart w:id="57" w:name="_Toc314842500"/>
      <w:bookmarkStart w:id="58" w:name="_Toc163441353"/>
      <w:bookmarkStart w:id="59" w:name="_Toc163441348"/>
      <w:bookmarkStart w:id="60" w:name="_Toc391645276"/>
      <w:r>
        <w:t xml:space="preserve">IV. </w:t>
      </w:r>
      <w:r w:rsidRPr="00254787">
        <w:t>Clinical</w:t>
      </w:r>
      <w:bookmarkEnd w:id="55"/>
      <w:r>
        <w:t xml:space="preserve"> </w:t>
      </w:r>
      <w:r w:rsidR="003A7F6C">
        <w:t>f</w:t>
      </w:r>
      <w:r>
        <w:t>indings</w:t>
      </w:r>
      <w:bookmarkEnd w:id="56"/>
      <w:bookmarkEnd w:id="57"/>
      <w:bookmarkEnd w:id="60"/>
    </w:p>
    <w:p w:rsidR="00C80137" w:rsidRPr="003B0D6F" w:rsidRDefault="00C80137" w:rsidP="00E317A3">
      <w:bookmarkStart w:id="61" w:name="_Toc196046463"/>
      <w:r w:rsidRPr="003B0D6F">
        <w:t>A summary of the clinical findings is presented in this section. Further details of these clinical findings can be found in Attachment 2.</w:t>
      </w:r>
    </w:p>
    <w:p w:rsidR="003B0D6F" w:rsidRPr="00E317A3" w:rsidRDefault="003B0D6F" w:rsidP="00E317A3">
      <w:pPr>
        <w:pStyle w:val="Heading3"/>
      </w:pPr>
      <w:bookmarkStart w:id="62" w:name="_Toc391645277"/>
      <w:bookmarkEnd w:id="61"/>
      <w:r>
        <w:t xml:space="preserve">Clinical </w:t>
      </w:r>
      <w:r w:rsidR="00E317A3">
        <w:t>r</w:t>
      </w:r>
      <w:r>
        <w:t>ationale</w:t>
      </w:r>
      <w:bookmarkEnd w:id="62"/>
    </w:p>
    <w:p w:rsidR="003B0D6F" w:rsidRPr="00EB0746" w:rsidRDefault="003B0D6F" w:rsidP="008E1160">
      <w:r w:rsidRPr="00EB0746">
        <w:t>PAH is characterised by vasculopathy and remodelling of the pulmonary circulation resulting in narrowing of the arterial lumen and impaired vasodilation. This leads to an increase in pulmonary arterial pressure and pulmonary vascular resistance, which limits the ability of the right ventricle to pump blood through the lungs and thus causing shortness of breath, and eventually resulting in right heart failure and death. According to the sponsor, the pathophysiology of PAH is not fully understood, but is thought to involve abnormal interactions between endothelial and smooth muscle cells, leading to vasoconstriction, vascular smooth muscle cell proliferation, vascular endothelial proliferation, and in-situ thrombosis. Mediators of these pathological changes include an up-regulated ET-1 system, defective prostacyclin synthase activity, and abnormalities of the nitric oxide pathway. Current pharmacological therapies for PAH are therefore targeted towards these three mediator pathways: ERA</w:t>
      </w:r>
      <w:r w:rsidR="00F55ED2">
        <w:t>s</w:t>
      </w:r>
      <w:r w:rsidRPr="00EB0746">
        <w:t xml:space="preserve"> which inhibit the effects of elevated ET-1 levels and thus reducing vasoconstriction, smooth muscle cell proliferation and pulmonary vessel fibrosis; prostacyclin analogs which relax and reduce proliferation of vascular smooth muscle cells; and PDE-5 inhibitors which potentiate the anti-platelet, anti-proliferative, and vasodilatory effects of nitric oxide.</w:t>
      </w:r>
    </w:p>
    <w:p w:rsidR="003B0D6F" w:rsidRPr="00EB0746" w:rsidRDefault="003B0D6F" w:rsidP="008E1160">
      <w:r w:rsidRPr="00EB0746">
        <w:t xml:space="preserve">According to the sponsor, medications currently approved for the treatment of PAH have mainly shown benefits in terms of symptom relief, which were evaluated mostly as improvement in exercise capacity in relatively short-term, placebo-controlled studies in selected populations. Long-term clinical outcome (morbidity and mortality) had not been investigated as primary endpoints in controlled trials beyond </w:t>
      </w:r>
      <w:r>
        <w:t>three</w:t>
      </w:r>
      <w:r w:rsidRPr="00EB0746">
        <w:t xml:space="preserve"> to </w:t>
      </w:r>
      <w:r>
        <w:t>six</w:t>
      </w:r>
      <w:r w:rsidRPr="00EB0746">
        <w:t xml:space="preserve"> months of treatment. The sponsor was therefore of the opinion that there was an unmet medical need in the availability of a pharmacological agent with demonstrated benefit for long-term clinical outcome (morbidity and mortality) in patients with PAH. In addition, the sponsor was of the opinion that macitentan could have potentially better efficacy and safety characteristics compared to currently approved ERAs, in view of its high affinity and sustained occupancy of endothelin receptors, and </w:t>
      </w:r>
      <w:r w:rsidR="0011222B">
        <w:t>PK</w:t>
      </w:r>
      <w:r w:rsidRPr="00EB0746">
        <w:t xml:space="preserve"> characteristics consistent with once-daily dosing.</w:t>
      </w:r>
    </w:p>
    <w:p w:rsidR="003B0D6F" w:rsidRPr="00EB0746" w:rsidRDefault="003B0D6F" w:rsidP="008E1160">
      <w:pPr>
        <w:ind w:left="720"/>
      </w:pPr>
      <w:r w:rsidRPr="00EB0746">
        <w:t>Comments:</w:t>
      </w:r>
      <w:r>
        <w:t xml:space="preserve"> </w:t>
      </w:r>
      <w:r w:rsidRPr="00EB0746">
        <w:t xml:space="preserve">The clinical rationale is sound. The currently approved ERAs for the </w:t>
      </w:r>
      <w:r>
        <w:t>t</w:t>
      </w:r>
      <w:r w:rsidRPr="00EB0746">
        <w:t xml:space="preserve">reatment of PAH in Australia are bosentan and ambrisentan. Bosentan has a recommended dosing regimen of 125 mg twice daily per oral, and is approved for the indications for </w:t>
      </w:r>
      <w:r>
        <w:t>‘</w:t>
      </w:r>
      <w:r w:rsidRPr="00EB0746">
        <w:t>the treatment of</w:t>
      </w:r>
    </w:p>
    <w:p w:rsidR="003B0D6F" w:rsidRPr="00EB0746" w:rsidRDefault="003B0D6F" w:rsidP="008E1160">
      <w:pPr>
        <w:pStyle w:val="ListBullet"/>
      </w:pPr>
      <w:r w:rsidRPr="00EB0746">
        <w:t xml:space="preserve">idiopathic </w:t>
      </w:r>
      <w:r w:rsidR="00D32A10">
        <w:t>PAH</w:t>
      </w:r>
    </w:p>
    <w:p w:rsidR="003B0D6F" w:rsidRPr="00EB0746" w:rsidRDefault="003B0D6F" w:rsidP="008E1160">
      <w:pPr>
        <w:pStyle w:val="ListBullet"/>
      </w:pPr>
      <w:r w:rsidRPr="00EB0746">
        <w:lastRenderedPageBreak/>
        <w:t xml:space="preserve">familial </w:t>
      </w:r>
      <w:r w:rsidR="00D32A10">
        <w:t>PAH</w:t>
      </w:r>
    </w:p>
    <w:p w:rsidR="003B0D6F" w:rsidRPr="00EB0746" w:rsidRDefault="00D32A10" w:rsidP="008E1160">
      <w:pPr>
        <w:pStyle w:val="ListBullet"/>
      </w:pPr>
      <w:r>
        <w:t>PAH</w:t>
      </w:r>
      <w:r w:rsidR="008E1160">
        <w:t xml:space="preserve"> associated with scleroderma or</w:t>
      </w:r>
    </w:p>
    <w:p w:rsidR="003B0D6F" w:rsidRPr="00EB0746" w:rsidRDefault="00D32A10" w:rsidP="008E1160">
      <w:pPr>
        <w:pStyle w:val="ListBullet"/>
      </w:pPr>
      <w:r>
        <w:t>PAH</w:t>
      </w:r>
      <w:r w:rsidR="003B0D6F" w:rsidRPr="00EB0746">
        <w:t xml:space="preserve"> associated with congenital systemic to pulmonary shunts including Eisenmenger’s physiology in patients with WHO </w:t>
      </w:r>
      <w:r w:rsidR="0007068D">
        <w:t>F</w:t>
      </w:r>
      <w:r w:rsidR="003B0D6F" w:rsidRPr="00EB0746">
        <w:t>unctional Class</w:t>
      </w:r>
      <w:r w:rsidR="0007068D">
        <w:t xml:space="preserve"> (FC)</w:t>
      </w:r>
      <w:r w:rsidR="003B0D6F" w:rsidRPr="00EB0746">
        <w:t xml:space="preserve"> II, III or IV symptoms</w:t>
      </w:r>
      <w:r w:rsidR="003B0D6F">
        <w:t>’</w:t>
      </w:r>
      <w:r w:rsidR="003B0D6F" w:rsidRPr="00EB0746">
        <w:rPr>
          <w:vertAlign w:val="superscript"/>
        </w:rPr>
        <w:footnoteReference w:id="10"/>
      </w:r>
    </w:p>
    <w:p w:rsidR="003B0D6F" w:rsidRPr="00EB0746" w:rsidRDefault="003B0D6F" w:rsidP="008E1160">
      <w:r w:rsidRPr="00EB0746">
        <w:t xml:space="preserve">Ambrisentan has a dosing regimen of 5 mg once daily per oral, and is approved for the indications for </w:t>
      </w:r>
      <w:r>
        <w:t>‘</w:t>
      </w:r>
      <w:r w:rsidRPr="00EB0746">
        <w:t>the treatment of:</w:t>
      </w:r>
    </w:p>
    <w:p w:rsidR="003B0D6F" w:rsidRPr="00EB0746" w:rsidRDefault="008E1160" w:rsidP="008E1160">
      <w:pPr>
        <w:pStyle w:val="ListBullet"/>
      </w:pPr>
      <w:r>
        <w:t>idiopathic PAH,</w:t>
      </w:r>
    </w:p>
    <w:p w:rsidR="003B0D6F" w:rsidRPr="00EB0746" w:rsidRDefault="00D32A10" w:rsidP="008E1160">
      <w:pPr>
        <w:pStyle w:val="ListBullet"/>
      </w:pPr>
      <w:r>
        <w:t>PAH</w:t>
      </w:r>
      <w:r w:rsidR="003B0D6F" w:rsidRPr="00EB0746">
        <w:t xml:space="preserve"> associated with connective tissue disease (PAH-CTD), in patients with WHO </w:t>
      </w:r>
      <w:r w:rsidR="0007068D">
        <w:t>FC</w:t>
      </w:r>
      <w:r w:rsidR="003B0D6F" w:rsidRPr="00EB0746">
        <w:t xml:space="preserve"> II, III or IV symptoms</w:t>
      </w:r>
      <w:r w:rsidR="003B0D6F">
        <w:t>’</w:t>
      </w:r>
      <w:r w:rsidR="003B0D6F" w:rsidRPr="00EB0746">
        <w:rPr>
          <w:vertAlign w:val="superscript"/>
        </w:rPr>
        <w:footnoteReference w:id="11"/>
      </w:r>
    </w:p>
    <w:p w:rsidR="003B0D6F" w:rsidRPr="00EB0746" w:rsidRDefault="003B0D6F" w:rsidP="008E1160">
      <w:r w:rsidRPr="00EB0746">
        <w:t xml:space="preserve">The primary endpoint of the registration Phase III trials for bosentan as well as for ambrisentan, as described in their respective Australian </w:t>
      </w:r>
      <w:r>
        <w:t>PI</w:t>
      </w:r>
      <w:r w:rsidRPr="00EB0746">
        <w:t xml:space="preserve">, was change from baseline in the </w:t>
      </w:r>
      <w:r>
        <w:t>six</w:t>
      </w:r>
      <w:r w:rsidRPr="00EB0746">
        <w:t>-minute walk distance at 12 weeks (</w:t>
      </w:r>
      <w:r>
        <w:t xml:space="preserve">that is, </w:t>
      </w:r>
      <w:r w:rsidRPr="00EB0746">
        <w:t>a measure of improvement in exercise capacity).</w:t>
      </w:r>
    </w:p>
    <w:p w:rsidR="003B0D6F" w:rsidRDefault="003B0D6F" w:rsidP="008E1160">
      <w:pPr>
        <w:pStyle w:val="Heading3"/>
        <w:rPr>
          <w:lang w:eastAsia="en-AU"/>
        </w:rPr>
      </w:pPr>
      <w:bookmarkStart w:id="63" w:name="_Toc383684135"/>
      <w:bookmarkStart w:id="64" w:name="_Toc391645278"/>
      <w:r>
        <w:rPr>
          <w:lang w:eastAsia="en-AU"/>
        </w:rPr>
        <w:t>Contents of the clinical dossier</w:t>
      </w:r>
      <w:bookmarkEnd w:id="63"/>
      <w:bookmarkEnd w:id="64"/>
    </w:p>
    <w:p w:rsidR="003B0D6F" w:rsidRPr="00EB0746" w:rsidRDefault="003B0D6F" w:rsidP="008E1160">
      <w:r w:rsidRPr="00EB0746">
        <w:t>The submission contained the following clinical information:</w:t>
      </w:r>
    </w:p>
    <w:p w:rsidR="003B0D6F" w:rsidRPr="0024585C" w:rsidRDefault="003B0D6F" w:rsidP="008E1160">
      <w:pPr>
        <w:pStyle w:val="ListBullet"/>
      </w:pPr>
      <w:r w:rsidRPr="0024585C">
        <w:t xml:space="preserve">14 clinical pharmacology </w:t>
      </w:r>
      <w:r w:rsidRPr="008E1160">
        <w:t>studies</w:t>
      </w:r>
      <w:r w:rsidRPr="0024585C">
        <w:t>, including 12 that provided PK data and two that provided pharmacodynamic (PD) data.</w:t>
      </w:r>
    </w:p>
    <w:p w:rsidR="003B0D6F" w:rsidRPr="0024585C" w:rsidRDefault="003B0D6F" w:rsidP="008E1160">
      <w:pPr>
        <w:pStyle w:val="ListBullet"/>
      </w:pPr>
      <w:proofErr w:type="gramStart"/>
      <w:r w:rsidRPr="0024585C">
        <w:t>one</w:t>
      </w:r>
      <w:proofErr w:type="gramEnd"/>
      <w:r w:rsidRPr="0024585C">
        <w:t xml:space="preserve"> population PK </w:t>
      </w:r>
      <w:r w:rsidR="001B1149">
        <w:t xml:space="preserve">(PopPK) </w:t>
      </w:r>
      <w:r w:rsidRPr="0024585C">
        <w:t>analysis (sub-study of Study AC-055-302).</w:t>
      </w:r>
    </w:p>
    <w:p w:rsidR="003B0D6F" w:rsidRPr="0024585C" w:rsidRDefault="003B0D6F" w:rsidP="008E1160">
      <w:pPr>
        <w:pStyle w:val="ListBullet"/>
      </w:pPr>
      <w:proofErr w:type="gramStart"/>
      <w:r w:rsidRPr="0024585C">
        <w:t>one</w:t>
      </w:r>
      <w:proofErr w:type="gramEnd"/>
      <w:r w:rsidRPr="0024585C">
        <w:t xml:space="preserve"> pivotal efficacy/safety study (SERAPHIN study [AC-055-302]).</w:t>
      </w:r>
    </w:p>
    <w:p w:rsidR="003B0D6F" w:rsidRPr="0024585C" w:rsidRDefault="003B0D6F" w:rsidP="0024585C">
      <w:pPr>
        <w:pStyle w:val="ListBullet"/>
      </w:pPr>
      <w:r w:rsidRPr="0024585C">
        <w:t>one dose-finding study (Study AC-055-201)</w:t>
      </w:r>
    </w:p>
    <w:p w:rsidR="003B0D6F" w:rsidRPr="0024585C" w:rsidRDefault="003B0D6F" w:rsidP="008E1160">
      <w:pPr>
        <w:pStyle w:val="ListBullet"/>
      </w:pPr>
      <w:proofErr w:type="gramStart"/>
      <w:r w:rsidRPr="0024585C">
        <w:t>one</w:t>
      </w:r>
      <w:proofErr w:type="gramEnd"/>
      <w:r w:rsidRPr="0024585C">
        <w:t xml:space="preserve"> other efficacy/safety </w:t>
      </w:r>
      <w:r w:rsidRPr="008E1160">
        <w:t>study</w:t>
      </w:r>
      <w:r w:rsidRPr="0024585C">
        <w:t xml:space="preserve"> (MUSIC study [AC-055B201]).</w:t>
      </w:r>
    </w:p>
    <w:p w:rsidR="003B0D6F" w:rsidRPr="00E502C8" w:rsidRDefault="003B0D6F" w:rsidP="008E1160">
      <w:r w:rsidRPr="00E502C8">
        <w:t xml:space="preserve">In this evaluation report, Study AC-055-302 (conducted in a PAH patient population) will be evaluated as the pivotal efficacy/safety study, and Study AC-055-201 (conducted in essential hypertension patient population) as a dose-finding study. As per instructions in the TGA’s </w:t>
      </w:r>
      <w:r>
        <w:t>‘</w:t>
      </w:r>
      <w:r w:rsidRPr="00E502C8">
        <w:t>statement of requirements</w:t>
      </w:r>
      <w:r>
        <w:t>’</w:t>
      </w:r>
      <w:r w:rsidRPr="00E502C8">
        <w:t>, Study AC-055B201 will be evaluated for safety only.</w:t>
      </w:r>
    </w:p>
    <w:p w:rsidR="003B0D6F" w:rsidRDefault="003B0D6F" w:rsidP="008E1160">
      <w:pPr>
        <w:pStyle w:val="Heading3"/>
      </w:pPr>
      <w:bookmarkStart w:id="65" w:name="_Toc383684137"/>
      <w:bookmarkStart w:id="66" w:name="_Toc391645279"/>
      <w:r>
        <w:t>Paediatric data</w:t>
      </w:r>
      <w:bookmarkEnd w:id="65"/>
      <w:bookmarkEnd w:id="66"/>
    </w:p>
    <w:p w:rsidR="003B0D6F" w:rsidRPr="00E502C8" w:rsidRDefault="003B0D6F" w:rsidP="008E1160">
      <w:r w:rsidRPr="00E502C8">
        <w:t xml:space="preserve">The submission included paediatric efficacy/safety data, as this application is for the use of macitentan in patients aged 12 years and older. Paediatric efficacy/safety data is only available for the pivotal </w:t>
      </w:r>
      <w:r w:rsidR="00F55ED2">
        <w:t>S</w:t>
      </w:r>
      <w:r w:rsidRPr="00E502C8">
        <w:t>tudy (AC-055-302) which enrolled subjects aged 12 years and above. All other clinical studies submitted in this application did not include any paediatric data.</w:t>
      </w:r>
    </w:p>
    <w:p w:rsidR="003B0D6F" w:rsidRDefault="003B0D6F" w:rsidP="008E1160">
      <w:pPr>
        <w:pStyle w:val="Heading3"/>
      </w:pPr>
      <w:bookmarkStart w:id="67" w:name="_Toc383684138"/>
      <w:bookmarkStart w:id="68" w:name="_Toc391645280"/>
      <w:r>
        <w:t>Good clinical practice</w:t>
      </w:r>
      <w:bookmarkEnd w:id="67"/>
      <w:bookmarkEnd w:id="68"/>
    </w:p>
    <w:p w:rsidR="003B0D6F" w:rsidRPr="00E82370" w:rsidRDefault="003B0D6F" w:rsidP="008E1160">
      <w:bookmarkStart w:id="69" w:name="_Toc241374282"/>
      <w:r w:rsidRPr="00E82370">
        <w:t xml:space="preserve">The clinical studies </w:t>
      </w:r>
      <w:r w:rsidRPr="00E82370">
        <w:rPr>
          <w:lang w:val="en-GB"/>
        </w:rPr>
        <w:t xml:space="preserve">reviewed in this evaluation </w:t>
      </w:r>
      <w:r w:rsidRPr="00E82370">
        <w:t>were in compliance with CPMP/ICH/135/95 Note for Guidance on Good Clinical Practice.</w:t>
      </w:r>
      <w:bookmarkEnd w:id="69"/>
    </w:p>
    <w:p w:rsidR="008E7846" w:rsidRPr="008E1160" w:rsidRDefault="008E7846" w:rsidP="008E1160">
      <w:pPr>
        <w:pStyle w:val="Heading3"/>
      </w:pPr>
      <w:bookmarkStart w:id="70" w:name="_Toc196046464"/>
      <w:bookmarkStart w:id="71" w:name="_Toc247691518"/>
      <w:bookmarkStart w:id="72" w:name="_Toc314842502"/>
      <w:bookmarkStart w:id="73" w:name="_Toc391645281"/>
      <w:r w:rsidRPr="00254787">
        <w:lastRenderedPageBreak/>
        <w:t>Pharmacokinetics</w:t>
      </w:r>
      <w:bookmarkEnd w:id="58"/>
      <w:bookmarkEnd w:id="70"/>
      <w:bookmarkEnd w:id="71"/>
      <w:bookmarkEnd w:id="72"/>
      <w:bookmarkEnd w:id="73"/>
    </w:p>
    <w:p w:rsidR="003B0D6F" w:rsidRPr="00E82370" w:rsidRDefault="003B0D6F" w:rsidP="008E1160">
      <w:pPr>
        <w:pStyle w:val="Heading4"/>
      </w:pPr>
      <w:bookmarkStart w:id="74" w:name="_Ref271017296"/>
      <w:bookmarkStart w:id="75" w:name="_Ref271018924"/>
      <w:bookmarkStart w:id="76" w:name="_Ref271018934"/>
      <w:bookmarkStart w:id="77" w:name="_Toc272414614"/>
      <w:bookmarkStart w:id="78" w:name="_Toc290846238"/>
      <w:bookmarkStart w:id="79" w:name="_Toc368036934"/>
      <w:bookmarkStart w:id="80" w:name="_Toc383684140"/>
      <w:bookmarkStart w:id="81" w:name="_Toc196046481"/>
      <w:bookmarkStart w:id="82" w:name="_Toc247691520"/>
      <w:bookmarkStart w:id="83" w:name="_Toc314842503"/>
      <w:r w:rsidRPr="00E82370">
        <w:t>Studies</w:t>
      </w:r>
      <w:bookmarkEnd w:id="74"/>
      <w:bookmarkEnd w:id="75"/>
      <w:bookmarkEnd w:id="76"/>
      <w:r w:rsidRPr="00E82370">
        <w:t xml:space="preserve"> providing pharmacokinetic data</w:t>
      </w:r>
      <w:bookmarkEnd w:id="77"/>
      <w:bookmarkEnd w:id="78"/>
      <w:bookmarkEnd w:id="79"/>
      <w:bookmarkEnd w:id="80"/>
    </w:p>
    <w:p w:rsidR="003F09D6" w:rsidRDefault="001B1149" w:rsidP="003B0D6F">
      <w:r>
        <w:t>Table 5</w:t>
      </w:r>
      <w:r w:rsidR="003B0D6F" w:rsidRPr="00E82370">
        <w:t xml:space="preserve"> (below) shows the studies relating to each </w:t>
      </w:r>
      <w:r w:rsidR="0011222B">
        <w:t>PK</w:t>
      </w:r>
      <w:r w:rsidR="003B0D6F" w:rsidRPr="00E82370">
        <w:t xml:space="preserve"> topic and the location of each study summary.</w:t>
      </w:r>
    </w:p>
    <w:p w:rsidR="003F09D6" w:rsidRDefault="003F09D6" w:rsidP="008E1160">
      <w:pPr>
        <w:pStyle w:val="TableTitle"/>
      </w:pPr>
      <w:bookmarkStart w:id="84" w:name="_Ref272426277"/>
      <w:bookmarkStart w:id="85" w:name="_Toc290888900"/>
      <w:bookmarkStart w:id="86" w:name="_Toc368037053"/>
      <w:proofErr w:type="gramStart"/>
      <w:r w:rsidRPr="00E82370">
        <w:t>Table</w:t>
      </w:r>
      <w:bookmarkEnd w:id="84"/>
      <w:r w:rsidRPr="00E82370">
        <w:t xml:space="preserve"> </w:t>
      </w:r>
      <w:r w:rsidR="001B1149">
        <w:t>5</w:t>
      </w:r>
      <w:r>
        <w:t>:</w:t>
      </w:r>
      <w:r w:rsidRPr="00E82370">
        <w:t xml:space="preserve"> Submitted pharmacokinetic studies.</w:t>
      </w:r>
      <w:bookmarkEnd w:id="85"/>
      <w:bookmarkEnd w:id="86"/>
      <w:proofErr w:type="gramEnd"/>
    </w:p>
    <w:tbl>
      <w:tblPr>
        <w:tblStyle w:val="TableTGAblue"/>
        <w:tblW w:w="8737" w:type="dxa"/>
        <w:tblLayout w:type="fixed"/>
        <w:tblLook w:val="04A0" w:firstRow="1" w:lastRow="0" w:firstColumn="1" w:lastColumn="0" w:noHBand="0" w:noVBand="1"/>
      </w:tblPr>
      <w:tblGrid>
        <w:gridCol w:w="1612"/>
        <w:gridCol w:w="1507"/>
        <w:gridCol w:w="1507"/>
        <w:gridCol w:w="4111"/>
      </w:tblGrid>
      <w:tr w:rsidR="003F09D6" w:rsidTr="008E1160">
        <w:trPr>
          <w:cnfStyle w:val="100000000000" w:firstRow="1" w:lastRow="0" w:firstColumn="0" w:lastColumn="0" w:oddVBand="0" w:evenVBand="0" w:oddHBand="0" w:evenHBand="0" w:firstRowFirstColumn="0" w:firstRowLastColumn="0" w:lastRowFirstColumn="0" w:lastRowLastColumn="0"/>
          <w:trHeight w:val="186"/>
        </w:trPr>
        <w:tc>
          <w:tcPr>
            <w:tcW w:w="1612" w:type="dxa"/>
          </w:tcPr>
          <w:p w:rsidR="003F09D6" w:rsidRPr="00E502C8" w:rsidRDefault="003F09D6" w:rsidP="008E1160">
            <w:pPr>
              <w:ind w:left="0" w:right="0"/>
            </w:pPr>
            <w:r w:rsidRPr="00E502C8">
              <w:t>PK topic</w:t>
            </w:r>
          </w:p>
        </w:tc>
        <w:tc>
          <w:tcPr>
            <w:tcW w:w="1507" w:type="dxa"/>
          </w:tcPr>
          <w:p w:rsidR="003F09D6" w:rsidRPr="00E502C8" w:rsidRDefault="003F09D6" w:rsidP="008E1160">
            <w:pPr>
              <w:ind w:left="89" w:right="0"/>
            </w:pPr>
            <w:r w:rsidRPr="00E502C8">
              <w:t>Subtopic</w:t>
            </w:r>
          </w:p>
        </w:tc>
        <w:tc>
          <w:tcPr>
            <w:tcW w:w="1507" w:type="dxa"/>
          </w:tcPr>
          <w:p w:rsidR="003F09D6" w:rsidRPr="00E502C8" w:rsidRDefault="003F09D6" w:rsidP="008E1160">
            <w:pPr>
              <w:ind w:left="0" w:right="15"/>
            </w:pPr>
            <w:r w:rsidRPr="00E502C8">
              <w:t>Study ID</w:t>
            </w:r>
          </w:p>
        </w:tc>
        <w:tc>
          <w:tcPr>
            <w:tcW w:w="4111" w:type="dxa"/>
          </w:tcPr>
          <w:p w:rsidR="003F09D6" w:rsidRPr="00E502C8" w:rsidRDefault="003F09D6" w:rsidP="008E1160">
            <w:pPr>
              <w:ind w:left="52" w:right="0"/>
            </w:pPr>
            <w:r w:rsidRPr="00E502C8">
              <w:t>Primary Aim of the Study</w:t>
            </w:r>
          </w:p>
        </w:tc>
      </w:tr>
      <w:tr w:rsidR="003F09D6" w:rsidTr="008E1160">
        <w:trPr>
          <w:trHeight w:val="186"/>
        </w:trPr>
        <w:tc>
          <w:tcPr>
            <w:tcW w:w="1612" w:type="dxa"/>
          </w:tcPr>
          <w:p w:rsidR="003F09D6" w:rsidRPr="00E502C8" w:rsidRDefault="003F09D6" w:rsidP="008E1160">
            <w:pPr>
              <w:ind w:left="0" w:right="0"/>
            </w:pPr>
            <w:r w:rsidRPr="00E502C8">
              <w:t>PK in healthy adults</w:t>
            </w:r>
          </w:p>
        </w:tc>
        <w:tc>
          <w:tcPr>
            <w:tcW w:w="1507" w:type="dxa"/>
          </w:tcPr>
          <w:p w:rsidR="003F09D6" w:rsidRPr="00E502C8" w:rsidRDefault="003F09D6" w:rsidP="008E1160">
            <w:pPr>
              <w:ind w:left="89" w:right="0"/>
            </w:pPr>
            <w:r w:rsidRPr="00E502C8">
              <w:t>General PK- Single dose</w:t>
            </w:r>
          </w:p>
        </w:tc>
        <w:tc>
          <w:tcPr>
            <w:tcW w:w="1507" w:type="dxa"/>
          </w:tcPr>
          <w:p w:rsidR="003F09D6" w:rsidRPr="00E502C8" w:rsidRDefault="003F09D6" w:rsidP="008E1160">
            <w:pPr>
              <w:ind w:left="0" w:right="15"/>
            </w:pPr>
            <w:r w:rsidRPr="00E502C8">
              <w:t>AC-055-101</w:t>
            </w:r>
          </w:p>
        </w:tc>
        <w:tc>
          <w:tcPr>
            <w:tcW w:w="4111" w:type="dxa"/>
          </w:tcPr>
          <w:p w:rsidR="003F09D6" w:rsidRPr="00E502C8" w:rsidRDefault="003F09D6" w:rsidP="008E1160">
            <w:pPr>
              <w:ind w:left="52" w:right="0"/>
            </w:pPr>
            <w:r w:rsidRPr="00E502C8">
              <w:t>To evaluate the tolerability and safety, and PK and PD of single ascending doses of macitentan (0.2, 1, 5, 25, 100, 300, or 600 mg capsule)</w:t>
            </w:r>
          </w:p>
        </w:tc>
      </w:tr>
      <w:tr w:rsidR="003F09D6" w:rsidTr="008E1160">
        <w:trPr>
          <w:trHeight w:val="186"/>
        </w:trPr>
        <w:tc>
          <w:tcPr>
            <w:tcW w:w="1612" w:type="dxa"/>
          </w:tcPr>
          <w:p w:rsidR="003F09D6" w:rsidRPr="00E502C8" w:rsidRDefault="003F09D6" w:rsidP="008E1160">
            <w:pPr>
              <w:ind w:left="0" w:right="0"/>
            </w:pPr>
          </w:p>
        </w:tc>
        <w:tc>
          <w:tcPr>
            <w:tcW w:w="1507" w:type="dxa"/>
          </w:tcPr>
          <w:p w:rsidR="003F09D6" w:rsidRPr="00E502C8" w:rsidRDefault="003F09D6" w:rsidP="008E1160">
            <w:pPr>
              <w:ind w:left="89" w:right="0"/>
            </w:pPr>
          </w:p>
        </w:tc>
        <w:tc>
          <w:tcPr>
            <w:tcW w:w="1507" w:type="dxa"/>
          </w:tcPr>
          <w:p w:rsidR="003F09D6" w:rsidRPr="00E502C8" w:rsidRDefault="003F09D6" w:rsidP="008E1160">
            <w:pPr>
              <w:ind w:left="0" w:right="15"/>
            </w:pPr>
            <w:r w:rsidRPr="00E502C8">
              <w:t xml:space="preserve">AC-055-109 </w:t>
            </w:r>
          </w:p>
        </w:tc>
        <w:tc>
          <w:tcPr>
            <w:tcW w:w="4111" w:type="dxa"/>
          </w:tcPr>
          <w:p w:rsidR="003F09D6" w:rsidRPr="00E502C8" w:rsidRDefault="003F09D6" w:rsidP="008E1160">
            <w:pPr>
              <w:ind w:left="52" w:right="0"/>
            </w:pPr>
            <w:r w:rsidRPr="00E502C8">
              <w:t>To evaluate the tolerability and safety, and relative PK properties of macitentan in Japanese versus Caucasian healthy subjects after single-dose treatment (10 mg tablet)</w:t>
            </w:r>
          </w:p>
        </w:tc>
      </w:tr>
      <w:tr w:rsidR="003F09D6" w:rsidTr="008E1160">
        <w:trPr>
          <w:trHeight w:val="186"/>
        </w:trPr>
        <w:tc>
          <w:tcPr>
            <w:tcW w:w="1612" w:type="dxa"/>
          </w:tcPr>
          <w:p w:rsidR="003F09D6" w:rsidRPr="00E502C8" w:rsidRDefault="003F09D6" w:rsidP="008E1160">
            <w:pPr>
              <w:ind w:left="0" w:right="0"/>
            </w:pPr>
          </w:p>
        </w:tc>
        <w:tc>
          <w:tcPr>
            <w:tcW w:w="1507" w:type="dxa"/>
          </w:tcPr>
          <w:p w:rsidR="003F09D6" w:rsidRPr="00E502C8" w:rsidRDefault="003F09D6" w:rsidP="008E1160">
            <w:pPr>
              <w:ind w:left="89" w:right="0"/>
            </w:pPr>
          </w:p>
        </w:tc>
        <w:tc>
          <w:tcPr>
            <w:tcW w:w="1507" w:type="dxa"/>
          </w:tcPr>
          <w:p w:rsidR="003F09D6" w:rsidRPr="00E502C8" w:rsidRDefault="003F09D6" w:rsidP="008E1160">
            <w:pPr>
              <w:ind w:left="0" w:right="15"/>
            </w:pPr>
            <w:r w:rsidRPr="00E502C8">
              <w:t xml:space="preserve">AC-055-104 </w:t>
            </w:r>
          </w:p>
        </w:tc>
        <w:tc>
          <w:tcPr>
            <w:tcW w:w="4111" w:type="dxa"/>
          </w:tcPr>
          <w:p w:rsidR="003F09D6" w:rsidRPr="00E502C8" w:rsidRDefault="003F09D6" w:rsidP="008E1160">
            <w:pPr>
              <w:ind w:left="52" w:right="0"/>
            </w:pPr>
            <w:r w:rsidRPr="00E502C8">
              <w:t>To investigate the rate and routes of excretion of macitentan, and the mass balance in urine and faeces, the PK of total radioactivity in blood and plasma, the PK of macitentan and its metabolites in plasma, and to identify and quantify the macitentan metabolites in plasma, urine, and faeces, with a single oral dose of 10 mg 14C-labeled macitentan capsule</w:t>
            </w:r>
          </w:p>
        </w:tc>
      </w:tr>
      <w:tr w:rsidR="003F09D6" w:rsidTr="008E1160">
        <w:trPr>
          <w:trHeight w:val="186"/>
        </w:trPr>
        <w:tc>
          <w:tcPr>
            <w:tcW w:w="1612" w:type="dxa"/>
          </w:tcPr>
          <w:p w:rsidR="003F09D6" w:rsidRPr="00E502C8" w:rsidRDefault="003F09D6" w:rsidP="008E1160">
            <w:pPr>
              <w:ind w:left="0" w:right="0"/>
            </w:pPr>
          </w:p>
        </w:tc>
        <w:tc>
          <w:tcPr>
            <w:tcW w:w="1507" w:type="dxa"/>
          </w:tcPr>
          <w:p w:rsidR="003F09D6" w:rsidRPr="00E502C8" w:rsidRDefault="003F09D6" w:rsidP="008E1160">
            <w:pPr>
              <w:ind w:left="89" w:right="0"/>
            </w:pPr>
            <w:r w:rsidRPr="00E502C8">
              <w:t>- Multi-dose</w:t>
            </w:r>
          </w:p>
        </w:tc>
        <w:tc>
          <w:tcPr>
            <w:tcW w:w="1507" w:type="dxa"/>
          </w:tcPr>
          <w:p w:rsidR="003F09D6" w:rsidRPr="00E502C8" w:rsidRDefault="003F09D6" w:rsidP="008E1160">
            <w:pPr>
              <w:ind w:left="0" w:right="15"/>
            </w:pPr>
            <w:r w:rsidRPr="00E502C8">
              <w:t>AC-055-102</w:t>
            </w:r>
          </w:p>
        </w:tc>
        <w:tc>
          <w:tcPr>
            <w:tcW w:w="4111" w:type="dxa"/>
          </w:tcPr>
          <w:p w:rsidR="003F09D6" w:rsidRPr="00E502C8" w:rsidRDefault="003F09D6" w:rsidP="008E1160">
            <w:pPr>
              <w:ind w:left="52" w:right="0"/>
            </w:pPr>
            <w:r w:rsidRPr="00E502C8">
              <w:t>To evaluate the tolerability and safety, and PK and PD of multiple ascending doses of macitentan (1, 3, 10, or 30 mg capsule qd for 10 days)</w:t>
            </w:r>
          </w:p>
        </w:tc>
      </w:tr>
      <w:tr w:rsidR="003F09D6" w:rsidTr="008E1160">
        <w:trPr>
          <w:trHeight w:val="186"/>
        </w:trPr>
        <w:tc>
          <w:tcPr>
            <w:tcW w:w="1612" w:type="dxa"/>
          </w:tcPr>
          <w:p w:rsidR="003F09D6" w:rsidRPr="00E502C8" w:rsidRDefault="003F09D6" w:rsidP="008E1160">
            <w:pPr>
              <w:ind w:left="0" w:right="0"/>
            </w:pPr>
          </w:p>
        </w:tc>
        <w:tc>
          <w:tcPr>
            <w:tcW w:w="1507" w:type="dxa"/>
          </w:tcPr>
          <w:p w:rsidR="003F09D6" w:rsidRPr="00E502C8" w:rsidRDefault="003F09D6" w:rsidP="008E1160">
            <w:pPr>
              <w:ind w:left="89" w:right="0"/>
            </w:pPr>
            <w:r w:rsidRPr="00E502C8">
              <w:t>Bioequivalence</w:t>
            </w:r>
            <w:r>
              <w:t xml:space="preserve"> </w:t>
            </w:r>
            <w:r w:rsidRPr="00E502C8">
              <w:t>† - Single dose</w:t>
            </w:r>
          </w:p>
        </w:tc>
        <w:tc>
          <w:tcPr>
            <w:tcW w:w="1507" w:type="dxa"/>
          </w:tcPr>
          <w:p w:rsidR="003F09D6" w:rsidRPr="00E502C8" w:rsidRDefault="003F09D6" w:rsidP="008E1160">
            <w:pPr>
              <w:ind w:left="0" w:right="15"/>
            </w:pPr>
            <w:r w:rsidRPr="00E502C8">
              <w:t xml:space="preserve">AC-055-108 </w:t>
            </w:r>
          </w:p>
        </w:tc>
        <w:tc>
          <w:tcPr>
            <w:tcW w:w="4111" w:type="dxa"/>
          </w:tcPr>
          <w:p w:rsidR="003F09D6" w:rsidRPr="00E502C8" w:rsidRDefault="003F09D6" w:rsidP="008E1160">
            <w:pPr>
              <w:ind w:left="52" w:right="0"/>
            </w:pPr>
            <w:r w:rsidRPr="00E502C8">
              <w:t>To evaluate the PK properties, and the tolerability and safety of the</w:t>
            </w:r>
          </w:p>
          <w:p w:rsidR="003F09D6" w:rsidRPr="00E502C8" w:rsidRDefault="003F09D6" w:rsidP="008E1160">
            <w:pPr>
              <w:ind w:left="52" w:right="0"/>
            </w:pPr>
            <w:r w:rsidRPr="00E502C8">
              <w:t>10 mg tablet and 10 mg capsule formulations of macitentan after single-dose treatment</w:t>
            </w:r>
          </w:p>
        </w:tc>
      </w:tr>
      <w:tr w:rsidR="003F09D6" w:rsidTr="008E1160">
        <w:trPr>
          <w:trHeight w:val="186"/>
        </w:trPr>
        <w:tc>
          <w:tcPr>
            <w:tcW w:w="1612" w:type="dxa"/>
          </w:tcPr>
          <w:p w:rsidR="003F09D6" w:rsidRPr="00E502C8" w:rsidRDefault="003F09D6" w:rsidP="008E1160">
            <w:pPr>
              <w:ind w:left="0" w:right="0"/>
            </w:pPr>
          </w:p>
        </w:tc>
        <w:tc>
          <w:tcPr>
            <w:tcW w:w="1507" w:type="dxa"/>
          </w:tcPr>
          <w:p w:rsidR="003F09D6" w:rsidRPr="00E502C8" w:rsidRDefault="003F09D6" w:rsidP="008E1160">
            <w:pPr>
              <w:ind w:left="89" w:right="0"/>
            </w:pPr>
            <w:r w:rsidRPr="00E502C8">
              <w:t>Food effect</w:t>
            </w:r>
          </w:p>
        </w:tc>
        <w:tc>
          <w:tcPr>
            <w:tcW w:w="1507" w:type="dxa"/>
          </w:tcPr>
          <w:p w:rsidR="003F09D6" w:rsidRPr="00E502C8" w:rsidRDefault="003F09D6" w:rsidP="008E1160">
            <w:pPr>
              <w:ind w:left="0" w:right="15"/>
            </w:pPr>
            <w:r w:rsidRPr="00E502C8">
              <w:t>AC-055-103</w:t>
            </w:r>
          </w:p>
        </w:tc>
        <w:tc>
          <w:tcPr>
            <w:tcW w:w="4111" w:type="dxa"/>
          </w:tcPr>
          <w:p w:rsidR="003F09D6" w:rsidRPr="00E502C8" w:rsidRDefault="003F09D6" w:rsidP="008E1160">
            <w:pPr>
              <w:ind w:left="52" w:right="0"/>
            </w:pPr>
            <w:r w:rsidRPr="00E502C8">
              <w:t>To evaluate the effect of food on the PK of single dose of macitentan 10 mg capsule</w:t>
            </w:r>
          </w:p>
        </w:tc>
      </w:tr>
      <w:tr w:rsidR="003F09D6" w:rsidTr="008E1160">
        <w:trPr>
          <w:trHeight w:val="186"/>
        </w:trPr>
        <w:tc>
          <w:tcPr>
            <w:tcW w:w="1612" w:type="dxa"/>
          </w:tcPr>
          <w:p w:rsidR="003F09D6" w:rsidRPr="00E502C8" w:rsidRDefault="003F09D6" w:rsidP="008E1160">
            <w:pPr>
              <w:ind w:left="0" w:right="0"/>
            </w:pPr>
            <w:r w:rsidRPr="00E502C8">
              <w:t>PK in special populations</w:t>
            </w:r>
          </w:p>
        </w:tc>
        <w:tc>
          <w:tcPr>
            <w:tcW w:w="1507" w:type="dxa"/>
          </w:tcPr>
          <w:p w:rsidR="003F09D6" w:rsidRPr="00E502C8" w:rsidRDefault="003F09D6" w:rsidP="008E1160">
            <w:pPr>
              <w:ind w:left="89" w:right="0"/>
            </w:pPr>
            <w:r w:rsidRPr="00E502C8">
              <w:t>Hepatic impairment</w:t>
            </w:r>
          </w:p>
        </w:tc>
        <w:tc>
          <w:tcPr>
            <w:tcW w:w="1507" w:type="dxa"/>
          </w:tcPr>
          <w:p w:rsidR="003F09D6" w:rsidRPr="00E502C8" w:rsidRDefault="003F09D6" w:rsidP="008E1160">
            <w:pPr>
              <w:ind w:left="0" w:right="15"/>
            </w:pPr>
            <w:r w:rsidRPr="00E502C8">
              <w:t>AC-055-110</w:t>
            </w:r>
          </w:p>
        </w:tc>
        <w:tc>
          <w:tcPr>
            <w:tcW w:w="4111" w:type="dxa"/>
          </w:tcPr>
          <w:p w:rsidR="003F09D6" w:rsidRPr="00E502C8" w:rsidRDefault="003F09D6" w:rsidP="008E1160">
            <w:pPr>
              <w:ind w:left="52" w:right="0"/>
            </w:pPr>
            <w:r w:rsidRPr="00E502C8">
              <w:t>To assess the effect of mild, moderate, or severe hepatic</w:t>
            </w:r>
          </w:p>
          <w:p w:rsidR="003F09D6" w:rsidRPr="00E502C8" w:rsidRDefault="003F09D6" w:rsidP="008E1160">
            <w:pPr>
              <w:ind w:left="52" w:right="0"/>
            </w:pPr>
            <w:r w:rsidRPr="00E502C8">
              <w:t xml:space="preserve">impairment due to liver cirrhosis on the PK of macitentan and its metabolites, following a single oral dose of </w:t>
            </w:r>
            <w:r w:rsidRPr="00E502C8">
              <w:lastRenderedPageBreak/>
              <w:t>macitentan 10 mg tablet</w:t>
            </w:r>
          </w:p>
        </w:tc>
      </w:tr>
      <w:tr w:rsidR="003F09D6" w:rsidTr="008E1160">
        <w:trPr>
          <w:trHeight w:val="186"/>
        </w:trPr>
        <w:tc>
          <w:tcPr>
            <w:tcW w:w="1612" w:type="dxa"/>
          </w:tcPr>
          <w:p w:rsidR="003F09D6" w:rsidRPr="00E502C8" w:rsidRDefault="003F09D6" w:rsidP="008E1160">
            <w:pPr>
              <w:ind w:left="0" w:right="0"/>
            </w:pPr>
          </w:p>
        </w:tc>
        <w:tc>
          <w:tcPr>
            <w:tcW w:w="1507" w:type="dxa"/>
          </w:tcPr>
          <w:p w:rsidR="003F09D6" w:rsidRPr="00E502C8" w:rsidRDefault="003F09D6" w:rsidP="008E1160">
            <w:pPr>
              <w:ind w:left="89" w:right="0"/>
            </w:pPr>
            <w:r w:rsidRPr="00E502C8">
              <w:t>Renal impairment</w:t>
            </w:r>
          </w:p>
        </w:tc>
        <w:tc>
          <w:tcPr>
            <w:tcW w:w="1507" w:type="dxa"/>
          </w:tcPr>
          <w:p w:rsidR="003F09D6" w:rsidRPr="00E502C8" w:rsidRDefault="003F09D6" w:rsidP="008E1160">
            <w:pPr>
              <w:ind w:left="0" w:right="15"/>
            </w:pPr>
            <w:r w:rsidRPr="00E502C8">
              <w:t>AC-055-112</w:t>
            </w:r>
          </w:p>
        </w:tc>
        <w:tc>
          <w:tcPr>
            <w:tcW w:w="4111" w:type="dxa"/>
          </w:tcPr>
          <w:p w:rsidR="003F09D6" w:rsidRPr="00E502C8" w:rsidRDefault="003F09D6" w:rsidP="008E1160">
            <w:pPr>
              <w:ind w:left="52" w:right="0"/>
            </w:pPr>
            <w:r w:rsidRPr="00E502C8">
              <w:t>To evaluate the PK properties of a single oral dose of macitentan (10 mg tablet) in subjects with severely impaired renal function compared to matched healthy subjects</w:t>
            </w:r>
          </w:p>
        </w:tc>
      </w:tr>
      <w:tr w:rsidR="003F09D6" w:rsidTr="008E1160">
        <w:trPr>
          <w:trHeight w:val="186"/>
        </w:trPr>
        <w:tc>
          <w:tcPr>
            <w:tcW w:w="1612" w:type="dxa"/>
          </w:tcPr>
          <w:p w:rsidR="003F09D6" w:rsidRPr="00E502C8" w:rsidRDefault="003F09D6" w:rsidP="008E1160">
            <w:pPr>
              <w:ind w:left="0" w:right="0"/>
            </w:pPr>
            <w:r w:rsidRPr="00E502C8">
              <w:br w:type="page"/>
              <w:t xml:space="preserve">PK </w:t>
            </w:r>
            <w:r>
              <w:t>i</w:t>
            </w:r>
            <w:r w:rsidRPr="00E502C8">
              <w:t>nteractions</w:t>
            </w:r>
          </w:p>
        </w:tc>
        <w:tc>
          <w:tcPr>
            <w:tcW w:w="1507" w:type="dxa"/>
          </w:tcPr>
          <w:p w:rsidR="003F09D6" w:rsidRPr="00E502C8" w:rsidRDefault="003F09D6" w:rsidP="008E1160">
            <w:pPr>
              <w:ind w:left="89" w:right="0"/>
            </w:pPr>
            <w:r w:rsidRPr="00E502C8">
              <w:t>Warfarin</w:t>
            </w:r>
          </w:p>
        </w:tc>
        <w:tc>
          <w:tcPr>
            <w:tcW w:w="1507" w:type="dxa"/>
          </w:tcPr>
          <w:p w:rsidR="003F09D6" w:rsidRPr="00E502C8" w:rsidRDefault="003F09D6" w:rsidP="008E1160">
            <w:pPr>
              <w:ind w:left="0" w:right="15"/>
            </w:pPr>
            <w:r w:rsidRPr="00E502C8">
              <w:t>AC-055-105</w:t>
            </w:r>
          </w:p>
        </w:tc>
        <w:tc>
          <w:tcPr>
            <w:tcW w:w="4111" w:type="dxa"/>
          </w:tcPr>
          <w:p w:rsidR="003F09D6" w:rsidRPr="00E502C8" w:rsidRDefault="003F09D6" w:rsidP="008E1160">
            <w:pPr>
              <w:ind w:left="52" w:right="0"/>
            </w:pPr>
            <w:r w:rsidRPr="00E502C8">
              <w:t>To evaluate the effect of multiple-dose treatment with macitentan on the PK and PD of a single dose of warfarin</w:t>
            </w:r>
          </w:p>
        </w:tc>
      </w:tr>
      <w:tr w:rsidR="003F09D6" w:rsidTr="008E1160">
        <w:trPr>
          <w:trHeight w:val="186"/>
        </w:trPr>
        <w:tc>
          <w:tcPr>
            <w:tcW w:w="1612" w:type="dxa"/>
          </w:tcPr>
          <w:p w:rsidR="003F09D6" w:rsidRPr="00E502C8" w:rsidRDefault="003F09D6" w:rsidP="008E1160">
            <w:pPr>
              <w:ind w:left="0" w:right="0"/>
            </w:pPr>
          </w:p>
        </w:tc>
        <w:tc>
          <w:tcPr>
            <w:tcW w:w="1507" w:type="dxa"/>
          </w:tcPr>
          <w:p w:rsidR="003F09D6" w:rsidRPr="00E502C8" w:rsidRDefault="003F09D6" w:rsidP="008E1160">
            <w:pPr>
              <w:ind w:left="89" w:right="0"/>
            </w:pPr>
            <w:r w:rsidRPr="00E502C8">
              <w:t>Sildenafil</w:t>
            </w:r>
          </w:p>
        </w:tc>
        <w:tc>
          <w:tcPr>
            <w:tcW w:w="1507" w:type="dxa"/>
          </w:tcPr>
          <w:p w:rsidR="003F09D6" w:rsidRPr="00E502C8" w:rsidRDefault="003F09D6" w:rsidP="008E1160">
            <w:pPr>
              <w:ind w:left="0" w:right="15"/>
            </w:pPr>
            <w:r w:rsidRPr="00E502C8">
              <w:t>AC-055-106</w:t>
            </w:r>
          </w:p>
        </w:tc>
        <w:tc>
          <w:tcPr>
            <w:tcW w:w="4111" w:type="dxa"/>
          </w:tcPr>
          <w:p w:rsidR="003F09D6" w:rsidRPr="00E502C8" w:rsidRDefault="003F09D6" w:rsidP="008E1160">
            <w:pPr>
              <w:ind w:left="52" w:right="0"/>
            </w:pPr>
            <w:r w:rsidRPr="00E502C8">
              <w:t>To evaluate the effect of macitentan on the PK of sildenafil and its desmethyl metabolite at steady state, and to evaluate the effect of sildenafil on the PK of macitentan and its metabolite, ACT-132577, at steady state</w:t>
            </w:r>
          </w:p>
        </w:tc>
      </w:tr>
      <w:tr w:rsidR="003F09D6" w:rsidTr="008E1160">
        <w:trPr>
          <w:trHeight w:val="186"/>
        </w:trPr>
        <w:tc>
          <w:tcPr>
            <w:tcW w:w="1612" w:type="dxa"/>
          </w:tcPr>
          <w:p w:rsidR="003F09D6" w:rsidRPr="00E502C8" w:rsidRDefault="003F09D6" w:rsidP="008E1160">
            <w:pPr>
              <w:ind w:left="0" w:right="0"/>
            </w:pPr>
          </w:p>
        </w:tc>
        <w:tc>
          <w:tcPr>
            <w:tcW w:w="1507" w:type="dxa"/>
          </w:tcPr>
          <w:p w:rsidR="003F09D6" w:rsidRPr="00E502C8" w:rsidRDefault="003F09D6" w:rsidP="008E1160">
            <w:pPr>
              <w:ind w:left="89" w:right="0"/>
            </w:pPr>
            <w:r w:rsidRPr="00E502C8">
              <w:t>Ketoconazole</w:t>
            </w:r>
          </w:p>
        </w:tc>
        <w:tc>
          <w:tcPr>
            <w:tcW w:w="1507" w:type="dxa"/>
          </w:tcPr>
          <w:p w:rsidR="003F09D6" w:rsidRPr="00E502C8" w:rsidRDefault="003F09D6" w:rsidP="008E1160">
            <w:pPr>
              <w:ind w:left="0" w:right="15"/>
            </w:pPr>
            <w:r w:rsidRPr="00E502C8">
              <w:t>AC-055-107</w:t>
            </w:r>
          </w:p>
        </w:tc>
        <w:tc>
          <w:tcPr>
            <w:tcW w:w="4111" w:type="dxa"/>
          </w:tcPr>
          <w:p w:rsidR="003F09D6" w:rsidRPr="00E502C8" w:rsidRDefault="003F09D6" w:rsidP="008E1160">
            <w:pPr>
              <w:ind w:left="52" w:right="0"/>
            </w:pPr>
            <w:r w:rsidRPr="00E502C8">
              <w:t>To evaluate the influence of concomitant ketoconazole on the PK of macitentan and its metabolite, ACT-132577</w:t>
            </w:r>
          </w:p>
        </w:tc>
      </w:tr>
      <w:tr w:rsidR="003F09D6" w:rsidTr="008E1160">
        <w:trPr>
          <w:trHeight w:val="186"/>
        </w:trPr>
        <w:tc>
          <w:tcPr>
            <w:tcW w:w="1612" w:type="dxa"/>
          </w:tcPr>
          <w:p w:rsidR="003F09D6" w:rsidRPr="00E502C8" w:rsidRDefault="003F09D6" w:rsidP="008E1160">
            <w:pPr>
              <w:ind w:left="0" w:right="0"/>
            </w:pPr>
          </w:p>
        </w:tc>
        <w:tc>
          <w:tcPr>
            <w:tcW w:w="1507" w:type="dxa"/>
          </w:tcPr>
          <w:p w:rsidR="003F09D6" w:rsidRPr="00E502C8" w:rsidRDefault="003F09D6" w:rsidP="008E1160">
            <w:pPr>
              <w:ind w:left="89" w:right="0"/>
            </w:pPr>
            <w:r w:rsidRPr="00E502C8">
              <w:t>Cyclosporin A, Rifampicin</w:t>
            </w:r>
          </w:p>
        </w:tc>
        <w:tc>
          <w:tcPr>
            <w:tcW w:w="1507" w:type="dxa"/>
          </w:tcPr>
          <w:p w:rsidR="003F09D6" w:rsidRPr="00E502C8" w:rsidRDefault="003F09D6" w:rsidP="008E1160">
            <w:pPr>
              <w:ind w:left="0" w:right="15"/>
            </w:pPr>
            <w:r w:rsidRPr="00E502C8">
              <w:t>AC-055-111</w:t>
            </w:r>
          </w:p>
        </w:tc>
        <w:tc>
          <w:tcPr>
            <w:tcW w:w="4111" w:type="dxa"/>
          </w:tcPr>
          <w:p w:rsidR="003F09D6" w:rsidRPr="00E502C8" w:rsidRDefault="003F09D6" w:rsidP="008E1160">
            <w:pPr>
              <w:ind w:left="52" w:right="0"/>
            </w:pPr>
            <w:r w:rsidRPr="00E502C8">
              <w:t>To evaluate the effect of multiple-dose treatment with cyclosporin A on the PK of multiple-dose macitentan and its metabolites (Part A), and to evaluate the effect of multiple-dose treatment with rifampicin on the PK of multiple-dose macitentan and its metabolites (Part B)</w:t>
            </w:r>
          </w:p>
        </w:tc>
      </w:tr>
      <w:tr w:rsidR="003F09D6" w:rsidTr="008E1160">
        <w:trPr>
          <w:trHeight w:val="186"/>
        </w:trPr>
        <w:tc>
          <w:tcPr>
            <w:tcW w:w="1612" w:type="dxa"/>
          </w:tcPr>
          <w:p w:rsidR="003F09D6" w:rsidRPr="00E502C8" w:rsidRDefault="003F09D6" w:rsidP="008E1160">
            <w:pPr>
              <w:ind w:left="0" w:right="0"/>
            </w:pPr>
            <w:r w:rsidRPr="00E502C8">
              <w:t>Population PK analyses</w:t>
            </w:r>
          </w:p>
        </w:tc>
        <w:tc>
          <w:tcPr>
            <w:tcW w:w="1507" w:type="dxa"/>
          </w:tcPr>
          <w:p w:rsidR="003F09D6" w:rsidRPr="00E502C8" w:rsidRDefault="003F09D6" w:rsidP="008E1160">
            <w:pPr>
              <w:ind w:left="89" w:right="0"/>
            </w:pPr>
            <w:r w:rsidRPr="00E502C8">
              <w:t>Target population</w:t>
            </w:r>
          </w:p>
        </w:tc>
        <w:tc>
          <w:tcPr>
            <w:tcW w:w="1507" w:type="dxa"/>
          </w:tcPr>
          <w:p w:rsidR="003F09D6" w:rsidRPr="00E502C8" w:rsidRDefault="003F09D6" w:rsidP="008E1160">
            <w:pPr>
              <w:ind w:left="0" w:right="15"/>
            </w:pPr>
            <w:r w:rsidRPr="00E502C8">
              <w:t>AC-055-302 PK/PD</w:t>
            </w:r>
          </w:p>
        </w:tc>
        <w:tc>
          <w:tcPr>
            <w:tcW w:w="4111" w:type="dxa"/>
          </w:tcPr>
          <w:p w:rsidR="003F09D6" w:rsidRPr="00E502C8" w:rsidRDefault="003F09D6" w:rsidP="008E1160">
            <w:pPr>
              <w:ind w:left="52" w:right="0"/>
            </w:pPr>
            <w:r w:rsidRPr="00E502C8">
              <w:t xml:space="preserve">To characterise the relationship between macitentan exposure and different cardiac haemodynamic parameters, the 6-minute walk distance, and other efficacy and safety endpoints </w:t>
            </w:r>
          </w:p>
        </w:tc>
      </w:tr>
    </w:tbl>
    <w:p w:rsidR="003F09D6" w:rsidRDefault="003F09D6" w:rsidP="008E1160">
      <w:pPr>
        <w:pStyle w:val="TableDescription"/>
      </w:pPr>
      <w:r w:rsidRPr="00E82370">
        <w:t>† Bioequivalence of different formulations.</w:t>
      </w:r>
    </w:p>
    <w:p w:rsidR="003F09D6" w:rsidRDefault="003F09D6" w:rsidP="008E1160">
      <w:pPr>
        <w:pStyle w:val="TableDescription"/>
      </w:pPr>
      <w:proofErr w:type="gramStart"/>
      <w:r w:rsidRPr="00E82370">
        <w:t>qd</w:t>
      </w:r>
      <w:proofErr w:type="gramEnd"/>
      <w:r w:rsidRPr="00E82370">
        <w:t xml:space="preserve"> = once daily</w:t>
      </w:r>
    </w:p>
    <w:p w:rsidR="003F09D6" w:rsidRPr="00E82370" w:rsidRDefault="003F09D6" w:rsidP="008E1160">
      <w:pPr>
        <w:pStyle w:val="Heading3"/>
      </w:pPr>
      <w:bookmarkStart w:id="87" w:name="_Toc241374296"/>
      <w:bookmarkStart w:id="88" w:name="_Ref269982040"/>
      <w:bookmarkStart w:id="89" w:name="_Ref271018704"/>
      <w:bookmarkStart w:id="90" w:name="_Ref271018755"/>
      <w:bookmarkStart w:id="91" w:name="_Toc272414635"/>
      <w:bookmarkStart w:id="92" w:name="_Toc290846258"/>
      <w:bookmarkStart w:id="93" w:name="_Toc368036951"/>
      <w:bookmarkStart w:id="94" w:name="_Toc383684146"/>
      <w:bookmarkStart w:id="95" w:name="_Toc391645282"/>
      <w:r w:rsidRPr="00E82370">
        <w:t xml:space="preserve">Evaluator’s </w:t>
      </w:r>
      <w:r w:rsidR="000847CD">
        <w:t xml:space="preserve">summary and </w:t>
      </w:r>
      <w:r w:rsidRPr="00E82370">
        <w:t>overall conclusions on pharmacokinetics</w:t>
      </w:r>
      <w:bookmarkEnd w:id="87"/>
      <w:bookmarkEnd w:id="88"/>
      <w:bookmarkEnd w:id="89"/>
      <w:bookmarkEnd w:id="90"/>
      <w:bookmarkEnd w:id="91"/>
      <w:bookmarkEnd w:id="92"/>
      <w:bookmarkEnd w:id="93"/>
      <w:bookmarkEnd w:id="94"/>
      <w:bookmarkEnd w:id="95"/>
    </w:p>
    <w:p w:rsidR="003F09D6" w:rsidRPr="00E82370" w:rsidRDefault="003F09D6" w:rsidP="008E1160">
      <w:r w:rsidRPr="00E82370">
        <w:t>Overall, the PK data is adequate with respect to evaluation of this application. ACT-064992 is an orally active, non-peptide, dual endothelin ET</w:t>
      </w:r>
      <w:r w:rsidRPr="001B1149">
        <w:rPr>
          <w:vertAlign w:val="subscript"/>
        </w:rPr>
        <w:t>A</w:t>
      </w:r>
      <w:r w:rsidRPr="00E82370">
        <w:t xml:space="preserve"> and ET</w:t>
      </w:r>
      <w:r w:rsidRPr="001B1149">
        <w:rPr>
          <w:vertAlign w:val="subscript"/>
        </w:rPr>
        <w:t>B</w:t>
      </w:r>
      <w:r w:rsidRPr="00E82370">
        <w:t xml:space="preserve"> receptor antagonist (ERA). T</w:t>
      </w:r>
      <w:r w:rsidRPr="00C077A5">
        <w:rPr>
          <w:vertAlign w:val="subscript"/>
        </w:rPr>
        <w:t>max</w:t>
      </w:r>
      <w:r w:rsidRPr="00E82370">
        <w:t xml:space="preserve"> was found to be about </w:t>
      </w:r>
      <w:r>
        <w:t xml:space="preserve">eight </w:t>
      </w:r>
      <w:r w:rsidRPr="00E82370">
        <w:t>hours after drug administration, and apparent elimination half-life (t</w:t>
      </w:r>
      <w:r w:rsidR="00AE45F6">
        <w:t>½</w:t>
      </w:r>
      <w:r w:rsidRPr="00E82370">
        <w:t xml:space="preserve">) of approximately 16 hours. Macitentan parent drug was metabolised to its active metabolite ACT-132577, a reaction which </w:t>
      </w:r>
      <w:r w:rsidRPr="00E82370">
        <w:rPr>
          <w:rFonts w:eastAsia="Times New Roman"/>
          <w:lang w:val="en-US"/>
        </w:rPr>
        <w:t xml:space="preserve">had been found </w:t>
      </w:r>
      <w:r w:rsidRPr="00C077A5">
        <w:rPr>
          <w:rFonts w:eastAsia="Times New Roman"/>
          <w:lang w:val="en-US"/>
        </w:rPr>
        <w:t>in</w:t>
      </w:r>
      <w:r>
        <w:rPr>
          <w:rFonts w:eastAsia="Times New Roman"/>
          <w:lang w:val="en-US"/>
        </w:rPr>
        <w:t xml:space="preserve"> </w:t>
      </w:r>
      <w:r w:rsidRPr="00C077A5">
        <w:rPr>
          <w:rFonts w:eastAsia="Times New Roman"/>
          <w:lang w:val="en-US"/>
        </w:rPr>
        <w:t>vitro</w:t>
      </w:r>
      <w:r w:rsidRPr="00E82370">
        <w:rPr>
          <w:rFonts w:eastAsia="Times New Roman"/>
          <w:lang w:val="en-US"/>
        </w:rPr>
        <w:t xml:space="preserve"> studies to be mediated by the cytochrome P450 system, mainly CYP3A4 with a minor contribution of CYP2C19.</w:t>
      </w:r>
      <w:r w:rsidRPr="00E82370">
        <w:t xml:space="preserve"> ACT-132577 was found to be formed slowly, with a T</w:t>
      </w:r>
      <w:r w:rsidRPr="00C077A5">
        <w:rPr>
          <w:vertAlign w:val="subscript"/>
        </w:rPr>
        <w:t>max</w:t>
      </w:r>
      <w:r w:rsidRPr="00E82370">
        <w:t xml:space="preserve"> of 24 hours post-dose in multiple-dosing, and was eliminated with a t</w:t>
      </w:r>
      <w:r w:rsidRPr="001B1149">
        <w:t>½</w:t>
      </w:r>
      <w:r w:rsidR="001B1149">
        <w:t xml:space="preserve"> </w:t>
      </w:r>
      <w:r w:rsidRPr="00E82370">
        <w:t xml:space="preserve">of approximately 48 hours. After multiple dosing, steady-state conditions of macitentan and ACT-132577 were obtained after </w:t>
      </w:r>
      <w:r>
        <w:t>three</w:t>
      </w:r>
      <w:r w:rsidRPr="00E82370">
        <w:t xml:space="preserve"> days and </w:t>
      </w:r>
      <w:r>
        <w:t>seven days</w:t>
      </w:r>
      <w:r w:rsidRPr="00E82370">
        <w:t xml:space="preserve">. The exposures of macitentan and ACT-132577 </w:t>
      </w:r>
      <w:r w:rsidRPr="00E82370">
        <w:lastRenderedPageBreak/>
        <w:t>were comparable when macitentan was administered in the fasted or in the fed states. Macitentan and its circulating metabolites were found to be highly bound (≥ 99%) to plasma proteins in humans. Macitentan was found to be extensively metabolised before excretion, and no unchanged macitentan parent drug or the active metabolite ACT-132577 was recovered from urine in a radiolabel mass balance study. Renal excretion of macitentan metabolites was found to be the most important route of elimination. Overall, the PK results are consistent with a once-a-day dosing regimen.</w:t>
      </w:r>
    </w:p>
    <w:p w:rsidR="003F09D6" w:rsidRPr="00E82370" w:rsidRDefault="003F09D6" w:rsidP="008E1160">
      <w:r w:rsidRPr="00E82370">
        <w:t xml:space="preserve">A </w:t>
      </w:r>
      <w:r w:rsidR="001B1149">
        <w:t>Pop</w:t>
      </w:r>
      <w:r w:rsidRPr="00E82370">
        <w:t xml:space="preserve">PK/PD modelling analysis </w:t>
      </w:r>
      <w:r w:rsidRPr="00C077A5">
        <w:t>(Study AC-055-302 PK/PD</w:t>
      </w:r>
      <w:r w:rsidRPr="00E82370">
        <w:t>) on the target study population showed that macitentan trough plasma concentrations (used as a surrogate for exposure) for both the 3 mg and 10 mg dose groups were higher than those observed in healthy subjects in Study AC-055-102 (3 mg dose: 1.6 to 1.9</w:t>
      </w:r>
      <w:r>
        <w:t xml:space="preserve"> times</w:t>
      </w:r>
      <w:r w:rsidRPr="00E82370">
        <w:t xml:space="preserve"> higher; 10 mg dose: 1.6 to 2.3</w:t>
      </w:r>
      <w:r>
        <w:t xml:space="preserve"> times</w:t>
      </w:r>
      <w:r w:rsidRPr="00E82370">
        <w:t xml:space="preserve"> higher). ACT-132577 plasma concentrations were also higher in Study AC-055-302 PK/PD than those observed in healthy subjects (3 mg dose: 1.2 to 1.5</w:t>
      </w:r>
      <w:r>
        <w:t xml:space="preserve"> times</w:t>
      </w:r>
      <w:r w:rsidRPr="00E82370">
        <w:t xml:space="preserve"> higher; 10 mg dose: 1.5</w:t>
      </w:r>
      <w:r>
        <w:t xml:space="preserve"> times</w:t>
      </w:r>
      <w:r w:rsidRPr="00E82370">
        <w:t xml:space="preserve"> higher).</w:t>
      </w:r>
    </w:p>
    <w:p w:rsidR="003F09D6" w:rsidRPr="00E82370" w:rsidRDefault="003F09D6" w:rsidP="008E1160">
      <w:r w:rsidRPr="00E82370">
        <w:t>Analyses of the PK of macitentan and its metabolites in healthy subjects and in subjects with mild, moderate and severe hepatic impairment, showed that AUC</w:t>
      </w:r>
      <w:r w:rsidRPr="00E82370">
        <w:rPr>
          <w:vertAlign w:val="subscript"/>
        </w:rPr>
        <w:t>0-</w:t>
      </w:r>
      <w:r w:rsidRPr="00E82370">
        <w:rPr>
          <w:rFonts w:cs="Arial"/>
          <w:vertAlign w:val="subscript"/>
          <w:lang w:eastAsia="ja-JP"/>
        </w:rPr>
        <w:t>∞</w:t>
      </w:r>
      <w:r w:rsidRPr="00E82370">
        <w:t xml:space="preserve"> and C</w:t>
      </w:r>
      <w:r w:rsidRPr="00C077A5">
        <w:rPr>
          <w:vertAlign w:val="subscript"/>
        </w:rPr>
        <w:t>max</w:t>
      </w:r>
      <w:r w:rsidRPr="00E82370">
        <w:t xml:space="preserve"> of macitentan parent drug and its active metabolite, ACT-132577, were lower in all three groups of subjects with hepatic impairment compared to healthy subjects. For macitentan parent drug, AUC</w:t>
      </w:r>
      <w:r w:rsidRPr="00E82370">
        <w:rPr>
          <w:vertAlign w:val="subscript"/>
        </w:rPr>
        <w:t>0-</w:t>
      </w:r>
      <w:r w:rsidRPr="00E82370">
        <w:rPr>
          <w:rFonts w:cs="Arial"/>
          <w:vertAlign w:val="subscript"/>
          <w:lang w:eastAsia="ja-JP"/>
        </w:rPr>
        <w:t>∞</w:t>
      </w:r>
      <w:r w:rsidRPr="00E82370">
        <w:t xml:space="preserve"> in the hepatic impaired groups was 66% to 94% that of the healthy group, while C</w:t>
      </w:r>
      <w:r w:rsidRPr="00C077A5">
        <w:rPr>
          <w:vertAlign w:val="subscript"/>
        </w:rPr>
        <w:t>max</w:t>
      </w:r>
      <w:r w:rsidRPr="00E82370">
        <w:t xml:space="preserve"> was 52% to 81% that of the healthy group. For ACT-132577, AUC</w:t>
      </w:r>
      <w:r w:rsidRPr="00E82370">
        <w:rPr>
          <w:vertAlign w:val="subscript"/>
        </w:rPr>
        <w:t>0-</w:t>
      </w:r>
      <w:r w:rsidRPr="00E82370">
        <w:rPr>
          <w:rFonts w:cs="Arial"/>
          <w:vertAlign w:val="subscript"/>
          <w:lang w:eastAsia="ja-JP"/>
        </w:rPr>
        <w:t>∞</w:t>
      </w:r>
      <w:r w:rsidRPr="00E82370">
        <w:t xml:space="preserve"> was 74% to 81% that of the healthy group, while C</w:t>
      </w:r>
      <w:r w:rsidRPr="00C077A5">
        <w:rPr>
          <w:vertAlign w:val="subscript"/>
        </w:rPr>
        <w:t>max</w:t>
      </w:r>
      <w:r w:rsidRPr="00E82370">
        <w:t xml:space="preserve"> was 74% to 79% that of the healthy group. There was no particular trend noted in these PK parameters with increasing severity of hepatic impairment. Overall, these lower AUC</w:t>
      </w:r>
      <w:r w:rsidRPr="00E82370">
        <w:rPr>
          <w:vertAlign w:val="subscript"/>
        </w:rPr>
        <w:t>0-</w:t>
      </w:r>
      <w:r w:rsidRPr="00E82370">
        <w:rPr>
          <w:rFonts w:cs="Arial"/>
          <w:vertAlign w:val="subscript"/>
          <w:lang w:eastAsia="ja-JP"/>
        </w:rPr>
        <w:t>∞</w:t>
      </w:r>
      <w:r w:rsidRPr="00E82370">
        <w:t xml:space="preserve"> and C</w:t>
      </w:r>
      <w:r w:rsidRPr="00C077A5">
        <w:rPr>
          <w:vertAlign w:val="subscript"/>
        </w:rPr>
        <w:t>max</w:t>
      </w:r>
      <w:r w:rsidRPr="00E82370">
        <w:t xml:space="preserve"> of macitentan and its metabolite in subjects with hepatic impairment compared to healthy subjects were not considered to be of a magnitude that would warrant dose adjustments in su</w:t>
      </w:r>
      <w:r w:rsidR="008E1160">
        <w:t>bjects with hepatic impairment.</w:t>
      </w:r>
    </w:p>
    <w:p w:rsidR="003F09D6" w:rsidRPr="00E82370" w:rsidRDefault="003F09D6" w:rsidP="008E1160">
      <w:r w:rsidRPr="00E82370">
        <w:t>Analyses of the PK of macitentan and its metabolites in healthy subjects and in subjects with severe renal function impairment (SRFI) showed that AUC</w:t>
      </w:r>
      <w:r w:rsidRPr="00E82370">
        <w:rPr>
          <w:vertAlign w:val="subscript"/>
        </w:rPr>
        <w:t>0-</w:t>
      </w:r>
      <w:r w:rsidRPr="00E82370">
        <w:rPr>
          <w:rFonts w:cs="Arial"/>
          <w:vertAlign w:val="subscript"/>
          <w:lang w:eastAsia="ja-JP"/>
        </w:rPr>
        <w:t>∞</w:t>
      </w:r>
      <w:r w:rsidRPr="00E82370">
        <w:t xml:space="preserve"> and C</w:t>
      </w:r>
      <w:r w:rsidRPr="00C077A5">
        <w:rPr>
          <w:vertAlign w:val="subscript"/>
        </w:rPr>
        <w:t>max</w:t>
      </w:r>
      <w:r w:rsidRPr="00E82370">
        <w:t xml:space="preserve"> of macitentan parent drug and its active metabolite, ACT-132577, were higher in subjects with SRFI compared to healthy subjects (AUC</w:t>
      </w:r>
      <w:r w:rsidRPr="00E82370">
        <w:rPr>
          <w:vertAlign w:val="subscript"/>
        </w:rPr>
        <w:t>0-</w:t>
      </w:r>
      <w:r w:rsidRPr="00E82370">
        <w:rPr>
          <w:rFonts w:cs="Arial"/>
          <w:vertAlign w:val="subscript"/>
          <w:lang w:eastAsia="ja-JP"/>
        </w:rPr>
        <w:t>∞</w:t>
      </w:r>
      <w:r w:rsidRPr="00E82370">
        <w:t>: 24% and 58% higher for macitentan and ACT-132577; C</w:t>
      </w:r>
      <w:r w:rsidRPr="00C077A5">
        <w:rPr>
          <w:vertAlign w:val="subscript"/>
        </w:rPr>
        <w:t>max</w:t>
      </w:r>
      <w:r w:rsidRPr="00E82370">
        <w:t>: 11% and 39% higher). Overall, these higher AUC</w:t>
      </w:r>
      <w:r w:rsidRPr="00E82370">
        <w:rPr>
          <w:vertAlign w:val="subscript"/>
        </w:rPr>
        <w:t>0-</w:t>
      </w:r>
      <w:r w:rsidRPr="00E82370">
        <w:rPr>
          <w:rFonts w:cs="Arial"/>
          <w:vertAlign w:val="subscript"/>
          <w:lang w:eastAsia="ja-JP"/>
        </w:rPr>
        <w:t>∞</w:t>
      </w:r>
      <w:r w:rsidRPr="00E82370">
        <w:t xml:space="preserve"> and C</w:t>
      </w:r>
      <w:r w:rsidRPr="00C077A5">
        <w:rPr>
          <w:vertAlign w:val="subscript"/>
        </w:rPr>
        <w:t>max</w:t>
      </w:r>
      <w:r w:rsidRPr="00E82370">
        <w:t xml:space="preserve"> of macitentan and ACT-132577 in SRFI subjects compared to healthy subjects were not considered to be of a magnitude that would warrant dose reduction</w:t>
      </w:r>
      <w:r w:rsidR="008E1160">
        <w:t xml:space="preserve"> in subjects with SRFI.</w:t>
      </w:r>
    </w:p>
    <w:p w:rsidR="003F09D6" w:rsidRDefault="001B1149" w:rsidP="008E1160">
      <w:r>
        <w:t>Drug-drug interaction (</w:t>
      </w:r>
      <w:r w:rsidR="003F09D6" w:rsidRPr="00E82370">
        <w:t>DDI</w:t>
      </w:r>
      <w:r>
        <w:t>)</w:t>
      </w:r>
      <w:r w:rsidR="003F09D6" w:rsidRPr="00E82370">
        <w:t xml:space="preserve"> studies investigating potential DDI of macitentan with warfarin (commonly administered to PAH patients, and metabolised by a range of CYPs), sildenafil (CYP3A4 substrate and approved for treatment of PAH), ketoconazole (potent inhibitor of CYP3A4), cyclosporine A (inhibitor of CYP3A4 and of the uptake transporters) and rifampicin (potent inducer of CYP3A4) were conducted. Results showed that there was no clinically relevant DDI with warfarin, sildenafil, ketoconazole and cyclosporine. Co-administration of rifampicin with macitentan decreased the exposure to macitentan parent drug significantly (geometric means of AUC</w:t>
      </w:r>
      <w:r w:rsidR="003F09D6" w:rsidRPr="00C077A5">
        <w:rPr>
          <w:vertAlign w:val="subscript"/>
        </w:rPr>
        <w:t>τ</w:t>
      </w:r>
      <w:r w:rsidR="003F09D6" w:rsidRPr="00E82370">
        <w:t xml:space="preserve"> and C</w:t>
      </w:r>
      <w:r w:rsidR="003F09D6" w:rsidRPr="00C077A5">
        <w:rPr>
          <w:vertAlign w:val="subscript"/>
        </w:rPr>
        <w:t>trough</w:t>
      </w:r>
      <w:r w:rsidR="003F09D6" w:rsidRPr="00E82370">
        <w:t xml:space="preserve"> were 79% and 93% lower) but did not change the exposure to the active metabolite, ACT-132577 to a clinically relevant extent, leading to the conclusion that reduced efficacy of macitentan in the presence of rifampicin should be considered.</w:t>
      </w:r>
    </w:p>
    <w:p w:rsidR="003F09D6" w:rsidRPr="009A1EA9" w:rsidRDefault="003F09D6" w:rsidP="008E1160">
      <w:r w:rsidRPr="009A1EA9">
        <w:t>In the current application, absolute bioavailability studies as well as studies to establish that the proposed formulation is optimal (</w:t>
      </w:r>
      <w:r>
        <w:t xml:space="preserve">for example, </w:t>
      </w:r>
      <w:r w:rsidRPr="009A1EA9">
        <w:t xml:space="preserve">a study on bioavailability relative to an oral solution of the drug) have not been submitted. </w:t>
      </w:r>
      <w:r>
        <w:t xml:space="preserve">As previously described, </w:t>
      </w:r>
      <w:r w:rsidRPr="009A1EA9">
        <w:t xml:space="preserve">the sponsor had provided the reasons for these omissions. The sponsor had stated that as macitentan has very low solubility (≤ 1 μg/mL) and poor stability in aqueous media at physiological pH, attempts to develop an </w:t>
      </w:r>
      <w:r w:rsidR="00B90382">
        <w:t>IV</w:t>
      </w:r>
      <w:r w:rsidRPr="009A1EA9">
        <w:t xml:space="preserve"> formulation for human use had failed despite exploration of several potential solvent systems. Hence, in lieu of absolute bioavailability studies, the bioavailability of macitentan was simulated using a physiologically-based PK </w:t>
      </w:r>
      <w:r w:rsidRPr="009A1EA9">
        <w:lastRenderedPageBreak/>
        <w:t>computer model. This justification for the lack of absolute bioavailability studies is considered by the evaluator to be reasonable. With regards to the lack of a study on bioavailability relative to an oral solution of the drug, the sponsor had stated that the technical feasibility and stability of an oral solution of macitentan had been investigated, but that the low solubility of macitentan in various aqueous media at physiological pH had made it challenging to achieve an oral solution. None of the systems investigated were found to be suitable for developing an oral solution due to issues with solubility and/or stability, leading the sponsor to conclude that the development of an oral solution formulation was not feasible due to the physicochemical characteristics of the compound. This justification for the lack of a study on bioavailability relative to an oral solution of the drug is considered by the evaluator to be reasonable.</w:t>
      </w:r>
    </w:p>
    <w:p w:rsidR="003F09D6" w:rsidRPr="00E82370" w:rsidRDefault="003F09D6" w:rsidP="008E1160">
      <w:r w:rsidRPr="00E82370">
        <w:t>The PK information in the PI is satisfactory.</w:t>
      </w:r>
    </w:p>
    <w:p w:rsidR="008E7846" w:rsidRPr="0039319F" w:rsidRDefault="008E7846" w:rsidP="0039319F">
      <w:pPr>
        <w:pStyle w:val="Heading3"/>
      </w:pPr>
      <w:bookmarkStart w:id="96" w:name="_Toc391645283"/>
      <w:r w:rsidRPr="00254787">
        <w:t>Pharmacodynamics</w:t>
      </w:r>
      <w:bookmarkEnd w:id="59"/>
      <w:bookmarkEnd w:id="81"/>
      <w:bookmarkEnd w:id="82"/>
      <w:bookmarkEnd w:id="83"/>
      <w:bookmarkEnd w:id="96"/>
    </w:p>
    <w:p w:rsidR="003F09D6" w:rsidRPr="00E82370" w:rsidRDefault="003F09D6" w:rsidP="0039319F">
      <w:pPr>
        <w:pStyle w:val="Heading4"/>
      </w:pPr>
      <w:bookmarkStart w:id="97" w:name="_Toc272414637"/>
      <w:bookmarkStart w:id="98" w:name="_Toc290846260"/>
      <w:bookmarkStart w:id="99" w:name="_Toc368036953"/>
      <w:bookmarkStart w:id="100" w:name="_Toc383684148"/>
      <w:r w:rsidRPr="00E82370">
        <w:t xml:space="preserve">Studies providing </w:t>
      </w:r>
      <w:r w:rsidRPr="0039319F">
        <w:t>pharmacodynamic</w:t>
      </w:r>
      <w:r w:rsidRPr="00E82370">
        <w:t xml:space="preserve"> data</w:t>
      </w:r>
      <w:bookmarkEnd w:id="97"/>
      <w:bookmarkEnd w:id="98"/>
      <w:bookmarkEnd w:id="99"/>
      <w:bookmarkEnd w:id="100"/>
    </w:p>
    <w:p w:rsidR="003F09D6" w:rsidRDefault="003F09D6" w:rsidP="0039319F">
      <w:r w:rsidRPr="00E82370">
        <w:t xml:space="preserve">Table </w:t>
      </w:r>
      <w:r w:rsidR="001B1149">
        <w:t>6</w:t>
      </w:r>
      <w:r w:rsidRPr="00E82370">
        <w:t xml:space="preserve"> (below) shows the studies relating to each</w:t>
      </w:r>
      <w:r w:rsidR="00F55ED2">
        <w:t xml:space="preserve"> </w:t>
      </w:r>
      <w:r>
        <w:t xml:space="preserve">PD </w:t>
      </w:r>
      <w:r w:rsidRPr="00E82370">
        <w:t>topic</w:t>
      </w:r>
      <w:r w:rsidR="0039319F">
        <w:t>.</w:t>
      </w:r>
    </w:p>
    <w:p w:rsidR="003F09D6" w:rsidRPr="00E82370" w:rsidRDefault="003F09D6" w:rsidP="0039319F">
      <w:pPr>
        <w:pStyle w:val="TableTitle"/>
      </w:pPr>
      <w:bookmarkStart w:id="101" w:name="_Ref269985397"/>
      <w:bookmarkStart w:id="102" w:name="_Toc290888902"/>
      <w:bookmarkStart w:id="103" w:name="_Toc368037055"/>
      <w:proofErr w:type="gramStart"/>
      <w:r w:rsidRPr="00E82370">
        <w:t>Table</w:t>
      </w:r>
      <w:bookmarkEnd w:id="101"/>
      <w:r w:rsidRPr="00E82370">
        <w:t xml:space="preserve"> </w:t>
      </w:r>
      <w:r w:rsidR="001B1149">
        <w:t>6:</w:t>
      </w:r>
      <w:r w:rsidRPr="00E82370">
        <w:t xml:space="preserve"> Submitted pharmacodynamic studies.</w:t>
      </w:r>
      <w:bookmarkEnd w:id="102"/>
      <w:bookmarkEnd w:id="103"/>
      <w:proofErr w:type="gramEnd"/>
    </w:p>
    <w:tbl>
      <w:tblPr>
        <w:tblStyle w:val="TableTGAblue"/>
        <w:tblW w:w="8768" w:type="dxa"/>
        <w:tblLayout w:type="fixed"/>
        <w:tblLook w:val="04A0" w:firstRow="1" w:lastRow="0" w:firstColumn="1" w:lastColumn="0" w:noHBand="0" w:noVBand="1"/>
      </w:tblPr>
      <w:tblGrid>
        <w:gridCol w:w="1755"/>
        <w:gridCol w:w="1650"/>
        <w:gridCol w:w="1513"/>
        <w:gridCol w:w="3850"/>
      </w:tblGrid>
      <w:tr w:rsidR="003F09D6" w:rsidRPr="00E82370" w:rsidTr="004A7E4B">
        <w:trPr>
          <w:cnfStyle w:val="100000000000" w:firstRow="1" w:lastRow="0" w:firstColumn="0" w:lastColumn="0" w:oddVBand="0" w:evenVBand="0" w:oddHBand="0" w:evenHBand="0" w:firstRowFirstColumn="0" w:firstRowLastColumn="0" w:lastRowFirstColumn="0" w:lastRowLastColumn="0"/>
          <w:trHeight w:val="508"/>
        </w:trPr>
        <w:tc>
          <w:tcPr>
            <w:tcW w:w="1755" w:type="dxa"/>
          </w:tcPr>
          <w:p w:rsidR="003F09D6" w:rsidRPr="005E4800" w:rsidRDefault="003F09D6" w:rsidP="0039319F">
            <w:pPr>
              <w:ind w:left="0" w:right="0"/>
            </w:pPr>
            <w:r w:rsidRPr="005E4800">
              <w:t>PD Topic</w:t>
            </w:r>
          </w:p>
        </w:tc>
        <w:tc>
          <w:tcPr>
            <w:tcW w:w="1650" w:type="dxa"/>
          </w:tcPr>
          <w:p w:rsidR="003F09D6" w:rsidRPr="005E4800" w:rsidRDefault="003F09D6" w:rsidP="0039319F">
            <w:pPr>
              <w:ind w:left="0" w:right="0"/>
            </w:pPr>
            <w:r w:rsidRPr="005E4800">
              <w:t>Subtopic</w:t>
            </w:r>
          </w:p>
        </w:tc>
        <w:tc>
          <w:tcPr>
            <w:tcW w:w="1513" w:type="dxa"/>
          </w:tcPr>
          <w:p w:rsidR="003F09D6" w:rsidRPr="005E4800" w:rsidRDefault="003F09D6" w:rsidP="0039319F">
            <w:pPr>
              <w:ind w:left="0" w:right="24"/>
            </w:pPr>
            <w:r w:rsidRPr="005E4800">
              <w:t>Study ID</w:t>
            </w:r>
          </w:p>
        </w:tc>
        <w:tc>
          <w:tcPr>
            <w:tcW w:w="3850" w:type="dxa"/>
          </w:tcPr>
          <w:p w:rsidR="003F09D6" w:rsidRPr="005E4800" w:rsidRDefault="003F09D6" w:rsidP="0039319F">
            <w:pPr>
              <w:ind w:left="44" w:right="47"/>
            </w:pPr>
            <w:r w:rsidRPr="005E4800">
              <w:t>Primary Aim of the Study</w:t>
            </w:r>
          </w:p>
        </w:tc>
      </w:tr>
      <w:tr w:rsidR="003F09D6" w:rsidRPr="00E82370" w:rsidTr="004A7E4B">
        <w:trPr>
          <w:trHeight w:val="3349"/>
        </w:trPr>
        <w:tc>
          <w:tcPr>
            <w:tcW w:w="1755" w:type="dxa"/>
            <w:vMerge w:val="restart"/>
          </w:tcPr>
          <w:p w:rsidR="003F09D6" w:rsidRPr="005E4800" w:rsidRDefault="003F09D6" w:rsidP="0039319F">
            <w:pPr>
              <w:ind w:left="0" w:right="0"/>
            </w:pPr>
            <w:r w:rsidRPr="005E4800">
              <w:t>Secondary Pharmacology</w:t>
            </w:r>
          </w:p>
        </w:tc>
        <w:tc>
          <w:tcPr>
            <w:tcW w:w="1650" w:type="dxa"/>
          </w:tcPr>
          <w:p w:rsidR="003F09D6" w:rsidRPr="005E4800" w:rsidRDefault="003F09D6" w:rsidP="0039319F">
            <w:pPr>
              <w:ind w:left="0" w:right="0"/>
            </w:pPr>
            <w:r w:rsidRPr="005E4800">
              <w:t>Effect on sperm concentration</w:t>
            </w:r>
          </w:p>
        </w:tc>
        <w:tc>
          <w:tcPr>
            <w:tcW w:w="1513" w:type="dxa"/>
          </w:tcPr>
          <w:p w:rsidR="003F09D6" w:rsidRPr="005E4800" w:rsidRDefault="003F09D6" w:rsidP="0039319F">
            <w:pPr>
              <w:ind w:left="0" w:right="24"/>
            </w:pPr>
            <w:r w:rsidRPr="005E4800">
              <w:t>AC-055-113</w:t>
            </w:r>
          </w:p>
        </w:tc>
        <w:tc>
          <w:tcPr>
            <w:tcW w:w="3850" w:type="dxa"/>
          </w:tcPr>
          <w:p w:rsidR="003F09D6" w:rsidRPr="005E4800" w:rsidRDefault="003F09D6" w:rsidP="0039319F">
            <w:pPr>
              <w:ind w:left="44" w:right="47"/>
            </w:pPr>
            <w:r w:rsidRPr="005E4800">
              <w:t>To demonstrate that treatment with macitentan 10 mg tablet once daily over 12 weeks does not lead to a clinically relevant decrease in sperm concentration, and to investigate the effect of macitentan on sperm quality and on serum concentrations of hormones of the HPA and HPG axes, in healthy male subjects</w:t>
            </w:r>
          </w:p>
        </w:tc>
      </w:tr>
      <w:tr w:rsidR="003F09D6" w:rsidRPr="00E82370" w:rsidTr="004A7E4B">
        <w:trPr>
          <w:trHeight w:val="152"/>
        </w:trPr>
        <w:tc>
          <w:tcPr>
            <w:tcW w:w="1755" w:type="dxa"/>
            <w:vMerge/>
          </w:tcPr>
          <w:p w:rsidR="003F09D6" w:rsidRPr="005E4800" w:rsidRDefault="003F09D6" w:rsidP="0039319F">
            <w:pPr>
              <w:ind w:left="0" w:right="0"/>
            </w:pPr>
          </w:p>
        </w:tc>
        <w:tc>
          <w:tcPr>
            <w:tcW w:w="1650" w:type="dxa"/>
          </w:tcPr>
          <w:p w:rsidR="003F09D6" w:rsidRPr="005E4800" w:rsidRDefault="003F09D6" w:rsidP="0039319F">
            <w:pPr>
              <w:ind w:left="0" w:right="0"/>
            </w:pPr>
            <w:r w:rsidRPr="005E4800">
              <w:t>Effect on cardiac repolarisation</w:t>
            </w:r>
          </w:p>
          <w:p w:rsidR="003F09D6" w:rsidRPr="005E4800" w:rsidRDefault="003F09D6" w:rsidP="0039319F">
            <w:pPr>
              <w:ind w:left="0" w:right="0"/>
            </w:pPr>
            <w:r w:rsidRPr="005E4800">
              <w:t>(thorough QT study)</w:t>
            </w:r>
          </w:p>
        </w:tc>
        <w:tc>
          <w:tcPr>
            <w:tcW w:w="1513" w:type="dxa"/>
          </w:tcPr>
          <w:p w:rsidR="003F09D6" w:rsidRPr="005E4800" w:rsidRDefault="003F09D6" w:rsidP="0039319F">
            <w:pPr>
              <w:ind w:left="0" w:right="24"/>
            </w:pPr>
            <w:r w:rsidRPr="005E4800">
              <w:t>AC-055-114</w:t>
            </w:r>
          </w:p>
        </w:tc>
        <w:tc>
          <w:tcPr>
            <w:tcW w:w="3850" w:type="dxa"/>
          </w:tcPr>
          <w:p w:rsidR="003F09D6" w:rsidRPr="005E4800" w:rsidRDefault="003F09D6" w:rsidP="0039319F">
            <w:pPr>
              <w:ind w:left="44" w:right="47"/>
            </w:pPr>
            <w:r w:rsidRPr="005E4800">
              <w:t>To demonstrate that macitentan does not have an effect on cardiac repolarisation exceeding the threshold of regulatory concern, as measured by the QTc interval after repeated administration of oral daily doses of 10 mg and 30 mg tablets.</w:t>
            </w:r>
          </w:p>
        </w:tc>
      </w:tr>
      <w:tr w:rsidR="003F09D6" w:rsidRPr="00E82370" w:rsidTr="004A7E4B">
        <w:trPr>
          <w:trHeight w:val="152"/>
        </w:trPr>
        <w:tc>
          <w:tcPr>
            <w:tcW w:w="1755" w:type="dxa"/>
          </w:tcPr>
          <w:p w:rsidR="003F09D6" w:rsidRPr="005E4800" w:rsidRDefault="003F09D6" w:rsidP="0039319F">
            <w:pPr>
              <w:ind w:left="0" w:right="0"/>
            </w:pPr>
            <w:r w:rsidRPr="005E4800">
              <w:t>Population PD and PK-PD analyses</w:t>
            </w:r>
          </w:p>
        </w:tc>
        <w:tc>
          <w:tcPr>
            <w:tcW w:w="1650" w:type="dxa"/>
          </w:tcPr>
          <w:p w:rsidR="003F09D6" w:rsidRPr="005E4800" w:rsidRDefault="003F09D6" w:rsidP="0039319F">
            <w:pPr>
              <w:ind w:left="0" w:right="0"/>
            </w:pPr>
            <w:r w:rsidRPr="005E4800">
              <w:t>Target population</w:t>
            </w:r>
          </w:p>
        </w:tc>
        <w:tc>
          <w:tcPr>
            <w:tcW w:w="1513" w:type="dxa"/>
          </w:tcPr>
          <w:p w:rsidR="003F09D6" w:rsidRPr="005E4800" w:rsidRDefault="003F09D6" w:rsidP="0039319F">
            <w:pPr>
              <w:ind w:left="0" w:right="24"/>
            </w:pPr>
            <w:r w:rsidRPr="005E4800">
              <w:t>AC-055-302 PK/PD</w:t>
            </w:r>
          </w:p>
        </w:tc>
        <w:tc>
          <w:tcPr>
            <w:tcW w:w="3850" w:type="dxa"/>
          </w:tcPr>
          <w:p w:rsidR="003F09D6" w:rsidRPr="005E4800" w:rsidRDefault="003F09D6" w:rsidP="0039319F">
            <w:pPr>
              <w:ind w:left="44" w:right="47"/>
            </w:pPr>
            <w:r w:rsidRPr="005E4800">
              <w:t>To characterise the relationship between macitentan exposure and different cardiac haemodynamic parameters, the 6-minute walk distance, and other efficacy and safety endpoints</w:t>
            </w:r>
          </w:p>
        </w:tc>
      </w:tr>
    </w:tbl>
    <w:p w:rsidR="003F09D6" w:rsidRPr="00E82370" w:rsidRDefault="003F09D6" w:rsidP="0039319F">
      <w:pPr>
        <w:pStyle w:val="Heading4"/>
      </w:pPr>
      <w:bookmarkStart w:id="104" w:name="_Ref269983272"/>
      <w:bookmarkStart w:id="105" w:name="_Toc272414648"/>
      <w:bookmarkStart w:id="106" w:name="_Toc290846270"/>
      <w:bookmarkStart w:id="107" w:name="_Toc368036961"/>
      <w:bookmarkStart w:id="108" w:name="_Toc383684150"/>
      <w:r w:rsidRPr="00E82370">
        <w:lastRenderedPageBreak/>
        <w:t xml:space="preserve">Evaluator’s </w:t>
      </w:r>
      <w:r w:rsidR="000847CD">
        <w:t xml:space="preserve">summary and </w:t>
      </w:r>
      <w:r w:rsidRPr="00E82370">
        <w:t xml:space="preserve">overall conclusions on </w:t>
      </w:r>
      <w:r w:rsidRPr="0039319F">
        <w:t>pharmacodynamics</w:t>
      </w:r>
      <w:bookmarkEnd w:id="104"/>
      <w:bookmarkEnd w:id="105"/>
      <w:bookmarkEnd w:id="106"/>
      <w:bookmarkEnd w:id="107"/>
      <w:bookmarkEnd w:id="108"/>
      <w:r w:rsidR="000847CD">
        <w:t xml:space="preserve"> data</w:t>
      </w:r>
    </w:p>
    <w:p w:rsidR="003F09D6" w:rsidRDefault="003F09D6" w:rsidP="0039319F">
      <w:r w:rsidRPr="00E82370">
        <w:t xml:space="preserve">Overall, the PD data is adequate with respect to evaluation of this application. The SAD and MAD </w:t>
      </w:r>
      <w:r>
        <w:t>S</w:t>
      </w:r>
      <w:r w:rsidRPr="00E82370">
        <w:t xml:space="preserve">tudies showed PD effect at the ET receptor level. After multiple dosing, at steady-state, there was a dose-dependent increase in plasma ET-1 concentrations from 1 to 10 mg, with no further increase beyond the 10 mg once daily dose, indicating full receptor blockade at this dose level. PD effect on systemic </w:t>
      </w:r>
      <w:r w:rsidR="00D32A10">
        <w:t>BP</w:t>
      </w:r>
      <w:r w:rsidRPr="00E82370">
        <w:t xml:space="preserve"> was investigated in Study AC-055-201, and results showed a dose-related decrease in </w:t>
      </w:r>
      <w:r w:rsidR="00C81A95">
        <w:t xml:space="preserve">sitting diastolic </w:t>
      </w:r>
      <w:r w:rsidRPr="00E82370">
        <w:t xml:space="preserve">BP </w:t>
      </w:r>
      <w:r w:rsidR="00C81A95">
        <w:t xml:space="preserve">(SiDBP) </w:t>
      </w:r>
      <w:r w:rsidRPr="00E82370">
        <w:t>from baseline to Week 8, and the decrease which was statistically significant versus placebo for macitentan 10 mg once daily dose, but not for macitentan 3 mg once daily dose. Analysis of the relationship between macitentan/ACT-132577 concentrations and change from baseline in SiDBP indicated that the 10 mg dose appeared to be close to the plateau of the pharmacological effect.</w:t>
      </w:r>
    </w:p>
    <w:p w:rsidR="004A7E4B" w:rsidRDefault="004A7E4B" w:rsidP="0039319F">
      <w:pPr>
        <w:pStyle w:val="Heading2"/>
      </w:pPr>
      <w:bookmarkStart w:id="109" w:name="_Toc383684151"/>
      <w:bookmarkStart w:id="110" w:name="_Toc391645284"/>
      <w:r>
        <w:t xml:space="preserve">Dosage selection for the </w:t>
      </w:r>
      <w:r w:rsidRPr="0039319F">
        <w:t>pivotal</w:t>
      </w:r>
      <w:r>
        <w:t xml:space="preserve"> studies</w:t>
      </w:r>
      <w:bookmarkEnd w:id="109"/>
      <w:bookmarkEnd w:id="110"/>
    </w:p>
    <w:p w:rsidR="004A7E4B" w:rsidRPr="003B6CEC" w:rsidRDefault="004A7E4B" w:rsidP="0039319F">
      <w:pPr>
        <w:rPr>
          <w:lang w:eastAsia="en-AU"/>
        </w:rPr>
      </w:pPr>
      <w:r w:rsidRPr="003B6CEC">
        <w:rPr>
          <w:lang w:eastAsia="en-AU"/>
        </w:rPr>
        <w:t xml:space="preserve">No dedicated dose-finding study was conducted in patients with PAH. The sponsor had stated that their strategy was to employ PD data on ET-1 levels and haemodynamic efficacy data on </w:t>
      </w:r>
      <w:r w:rsidR="00D32A10">
        <w:rPr>
          <w:lang w:eastAsia="en-AU"/>
        </w:rPr>
        <w:t>BP</w:t>
      </w:r>
      <w:r w:rsidRPr="003B6CEC">
        <w:rPr>
          <w:lang w:eastAsia="en-AU"/>
        </w:rPr>
        <w:t xml:space="preserve"> reduction in patients with mild to moderate essential hypertension to determine the dose range to be tested in the Phase III study in patients with PAH. Through the inhibitory effect on ET-1 receptors, ERAs lead to an increase in plasma ET-1 levels and a decrease in systemic </w:t>
      </w:r>
      <w:r w:rsidR="00D32A10">
        <w:rPr>
          <w:lang w:eastAsia="en-AU"/>
        </w:rPr>
        <w:t>BP,</w:t>
      </w:r>
      <w:r w:rsidRPr="003B6CEC">
        <w:rPr>
          <w:lang w:eastAsia="en-AU"/>
        </w:rPr>
        <w:t xml:space="preserve"> both of which can hence be used as biomarkers of pharmacological effect. The sponsor had stated that their strategy was based on the assumption that a dose shown to be efficacious in systemic hypertension would also be haemodynamically effective in PAH, as was previously observed with the ERA bosentan.</w:t>
      </w:r>
    </w:p>
    <w:p w:rsidR="004A7E4B" w:rsidRDefault="004A7E4B" w:rsidP="0039319F">
      <w:pPr>
        <w:rPr>
          <w:lang w:eastAsia="en-AU"/>
        </w:rPr>
      </w:pPr>
      <w:r w:rsidRPr="003B6CEC">
        <w:rPr>
          <w:lang w:eastAsia="en-AU"/>
        </w:rPr>
        <w:t xml:space="preserve">In the MAD </w:t>
      </w:r>
      <w:r>
        <w:rPr>
          <w:lang w:eastAsia="en-AU"/>
        </w:rPr>
        <w:t>S</w:t>
      </w:r>
      <w:r w:rsidRPr="003B6CEC">
        <w:rPr>
          <w:lang w:eastAsia="en-AU"/>
        </w:rPr>
        <w:t>tudy (AC-055-102) in healthy subjects, a dose-dependent increase in ET-1 levels was observed from 1 to 10 mg of macitentan, with no further increase beyond the 10 mg once daily dose (</w:t>
      </w:r>
      <w:r w:rsidRPr="00CE3833">
        <w:rPr>
          <w:lang w:eastAsia="en-AU"/>
        </w:rPr>
        <w:t>Figure 5</w:t>
      </w:r>
      <w:r>
        <w:rPr>
          <w:lang w:eastAsia="en-AU"/>
        </w:rPr>
        <w:t>)</w:t>
      </w:r>
      <w:r w:rsidRPr="003B6CEC">
        <w:rPr>
          <w:lang w:eastAsia="en-AU"/>
        </w:rPr>
        <w:t xml:space="preserve"> suggesting that this dose provided maximum inhibition of the ET receptor and was thus a likely ceiling for cardiovascular effects related to ET-receptor antagonism. In addition, a statistically significant difference in ET-1 levels compared to the placebo group was observed in the 10 mg and 30 mg dose groups but not in the 3 mg or 1 mg dose groups</w:t>
      </w:r>
      <w:r w:rsidRPr="003B6CEC">
        <w:rPr>
          <w:sz w:val="20"/>
          <w:szCs w:val="20"/>
          <w:lang w:eastAsia="en-AU"/>
        </w:rPr>
        <w:t>.</w:t>
      </w:r>
    </w:p>
    <w:p w:rsidR="004A7E4B" w:rsidRPr="00E82370" w:rsidRDefault="004A7E4B" w:rsidP="0039319F">
      <w:pPr>
        <w:pStyle w:val="FigureTitle"/>
      </w:pPr>
      <w:bookmarkStart w:id="111" w:name="_Ref358206318"/>
      <w:bookmarkStart w:id="112" w:name="_Toc368037071"/>
      <w:r w:rsidRPr="00E82370">
        <w:t xml:space="preserve">Figure </w:t>
      </w:r>
      <w:r>
        <w:t xml:space="preserve">5: </w:t>
      </w:r>
      <w:r w:rsidRPr="00E82370">
        <w:t>Effect of macitentan (ACT- 064992) on plasma ET-1 concentrations on Day 10, Study AC-055-102</w:t>
      </w:r>
      <w:bookmarkEnd w:id="111"/>
      <w:bookmarkEnd w:id="112"/>
    </w:p>
    <w:p w:rsidR="004A7E4B" w:rsidRPr="00E82370" w:rsidRDefault="004A7E4B" w:rsidP="0039319F">
      <w:r>
        <w:rPr>
          <w:noProof/>
          <w:lang w:eastAsia="en-AU"/>
        </w:rPr>
        <w:drawing>
          <wp:inline distT="0" distB="0" distL="0" distR="0" wp14:anchorId="45C8306D" wp14:editId="2BF6B2C5">
            <wp:extent cx="4105275" cy="2695575"/>
            <wp:effectExtent l="0" t="0" r="9525" b="9525"/>
            <wp:docPr id="39" name="Picture 39" descr="Figure 5: Effect of macitentan (ACT- 064992) on plasma ET-1 concentrations on Day 10, Study AC-055-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05275" cy="2695575"/>
                    </a:xfrm>
                    <a:prstGeom prst="rect">
                      <a:avLst/>
                    </a:prstGeom>
                    <a:noFill/>
                    <a:ln>
                      <a:noFill/>
                    </a:ln>
                  </pic:spPr>
                </pic:pic>
              </a:graphicData>
            </a:graphic>
          </wp:inline>
        </w:drawing>
      </w:r>
    </w:p>
    <w:p w:rsidR="004A7E4B" w:rsidRDefault="004A7E4B" w:rsidP="0039319F">
      <w:pPr>
        <w:rPr>
          <w:lang w:eastAsia="en-AU"/>
        </w:rPr>
      </w:pPr>
      <w:r w:rsidRPr="003B6CEC">
        <w:rPr>
          <w:lang w:eastAsia="en-AU"/>
        </w:rPr>
        <w:t xml:space="preserve">These results were supported by the results of Study AC-055-201 in patients with essential hypertension, where only a marginal effect on ET-1 concentration was observed </w:t>
      </w:r>
      <w:r w:rsidRPr="003B6CEC">
        <w:rPr>
          <w:lang w:eastAsia="en-AU"/>
        </w:rPr>
        <w:lastRenderedPageBreak/>
        <w:t>in the 0.3 and 1 mg macitentan dose groups, while a more marked effect on ET-1 was observed in the 3 and 10 mg macitentan dose groups (</w:t>
      </w:r>
      <w:r w:rsidRPr="00CE3833">
        <w:rPr>
          <w:lang w:eastAsia="en-AU"/>
        </w:rPr>
        <w:t>Figure 6</w:t>
      </w:r>
      <w:r w:rsidR="0039319F">
        <w:rPr>
          <w:lang w:eastAsia="en-AU"/>
        </w:rPr>
        <w:t>).</w:t>
      </w:r>
    </w:p>
    <w:p w:rsidR="004A7E4B" w:rsidRPr="00E82370" w:rsidRDefault="004A7E4B" w:rsidP="0039319F">
      <w:pPr>
        <w:pStyle w:val="FigureTitle"/>
      </w:pPr>
      <w:bookmarkStart w:id="113" w:name="_Ref358206327"/>
      <w:bookmarkStart w:id="114" w:name="_Toc368037183"/>
      <w:r w:rsidRPr="00E82370">
        <w:t xml:space="preserve">Figure </w:t>
      </w:r>
      <w:r>
        <w:t xml:space="preserve">6: </w:t>
      </w:r>
      <w:r w:rsidRPr="00E82370">
        <w:t xml:space="preserve">Plasma ET-1 concentrations (pg/mL) (mean and </w:t>
      </w:r>
      <w:r w:rsidRPr="0039319F">
        <w:t>SD</w:t>
      </w:r>
      <w:r w:rsidRPr="00E82370">
        <w:t>) at Weeks 4 and 8, Study AC-055-201</w:t>
      </w:r>
      <w:bookmarkEnd w:id="113"/>
      <w:bookmarkEnd w:id="114"/>
    </w:p>
    <w:p w:rsidR="004A7E4B" w:rsidRPr="00E82370" w:rsidRDefault="004A7E4B" w:rsidP="0039319F">
      <w:r>
        <w:rPr>
          <w:noProof/>
          <w:lang w:eastAsia="en-AU"/>
        </w:rPr>
        <w:drawing>
          <wp:inline distT="0" distB="0" distL="0" distR="0" wp14:anchorId="4C79F278" wp14:editId="7D57BBC2">
            <wp:extent cx="3943350" cy="2543175"/>
            <wp:effectExtent l="0" t="0" r="0" b="9525"/>
            <wp:docPr id="40" name="Picture 40" descr="Figure 6: Plasma ET-1 concentrations (pg/mL) (mean and SD) at Weeks 4 and 8, Study AC-055-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43350" cy="2543175"/>
                    </a:xfrm>
                    <a:prstGeom prst="rect">
                      <a:avLst/>
                    </a:prstGeom>
                    <a:noFill/>
                    <a:ln>
                      <a:noFill/>
                    </a:ln>
                  </pic:spPr>
                </pic:pic>
              </a:graphicData>
            </a:graphic>
          </wp:inline>
        </w:drawing>
      </w:r>
    </w:p>
    <w:p w:rsidR="004A7E4B" w:rsidRDefault="004A7E4B" w:rsidP="0039319F">
      <w:pPr>
        <w:rPr>
          <w:lang w:eastAsia="en-AU"/>
        </w:rPr>
      </w:pPr>
      <w:r w:rsidRPr="003B6CEC">
        <w:rPr>
          <w:lang w:eastAsia="en-AU"/>
        </w:rPr>
        <w:t>In terms of the effect of macitentan on systemic BP as a biomarker of pharmacological effect, in Study AC-055-201, the reduction in trough SiDBP from baseline was statistically significant when compared to placebo only for macitentan 10 mg, but not for 3 mg, 1 mg or 0.3 mg, although the mean reduction in trough SiDBP from baseline observed in the 3 mg dose group was considered clinically relevant (</w:t>
      </w:r>
      <w:r w:rsidRPr="00741679">
        <w:rPr>
          <w:lang w:eastAsia="en-AU"/>
        </w:rPr>
        <w:t>Figure 7</w:t>
      </w:r>
      <w:r>
        <w:rPr>
          <w:lang w:eastAsia="en-AU"/>
        </w:rPr>
        <w:t>).</w:t>
      </w:r>
    </w:p>
    <w:p w:rsidR="004A7E4B" w:rsidRPr="00E82370" w:rsidRDefault="004A7E4B" w:rsidP="0039319F">
      <w:pPr>
        <w:pStyle w:val="FigureTitle"/>
      </w:pPr>
      <w:r w:rsidRPr="00E82370">
        <w:t>Figure</w:t>
      </w:r>
      <w:r>
        <w:t xml:space="preserve"> 7:</w:t>
      </w:r>
      <w:r w:rsidRPr="00E82370">
        <w:t xml:space="preserve"> Change in sitting diastolic blood pressure </w:t>
      </w:r>
      <w:r w:rsidRPr="0039319F">
        <w:t>from</w:t>
      </w:r>
      <w:r w:rsidRPr="00E82370">
        <w:t xml:space="preserve"> baseline to end of Period II (Placebo-corrected), Study AC-055-201</w:t>
      </w:r>
    </w:p>
    <w:p w:rsidR="004A7E4B" w:rsidRPr="00E82370" w:rsidRDefault="004A7E4B" w:rsidP="0039319F">
      <w:r>
        <w:rPr>
          <w:noProof/>
          <w:lang w:eastAsia="en-AU"/>
        </w:rPr>
        <w:drawing>
          <wp:inline distT="0" distB="0" distL="0" distR="0" wp14:anchorId="63A3A83E" wp14:editId="187A3415">
            <wp:extent cx="5172075" cy="1597597"/>
            <wp:effectExtent l="0" t="0" r="0" b="3175"/>
            <wp:docPr id="42" name="Picture 42" descr="Figure 7: Change in sitting diastolic blood pressure from baseline to end of Period II (Placebo-corrected), Study AC-055-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72075" cy="1597597"/>
                    </a:xfrm>
                    <a:prstGeom prst="rect">
                      <a:avLst/>
                    </a:prstGeom>
                    <a:noFill/>
                    <a:ln>
                      <a:noFill/>
                    </a:ln>
                  </pic:spPr>
                </pic:pic>
              </a:graphicData>
            </a:graphic>
          </wp:inline>
        </w:drawing>
      </w:r>
    </w:p>
    <w:p w:rsidR="004A7E4B" w:rsidRDefault="004A7E4B" w:rsidP="0039319F">
      <w:pPr>
        <w:rPr>
          <w:lang w:eastAsia="en-AU"/>
        </w:rPr>
      </w:pPr>
      <w:r w:rsidRPr="003B6CEC">
        <w:rPr>
          <w:lang w:eastAsia="en-AU"/>
        </w:rPr>
        <w:t>Similar results were observed in the endpoint of change from baseline to Week 8 in mean trough SiSBP, with statistically significant reduction from baseline in trough SiSBP compared to placebo only in the macitentan 10 mg dose. In addition, PK/PD analysis results of study AC-055-201 showed that macitentan 10 mg appeared to be at or near the plateau of maximal haemodynamic efficacy (</w:t>
      </w:r>
      <w:r w:rsidRPr="00741679">
        <w:rPr>
          <w:lang w:eastAsia="en-AU"/>
        </w:rPr>
        <w:t>Figure 8</w:t>
      </w:r>
      <w:r w:rsidR="0039319F">
        <w:rPr>
          <w:lang w:eastAsia="en-AU"/>
        </w:rPr>
        <w:t>).</w:t>
      </w:r>
    </w:p>
    <w:p w:rsidR="004A7E4B" w:rsidRPr="0039319F" w:rsidRDefault="004A7E4B" w:rsidP="0039319F">
      <w:pPr>
        <w:pStyle w:val="FigureTitle"/>
      </w:pPr>
      <w:bookmarkStart w:id="115" w:name="_Ref358206339"/>
      <w:bookmarkStart w:id="116" w:name="_Toc368037184"/>
      <w:r w:rsidRPr="00E82370">
        <w:lastRenderedPageBreak/>
        <w:t xml:space="preserve">Figure </w:t>
      </w:r>
      <w:r>
        <w:t xml:space="preserve">8: </w:t>
      </w:r>
      <w:r w:rsidRPr="00E82370">
        <w:t>PK/PD analysis: Change in SiDBP (mmHg) (mean ± SEM) versus C</w:t>
      </w:r>
      <w:r w:rsidRPr="00E82370">
        <w:rPr>
          <w:vertAlign w:val="subscript"/>
        </w:rPr>
        <w:t xml:space="preserve">free combined </w:t>
      </w:r>
      <w:r w:rsidRPr="00E82370">
        <w:t>(ng/mL)</w:t>
      </w:r>
      <w:r w:rsidRPr="00E82370">
        <w:rPr>
          <w:rStyle w:val="FootnoteReference"/>
        </w:rPr>
        <w:footnoteReference w:id="12"/>
      </w:r>
      <w:r w:rsidRPr="00E82370">
        <w:t xml:space="preserve"> (mean ±</w:t>
      </w:r>
      <w:r>
        <w:t xml:space="preserve"> </w:t>
      </w:r>
      <w:r w:rsidRPr="00E82370">
        <w:t>SEM) at Week 8 including predicted data, Study AC-055-201</w:t>
      </w:r>
      <w:bookmarkEnd w:id="115"/>
      <w:bookmarkEnd w:id="116"/>
    </w:p>
    <w:p w:rsidR="004A7E4B" w:rsidRPr="00E82370" w:rsidRDefault="004A7E4B" w:rsidP="0039319F">
      <w:r>
        <w:rPr>
          <w:noProof/>
          <w:lang w:eastAsia="en-AU"/>
        </w:rPr>
        <w:drawing>
          <wp:inline distT="0" distB="0" distL="0" distR="0" wp14:anchorId="4DFF3655" wp14:editId="52D44700">
            <wp:extent cx="4886325" cy="3000375"/>
            <wp:effectExtent l="0" t="0" r="9525" b="9525"/>
            <wp:docPr id="43" name="Picture 43" descr="Figure 8: PK/PD analysis: Change in SiDBP (mmHg) (mean ± SEM) versus Cfree combined (ng/mL)  (mean ± SEM) at Week 8 including predicted data, Study AC-055-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86325" cy="3000375"/>
                    </a:xfrm>
                    <a:prstGeom prst="rect">
                      <a:avLst/>
                    </a:prstGeom>
                    <a:noFill/>
                    <a:ln>
                      <a:noFill/>
                    </a:ln>
                  </pic:spPr>
                </pic:pic>
              </a:graphicData>
            </a:graphic>
          </wp:inline>
        </w:drawing>
      </w:r>
    </w:p>
    <w:p w:rsidR="004A7E4B" w:rsidRPr="003B6CEC" w:rsidRDefault="004A7E4B" w:rsidP="0039319F">
      <w:pPr>
        <w:rPr>
          <w:lang w:eastAsia="en-AU"/>
        </w:rPr>
      </w:pPr>
      <w:r w:rsidRPr="003B6CEC">
        <w:rPr>
          <w:lang w:eastAsia="en-AU"/>
        </w:rPr>
        <w:t>Based on these results, the sponsor had decided to use 10 mg once daily as the dose to be tested in the pivotal Phase III study in PAH. In addition, a lower dose of 3 mg once daily was also tested in the pivotal Phase III study in PAH, as 3 mg dose was considered to correspond to the lowest dose showing any signal of relevant hemodynamic efficacy in the study in subjects with essential hypertension.</w:t>
      </w:r>
    </w:p>
    <w:p w:rsidR="004A7E4B" w:rsidRDefault="004A7E4B" w:rsidP="0039319F">
      <w:pPr>
        <w:ind w:left="720"/>
      </w:pPr>
      <w:r w:rsidRPr="003B6CEC">
        <w:t>Comments: The rationale for the dose selection for the pivotal Phase III trial is sound.</w:t>
      </w:r>
    </w:p>
    <w:p w:rsidR="008E7846" w:rsidRPr="0039319F" w:rsidRDefault="008E7846" w:rsidP="0039319F">
      <w:pPr>
        <w:pStyle w:val="Heading3"/>
      </w:pPr>
      <w:bookmarkStart w:id="117" w:name="_Toc163441372"/>
      <w:bookmarkStart w:id="118" w:name="_Toc196046485"/>
      <w:bookmarkStart w:id="119" w:name="_Toc247691521"/>
      <w:bookmarkStart w:id="120" w:name="_Toc314842504"/>
      <w:bookmarkStart w:id="121" w:name="_Toc391645285"/>
      <w:r w:rsidRPr="00254787">
        <w:t>Efficacy</w:t>
      </w:r>
      <w:bookmarkEnd w:id="117"/>
      <w:bookmarkEnd w:id="118"/>
      <w:bookmarkEnd w:id="119"/>
      <w:bookmarkEnd w:id="120"/>
      <w:bookmarkEnd w:id="121"/>
    </w:p>
    <w:p w:rsidR="00C20D00" w:rsidRPr="00C20D00" w:rsidRDefault="00C20D00" w:rsidP="0039319F">
      <w:pPr>
        <w:pStyle w:val="Heading4"/>
      </w:pPr>
      <w:bookmarkStart w:id="122" w:name="_Ref271037274"/>
      <w:bookmarkStart w:id="123" w:name="_Toc272414652"/>
      <w:bookmarkStart w:id="124" w:name="_Toc290846274"/>
      <w:bookmarkStart w:id="125" w:name="_Toc368036965"/>
      <w:bookmarkStart w:id="126" w:name="_Toc184439992"/>
      <w:bookmarkStart w:id="127" w:name="_Toc184440279"/>
      <w:bookmarkStart w:id="128" w:name="_Toc184444657"/>
      <w:bookmarkStart w:id="129" w:name="_Toc196046487"/>
      <w:r w:rsidRPr="00C20D00">
        <w:t>Pivotal efficacy studies</w:t>
      </w:r>
      <w:bookmarkEnd w:id="122"/>
      <w:bookmarkEnd w:id="123"/>
      <w:bookmarkEnd w:id="124"/>
      <w:bookmarkEnd w:id="125"/>
    </w:p>
    <w:p w:rsidR="00C20D00" w:rsidRPr="00C20D00" w:rsidRDefault="00C20D00" w:rsidP="0039319F">
      <w:pPr>
        <w:pStyle w:val="Heading5"/>
      </w:pPr>
      <w:bookmarkStart w:id="130" w:name="_Ref243301615"/>
      <w:bookmarkStart w:id="131" w:name="_Ref271040927"/>
      <w:bookmarkStart w:id="132" w:name="_Ref271040932"/>
      <w:bookmarkStart w:id="133" w:name="_Toc272414653"/>
      <w:bookmarkStart w:id="134" w:name="_Toc290846275"/>
      <w:bookmarkStart w:id="135" w:name="_Toc368036966"/>
      <w:r w:rsidRPr="00C20D00">
        <w:t xml:space="preserve">Study </w:t>
      </w:r>
      <w:bookmarkEnd w:id="130"/>
      <w:bookmarkEnd w:id="131"/>
      <w:bookmarkEnd w:id="132"/>
      <w:bookmarkEnd w:id="133"/>
      <w:bookmarkEnd w:id="134"/>
      <w:r w:rsidRPr="0039319F">
        <w:t>SERAPHIN</w:t>
      </w:r>
      <w:r w:rsidRPr="00C20D00">
        <w:t xml:space="preserve"> (AC-055-302)</w:t>
      </w:r>
      <w:bookmarkEnd w:id="135"/>
    </w:p>
    <w:p w:rsidR="00C20D00" w:rsidRPr="009B1BBA" w:rsidRDefault="00C20D00" w:rsidP="0039319F">
      <w:pPr>
        <w:pStyle w:val="Heading6"/>
      </w:pPr>
      <w:r w:rsidRPr="009B1BBA">
        <w:t>For the proposed indication of long-term treatment of PAH</w:t>
      </w:r>
      <w:r w:rsidR="0039319F">
        <w:t xml:space="preserve"> in patients of WHO FC II to IV</w:t>
      </w:r>
    </w:p>
    <w:p w:rsidR="00C20D00" w:rsidRDefault="00C20D00" w:rsidP="0039319F">
      <w:r w:rsidRPr="00E82370">
        <w:t xml:space="preserve">AC-055-302 was a multi-centre, randomised, double-blind, placebo-controlled, parallel-group, event-driven, Phase III study evaluating the effects of macitentan on morbidity and mortality in subjects with symptomatic PAH. Subjects were randomised in a 1:1:1 ratio to one of </w:t>
      </w:r>
      <w:r>
        <w:t>three</w:t>
      </w:r>
      <w:r w:rsidRPr="00E82370">
        <w:t xml:space="preserve"> treatment groups (3 mg macitentan, 10 mg macitentan or matching placebo</w:t>
      </w:r>
      <w:r w:rsidR="00313370">
        <w:t xml:space="preserve"> once daily</w:t>
      </w:r>
      <w:r w:rsidRPr="00E82370">
        <w:t xml:space="preserve">). The study included a screening period (up to 28 days) followed by a treatment period from randomisation to the end-of-treatment (EOT) visit. End-of-study (EOS) occurred when the target of 285 events confirmed by the Clinical Event Committee (CEC) was expected to have been achieved. The EOT visit either coincided with the EOS visit for subjects who were still on study treatment or occurred earlier in cases of premature discontinuation of study drug. Subjects who prematurely discontinued double-blind study </w:t>
      </w:r>
      <w:r w:rsidRPr="00E82370">
        <w:lastRenderedPageBreak/>
        <w:t xml:space="preserve">treatment due to clinical worsening of PAH and obtained written approval from the sponsor, and subjects who completed the study as scheduled, could enter the open-label extension study, SERAPHIN OL. For subjects who had opted not to participate or who were not eligible to participate in SERAPHIN OL, a 28-day safety follow-up after EOT was performed. A schema of the study design is presented in </w:t>
      </w:r>
      <w:r w:rsidRPr="00741679">
        <w:t>Figure 9</w:t>
      </w:r>
      <w:r>
        <w:t xml:space="preserve">. </w:t>
      </w:r>
      <w:r w:rsidRPr="00E82370">
        <w:t>The clinical study report (CSR) submitted for this application presents only the results for the double-blind phase.</w:t>
      </w:r>
    </w:p>
    <w:p w:rsidR="00B25DAF" w:rsidRPr="00E82370" w:rsidRDefault="00B25DAF" w:rsidP="0039319F">
      <w:r w:rsidRPr="00E82370">
        <w:t xml:space="preserve">The primary objective of the study was to demonstrate that either dose of macitentan (3 mg or 10 mg) reduced the risk of morbidity and mortality in subjects with symptomatic PAH. The secondary objectives of the study were to </w:t>
      </w:r>
      <w:r w:rsidRPr="00E82370">
        <w:rPr>
          <w:rFonts w:cs="Cambria"/>
        </w:rPr>
        <w:t>demonstrate that either dose of macitentan improved exercise</w:t>
      </w:r>
      <w:r w:rsidRPr="00E82370">
        <w:t xml:space="preserve"> capacity or WHO FC, or reduced the risk of death due to PAH or hospitalisation for PAH up to EOT in subjects with symptomatic PAH, t</w:t>
      </w:r>
      <w:r w:rsidRPr="00E82370">
        <w:rPr>
          <w:rFonts w:cs="Cambria"/>
        </w:rPr>
        <w:t>o demonstrate that either dose of macitentan reduced the risk of</w:t>
      </w:r>
      <w:r w:rsidRPr="00E82370">
        <w:t xml:space="preserve"> death of all causes up to EOT and up to EOS, and </w:t>
      </w:r>
      <w:r w:rsidRPr="00E82370">
        <w:rPr>
          <w:rFonts w:cs="Cambria"/>
        </w:rPr>
        <w:t>to evaluate the safety and tolerability of macitentan in subjects with symptomatic PAH.</w:t>
      </w:r>
    </w:p>
    <w:p w:rsidR="00B25DAF" w:rsidRDefault="00B25DAF" w:rsidP="0039319F">
      <w:r w:rsidRPr="00C20D00">
        <w:t>This was a multi-centre study where subjects were enrolled in a total of 158 centres in 39 countries across Africa, Australia, Asia, Europe, Latin America, and North America. The study</w:t>
      </w:r>
      <w:r>
        <w:t>’s</w:t>
      </w:r>
      <w:r w:rsidRPr="00C20D00">
        <w:t xml:space="preserve"> start and end dates were 25 May 2008 and15 March 2012.</w:t>
      </w:r>
    </w:p>
    <w:p w:rsidR="00C20D00" w:rsidRPr="0039319F" w:rsidRDefault="00C20D00" w:rsidP="0039319F">
      <w:pPr>
        <w:pStyle w:val="FigureTitle"/>
      </w:pPr>
      <w:bookmarkStart w:id="136" w:name="_Ref358273290"/>
      <w:bookmarkStart w:id="137" w:name="_Toc368037138"/>
      <w:r w:rsidRPr="00E82370">
        <w:t>Figure</w:t>
      </w:r>
      <w:r>
        <w:t xml:space="preserve"> 9: </w:t>
      </w:r>
      <w:r w:rsidRPr="00E82370">
        <w:t>Study design, Study AC-055-302</w:t>
      </w:r>
      <w:bookmarkEnd w:id="136"/>
      <w:bookmarkEnd w:id="137"/>
    </w:p>
    <w:p w:rsidR="00C20D00" w:rsidRPr="00E82370" w:rsidRDefault="00C20D00" w:rsidP="0039319F">
      <w:r>
        <w:rPr>
          <w:noProof/>
          <w:lang w:eastAsia="en-AU"/>
        </w:rPr>
        <w:drawing>
          <wp:inline distT="0" distB="0" distL="0" distR="0" wp14:anchorId="470B160C" wp14:editId="0F59A2A1">
            <wp:extent cx="5143500" cy="3724275"/>
            <wp:effectExtent l="0" t="0" r="0" b="9525"/>
            <wp:docPr id="45" name="Picture 45" descr="Figure 9: Study design, Study AC-055-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43500" cy="3724275"/>
                    </a:xfrm>
                    <a:prstGeom prst="rect">
                      <a:avLst/>
                    </a:prstGeom>
                    <a:noFill/>
                    <a:ln>
                      <a:noFill/>
                    </a:ln>
                  </pic:spPr>
                </pic:pic>
              </a:graphicData>
            </a:graphic>
          </wp:inline>
        </w:drawing>
      </w:r>
    </w:p>
    <w:p w:rsidR="00C20D00" w:rsidRPr="0039319F" w:rsidRDefault="00C20D00" w:rsidP="0039319F">
      <w:pPr>
        <w:pStyle w:val="Heading4"/>
      </w:pPr>
      <w:bookmarkStart w:id="138" w:name="_Ref271037188"/>
      <w:bookmarkStart w:id="139" w:name="_Ref271037210"/>
      <w:bookmarkStart w:id="140" w:name="_Toc272414655"/>
      <w:bookmarkStart w:id="141" w:name="_Toc290846277"/>
      <w:bookmarkStart w:id="142" w:name="_Toc368036967"/>
      <w:bookmarkStart w:id="143" w:name="_Toc383684154"/>
      <w:bookmarkStart w:id="144" w:name="_Toc241374311"/>
      <w:bookmarkStart w:id="145" w:name="_Ref243294291"/>
      <w:r w:rsidRPr="00E82370">
        <w:t>Other efficacy studies</w:t>
      </w:r>
      <w:bookmarkEnd w:id="138"/>
      <w:bookmarkEnd w:id="139"/>
      <w:bookmarkEnd w:id="140"/>
      <w:bookmarkEnd w:id="141"/>
      <w:bookmarkEnd w:id="142"/>
      <w:bookmarkEnd w:id="143"/>
    </w:p>
    <w:p w:rsidR="00C20D00" w:rsidRPr="0039319F" w:rsidRDefault="00C20D00" w:rsidP="0039319F">
      <w:pPr>
        <w:pStyle w:val="Heading5"/>
      </w:pPr>
      <w:bookmarkStart w:id="146" w:name="_Toc290846278"/>
      <w:bookmarkStart w:id="147" w:name="_Toc368036968"/>
      <w:bookmarkEnd w:id="144"/>
      <w:bookmarkEnd w:id="145"/>
      <w:r w:rsidRPr="00E82370">
        <w:t xml:space="preserve">Study </w:t>
      </w:r>
      <w:bookmarkEnd w:id="146"/>
      <w:r w:rsidRPr="00E82370">
        <w:t>AC-055-201</w:t>
      </w:r>
      <w:bookmarkEnd w:id="147"/>
    </w:p>
    <w:p w:rsidR="00C20D00" w:rsidRDefault="00C20D00" w:rsidP="0039319F">
      <w:r w:rsidRPr="00E82370">
        <w:t>Study AC-055-201 was a double-blind, randomised, placebo</w:t>
      </w:r>
      <w:r w:rsidR="009B1BBA">
        <w:t xml:space="preserve"> </w:t>
      </w:r>
      <w:r w:rsidRPr="00E82370">
        <w:t xml:space="preserve">and active-controlled study to evaluate the efficacy, safety and tolerability of macitentan in subjects with mild to moderate essential hypertension. The primary objective was to evaluate the effect of a once-daily oral regimen of </w:t>
      </w:r>
      <w:r>
        <w:t>four</w:t>
      </w:r>
      <w:r w:rsidRPr="00E82370">
        <w:t xml:space="preserve"> doses of macitentan (0.3 mg, 1 mg, 3 mg and 10 mg) on </w:t>
      </w:r>
      <w:r w:rsidR="00513D57">
        <w:t>Si</w:t>
      </w:r>
      <w:r w:rsidRPr="00E82370">
        <w:t xml:space="preserve">DBP at trough after </w:t>
      </w:r>
      <w:r>
        <w:t>eight</w:t>
      </w:r>
      <w:r w:rsidRPr="00E82370">
        <w:t xml:space="preserve"> weeks of treatment. Secondary objectives were to evaluate the effect of a once-daily oral regimen of the </w:t>
      </w:r>
      <w:r>
        <w:t>four</w:t>
      </w:r>
      <w:r w:rsidRPr="00E82370">
        <w:t xml:space="preserve"> doses of macitentan on control/response rate on </w:t>
      </w:r>
      <w:r w:rsidR="00513D57">
        <w:t>S</w:t>
      </w:r>
      <w:r w:rsidR="00D67C70">
        <w:t>i</w:t>
      </w:r>
      <w:r w:rsidRPr="00E82370">
        <w:t xml:space="preserve">DBP, and on </w:t>
      </w:r>
      <w:r w:rsidR="00D67C70">
        <w:t>s</w:t>
      </w:r>
      <w:r w:rsidRPr="00E82370">
        <w:t>i</w:t>
      </w:r>
      <w:r w:rsidR="00D67C70">
        <w:t>tting systolic BP (</w:t>
      </w:r>
      <w:r w:rsidR="00513D57">
        <w:t>Si</w:t>
      </w:r>
      <w:r w:rsidRPr="00E82370">
        <w:t>SBP</w:t>
      </w:r>
      <w:r w:rsidR="00D67C70">
        <w:t>)</w:t>
      </w:r>
      <w:r w:rsidRPr="00E82370">
        <w:t xml:space="preserve"> at trough at </w:t>
      </w:r>
      <w:r>
        <w:t>eight</w:t>
      </w:r>
      <w:r w:rsidRPr="00E82370">
        <w:t xml:space="preserve"> weeks and its </w:t>
      </w:r>
      <w:r w:rsidRPr="00E82370">
        <w:lastRenderedPageBreak/>
        <w:t xml:space="preserve">control/response rate, as well as to evaluate the safety and tolerability of macitentan. This was a multi-centre (17 centres in Israel and </w:t>
      </w:r>
      <w:r>
        <w:t>five</w:t>
      </w:r>
      <w:r w:rsidRPr="00E82370">
        <w:t xml:space="preserve"> centres in Serbia), double-blind, randomised, placebo- and active-controlled, para</w:t>
      </w:r>
      <w:r w:rsidR="0039319F">
        <w:t>llel group, dose-ranging study.</w:t>
      </w:r>
    </w:p>
    <w:p w:rsidR="00C20D00" w:rsidRPr="0039319F" w:rsidRDefault="00C20D00" w:rsidP="0039319F">
      <w:pPr>
        <w:pStyle w:val="Heading4"/>
      </w:pPr>
      <w:bookmarkStart w:id="148" w:name="_Ref271126605"/>
      <w:bookmarkStart w:id="149" w:name="_Toc272414657"/>
      <w:bookmarkStart w:id="150" w:name="_Toc290846282"/>
      <w:bookmarkStart w:id="151" w:name="_Toc368036970"/>
      <w:bookmarkStart w:id="152" w:name="_Toc383684156"/>
      <w:r w:rsidRPr="00E82370">
        <w:t xml:space="preserve">Evaluator’s </w:t>
      </w:r>
      <w:r w:rsidR="000847CD">
        <w:t xml:space="preserve">summary and overall </w:t>
      </w:r>
      <w:r w:rsidRPr="00E82370">
        <w:t>conclusions</w:t>
      </w:r>
      <w:bookmarkEnd w:id="148"/>
      <w:bookmarkEnd w:id="149"/>
      <w:bookmarkEnd w:id="150"/>
      <w:bookmarkEnd w:id="151"/>
      <w:bookmarkEnd w:id="152"/>
      <w:r w:rsidR="000847CD">
        <w:t xml:space="preserve"> on efficacy</w:t>
      </w:r>
    </w:p>
    <w:p w:rsidR="00C20D00" w:rsidRPr="00E82370" w:rsidRDefault="00C20D00" w:rsidP="0039319F">
      <w:r w:rsidRPr="00E82370">
        <w:t xml:space="preserve">Overall, the study design, study inclusion and exclusion criteria, and study endpoints </w:t>
      </w:r>
      <w:r>
        <w:t>of the pivotal Phase III S</w:t>
      </w:r>
      <w:r w:rsidRPr="00E82370">
        <w:t xml:space="preserve">tudy (AC-055-302) were appropriate and in line with the recommendations of the TGA-adopted EMA guidelines on the clinical investigation of medicinal products for the treatment of </w:t>
      </w:r>
      <w:r w:rsidR="00D32A10">
        <w:t>PAH</w:t>
      </w:r>
      <w:r w:rsidRPr="00E82370">
        <w:t xml:space="preserve">. The study primary endpoint allowed evaluation of all-cause mortality and PAH-related morbidity, while the study secondary endpoints of change from baseline in </w:t>
      </w:r>
      <w:r w:rsidR="009B1BBA">
        <w:t>six minutes’ walk distance (</w:t>
      </w:r>
      <w:r w:rsidRPr="00E82370">
        <w:rPr>
          <w:rFonts w:cs="Cambria"/>
        </w:rPr>
        <w:t>6MWD</w:t>
      </w:r>
      <w:r w:rsidR="009B1BBA">
        <w:rPr>
          <w:rFonts w:cs="Cambria"/>
        </w:rPr>
        <w:t>)</w:t>
      </w:r>
      <w:r w:rsidRPr="00E82370">
        <w:rPr>
          <w:rFonts w:cs="Cambria"/>
        </w:rPr>
        <w:t xml:space="preserve"> and the </w:t>
      </w:r>
      <w:r w:rsidRPr="00E82370">
        <w:t>WHO FC allowed evaluation of the effect of macitentan on exercise capacity and clinical symptoms. Baseline demographic and disease characteristics were comparable among treatment groups, and were generally consistent with the target patient population. The majority of subjects (63.7%) had concomitant PAH therapy at baseline, of which sildenafil was the commonest, taken by 57.6% of the overall study population. The commonest type of concomitant PAH therapy was PDE-5 inhibitors, taken by 61% of the overall study population. It was noted, however, that the sample size of adolescent subjects (12 to &lt; 18 years old) was very small (N=20) as was the group of subjects with baseline WHO FC IV (N=14).</w:t>
      </w:r>
    </w:p>
    <w:p w:rsidR="00C20D00" w:rsidRPr="00E82370" w:rsidRDefault="00C20D00" w:rsidP="0039319F">
      <w:r w:rsidRPr="00E82370">
        <w:t>Analysis of the primary efficacy endpoint (</w:t>
      </w:r>
      <w:r>
        <w:t xml:space="preserve">that is, </w:t>
      </w:r>
      <w:r w:rsidRPr="00E82370">
        <w:t>time to first morbidity or mortality event up to EOT) showed that the hazard ratio versus placebo for the first occurrence of a morbidity or mortality event was 0.704 (p = 0.0108) with the macitentan 3 mg, and 0.547 (p &lt; 0.0001) with macitentan 10 mg. This gives relative risk reductions for the occurrence of a morbidity or mortality event of 30% and 45%</w:t>
      </w:r>
      <w:r>
        <w:t xml:space="preserve"> with macitentan 3 mg and10 mg</w:t>
      </w:r>
      <w:r w:rsidRPr="00E82370">
        <w:t xml:space="preserve"> compared to placebo. The treatment effect with the 10 mg dose met the pre-specified significance criteria for a </w:t>
      </w:r>
      <w:r>
        <w:t>‘</w:t>
      </w:r>
      <w:r w:rsidRPr="00E82370">
        <w:t>conclusive study</w:t>
      </w:r>
      <w:r>
        <w:t>’</w:t>
      </w:r>
      <w:r w:rsidRPr="00E82370">
        <w:t xml:space="preserve"> (</w:t>
      </w:r>
      <w:r>
        <w:t xml:space="preserve">that is, </w:t>
      </w:r>
      <w:r w:rsidRPr="00E82370">
        <w:t xml:space="preserve">p&lt;0.005). The treatment effect with the 3 mg dose did not meet the pre-specified significance criteria for a </w:t>
      </w:r>
      <w:r>
        <w:t>‘</w:t>
      </w:r>
      <w:r w:rsidRPr="00E82370">
        <w:t>conclusive study</w:t>
      </w:r>
      <w:r>
        <w:t>’</w:t>
      </w:r>
      <w:r w:rsidRPr="00E82370">
        <w:t xml:space="preserve">, but satisfied that for a </w:t>
      </w:r>
      <w:r>
        <w:t>‘</w:t>
      </w:r>
      <w:r w:rsidRPr="00E82370">
        <w:t>positive study</w:t>
      </w:r>
      <w:r>
        <w:t>’</w:t>
      </w:r>
      <w:r w:rsidRPr="00E82370">
        <w:t xml:space="preserve"> (</w:t>
      </w:r>
      <w:r>
        <w:t xml:space="preserve">that is, </w:t>
      </w:r>
      <w:r w:rsidRPr="00E82370">
        <w:t xml:space="preserve">p&lt;0.025). The Kaplan-Meier curves of the first morbidity or mortality event showed that the treatment effect of the </w:t>
      </w:r>
      <w:r>
        <w:t>two</w:t>
      </w:r>
      <w:r w:rsidRPr="00E82370">
        <w:t xml:space="preserve"> macitentan doses on the primary endpoint appeared to be established early, with the separation in the curves between the macitentan groups and the placebo group observed by Month 6, and was sustained for the duration of the study. Analysis of the primary endpoint in the per-protocol set and other sensitivity analyses of the primary endpoint (based on variation of the endpoint definition and/or population analysed) yielded results consistent with those of the main analysis in the all-randomised set.</w:t>
      </w:r>
    </w:p>
    <w:p w:rsidR="00CF0887" w:rsidRDefault="00C20D00" w:rsidP="00CF0887">
      <w:r w:rsidRPr="00E82370">
        <w:t>Subgroup analyses of the primary endpoint across subgroups of gender (male v</w:t>
      </w:r>
      <w:r w:rsidR="00AE45F6">
        <w:t>er</w:t>
      </w:r>
      <w:r w:rsidRPr="00E82370">
        <w:t>s</w:t>
      </w:r>
      <w:r w:rsidR="00AE45F6">
        <w:t>us</w:t>
      </w:r>
      <w:r w:rsidRPr="00E82370">
        <w:t xml:space="preserve"> female), race (White v</w:t>
      </w:r>
      <w:r>
        <w:t>ersu</w:t>
      </w:r>
      <w:r w:rsidRPr="00E82370">
        <w:t>s Asian v</w:t>
      </w:r>
      <w:r>
        <w:t>ersu</w:t>
      </w:r>
      <w:r w:rsidRPr="00E82370">
        <w:t>s Others), concomitant PAH therapy at baseline (yes v</w:t>
      </w:r>
      <w:r>
        <w:t>ersu</w:t>
      </w:r>
      <w:r w:rsidRPr="00E82370">
        <w:t xml:space="preserve">s no), PAH aetiology at baseline </w:t>
      </w:r>
      <w:r w:rsidRPr="00E82370">
        <w:rPr>
          <w:rFonts w:cs="Cambria"/>
        </w:rPr>
        <w:t>(idiopathic, familial, HIV infection, drugs and toxins v</w:t>
      </w:r>
      <w:r>
        <w:rPr>
          <w:rFonts w:cs="Cambria"/>
        </w:rPr>
        <w:t>ersu</w:t>
      </w:r>
      <w:r w:rsidRPr="00E82370">
        <w:rPr>
          <w:rFonts w:cs="Cambria"/>
        </w:rPr>
        <w:t>s</w:t>
      </w:r>
      <w:r w:rsidRPr="00E82370">
        <w:t xml:space="preserve"> collagen vascular disease v</w:t>
      </w:r>
      <w:r>
        <w:t>ersu</w:t>
      </w:r>
      <w:r w:rsidRPr="00E82370">
        <w:t>s congenital shunts), geographical region (</w:t>
      </w:r>
      <w:r w:rsidRPr="00E82370">
        <w:rPr>
          <w:rFonts w:cs="Cambria"/>
        </w:rPr>
        <w:t>North-America v</w:t>
      </w:r>
      <w:r>
        <w:rPr>
          <w:rFonts w:cs="Cambria"/>
        </w:rPr>
        <w:t>ersus</w:t>
      </w:r>
      <w:r w:rsidRPr="00E82370">
        <w:rPr>
          <w:rFonts w:cs="Cambria"/>
        </w:rPr>
        <w:t xml:space="preserve"> Western Europe/Israel v</w:t>
      </w:r>
      <w:r>
        <w:rPr>
          <w:rFonts w:cs="Cambria"/>
        </w:rPr>
        <w:t>ersu</w:t>
      </w:r>
      <w:r w:rsidRPr="00E82370">
        <w:rPr>
          <w:rFonts w:cs="Cambria"/>
        </w:rPr>
        <w:t>s Eastern Europe/Turkey v</w:t>
      </w:r>
      <w:r>
        <w:rPr>
          <w:rFonts w:cs="Cambria"/>
        </w:rPr>
        <w:t>ersu</w:t>
      </w:r>
      <w:r w:rsidRPr="00E82370">
        <w:rPr>
          <w:rFonts w:cs="Cambria"/>
        </w:rPr>
        <w:t>s</w:t>
      </w:r>
      <w:r w:rsidRPr="00E82370">
        <w:t xml:space="preserve"> Asia v</w:t>
      </w:r>
      <w:r>
        <w:t>ersu</w:t>
      </w:r>
      <w:r w:rsidRPr="00E82370">
        <w:t>s Latin America), age (&lt; 18 v</w:t>
      </w:r>
      <w:r>
        <w:t>ersu</w:t>
      </w:r>
      <w:r w:rsidRPr="00E82370">
        <w:t>s</w:t>
      </w:r>
      <w:r w:rsidR="009B1BBA">
        <w:t xml:space="preserve"> </w:t>
      </w:r>
      <w:r w:rsidRPr="00E82370">
        <w:t>18</w:t>
      </w:r>
      <w:r>
        <w:t xml:space="preserve"> to </w:t>
      </w:r>
      <w:r w:rsidRPr="00E82370">
        <w:t>64 v</w:t>
      </w:r>
      <w:r w:rsidR="00AE45F6">
        <w:t>er</w:t>
      </w:r>
      <w:r w:rsidRPr="00E82370">
        <w:t>s</w:t>
      </w:r>
      <w:r w:rsidR="00AE45F6">
        <w:t>us</w:t>
      </w:r>
      <w:r w:rsidRPr="00E82370">
        <w:t xml:space="preserve"> &gt; 64 years), baseline WHO FC (WHO FC I–II v</w:t>
      </w:r>
      <w:r>
        <w:t>ersu</w:t>
      </w:r>
      <w:r w:rsidRPr="00E82370">
        <w:t>s III–IV) and baseline 6MWD (6MWD &gt; v</w:t>
      </w:r>
      <w:r>
        <w:t>er</w:t>
      </w:r>
      <w:r w:rsidRPr="00E82370">
        <w:t>s</w:t>
      </w:r>
      <w:r>
        <w:t>us</w:t>
      </w:r>
      <w:r w:rsidRPr="00E82370">
        <w:t xml:space="preserve"> </w:t>
      </w:r>
      <w:r w:rsidRPr="00E82370">
        <w:rPr>
          <w:rFonts w:ascii="Arial" w:hAnsi="Arial" w:cs="Arial"/>
        </w:rPr>
        <w:t xml:space="preserve">≤ </w:t>
      </w:r>
      <w:r w:rsidRPr="00E82370">
        <w:rPr>
          <w:rFonts w:cs="Cambria"/>
        </w:rPr>
        <w:t xml:space="preserve">380 m) </w:t>
      </w:r>
      <w:r w:rsidRPr="00E82370">
        <w:t>yielded results that were generally consistent with those in the overall study population, but was less so with macitentan 3 mg than with macitentan 10 mg, in particular in subgroups that included subjects with or without background PAH therapy, and baseline WHO FC I/II versus III/IV</w:t>
      </w:r>
      <w:r w:rsidRPr="00E82370">
        <w:rPr>
          <w:rFonts w:cs="Cambria"/>
        </w:rPr>
        <w:t xml:space="preserve">. </w:t>
      </w:r>
      <w:r w:rsidRPr="00E82370">
        <w:t>The p-values for the interaction test did not show heterogeneity of the treatment effect (macitentan versus placebo) across the subgroups.</w:t>
      </w:r>
      <w:bookmarkStart w:id="153" w:name="_Toc163441378"/>
      <w:bookmarkStart w:id="154" w:name="_Toc196046495"/>
      <w:bookmarkStart w:id="155" w:name="_Toc247691522"/>
      <w:bookmarkStart w:id="156" w:name="_Toc314842505"/>
      <w:bookmarkEnd w:id="126"/>
      <w:bookmarkEnd w:id="127"/>
      <w:bookmarkEnd w:id="128"/>
      <w:bookmarkEnd w:id="129"/>
    </w:p>
    <w:p w:rsidR="00CF0887" w:rsidRPr="00E82370" w:rsidRDefault="00CF0887" w:rsidP="0039319F">
      <w:r w:rsidRPr="00E82370">
        <w:t>Overall, the proportion of subjects with a confirmed primary endpoint morbidity or mortality event (</w:t>
      </w:r>
      <w:r>
        <w:t xml:space="preserve">that is, </w:t>
      </w:r>
      <w:r w:rsidRPr="00E82370">
        <w:t>composite endpoint) was 38.0% and 31.4% in the macitentan 3</w:t>
      </w:r>
      <w:r w:rsidR="00AE45F6">
        <w:t> </w:t>
      </w:r>
      <w:r w:rsidRPr="00E82370">
        <w:t xml:space="preserve">mg and 10 mg groups, compared with 46.4% in the placebo group. Analysis of the components of the primary endpoints showed that the commonest first-reported </w:t>
      </w:r>
      <w:r w:rsidRPr="00E82370">
        <w:lastRenderedPageBreak/>
        <w:t xml:space="preserve">morbidity or mortality event in all treatment groups was </w:t>
      </w:r>
      <w:r>
        <w:t>‘</w:t>
      </w:r>
      <w:r w:rsidRPr="00E82370">
        <w:t>Other worsening of PAH</w:t>
      </w:r>
      <w:r>
        <w:t>’</w:t>
      </w:r>
      <w:r w:rsidRPr="00E82370">
        <w:t xml:space="preserve"> (28.8% and 24.4 % in the </w:t>
      </w:r>
      <w:r>
        <w:t>macitentan 3 mg and10 mg groups</w:t>
      </w:r>
      <w:r w:rsidRPr="00E82370">
        <w:t xml:space="preserve">, versus 37.2% in the placebo group), followed by </w:t>
      </w:r>
      <w:r>
        <w:t>‘D</w:t>
      </w:r>
      <w:r w:rsidRPr="00E82370">
        <w:t>eath</w:t>
      </w:r>
      <w:r>
        <w:t>’</w:t>
      </w:r>
      <w:r w:rsidRPr="00E82370">
        <w:t xml:space="preserve"> (</w:t>
      </w:r>
      <w:r>
        <w:t xml:space="preserve">that is, </w:t>
      </w:r>
      <w:r w:rsidRPr="00E82370">
        <w:t>all-cause deaths; 8.4% and 6.6% versus 6.8%). Competing risks analysis to explore the treatment effect on the morbidity component of the primary endpoint showed that subjects in the macitentan groups had a statistically significantly lower risk of disease worsening than subjects in the placebo group (p=0.0047 for macitentan 3 mg; p&lt;0.0001 for macitentan 10 mg), but no statistically significant difference was observed between the macitentan and placebo groups for the risk of death (p=0.59 for macitentan 3 mg; p=0.79 for macitentan 10 mg). However, interpretation of these results needs to take into consideration the relatively lower incidence of mortality across all treatment groups, as compared to incidence of morbidity.</w:t>
      </w:r>
    </w:p>
    <w:p w:rsidR="00CF0887" w:rsidRDefault="00CF0887" w:rsidP="0039319F">
      <w:pPr>
        <w:rPr>
          <w:rFonts w:cs="Cambria"/>
        </w:rPr>
      </w:pPr>
      <w:r w:rsidRPr="00E82370">
        <w:rPr>
          <w:rFonts w:cs="Cambria"/>
        </w:rPr>
        <w:t xml:space="preserve">Analysis of the secondary endpoint of </w:t>
      </w:r>
      <w:r w:rsidRPr="00E82370">
        <w:t xml:space="preserve">time to </w:t>
      </w:r>
      <w:r w:rsidRPr="00E82370">
        <w:rPr>
          <w:rFonts w:cs="Cambria"/>
        </w:rPr>
        <w:t xml:space="preserve">death due to PAH or hospitalisation for PAH up to EOT </w:t>
      </w:r>
      <w:r w:rsidRPr="00E82370">
        <w:t>showed a relative risk reduction versus placebo in this endpoint</w:t>
      </w:r>
      <w:r w:rsidRPr="00E82370">
        <w:rPr>
          <w:rFonts w:cs="Cambria"/>
        </w:rPr>
        <w:t xml:space="preserve"> of 33% with </w:t>
      </w:r>
      <w:r w:rsidRPr="00E82370">
        <w:t xml:space="preserve">macitentan 3 mg (hazard ratio: 0.669; p = 0.0146), and of 50% with macitentan 10 mg (hazard ratio: 0.500; p&lt;0.0001). Due to the hierarchical method of statistical analysis and as the endpoint of change from baseline in WHO FC yielded a p-value &gt; 0.025 for macitentan 3mg, no confirmatory claims could therefore be made for the treatment effect observed for macitentan 3mg for this endpoint of time to </w:t>
      </w:r>
      <w:r w:rsidRPr="00E82370">
        <w:rPr>
          <w:rFonts w:cs="Cambria"/>
        </w:rPr>
        <w:t>death due to PAH or hos</w:t>
      </w:r>
      <w:r w:rsidR="0039319F">
        <w:rPr>
          <w:rFonts w:cs="Cambria"/>
        </w:rPr>
        <w:t>pitalisation for PAH up to EOT.</w:t>
      </w:r>
    </w:p>
    <w:p w:rsidR="00CF0887" w:rsidRPr="00E82370" w:rsidRDefault="00CF0887" w:rsidP="00CF0887">
      <w:r w:rsidRPr="00E82370">
        <w:t xml:space="preserve">As the endpoints of change from baseline in 6MWD and in WHO FC both yielded a p-values &gt;0.005 but &lt;0.025 for macitentan 10mg, the treatment effect with the 10 mg dose for this endpoint of time to </w:t>
      </w:r>
      <w:r w:rsidRPr="00E82370">
        <w:rPr>
          <w:rFonts w:cs="Cambria"/>
        </w:rPr>
        <w:t xml:space="preserve">death due to PAH or hospitalisation for PAH up to EOT could only be considered to satisfy the significance criterion for </w:t>
      </w:r>
      <w:r w:rsidRPr="00E82370">
        <w:t xml:space="preserve">a </w:t>
      </w:r>
      <w:r>
        <w:t>‘</w:t>
      </w:r>
      <w:r w:rsidRPr="00E82370">
        <w:t>positive study</w:t>
      </w:r>
      <w:r>
        <w:t>’</w:t>
      </w:r>
      <w:r w:rsidRPr="00E82370">
        <w:t xml:space="preserve">, but not a </w:t>
      </w:r>
      <w:r>
        <w:t>‘</w:t>
      </w:r>
      <w:r w:rsidRPr="00E82370">
        <w:t>conclusive study</w:t>
      </w:r>
      <w:r>
        <w:t>’</w:t>
      </w:r>
      <w:r w:rsidRPr="00E82370">
        <w:t>.</w:t>
      </w:r>
    </w:p>
    <w:p w:rsidR="00CF0887" w:rsidRPr="00E82370" w:rsidRDefault="00CF0887" w:rsidP="0039319F">
      <w:r w:rsidRPr="00E82370">
        <w:t xml:space="preserve">Analyses of other death-related secondary and exploratory endpoints (time to </w:t>
      </w:r>
      <w:r w:rsidRPr="00E82370">
        <w:rPr>
          <w:rFonts w:cs="Cambria"/>
        </w:rPr>
        <w:t xml:space="preserve">death of all causes up to EOT, </w:t>
      </w:r>
      <w:r w:rsidRPr="00E82370">
        <w:t xml:space="preserve">time to </w:t>
      </w:r>
      <w:r w:rsidRPr="00E82370">
        <w:rPr>
          <w:rFonts w:cs="Cambria"/>
        </w:rPr>
        <w:t xml:space="preserve">death of all causes up to EOS, </w:t>
      </w:r>
      <w:r w:rsidRPr="00E82370">
        <w:t>time to death due to PAH up to EOT [post-hoc analysis], and time to death due to PAH up to EOS) showed that there were no statistically significant difference in relative risk reductions of these mortality endpoints in both macitentan dose groups (3</w:t>
      </w:r>
      <w:r w:rsidR="009B1BBA">
        <w:t xml:space="preserve"> </w:t>
      </w:r>
      <w:r w:rsidRPr="00E82370">
        <w:t>mg and 10mg) compared to placebo</w:t>
      </w:r>
      <w:r w:rsidRPr="0047192C">
        <w:t>.</w:t>
      </w:r>
      <w:r w:rsidRPr="00E82370">
        <w:t xml:space="preserve"> However, the study was not powered for these endpoints.</w:t>
      </w:r>
    </w:p>
    <w:p w:rsidR="00CF0887" w:rsidRPr="00E82370" w:rsidRDefault="00CF0887" w:rsidP="0039319F">
      <w:r w:rsidRPr="00E82370">
        <w:t xml:space="preserve">Analyses of the effect of macitentan on exercise capacity in terms of the 6MWD showed that after </w:t>
      </w:r>
      <w:r>
        <w:t>six</w:t>
      </w:r>
      <w:r w:rsidRPr="00E82370">
        <w:t xml:space="preserve"> months of treatment, the placebo-corrected mean change (SD) from baseline in 6MWD was 16.8 m (96.95) and 22.0 m (92.58) in the macitentan 3</w:t>
      </w:r>
      <w:r w:rsidR="009B1BBA">
        <w:t xml:space="preserve"> </w:t>
      </w:r>
      <w:r w:rsidRPr="00E82370">
        <w:t>mg and10 mg groups. The placebo-corrected median change from baseline to Month 6 in 6MWD was 14.0 m (p</w:t>
      </w:r>
      <w:r w:rsidR="009B1BBA">
        <w:t>=</w:t>
      </w:r>
      <w:r w:rsidRPr="00E82370">
        <w:t>0.0122) and 15.0 m (p=0.0078) in the macitentan 3</w:t>
      </w:r>
      <w:r w:rsidR="009B1BBA">
        <w:t xml:space="preserve"> </w:t>
      </w:r>
      <w:r w:rsidRPr="00E82370">
        <w:t>mg and</w:t>
      </w:r>
      <w:r w:rsidR="00313370">
        <w:t xml:space="preserve"> </w:t>
      </w:r>
      <w:r w:rsidRPr="00E82370">
        <w:t>10 mg groups. The treatment effect with both the 3 mg and 10</w:t>
      </w:r>
      <w:r w:rsidR="00313370">
        <w:t xml:space="preserve"> </w:t>
      </w:r>
      <w:r w:rsidRPr="00E82370">
        <w:t xml:space="preserve">mg doses did not meet the pre-specified significance criteria for a </w:t>
      </w:r>
      <w:r>
        <w:t>‘</w:t>
      </w:r>
      <w:r w:rsidRPr="00E82370">
        <w:t>conclusive study</w:t>
      </w:r>
      <w:r>
        <w:t>’</w:t>
      </w:r>
      <w:r w:rsidRPr="00E82370">
        <w:t xml:space="preserve"> (</w:t>
      </w:r>
      <w:r>
        <w:t xml:space="preserve">that is, </w:t>
      </w:r>
      <w:r w:rsidRPr="00E82370">
        <w:t xml:space="preserve">p&lt;0.005), but satisfied that for a </w:t>
      </w:r>
      <w:r>
        <w:t>‘</w:t>
      </w:r>
      <w:r w:rsidRPr="00E82370">
        <w:t>positive study</w:t>
      </w:r>
      <w:r>
        <w:t>’</w:t>
      </w:r>
      <w:r w:rsidRPr="00E82370">
        <w:t xml:space="preserve"> (</w:t>
      </w:r>
      <w:r>
        <w:t xml:space="preserve">that is, </w:t>
      </w:r>
      <w:r w:rsidRPr="00E82370">
        <w:t xml:space="preserve">p&lt;0.025). A repeated measures analysis for the change in 6MWD from baseline suggested that the treatment effect of macitentan (versus placebo) on the 6MWD was sustained over time up to Month 12. The estimated treatment effect over 12 months compared to placebo was 21.5 m (p=0.0003) and 25.4 m (p&lt;0.0001) for macitentan 3 mg and10 mg. The odds ratio versus placebo for achievement or maintenance of 6MWD ≥ 380 m, remained </w:t>
      </w:r>
      <w:r w:rsidR="00313370">
        <w:t xml:space="preserve">above 1 </w:t>
      </w:r>
      <w:r w:rsidRPr="00E82370">
        <w:t>up to Month 24 for macitentan 3</w:t>
      </w:r>
      <w:r w:rsidR="00313370">
        <w:t xml:space="preserve"> </w:t>
      </w:r>
      <w:r w:rsidRPr="00E82370">
        <w:t>mg and10</w:t>
      </w:r>
      <w:r w:rsidR="00313370">
        <w:t xml:space="preserve"> </w:t>
      </w:r>
      <w:r w:rsidRPr="00E82370">
        <w:t>mg (except at Month 18 for macitentan 3</w:t>
      </w:r>
      <w:r>
        <w:t xml:space="preserve"> </w:t>
      </w:r>
      <w:r w:rsidRPr="00E82370">
        <w:t xml:space="preserve">mg, where the odds ratio was 0.997). The results of an ANCOVA </w:t>
      </w:r>
      <w:r>
        <w:t>M</w:t>
      </w:r>
      <w:r w:rsidRPr="00E82370">
        <w:t>odel adjusted for baseline 6MWD values, baseline WHO FC, and concomitant PAH therapy at baseline showed that there was a statistically significant treatment effect on change from baseline to Month 6 in 6MWD with macitentan 3mg and 10</w:t>
      </w:r>
      <w:r w:rsidR="00313370">
        <w:t xml:space="preserve"> </w:t>
      </w:r>
      <w:r w:rsidRPr="00E82370">
        <w:t>mg in subjects who were in WHO FC III or IV at baseline, and with macitentan 10 mg in subjects who were on concomitant PAH therapy at baseline.</w:t>
      </w:r>
    </w:p>
    <w:p w:rsidR="00CF0887" w:rsidRPr="00E82370" w:rsidRDefault="00CF0887" w:rsidP="0039319F">
      <w:pPr>
        <w:rPr>
          <w:rFonts w:cs="Cambria"/>
        </w:rPr>
      </w:pPr>
      <w:r w:rsidRPr="00E82370">
        <w:t xml:space="preserve">Analyses of the effect of macitentan on symptom relief in terms of improvements in WHO FC from baseline to Month 6 showed that there was a 54% and 74% higher chance relative to placebo of WHO FC improvement at Month 6 for subjects on the macitentan 3 mg and </w:t>
      </w:r>
      <w:r w:rsidRPr="00E82370">
        <w:lastRenderedPageBreak/>
        <w:t>10 mg,</w:t>
      </w:r>
      <w:r>
        <w:t xml:space="preserve"> </w:t>
      </w:r>
      <w:r w:rsidR="009B1BBA">
        <w:t>(p=0.0395 and p=</w:t>
      </w:r>
      <w:r w:rsidRPr="00E82370">
        <w:t xml:space="preserve">0.0063). The treatment effect with the 10 mg dose did not meet the pre-specified significance criteria for a </w:t>
      </w:r>
      <w:r>
        <w:t>‘</w:t>
      </w:r>
      <w:r w:rsidRPr="00E82370">
        <w:t>conclusive study</w:t>
      </w:r>
      <w:r>
        <w:t>’</w:t>
      </w:r>
      <w:r w:rsidRPr="00E82370">
        <w:t xml:space="preserve"> (</w:t>
      </w:r>
      <w:r>
        <w:t xml:space="preserve">that is, </w:t>
      </w:r>
      <w:r w:rsidRPr="00E82370">
        <w:t xml:space="preserve">p&lt;0.005), but satisfied that for a </w:t>
      </w:r>
      <w:r>
        <w:t>‘</w:t>
      </w:r>
      <w:r w:rsidRPr="00E82370">
        <w:t>positive study</w:t>
      </w:r>
      <w:r>
        <w:t>’</w:t>
      </w:r>
      <w:r w:rsidRPr="00E82370">
        <w:t xml:space="preserve"> (</w:t>
      </w:r>
      <w:r>
        <w:t xml:space="preserve">that is, </w:t>
      </w:r>
      <w:r w:rsidRPr="00E82370">
        <w:t xml:space="preserve">p&lt;0.025). The treatment effect with the 3 mg dose did not meet either pre-specified significance criterion. At all visits up to Month 30, </w:t>
      </w:r>
      <w:r w:rsidRPr="00E82370">
        <w:rPr>
          <w:rFonts w:cs="Cambria"/>
        </w:rPr>
        <w:t>there was a greater proportion of subjects in the macitentan groups who had improvements in WHO FC compared to the placebo group, and a greater proportion in the macitentan 10</w:t>
      </w:r>
      <w:r>
        <w:rPr>
          <w:rFonts w:cs="Cambria"/>
        </w:rPr>
        <w:t xml:space="preserve"> </w:t>
      </w:r>
      <w:r w:rsidRPr="00E82370">
        <w:rPr>
          <w:rFonts w:cs="Cambria"/>
        </w:rPr>
        <w:t>mg group compared to the 3</w:t>
      </w:r>
      <w:r w:rsidR="009B1BBA">
        <w:rPr>
          <w:rFonts w:cs="Cambria"/>
        </w:rPr>
        <w:t xml:space="preserve"> </w:t>
      </w:r>
      <w:r w:rsidRPr="00E82370">
        <w:rPr>
          <w:rFonts w:cs="Cambria"/>
        </w:rPr>
        <w:t xml:space="preserve">mg group. </w:t>
      </w:r>
      <w:r w:rsidRPr="00E82370">
        <w:t>Analyses of the effect of macitentan on symptom relief in terms of change in Borg dyspnoea index from baseline showed that the estimated treatment effect over 12 months compared to placebo was -0.47 (p=0.0002) for macitentan 3 mg, and -0.38 (p=0.0029) for macitentan 10 mg.</w:t>
      </w:r>
    </w:p>
    <w:p w:rsidR="00CF0887" w:rsidRPr="00E82370" w:rsidRDefault="00CF0887" w:rsidP="0039319F">
      <w:r w:rsidRPr="00E82370">
        <w:t xml:space="preserve">Analyses of the effect of macitentan on quality of life showed that there was a statistically significant mean change from baseline (improvement) to Month 6, across all </w:t>
      </w:r>
      <w:r w:rsidRPr="00E82370">
        <w:rPr>
          <w:rFonts w:cs="Cambria"/>
        </w:rPr>
        <w:t xml:space="preserve">SF-36 </w:t>
      </w:r>
      <w:r w:rsidRPr="00E82370">
        <w:t>questionnaire domains with the exception of the general health perception domain, for both macitentan doses. Analyses of pharmacoeconomic endpoints showed that compared to placebo, treatment with macitentan reduced the number of hospitalisation days per year (mean all-cause hospitalisation days per year: 7.5 and 5.7 days with macitentan 3 mg and 10 mg, v</w:t>
      </w:r>
      <w:r>
        <w:t>ersus</w:t>
      </w:r>
      <w:r w:rsidRPr="00E82370">
        <w:t xml:space="preserve"> 12.2 days with placebo; mean PAH-related hospitalisation days per year: 4.0 and 3.8 days, v</w:t>
      </w:r>
      <w:r>
        <w:t>ersu</w:t>
      </w:r>
      <w:r w:rsidRPr="00E82370">
        <w:t>s 8.3 days) and the number of hospitalisations per year (mean number of all-cause hospitalisations per year: 0.6 and 0.5, v</w:t>
      </w:r>
      <w:r>
        <w:t>ersu</w:t>
      </w:r>
      <w:r w:rsidRPr="00E82370">
        <w:t>s 1.0;</w:t>
      </w:r>
      <w:r>
        <w:t xml:space="preserve"> </w:t>
      </w:r>
      <w:r w:rsidRPr="00E82370">
        <w:t>mean number of PAH-related hospitalisations per year: 0.3 and 0.3 v</w:t>
      </w:r>
      <w:r>
        <w:t>ersu</w:t>
      </w:r>
      <w:r w:rsidRPr="00E82370">
        <w:t>s 0.7).</w:t>
      </w:r>
    </w:p>
    <w:p w:rsidR="00CF0887" w:rsidRPr="00E82370" w:rsidRDefault="00CF0887" w:rsidP="0039319F">
      <w:r w:rsidRPr="00E82370">
        <w:t xml:space="preserve">Although </w:t>
      </w:r>
      <w:r>
        <w:t xml:space="preserve">two </w:t>
      </w:r>
      <w:r w:rsidRPr="00E82370">
        <w:t>doses of macitentan were tested in this pivotal Phase III study, the recommended dose for the proposed indication for treatment of PAH was 10</w:t>
      </w:r>
      <w:r w:rsidR="009B1BBA">
        <w:t xml:space="preserve"> </w:t>
      </w:r>
      <w:r w:rsidRPr="00E82370">
        <w:t xml:space="preserve">mg once daily. The efficacy results supported this dose selection. With regards to the primary efficacy endpoint, there was a greater reduction in the risk of occurrence of a morbidity or mortality event with macitentan 10 mg dose (45% risk reduction compared to placebo), compared with the 3 mg dose (30% risk reduction compared to placebo), and associated with a higher degree of statistical significance. In addition, only macitentan 10 mg showed a consistent treatment effect across subgroups of subjects with versus without background PAH therapy, and those with baseline WHO FC I/II versus III/IV. Although results for death-related endpoints showed no statistically significant difference between placebo and both macitentan doses, </w:t>
      </w:r>
      <w:r w:rsidRPr="00E82370">
        <w:rPr>
          <w:rFonts w:cs="Cambria"/>
        </w:rPr>
        <w:t xml:space="preserve">analysis of the secondary endpoint of </w:t>
      </w:r>
      <w:r w:rsidRPr="00E82370">
        <w:t xml:space="preserve">time to </w:t>
      </w:r>
      <w:r w:rsidRPr="00E82370">
        <w:rPr>
          <w:rFonts w:cs="Cambria"/>
        </w:rPr>
        <w:t xml:space="preserve">death due to PAH or hospitalisation for PAH up to EOT </w:t>
      </w:r>
      <w:r w:rsidRPr="00E82370">
        <w:t>showed a relative risk reduction versus placebo in this endpoint</w:t>
      </w:r>
      <w:r w:rsidRPr="00E82370">
        <w:rPr>
          <w:rFonts w:cs="Cambria"/>
        </w:rPr>
        <w:t xml:space="preserve"> of </w:t>
      </w:r>
      <w:r w:rsidRPr="00E82370">
        <w:t>50% with macitentan 10 mg, with a level of statistica</w:t>
      </w:r>
      <w:r>
        <w:t>l significance considered as a ‘</w:t>
      </w:r>
      <w:r w:rsidRPr="00E82370">
        <w:t>positive study</w:t>
      </w:r>
      <w:r>
        <w:t>’</w:t>
      </w:r>
      <w:r w:rsidRPr="00E82370">
        <w:t xml:space="preserve"> although not a </w:t>
      </w:r>
      <w:r>
        <w:t>‘</w:t>
      </w:r>
      <w:r w:rsidRPr="00E82370">
        <w:t>conclusive study</w:t>
      </w:r>
      <w:r>
        <w:t>’</w:t>
      </w:r>
      <w:r w:rsidRPr="00E82370">
        <w:t>. Although there was a relative risk reduction versus placebo in this endpoint</w:t>
      </w:r>
      <w:r w:rsidRPr="00E82370">
        <w:rPr>
          <w:rFonts w:cs="Cambria"/>
        </w:rPr>
        <w:t xml:space="preserve"> of 33% with </w:t>
      </w:r>
      <w:r w:rsidRPr="00E82370">
        <w:t>macitentan 3 mg, the level of statistical significance was such that no confirmatory claims could be made for this treatment effect (</w:t>
      </w:r>
      <w:r>
        <w:t xml:space="preserve">that is, </w:t>
      </w:r>
      <w:r w:rsidRPr="00E82370">
        <w:t>it is to be considered descriptive). Analyses of the effect of macitentan on exercise capacity and symptom relief also yielded results showing greater effect for the 10</w:t>
      </w:r>
      <w:r w:rsidR="009B1BBA">
        <w:t xml:space="preserve"> </w:t>
      </w:r>
      <w:r w:rsidRPr="00E82370">
        <w:t>mg dose compared to the 3</w:t>
      </w:r>
      <w:r w:rsidR="00100727">
        <w:t xml:space="preserve"> </w:t>
      </w:r>
      <w:r w:rsidRPr="00E82370">
        <w:t>mg dose (placebo-corrected mean change [SD] from baseline in 6MWD: 22.0 m [92.58] v</w:t>
      </w:r>
      <w:r>
        <w:t>ersu</w:t>
      </w:r>
      <w:r w:rsidRPr="00E82370">
        <w:t>s 16.8 m [96.95]; WHO FC improvement at Month 6: 74% [p=0.0063] v</w:t>
      </w:r>
      <w:r>
        <w:t>ersu</w:t>
      </w:r>
      <w:r w:rsidRPr="00E82370">
        <w:t xml:space="preserve">s 54% [p=0.0395; </w:t>
      </w:r>
      <w:r>
        <w:t xml:space="preserve">that is, </w:t>
      </w:r>
      <w:r w:rsidRPr="00E82370">
        <w:t>not statistically significant] higher chance relative to placebo of WHO FC improvement at Month 6).</w:t>
      </w:r>
    </w:p>
    <w:p w:rsidR="008E7846" w:rsidRPr="0039319F" w:rsidRDefault="008E7846" w:rsidP="0039319F">
      <w:pPr>
        <w:pStyle w:val="Heading3"/>
      </w:pPr>
      <w:bookmarkStart w:id="157" w:name="_Toc391645286"/>
      <w:r w:rsidRPr="002E238E">
        <w:t>Safety</w:t>
      </w:r>
      <w:bookmarkEnd w:id="153"/>
      <w:bookmarkEnd w:id="154"/>
      <w:bookmarkEnd w:id="155"/>
      <w:bookmarkEnd w:id="156"/>
      <w:bookmarkEnd w:id="157"/>
    </w:p>
    <w:p w:rsidR="000847CD" w:rsidRPr="0039319F" w:rsidRDefault="000847CD" w:rsidP="0039319F">
      <w:pPr>
        <w:pStyle w:val="Heading4"/>
      </w:pPr>
      <w:bookmarkStart w:id="158" w:name="_Toc272414659"/>
      <w:bookmarkStart w:id="159" w:name="_Toc290846284"/>
      <w:bookmarkStart w:id="160" w:name="_Toc368036972"/>
      <w:bookmarkStart w:id="161" w:name="_Toc383684158"/>
      <w:bookmarkStart w:id="162" w:name="_Toc184440288"/>
      <w:bookmarkStart w:id="163" w:name="_Toc184444666"/>
      <w:bookmarkStart w:id="164" w:name="_Toc196046496"/>
      <w:r w:rsidRPr="00E82370">
        <w:t>Studies providing evaluable safety data</w:t>
      </w:r>
      <w:bookmarkEnd w:id="158"/>
      <w:bookmarkEnd w:id="159"/>
      <w:bookmarkEnd w:id="160"/>
      <w:bookmarkEnd w:id="161"/>
    </w:p>
    <w:p w:rsidR="000847CD" w:rsidRPr="00E82370" w:rsidRDefault="000847CD" w:rsidP="0039319F">
      <w:bookmarkStart w:id="165" w:name="_Ref268776745"/>
      <w:r w:rsidRPr="00E82370">
        <w:t>The following studies provided evaluable safety data:</w:t>
      </w:r>
    </w:p>
    <w:p w:rsidR="000847CD" w:rsidRPr="00E82370" w:rsidRDefault="000847CD" w:rsidP="0039319F">
      <w:pPr>
        <w:pStyle w:val="Heading4"/>
      </w:pPr>
      <w:r w:rsidRPr="00E82370">
        <w:t xml:space="preserve">Pivotal efficacy </w:t>
      </w:r>
      <w:r w:rsidR="0039319F">
        <w:t>s</w:t>
      </w:r>
      <w:r w:rsidRPr="00E82370">
        <w:t>tud</w:t>
      </w:r>
      <w:bookmarkEnd w:id="165"/>
      <w:r w:rsidRPr="00E82370">
        <w:t>y (Study AC-055-302)</w:t>
      </w:r>
    </w:p>
    <w:p w:rsidR="000847CD" w:rsidRPr="00E82370" w:rsidRDefault="000847CD" w:rsidP="0039319F">
      <w:r w:rsidRPr="00E82370">
        <w:t>In the pivotal efficacy study, the following safety data were collected:</w:t>
      </w:r>
    </w:p>
    <w:p w:rsidR="000847CD" w:rsidRPr="00E82370" w:rsidRDefault="000847CD" w:rsidP="0039319F">
      <w:pPr>
        <w:pStyle w:val="ListBullet"/>
      </w:pPr>
      <w:r w:rsidRPr="00E82370">
        <w:lastRenderedPageBreak/>
        <w:t xml:space="preserve">General adverse </w:t>
      </w:r>
      <w:r w:rsidRPr="0039319F">
        <w:t>events</w:t>
      </w:r>
      <w:r w:rsidR="0039319F">
        <w:t xml:space="preserve"> (AEs)</w:t>
      </w:r>
    </w:p>
    <w:p w:rsidR="000847CD" w:rsidRPr="00DD63AF" w:rsidRDefault="000847CD" w:rsidP="0039319F">
      <w:pPr>
        <w:pStyle w:val="ListBullet"/>
        <w:numPr>
          <w:ilvl w:val="0"/>
          <w:numId w:val="0"/>
        </w:numPr>
        <w:ind w:left="360"/>
      </w:pPr>
      <w:r w:rsidRPr="00DD63AF">
        <w:t xml:space="preserve">The occurrence of AEs was checked at every visit throughout the study. All AEs occurring up to 28 days after EOT were reported in the CRF. </w:t>
      </w:r>
    </w:p>
    <w:p w:rsidR="000847CD" w:rsidRPr="00E82370" w:rsidRDefault="000847CD" w:rsidP="0039319F">
      <w:pPr>
        <w:pStyle w:val="ListBullet"/>
      </w:pPr>
      <w:r w:rsidRPr="00E82370">
        <w:t>AEs of particular interest</w:t>
      </w:r>
    </w:p>
    <w:p w:rsidR="000847CD" w:rsidRPr="00E82370" w:rsidRDefault="000847CD" w:rsidP="0039319F">
      <w:pPr>
        <w:pStyle w:val="ListBullet"/>
        <w:numPr>
          <w:ilvl w:val="0"/>
          <w:numId w:val="0"/>
        </w:numPr>
        <w:ind w:left="360"/>
      </w:pPr>
      <w:r w:rsidRPr="00E82370">
        <w:t xml:space="preserve">In this study, AEs that had been reported with other ERAs were explored as AEs of special interest. These included groupings of </w:t>
      </w:r>
      <w:r>
        <w:t>‘</w:t>
      </w:r>
      <w:r w:rsidRPr="00E82370">
        <w:t>liver disorders and abnormal liver function</w:t>
      </w:r>
      <w:r>
        <w:t>’</w:t>
      </w:r>
      <w:r w:rsidRPr="00E82370">
        <w:t xml:space="preserve">, </w:t>
      </w:r>
      <w:r>
        <w:t>‘</w:t>
      </w:r>
      <w:r w:rsidRPr="00E82370">
        <w:t>haemoglobin decrease</w:t>
      </w:r>
      <w:r>
        <w:t>’</w:t>
      </w:r>
      <w:r w:rsidRPr="00E82370">
        <w:t xml:space="preserve">, </w:t>
      </w:r>
      <w:r>
        <w:t>‘</w:t>
      </w:r>
      <w:r w:rsidRPr="00E82370">
        <w:t>oedema</w:t>
      </w:r>
      <w:r>
        <w:t>’</w:t>
      </w:r>
      <w:r w:rsidRPr="00E82370">
        <w:t xml:space="preserve"> and </w:t>
      </w:r>
      <w:r>
        <w:t>‘</w:t>
      </w:r>
      <w:r w:rsidRPr="00E82370">
        <w:t>hypotension</w:t>
      </w:r>
      <w:r>
        <w:t>’</w:t>
      </w:r>
      <w:r w:rsidRPr="00E82370">
        <w:t>. The preferred terms (PT) in these groupings were pre-specified prior to unblinding</w:t>
      </w:r>
      <w:r w:rsidRPr="00E82370">
        <w:rPr>
          <w:rStyle w:val="FootnoteReference"/>
        </w:rPr>
        <w:footnoteReference w:id="13"/>
      </w:r>
      <w:r w:rsidR="0039319F">
        <w:t>.</w:t>
      </w:r>
    </w:p>
    <w:p w:rsidR="000847CD" w:rsidRPr="00E82370" w:rsidRDefault="000847CD" w:rsidP="0039319F">
      <w:pPr>
        <w:pStyle w:val="ListBullet"/>
      </w:pPr>
      <w:r w:rsidRPr="00E82370">
        <w:t xml:space="preserve">Laboratory tests included haematology, and </w:t>
      </w:r>
      <w:r w:rsidRPr="00DD63AF">
        <w:rPr>
          <w:rFonts w:cs="Cambria"/>
        </w:rPr>
        <w:t xml:space="preserve">serum chemistry </w:t>
      </w:r>
      <w:r w:rsidRPr="0039319F">
        <w:t>and</w:t>
      </w:r>
      <w:r w:rsidRPr="00DD63AF">
        <w:rPr>
          <w:rFonts w:cs="Cambria"/>
        </w:rPr>
        <w:t xml:space="preserve"> liver function te</w:t>
      </w:r>
      <w:r w:rsidRPr="00E82370">
        <w:t xml:space="preserve">sts (including aminotransferases [ALT and AST], alkaline phosphatase [ALP], total bilirubin [TBIL] and direct bilirubin [DBIL], creatinine, urea, glucose, sodium, potassium and albumin). With the exception of ALT and AST, all haematology and clinical chemistry variables were measured at screening, Month 3, Month 6 and every </w:t>
      </w:r>
      <w:r>
        <w:t>six</w:t>
      </w:r>
      <w:r w:rsidRPr="00E82370">
        <w:t xml:space="preserve"> m</w:t>
      </w:r>
      <w:r w:rsidR="00A54191">
        <w:t>onths until the EOT/event visit</w:t>
      </w:r>
      <w:r w:rsidRPr="00E82370">
        <w:t xml:space="preserve">. ALT and AST were measured at screening and at monthly intervals after initiation of study treatment until at least 28 days after the EOT. If ALT and AST elevations exceeded </w:t>
      </w:r>
      <w:r>
        <w:t>three times</w:t>
      </w:r>
      <w:r w:rsidRPr="00E82370">
        <w:t xml:space="preserve"> ULN, a repeat confirmatory measurement was to be performed along with measurements of TBIL, DBIL and ALP. If confirmed, treatment was to be interrupted and ALT, AST, bilirubin and ALP were to be monitored every week after study drug interruption until the values returned to pre-treatment levels. Re-introduction of study treatment could be considered only if the potential benefits of treatment with study treatment outweighed the potential risks and when liver aminotransferase values were within the pre-treatment levels. In addition, the interruptions were required to be of less than </w:t>
      </w:r>
      <w:r>
        <w:t>four</w:t>
      </w:r>
      <w:r w:rsidRPr="00E82370">
        <w:t xml:space="preserve"> weeks’ duration. Interruptions lasting for a longer period led to permanent discontinuation of study drug. The levels of ALT and AST had to be checked within </w:t>
      </w:r>
      <w:r>
        <w:t>three</w:t>
      </w:r>
      <w:r w:rsidRPr="00E82370">
        <w:t xml:space="preserve"> days after re-introduction, and at Week 2, and thereafter at monthly intervals. In addition, study drug was required to be permanently discontinued if </w:t>
      </w:r>
      <w:r w:rsidRPr="00DD63AF">
        <w:rPr>
          <w:rFonts w:cs="Cambria"/>
        </w:rPr>
        <w:t xml:space="preserve">ALT and/or AST &gt; </w:t>
      </w:r>
      <w:r>
        <w:rPr>
          <w:rFonts w:cs="Cambria"/>
        </w:rPr>
        <w:t>three times</w:t>
      </w:r>
      <w:r w:rsidRPr="00DD63AF">
        <w:rPr>
          <w:rFonts w:cs="Cambria"/>
        </w:rPr>
        <w:t xml:space="preserve"> ULN and associated with clinical symptoms of liver injury (</w:t>
      </w:r>
      <w:r>
        <w:rPr>
          <w:rFonts w:cs="Cambria"/>
        </w:rPr>
        <w:t>such as</w:t>
      </w:r>
      <w:r w:rsidRPr="00E82370">
        <w:t xml:space="preserve"> nausea, vomiting, fever, abdominal pain, jaundice, unusual lethargy or fatigue, flu-like syndrome), </w:t>
      </w:r>
      <w:r w:rsidRPr="00DD63AF">
        <w:rPr>
          <w:rFonts w:cs="Cambria"/>
        </w:rPr>
        <w:t xml:space="preserve">ALT and/or AST &gt; </w:t>
      </w:r>
      <w:r>
        <w:rPr>
          <w:rFonts w:cs="Cambria"/>
        </w:rPr>
        <w:t>three times</w:t>
      </w:r>
      <w:r w:rsidRPr="00DD63AF">
        <w:rPr>
          <w:rFonts w:cs="Cambria"/>
        </w:rPr>
        <w:t xml:space="preserve"> ULN and TBIL ≥ </w:t>
      </w:r>
      <w:r>
        <w:rPr>
          <w:rFonts w:cs="Cambria"/>
        </w:rPr>
        <w:t xml:space="preserve">two times </w:t>
      </w:r>
      <w:r w:rsidRPr="00DD63AF">
        <w:rPr>
          <w:rFonts w:cs="Cambria"/>
        </w:rPr>
        <w:t>ULN</w:t>
      </w:r>
      <w:r w:rsidRPr="00E82370">
        <w:t xml:space="preserve">, or </w:t>
      </w:r>
      <w:r w:rsidRPr="00DD63AF">
        <w:rPr>
          <w:rFonts w:cs="Cambria"/>
        </w:rPr>
        <w:t xml:space="preserve">ALT and/or AST &gt; </w:t>
      </w:r>
      <w:r>
        <w:rPr>
          <w:rFonts w:cs="Cambria"/>
        </w:rPr>
        <w:t>eight times</w:t>
      </w:r>
      <w:r w:rsidRPr="00DD63AF">
        <w:rPr>
          <w:rFonts w:cs="Cambria"/>
        </w:rPr>
        <w:t xml:space="preserve"> ULN.</w:t>
      </w:r>
      <w:r w:rsidRPr="00E82370">
        <w:t xml:space="preserve"> In women of childbearing potential, serum pregnancy tests were to be performed monthly from screening up</w:t>
      </w:r>
      <w:r w:rsidR="0039319F">
        <w:t xml:space="preserve"> to at least 28 days after EOT.</w:t>
      </w:r>
    </w:p>
    <w:p w:rsidR="000847CD" w:rsidRDefault="000847CD" w:rsidP="0039319F">
      <w:pPr>
        <w:pStyle w:val="ListBullet"/>
      </w:pPr>
      <w:r w:rsidRPr="00E82370">
        <w:t xml:space="preserve">Other safety variables included vital signs (BP and pulse rate), 12-lead electrocardiogram (ECG) and body weight measurements. Vital signs and body weight were recorded at screening, randomisation, Month 3, Month 6, every 6 months </w:t>
      </w:r>
      <w:r w:rsidRPr="00E82370">
        <w:lastRenderedPageBreak/>
        <w:t>thereafter, and at the EOT/event visit. A standard 12-lead ECG was performed at screening</w:t>
      </w:r>
      <w:r w:rsidR="0039319F">
        <w:t>, Month 6, and EOT/event visit.</w:t>
      </w:r>
    </w:p>
    <w:p w:rsidR="000847CD" w:rsidRPr="00E82370" w:rsidRDefault="000847CD" w:rsidP="0039319F">
      <w:pPr>
        <w:pStyle w:val="Heading4"/>
      </w:pPr>
      <w:r w:rsidRPr="00E82370">
        <w:t xml:space="preserve">Pivotal studies that assessed safety as a </w:t>
      </w:r>
      <w:r w:rsidRPr="0039319F">
        <w:t>primary</w:t>
      </w:r>
      <w:r w:rsidRPr="00E82370">
        <w:t xml:space="preserve"> outcome</w:t>
      </w:r>
    </w:p>
    <w:p w:rsidR="000847CD" w:rsidRPr="00E82370" w:rsidRDefault="000847CD" w:rsidP="0039319F">
      <w:r w:rsidRPr="00E82370">
        <w:t>N</w:t>
      </w:r>
      <w:r>
        <w:t xml:space="preserve">ot </w:t>
      </w:r>
      <w:r w:rsidRPr="00E82370">
        <w:t>applicable.</w:t>
      </w:r>
    </w:p>
    <w:p w:rsidR="000847CD" w:rsidRPr="00E82370" w:rsidRDefault="000847CD" w:rsidP="0039319F">
      <w:pPr>
        <w:pStyle w:val="Heading4"/>
      </w:pPr>
      <w:r w:rsidRPr="00E82370">
        <w:t xml:space="preserve">Dose-response and non-pivotal efficacy </w:t>
      </w:r>
      <w:r w:rsidRPr="0039319F">
        <w:t>studies</w:t>
      </w:r>
    </w:p>
    <w:p w:rsidR="000847CD" w:rsidRPr="00E82370" w:rsidRDefault="000847CD" w:rsidP="0039319F">
      <w:r w:rsidRPr="00E82370">
        <w:t>The dose-response and non-pivotal efficacy studies provided safety data, as follows:</w:t>
      </w:r>
    </w:p>
    <w:p w:rsidR="000847CD" w:rsidRPr="0069790E" w:rsidRDefault="000847CD" w:rsidP="005D4226">
      <w:pPr>
        <w:pStyle w:val="ListBullet"/>
      </w:pPr>
      <w:r w:rsidRPr="0069790E">
        <w:t>Stu</w:t>
      </w:r>
      <w:r w:rsidR="00A54191">
        <w:t>dy AC-055-201 provided data on AEs</w:t>
      </w:r>
      <w:r w:rsidRPr="0069790E">
        <w:t xml:space="preserve"> events, vital signs, body weight and physical examination findings reported as AEs, routine laboratory evaluation</w:t>
      </w:r>
      <w:r w:rsidR="005D4226">
        <w:t>s, and 12-lead ECG assessments.</w:t>
      </w:r>
    </w:p>
    <w:p w:rsidR="000847CD" w:rsidRPr="0069790E" w:rsidRDefault="000847CD" w:rsidP="005D4226">
      <w:pPr>
        <w:pStyle w:val="ListBullet"/>
        <w:numPr>
          <w:ilvl w:val="0"/>
          <w:numId w:val="0"/>
        </w:numPr>
        <w:ind w:left="360"/>
      </w:pPr>
      <w:r>
        <w:t>T</w:t>
      </w:r>
      <w:r w:rsidRPr="0069790E">
        <w:t xml:space="preserve">he study design included three consecutive periods: a single-blind placebo run-in wash-out period of </w:t>
      </w:r>
      <w:r>
        <w:t xml:space="preserve">two </w:t>
      </w:r>
      <w:r w:rsidRPr="0069790E">
        <w:t xml:space="preserve">to </w:t>
      </w:r>
      <w:r>
        <w:t>four</w:t>
      </w:r>
      <w:r w:rsidRPr="0069790E">
        <w:t xml:space="preserve"> weeks (Period I), a double-blind treatment period of </w:t>
      </w:r>
      <w:r>
        <w:t>eight</w:t>
      </w:r>
      <w:r w:rsidRPr="0069790E">
        <w:t xml:space="preserve"> weeks (Period II), and a 28-day safety follow-up period starting after study drug discontinuation. In this study, treatment-emergent AEs (TEAEs) were defined as an event whose starting date was during Period II and up to 14 days after last dose (</w:t>
      </w:r>
      <w:r>
        <w:t xml:space="preserve">that is, </w:t>
      </w:r>
      <w:r w:rsidRPr="0069790E">
        <w:t xml:space="preserve">up to </w:t>
      </w:r>
      <w:r>
        <w:t>two</w:t>
      </w:r>
      <w:r w:rsidRPr="0069790E">
        <w:t xml:space="preserve"> weeks after study drug discontinuation). Treatment-emergent </w:t>
      </w:r>
      <w:r w:rsidR="00442579">
        <w:t>serious AEs</w:t>
      </w:r>
      <w:r w:rsidRPr="0069790E">
        <w:t xml:space="preserve"> (TESAEs) were defined as an event whose starting date was during Period II and up to </w:t>
      </w:r>
      <w:r>
        <w:t>four</w:t>
      </w:r>
      <w:r w:rsidRPr="0069790E">
        <w:t xml:space="preserve"> weeks after study drug discontinuation. Any worsening, increased intensity or seriousness of an AE which started during Period I, was considered as a new </w:t>
      </w:r>
      <w:r w:rsidR="00A54191">
        <w:t>TE</w:t>
      </w:r>
      <w:r w:rsidR="005D4226">
        <w:t>AE in Period II.</w:t>
      </w:r>
    </w:p>
    <w:p w:rsidR="000847CD" w:rsidRPr="00E82370" w:rsidRDefault="000847CD" w:rsidP="005D4226">
      <w:pPr>
        <w:pStyle w:val="ListBullet"/>
        <w:numPr>
          <w:ilvl w:val="0"/>
          <w:numId w:val="0"/>
        </w:numPr>
        <w:ind w:left="360"/>
      </w:pPr>
      <w:r w:rsidRPr="00E82370">
        <w:t>A</w:t>
      </w:r>
      <w:r w:rsidR="00A54191">
        <w:t>Es</w:t>
      </w:r>
      <w:r w:rsidRPr="00E82370">
        <w:t xml:space="preserve"> occurring in Period I (defined as those with onset occurring before the day of study treatment start of Period II) were analysed in an additional safety set defined in a protocol amendment to include subjects who were not randomised. Safety results occurring in Period I were presented in the CSR and were evaluated for this report, and no safety concerns were triggered. In view of this and that this non-pivotal dose-finding study was conducted in a study population with essential hypertension, for which the sponsor was not seeking approval in this submission, and of which safety results were considered supportive, this evaluation report will summarise only treatment emergent safety events for this study (</w:t>
      </w:r>
      <w:r>
        <w:t xml:space="preserve">that is, </w:t>
      </w:r>
      <w:r w:rsidRPr="00E82370">
        <w:t>safety events for the double-blind period II).</w:t>
      </w:r>
    </w:p>
    <w:p w:rsidR="000847CD" w:rsidRPr="00E82370" w:rsidRDefault="000847CD" w:rsidP="005D4226">
      <w:pPr>
        <w:pStyle w:val="ListBullet"/>
      </w:pPr>
      <w:r w:rsidRPr="00E82370">
        <w:t xml:space="preserve">Study AC-055B201 (MUSIC) provided data on </w:t>
      </w:r>
      <w:r w:rsidR="00A54191">
        <w:t>AEs</w:t>
      </w:r>
      <w:r w:rsidRPr="00E82370">
        <w:t>, vital signs, body weight and physical examination findings reported as AEs, routine laboratory evaluations, and 12-lead ECG asse</w:t>
      </w:r>
      <w:r w:rsidR="005D4226">
        <w:t>ssments.</w:t>
      </w:r>
    </w:p>
    <w:p w:rsidR="00E12556" w:rsidRDefault="000847CD" w:rsidP="005D4226">
      <w:pPr>
        <w:pStyle w:val="ListBullet"/>
        <w:numPr>
          <w:ilvl w:val="0"/>
          <w:numId w:val="0"/>
        </w:numPr>
        <w:ind w:left="360"/>
      </w:pPr>
      <w:r w:rsidRPr="00E82370">
        <w:t>As</w:t>
      </w:r>
      <w:r>
        <w:t xml:space="preserve"> per instructions in the TGA’s ‘</w:t>
      </w:r>
      <w:r w:rsidRPr="00E82370">
        <w:t>statement of requirements</w:t>
      </w:r>
      <w:r>
        <w:t>’</w:t>
      </w:r>
      <w:r w:rsidRPr="00E82370">
        <w:t>, Study AC-055B201 will be evaluated for safety only</w:t>
      </w:r>
      <w:r w:rsidR="00E12556">
        <w:t>.</w:t>
      </w:r>
      <w:r w:rsidR="00340A9C">
        <w:t xml:space="preserve"> </w:t>
      </w:r>
      <w:r w:rsidR="00E12556">
        <w:t>T</w:t>
      </w:r>
      <w:r w:rsidRPr="00E82370">
        <w:t>he study design has not been previously described</w:t>
      </w:r>
      <w:r w:rsidR="005D4226">
        <w:t>. This will be summarised here.</w:t>
      </w:r>
    </w:p>
    <w:p w:rsidR="000847CD" w:rsidRPr="00E82370" w:rsidRDefault="000847CD" w:rsidP="005D4226">
      <w:pPr>
        <w:pStyle w:val="ListBullet"/>
        <w:numPr>
          <w:ilvl w:val="0"/>
          <w:numId w:val="0"/>
        </w:numPr>
        <w:ind w:left="360"/>
      </w:pPr>
      <w:r w:rsidRPr="00E82370">
        <w:t xml:space="preserve">Study AC-055B201 was a multi-centre (48 centres in 12 countries) double-blind, randomised, placebo-controlled, parallel-group, Phase II study to evaluate the efficacy, safety, and tolerability of macitentan in subjects with idiopathic pulmonary fibrosis (IPF). The primary objective was to demonstrate that macitentan positively affects the forced vital capacity (FVC) compared with placebo in subjects with IPF. Secondary objectives were to evaluate the effect of macitentan on the time to disease worsening or death in subjects with IPF and to evaluate the safety and tolerability of macitentan in this patient population. The study included a screening period of up to 28 days followed by a double-blind treatment phase that was further divided into two periods: Period 1 (fixed duration) was from randomisation up to the primary endpoint evaluation (Month 12, or earlier in case of premature discontinuation of study drug); Period 2 (variable duration) was from the primary endpoint evaluation visit up to the EOS. EOS was to be declared by the sponsor once the last randomised subject had </w:t>
      </w:r>
      <w:r w:rsidRPr="00E82370">
        <w:lastRenderedPageBreak/>
        <w:t>successfully completed Period 1 (</w:t>
      </w:r>
      <w:r>
        <w:t xml:space="preserve">that is, </w:t>
      </w:r>
      <w:r w:rsidRPr="00E82370">
        <w:t>did not prematurely discontinue treatment). Prior to EOS, all subjects who had already successfully completed Period 1 were maintained on double</w:t>
      </w:r>
      <w:r w:rsidR="00503210">
        <w:t>-blind treatment during Period II</w:t>
      </w:r>
      <w:r w:rsidRPr="00E82370">
        <w:t xml:space="preserve"> until overall EOS was declared. All subjects were to have a 28-day post-treatment safety follow-up visit.</w:t>
      </w:r>
    </w:p>
    <w:p w:rsidR="000847CD" w:rsidRDefault="000847CD" w:rsidP="005D4226">
      <w:pPr>
        <w:pStyle w:val="ListBullet"/>
        <w:numPr>
          <w:ilvl w:val="0"/>
          <w:numId w:val="0"/>
        </w:numPr>
        <w:ind w:left="360"/>
      </w:pPr>
      <w:r w:rsidRPr="00E82370">
        <w:t xml:space="preserve">Eligible subjects were males or females aged 18 years or older at study entry, with a confirmed diagnosis of IPF within </w:t>
      </w:r>
      <w:r>
        <w:t>three</w:t>
      </w:r>
      <w:r w:rsidRPr="00E82370">
        <w:t xml:space="preserve"> years prior to randomisation based on the American Thoracic Society (ATS) and the European Respiratory Society (ERS) consensus criteria, and confirmed with surgical lung biopsy (SLB). Subjects were randomised in a 2:1 ratio to receive either macitentan 10 mg or matching placebo, once daily, per oral, irrespective of food intake. The primary efficacy endpoint was the change in FVC from baseline to End-of-Period 1 (EOP1). The secondary efficacy endpoint was the time to occurrence of disease worsening or death (all causes) up to EOS. A total of 178 subjects were randomised in a 2:1 ratio to the macitentan (n = 119) and placebo groups (n = 59). A total of 23 subjects (12.9%) discontinued the study prematurely (15.1% [18/119] in macitentan group; 8.5% [5/59] in placebo group), and hence 155 subjects (87.1%) completed the study. All 178 subjects were analysed for efficacy and safety. The baseline demographic characteristics were comparable between treatment groups</w:t>
      </w:r>
      <w:r w:rsidRPr="003106DB">
        <w:t>.</w:t>
      </w:r>
      <w:r w:rsidRPr="00E82370">
        <w:t xml:space="preserve"> The majority of subjects in each treatment group were male (62.7% [37/59] and 70.6% [84/119] in the placebo and macitentan 10 mg groups</w:t>
      </w:r>
      <w:r>
        <w:t>)</w:t>
      </w:r>
      <w:r w:rsidRPr="00E82370">
        <w:t xml:space="preserve"> and Caucasian (96.6% [57/59] and 95.8% [114/119]). The mean (SD) age was 64.5 (6.32) and 65.1 (7.85) years. The median age was 64.0 and 66.0 years. Baseline BMI were also similar between treatment groups (mean [SD] BMI o</w:t>
      </w:r>
      <w:r w:rsidR="005D4226">
        <w:t>f 30.7 [5.23] and 30.5 [4.36]).</w:t>
      </w:r>
    </w:p>
    <w:p w:rsidR="000847CD" w:rsidRPr="00E82370" w:rsidRDefault="000847CD" w:rsidP="005D4226">
      <w:pPr>
        <w:pStyle w:val="Heading4"/>
      </w:pPr>
      <w:bookmarkStart w:id="166" w:name="_Ref269204367"/>
      <w:bookmarkStart w:id="167" w:name="_Ref271195835"/>
      <w:bookmarkStart w:id="168" w:name="_Ref271195841"/>
      <w:bookmarkStart w:id="169" w:name="_Toc272414660"/>
      <w:bookmarkStart w:id="170" w:name="_Toc290846285"/>
      <w:bookmarkStart w:id="171" w:name="_Toc368036973"/>
      <w:bookmarkStart w:id="172" w:name="_Toc383684159"/>
      <w:r w:rsidRPr="00E82370">
        <w:t>Pivotal studies that assessed safety as a primary outcome</w:t>
      </w:r>
      <w:bookmarkEnd w:id="166"/>
      <w:bookmarkEnd w:id="167"/>
      <w:bookmarkEnd w:id="168"/>
      <w:bookmarkEnd w:id="169"/>
      <w:bookmarkEnd w:id="170"/>
      <w:bookmarkEnd w:id="171"/>
      <w:bookmarkEnd w:id="172"/>
    </w:p>
    <w:p w:rsidR="000847CD" w:rsidRPr="000847CD" w:rsidRDefault="000847CD" w:rsidP="005D4226">
      <w:r w:rsidRPr="000847CD">
        <w:t>Not applicable.</w:t>
      </w:r>
    </w:p>
    <w:p w:rsidR="000847CD" w:rsidRPr="00E82370" w:rsidRDefault="000847CD" w:rsidP="005D4226">
      <w:pPr>
        <w:pStyle w:val="Heading4"/>
      </w:pPr>
      <w:bookmarkStart w:id="173" w:name="_Toc241374318"/>
      <w:bookmarkStart w:id="174" w:name="_Ref271196630"/>
      <w:bookmarkStart w:id="175" w:name="_Toc272414662"/>
      <w:bookmarkStart w:id="176" w:name="_Toc290846300"/>
      <w:bookmarkStart w:id="177" w:name="_Toc368036974"/>
      <w:bookmarkStart w:id="178" w:name="_Toc383684160"/>
      <w:r w:rsidRPr="00E82370">
        <w:t xml:space="preserve">Patient </w:t>
      </w:r>
      <w:r w:rsidRPr="005D4226">
        <w:t>exposure</w:t>
      </w:r>
      <w:bookmarkEnd w:id="173"/>
      <w:bookmarkEnd w:id="174"/>
      <w:bookmarkEnd w:id="175"/>
      <w:bookmarkEnd w:id="176"/>
      <w:bookmarkEnd w:id="177"/>
      <w:bookmarkEnd w:id="178"/>
    </w:p>
    <w:p w:rsidR="000847CD" w:rsidRDefault="000847CD" w:rsidP="005D4226">
      <w:r>
        <w:t>In the pivotal efficacy/safety S</w:t>
      </w:r>
      <w:r w:rsidRPr="00E82370">
        <w:t>tudy (AC-055-302), a total of 492 subjects received macitentan and 249 received placebo. The mean (SD) duration of treatment was 99.5 (50.82) weeks, 103.9 (52.44) weeks and 85.3 (53.65) weeks in the macitentan 3 mg, 10</w:t>
      </w:r>
      <w:r w:rsidR="00100727">
        <w:t> </w:t>
      </w:r>
      <w:r w:rsidRPr="00E82370">
        <w:t>mg, and the placebo groups</w:t>
      </w:r>
      <w:r w:rsidR="005D4226">
        <w:t>.</w:t>
      </w:r>
    </w:p>
    <w:p w:rsidR="000847CD" w:rsidRPr="00E82370" w:rsidRDefault="000847CD" w:rsidP="005D4226">
      <w:r w:rsidRPr="00E82370">
        <w:t xml:space="preserve">The median duration of treatment was 115.6, 118.4 and 101.3 weeks. The percentage of subjects with exposure to study treatment for at least </w:t>
      </w:r>
      <w:r w:rsidR="00503210">
        <w:t>one</w:t>
      </w:r>
      <w:r w:rsidRPr="00E82370">
        <w:t xml:space="preserve"> year was 76.4%, 77.7% and 65.5%, while that for at least </w:t>
      </w:r>
      <w:r w:rsidR="00503210">
        <w:t>two</w:t>
      </w:r>
      <w:r w:rsidRPr="00E82370">
        <w:t xml:space="preserve"> years was 59.2%, 64.9% and 49.8%.</w:t>
      </w:r>
    </w:p>
    <w:p w:rsidR="000847CD" w:rsidRDefault="000847CD" w:rsidP="005D4226">
      <w:r w:rsidRPr="00E82370">
        <w:t>In</w:t>
      </w:r>
      <w:r w:rsidR="00E12556">
        <w:t>cluded in</w:t>
      </w:r>
      <w:r w:rsidRPr="00E82370">
        <w:t xml:space="preserve"> </w:t>
      </w:r>
      <w:r>
        <w:t>S</w:t>
      </w:r>
      <w:r w:rsidRPr="00E82370">
        <w:t>tudy AC-055-201 (essential hypertension study population)</w:t>
      </w:r>
      <w:r w:rsidR="00E12556">
        <w:t xml:space="preserve"> were</w:t>
      </w:r>
      <w:r w:rsidRPr="00E82370">
        <w:t xml:space="preserve"> a total of 252 subjects </w:t>
      </w:r>
      <w:r w:rsidR="00E12556">
        <w:t xml:space="preserve">who </w:t>
      </w:r>
      <w:r w:rsidRPr="00E82370">
        <w:t>received macitentan, 62 received placebo, and 65 received enalapril. The mean (SD) duration of treatment was 43.7 (16.8), 41.7 (17.7), 46.1 (15.3), 46.8 (16.9), 40.5 (17.8) and 44.6 (16.7) days in the macitentan 0.3 mg, 1 mg, 3 mg, 10 mg, placebo and enalapril groups</w:t>
      </w:r>
      <w:r>
        <w:t>.</w:t>
      </w:r>
    </w:p>
    <w:p w:rsidR="000847CD" w:rsidRPr="00E82370" w:rsidRDefault="000847CD" w:rsidP="005D4226">
      <w:r w:rsidRPr="00E82370">
        <w:t>The median duration of treatment was 50.0, 47.5, 55.0, 55.0, 45.5 and 48.0 days. The percentage of subjects with exposure to study treatment of at least 28 days was 81.0%, 72.7%, 86.9%, 82.3%, 69.4%, and 78.5%.</w:t>
      </w:r>
    </w:p>
    <w:p w:rsidR="000847CD" w:rsidRDefault="000847CD" w:rsidP="005D4226">
      <w:r w:rsidRPr="00E82370">
        <w:t xml:space="preserve">In </w:t>
      </w:r>
      <w:r>
        <w:t>S</w:t>
      </w:r>
      <w:r w:rsidRPr="00E82370">
        <w:t>tudy AC-055B201 (IPF study population), a total of 119 subjects received macitentan 10 mg and 59 received placebo. The mean (SD) duration of treatment was 14.3 (4.84) and 15.4 (3.95) months in the macitent</w:t>
      </w:r>
      <w:r>
        <w:t>an 10 mg and the placebo groups.</w:t>
      </w:r>
    </w:p>
    <w:p w:rsidR="000847CD" w:rsidRPr="00E82370" w:rsidRDefault="000847CD" w:rsidP="005D4226">
      <w:r w:rsidRPr="00E82370">
        <w:t xml:space="preserve">The median duration of treatment was 14.5 and 15.0 months. The percentage of subjects with exposure to study treatment for at least </w:t>
      </w:r>
      <w:r>
        <w:t>one</w:t>
      </w:r>
      <w:r w:rsidRPr="00E82370">
        <w:t xml:space="preserve"> year was 76.5% and 81.4%.</w:t>
      </w:r>
    </w:p>
    <w:p w:rsidR="000847CD" w:rsidRDefault="000847CD" w:rsidP="005D4226">
      <w:r w:rsidRPr="00E82370">
        <w:lastRenderedPageBreak/>
        <w:t xml:space="preserve">In the 14 completed </w:t>
      </w:r>
      <w:proofErr w:type="gramStart"/>
      <w:r w:rsidRPr="00E82370">
        <w:t>Phase</w:t>
      </w:r>
      <w:proofErr w:type="gramEnd"/>
      <w:r w:rsidRPr="00E82370">
        <w:t xml:space="preserve"> I clinical pharmacology studies (AC-055-101 to AC-055-114), a total of 356 subjects (324 healthy subjects, 24 subjects with hepatic impairment, and</w:t>
      </w:r>
      <w:r>
        <w:t xml:space="preserve"> eight</w:t>
      </w:r>
      <w:r w:rsidRPr="00E82370">
        <w:t xml:space="preserve"> subjects with severe renal impairm</w:t>
      </w:r>
      <w:r>
        <w:t xml:space="preserve">ent) were exposed to macitentan. </w:t>
      </w:r>
      <w:r w:rsidRPr="00E82370">
        <w:t>Of the 356 subjects, 149 were exposed to single doses of macitentan and 207 received multiple doses of macitentan.</w:t>
      </w:r>
    </w:p>
    <w:p w:rsidR="000847CD" w:rsidRDefault="000847CD" w:rsidP="005D4226">
      <w:pPr>
        <w:ind w:left="720"/>
      </w:pPr>
      <w:r w:rsidRPr="007C26F5">
        <w:t>Comments:</w:t>
      </w:r>
      <w:r>
        <w:t xml:space="preserve"> </w:t>
      </w:r>
      <w:r w:rsidRPr="007C26F5">
        <w:t>Overall, the study drug exposure is adequate to assess the safety profile of macitentan.</w:t>
      </w:r>
    </w:p>
    <w:p w:rsidR="00EE38C9" w:rsidRPr="00EE38C9" w:rsidRDefault="00EE38C9" w:rsidP="005D4226">
      <w:pPr>
        <w:pStyle w:val="Heading4"/>
      </w:pPr>
      <w:bookmarkStart w:id="179" w:name="_Toc241374320"/>
      <w:bookmarkStart w:id="180" w:name="_Ref272333507"/>
      <w:bookmarkStart w:id="181" w:name="_Toc272414666"/>
      <w:bookmarkStart w:id="182" w:name="_Toc290846304"/>
      <w:bookmarkStart w:id="183" w:name="_Toc368036982"/>
      <w:r w:rsidRPr="00EE38C9">
        <w:t>Deaths and other serious adverse events</w:t>
      </w:r>
      <w:bookmarkEnd w:id="179"/>
      <w:bookmarkEnd w:id="180"/>
      <w:bookmarkEnd w:id="181"/>
      <w:bookmarkEnd w:id="182"/>
      <w:bookmarkEnd w:id="183"/>
    </w:p>
    <w:p w:rsidR="00EE38C9" w:rsidRPr="00E82370" w:rsidRDefault="00EE38C9" w:rsidP="005D4226">
      <w:pPr>
        <w:pStyle w:val="Heading5"/>
      </w:pPr>
      <w:bookmarkStart w:id="184" w:name="_Toc368036983"/>
      <w:r w:rsidRPr="00E82370">
        <w:t xml:space="preserve">Pivotal </w:t>
      </w:r>
      <w:r w:rsidRPr="005D4226">
        <w:t>study</w:t>
      </w:r>
      <w:bookmarkEnd w:id="184"/>
    </w:p>
    <w:p w:rsidR="00EE38C9" w:rsidRDefault="00EE38C9" w:rsidP="005D4226">
      <w:r w:rsidRPr="00E82370">
        <w:t>The incidences of deaths were comparable between the macitentan 3 mg and the placebo groups, but lower in the macitentan 10 mg group (8.4% [21/249], 8.8% [22/250], and 6.6% [16/242] in the placebo, ma</w:t>
      </w:r>
      <w:r>
        <w:t>citentan 3 mg, and 10 mg groups)</w:t>
      </w:r>
      <w:r w:rsidRPr="00E82370">
        <w:t xml:space="preserve">. The most commonly reported cause of death in the macitentan 3 mg group was </w:t>
      </w:r>
      <w:r w:rsidR="00D32A10">
        <w:t>PAH</w:t>
      </w:r>
      <w:r w:rsidRPr="00E82370">
        <w:t xml:space="preserve"> (1.2%, 2.4% and 0.8% in the placebo, macitentan 3 mg, and 10 mg groups). The most commonly reported cause of death in the macitentan 10 mg group was right ventricular failure (2.4%, 1.6% and 2.5%).</w:t>
      </w:r>
    </w:p>
    <w:p w:rsidR="00EE38C9" w:rsidRDefault="00EE38C9" w:rsidP="005D4226">
      <w:r w:rsidRPr="00EE38C9">
        <w:t>The incidences of SAEs were comparable between the macitentan 3 mg and the placebo groups, but lower in the macitentan 10 mg group (55.0% [137/249], 52.0% [130/250], and 45.0% [109/242] in the placebo, macitentan 3 mg, and 10 mg groups).</w:t>
      </w:r>
    </w:p>
    <w:p w:rsidR="00503210" w:rsidRPr="005D4226" w:rsidRDefault="00503210" w:rsidP="005D4226">
      <w:pPr>
        <w:pStyle w:val="Heading5"/>
      </w:pPr>
      <w:r>
        <w:t>Other studies</w:t>
      </w:r>
    </w:p>
    <w:p w:rsidR="00EE38C9" w:rsidRPr="00EE38C9" w:rsidRDefault="00EE38C9" w:rsidP="005D4226">
      <w:pPr>
        <w:pStyle w:val="Heading6"/>
      </w:pPr>
      <w:r w:rsidRPr="00EE38C9">
        <w:t>Study AC-055-201</w:t>
      </w:r>
    </w:p>
    <w:p w:rsidR="00EE38C9" w:rsidRDefault="00EE38C9" w:rsidP="005D4226">
      <w:r w:rsidRPr="00E82370">
        <w:t>No deaths occurred in this study, including Periods I, II and the 28-day follow-up period. The percentages of subjects with any TESAEs were comparable among treatment groups (1.6% to 4.6%)</w:t>
      </w:r>
      <w:r>
        <w:t xml:space="preserve"> </w:t>
      </w:r>
      <w:r w:rsidRPr="00E82370">
        <w:t xml:space="preserve">There was no obvious trend of dose-related increased incidence of TESAEs with macitentan. No TESAE by preferred term were reported by more than </w:t>
      </w:r>
      <w:r>
        <w:t>one</w:t>
      </w:r>
      <w:r w:rsidRPr="00E82370">
        <w:t xml:space="preserve"> subject each.</w:t>
      </w:r>
    </w:p>
    <w:p w:rsidR="00EE38C9" w:rsidRPr="00EE38C9" w:rsidRDefault="00EE38C9" w:rsidP="005D4226">
      <w:pPr>
        <w:pStyle w:val="Heading6"/>
      </w:pPr>
      <w:r w:rsidRPr="00EE38C9">
        <w:t>Study AC-055B201</w:t>
      </w:r>
      <w:r>
        <w:t>:</w:t>
      </w:r>
    </w:p>
    <w:p w:rsidR="00EE38C9" w:rsidRDefault="00EE38C9" w:rsidP="005D4226">
      <w:r w:rsidRPr="00E82370">
        <w:t>The incidences of deaths were comparable between treatment groups (6.8% [4/59] and 7.6% [9/119] in the placebo and macitentan groups. The most commonly reported cause of death in the macitentan group was respiratory failure (1.7% [1/59] and 2.5% [3/119] in th</w:t>
      </w:r>
      <w:r>
        <w:t>e placebo and macitentan groups</w:t>
      </w:r>
      <w:r w:rsidRPr="00E82370">
        <w:t>)</w:t>
      </w:r>
      <w:r w:rsidR="00503210">
        <w:t>.</w:t>
      </w:r>
    </w:p>
    <w:p w:rsidR="00EE38C9" w:rsidRDefault="00EE38C9" w:rsidP="005D4226">
      <w:r w:rsidRPr="00E82370">
        <w:t xml:space="preserve">The incidences of SAEs were comparable between treatment groups (33.9% [20/59] and 31.1% [37/119] in the placebo and macitentan groups). The most commonly reported SAEs in the macitentan group were worsening IPF (10.2% [6/59] and 8.4% [10/119] in the placebo and macitentan groups) and pneumonia </w:t>
      </w:r>
      <w:r w:rsidR="005D4226">
        <w:t>(3.4% [2/59] and 5.0% [6/119]).</w:t>
      </w:r>
    </w:p>
    <w:p w:rsidR="00EE38C9" w:rsidRPr="00EE38C9" w:rsidRDefault="00EE38C9" w:rsidP="005D4226">
      <w:pPr>
        <w:pStyle w:val="Heading6"/>
      </w:pPr>
      <w:bookmarkStart w:id="185" w:name="_Toc368036985"/>
      <w:r w:rsidRPr="00EE38C9">
        <w:t>Clinical pharmacology studies</w:t>
      </w:r>
      <w:bookmarkEnd w:id="185"/>
      <w:r>
        <w:t>:</w:t>
      </w:r>
    </w:p>
    <w:p w:rsidR="00EE38C9" w:rsidRPr="00E82370" w:rsidRDefault="00EE38C9" w:rsidP="005D4226">
      <w:r w:rsidRPr="00E82370">
        <w:t>No deaths were reported in any of the 14 clinical pharmacology studies. No SAEs were reported during macitentan treatment in these clinical pharmacology studies.</w:t>
      </w:r>
    </w:p>
    <w:p w:rsidR="00EE38C9" w:rsidRPr="00EE38C9" w:rsidRDefault="00EE38C9" w:rsidP="005D4226">
      <w:pPr>
        <w:pStyle w:val="Heading4"/>
      </w:pPr>
      <w:bookmarkStart w:id="186" w:name="_Toc241374328"/>
      <w:bookmarkStart w:id="187" w:name="_Toc272414691"/>
      <w:bookmarkStart w:id="188" w:name="_Toc290846329"/>
      <w:bookmarkStart w:id="189" w:name="_Toc368037025"/>
      <w:bookmarkStart w:id="190" w:name="_Toc383684166"/>
      <w:r w:rsidRPr="00EE38C9">
        <w:t xml:space="preserve">Evaluator’s summary and </w:t>
      </w:r>
      <w:r w:rsidRPr="005D4226">
        <w:t>overall</w:t>
      </w:r>
      <w:r w:rsidRPr="00EE38C9">
        <w:t xml:space="preserve"> conclusions on safety</w:t>
      </w:r>
      <w:bookmarkEnd w:id="186"/>
      <w:bookmarkEnd w:id="187"/>
      <w:bookmarkEnd w:id="188"/>
      <w:bookmarkEnd w:id="189"/>
      <w:bookmarkEnd w:id="190"/>
    </w:p>
    <w:p w:rsidR="00EE38C9" w:rsidRPr="00E82370" w:rsidRDefault="00EE38C9" w:rsidP="005D4226">
      <w:r w:rsidRPr="00E82370">
        <w:t xml:space="preserve">Overall, safety results in the pivotal Phase III </w:t>
      </w:r>
      <w:r>
        <w:t>S</w:t>
      </w:r>
      <w:r w:rsidRPr="00E82370">
        <w:t>tudy (AC-055-302) did not raise any major safety concerns. The incidences of all-causality AEs, treatment-related AEs, deaths, SAEs, and AEs leading to permanent discontinuation of study drug were comparable between the macitentan groups and the placebo group. The most commonly reported treatment-related AEs by preferred term in the macitentan groups were headache (2.8%, 4.0% and 5.0% in the placebo, macitentan 3 mg, and 10 mg groups), oedema peripheral (2.8%, 2.4% and 2.5%), and anaemia (0.4%, 1.6% and 3.7%).</w:t>
      </w:r>
    </w:p>
    <w:p w:rsidR="00EE38C9" w:rsidRPr="00E82370" w:rsidRDefault="00EE38C9" w:rsidP="005D4226">
      <w:r w:rsidRPr="00E82370">
        <w:lastRenderedPageBreak/>
        <w:t xml:space="preserve">Safety results in </w:t>
      </w:r>
      <w:r>
        <w:t>S</w:t>
      </w:r>
      <w:r w:rsidRPr="00E82370">
        <w:t xml:space="preserve">tudies AC-055-201 and AC-055B201 and the completed clinical pharmacology studies were generally consistent with those of the pivotal study. Safety results in </w:t>
      </w:r>
      <w:r>
        <w:t>S</w:t>
      </w:r>
      <w:r w:rsidRPr="00E82370">
        <w:t>tudy AC-055-201 also showed that there was no obvious trend of increased incidences of TEAEs, treatment-related TEAEs, TESAEs, or TEAEs leading to study discontinuation with increasing doses of macitentan.</w:t>
      </w:r>
    </w:p>
    <w:p w:rsidR="00EE38C9" w:rsidRPr="00E82370" w:rsidRDefault="00EE38C9" w:rsidP="005D4226">
      <w:r w:rsidRPr="00E82370">
        <w:t xml:space="preserve">Known adverse drug reactions associated with ERAs include peripheral oedema, increases in liver transaminases, decreases in systemic </w:t>
      </w:r>
      <w:r w:rsidR="00D67C70">
        <w:t xml:space="preserve">BP </w:t>
      </w:r>
      <w:r w:rsidRPr="00E82370">
        <w:t xml:space="preserve">and decreases in haemoglobin concentrations. Analyses of these </w:t>
      </w:r>
      <w:r w:rsidR="00A54191">
        <w:t>AEs</w:t>
      </w:r>
      <w:r w:rsidRPr="00E82370">
        <w:t xml:space="preserve"> of special interest in </w:t>
      </w:r>
      <w:r>
        <w:t>S</w:t>
      </w:r>
      <w:r w:rsidRPr="00E82370">
        <w:t>tudy AC-055-302 showed that there was no obvious increased risk of occurrence of oedema-related AEs with the macitentan groups (3</w:t>
      </w:r>
      <w:r>
        <w:t xml:space="preserve"> </w:t>
      </w:r>
      <w:r w:rsidRPr="00E82370">
        <w:t>mg and 10</w:t>
      </w:r>
      <w:r>
        <w:t xml:space="preserve"> </w:t>
      </w:r>
      <w:r w:rsidRPr="00E82370">
        <w:t>mg) compared to the placebo group (relative risk ratio of 0.94 for macitentan 3 mg versus placebo, and 1.03 for macitentan 10 mg versus placebo). The observed risk of occurrence of AEs associated with liver disorders and abnormal liver function was lower in the macitentan groups compared to the placebo group (relative risk ratio of 0.64 for macitentan 3 mg versus placebo, and 0.60 for macitentan 10 mg versus placebo), while that for occurrence of hypotension-related AEs was slightly higher in the macitentan groups compared to the placebo group (relative risk ratio versus placebo of 1.36 and 1.59 for macitentan 3 mg and 10 mg), and that for the occurrence of decreased haemoglobin-related AEs was 2 to 3</w:t>
      </w:r>
      <w:r w:rsidR="00503210">
        <w:t xml:space="preserve"> </w:t>
      </w:r>
      <w:r w:rsidRPr="00E82370">
        <w:t>fold higher in the macitentan groups compared to the placebo group (relative risk ratio versus placebo of 2.32 and 3.26 for macitentan 3 mg and 10 mg).</w:t>
      </w:r>
    </w:p>
    <w:p w:rsidR="00EE38C9" w:rsidRPr="00E82370" w:rsidRDefault="00EE38C9" w:rsidP="005D4226">
      <w:r w:rsidRPr="00E82370">
        <w:t xml:space="preserve">Analyses of laboratory parameters of liver transaminases in the pivotal </w:t>
      </w:r>
      <w:r>
        <w:t>S</w:t>
      </w:r>
      <w:r w:rsidRPr="00E82370">
        <w:t xml:space="preserve">tudy (AC-055-302) yielded results consistent with the above findings, showing that the proportion of subjects with marked elevations in ALT or AST, (defined as values &gt; </w:t>
      </w:r>
      <w:r>
        <w:t>two times</w:t>
      </w:r>
      <w:r w:rsidRPr="00E82370">
        <w:t xml:space="preserve"> ULN and an increase of at least 50% from baseline) were comparable between the macitentan groups and the placebo group, as was that of subjects with ALT or AST elevations &gt; </w:t>
      </w:r>
      <w:r>
        <w:t>three times</w:t>
      </w:r>
      <w:r w:rsidRPr="00E82370">
        <w:t xml:space="preserve"> ULN. Kaplan-Meier analyses showed that there was a reduced risk for occurrence of ALT or AST elevation &gt; </w:t>
      </w:r>
      <w:r>
        <w:t>three times</w:t>
      </w:r>
      <w:r w:rsidRPr="00E82370">
        <w:t xml:space="preserve"> ULN with macitentan 3 mg and 10 mg compared to with placebo (hazard ratio versus placebo for the occurrence of an ALT or AST elevation &gt; </w:t>
      </w:r>
      <w:r>
        <w:t>three times</w:t>
      </w:r>
      <w:r w:rsidRPr="00E82370">
        <w:t xml:space="preserve"> ULN was 0.720 and 0.635 </w:t>
      </w:r>
      <w:r w:rsidR="005D4226">
        <w:t>for macitentan 3 mg and 10 mg).</w:t>
      </w:r>
    </w:p>
    <w:p w:rsidR="00E12556" w:rsidRDefault="00EE38C9" w:rsidP="00EE38C9">
      <w:r w:rsidRPr="00E82370">
        <w:t xml:space="preserve">Analyses of haemoglobin levels in the pivotal </w:t>
      </w:r>
      <w:r>
        <w:t>S</w:t>
      </w:r>
      <w:r w:rsidRPr="00E82370">
        <w:t>tudy (AC-055-302) also yielded results consistent with findings of the analyses on AEs of special interest, showing that use of macitentan was associated with a decrease in haemoglobin concentration. The proportion of subjects with marked haemoglobin decreases (defined as haemoglobin &lt; 11 g/dL and a decrease of at least 15% from baseline) was higher in the macitentan groups than in the placebo group (7.9% and 13.9% in the macitentan 3 mg and</w:t>
      </w:r>
      <w:r w:rsidR="00503210">
        <w:t xml:space="preserve"> </w:t>
      </w:r>
      <w:r w:rsidRPr="00E82370">
        <w:t>10 mg groups v</w:t>
      </w:r>
      <w:r>
        <w:t>ersu</w:t>
      </w:r>
      <w:r w:rsidRPr="00E82370">
        <w:t xml:space="preserve">s 3.8% with placebo), as was the proportion of subjects with decreases in haemoglobin values to between &gt; 8 g/dL and </w:t>
      </w:r>
      <w:r w:rsidRPr="00E82370">
        <w:rPr>
          <w:rFonts w:cs="Arial"/>
        </w:rPr>
        <w:t>≤</w:t>
      </w:r>
      <w:r w:rsidR="00503210">
        <w:rPr>
          <w:rFonts w:cs="Arial"/>
        </w:rPr>
        <w:t xml:space="preserve"> </w:t>
      </w:r>
      <w:r w:rsidRPr="00E82370">
        <w:rPr>
          <w:rFonts w:cs="Cambria"/>
        </w:rPr>
        <w:t>10 g/dL at some point during the study period up to 28 days after treatment</w:t>
      </w:r>
      <w:r w:rsidRPr="00E82370">
        <w:t xml:space="preserve"> discontinuation (4.6% and 4.3% v</w:t>
      </w:r>
      <w:r>
        <w:t>ersus</w:t>
      </w:r>
      <w:r w:rsidRPr="00E82370">
        <w:t xml:space="preserve"> 3.0%), and the proportion of subjects with decreases in haemoglobin values to </w:t>
      </w:r>
      <w:r w:rsidRPr="00E82370">
        <w:rPr>
          <w:rFonts w:cs="Arial"/>
        </w:rPr>
        <w:t>≤</w:t>
      </w:r>
      <w:r w:rsidRPr="00E82370">
        <w:rPr>
          <w:rFonts w:cs="Cambria"/>
        </w:rPr>
        <w:t xml:space="preserve"> 8 g/dL (1.7% and 4.3%</w:t>
      </w:r>
      <w:r w:rsidRPr="00E82370">
        <w:t xml:space="preserve"> v</w:t>
      </w:r>
      <w:r>
        <w:t>ersu</w:t>
      </w:r>
      <w:r w:rsidRPr="00E82370">
        <w:t xml:space="preserve">s 0.4%). However, the proportion of subjects with these marked decreases in haemoglobin was relatively small, and this adverse drug effect is </w:t>
      </w:r>
      <w:r w:rsidR="00E12556">
        <w:t>able to be monitored</w:t>
      </w:r>
      <w:r w:rsidR="00E12556" w:rsidRPr="00E82370">
        <w:t xml:space="preserve"> </w:t>
      </w:r>
      <w:r w:rsidRPr="00E82370">
        <w:t xml:space="preserve">by routine laboratory assessments. In addition, analyses of the mean change in haemoglobin from baseline over time showed that these decreases in haemoglobin in the macitentan groups occurred within the first </w:t>
      </w:r>
      <w:r>
        <w:t>three</w:t>
      </w:r>
      <w:r w:rsidRPr="00E82370">
        <w:t xml:space="preserve"> months of starting study treatment, reached a minimum at around Mont</w:t>
      </w:r>
      <w:r w:rsidR="005D4226">
        <w:t>h 3, and thereafter stabilised.</w:t>
      </w:r>
    </w:p>
    <w:p w:rsidR="00EE38C9" w:rsidRPr="00E82370" w:rsidRDefault="00EE38C9" w:rsidP="005D4226">
      <w:r w:rsidRPr="00E82370">
        <w:t xml:space="preserve">The overall estimated treatment effect over 12 months compared to placebo was small for both macitentan dose groups (–0.71 g/dL [95% CLs: –0.95, –0.48; p&lt;0.0001] for macitentan 3 mg and –1.07 g/dL [95% CLs: –1.31, –0.84; p&lt;0.0001] for macitentan 10 mg). Analyses of the mean change in haemoglobin from baseline over time in </w:t>
      </w:r>
      <w:r>
        <w:t>S</w:t>
      </w:r>
      <w:r w:rsidRPr="00E82370">
        <w:t>tudies AC-055-201 and AC-055B201 yielde</w:t>
      </w:r>
      <w:r>
        <w:t>d similar results. Analyses in S</w:t>
      </w:r>
      <w:r w:rsidRPr="00E82370">
        <w:t xml:space="preserve">tudy AC-055-201 showed a decrease in haemoglobin from baseline with macitentan until Week 8, and then with haemoglobin values returning towards baseline level and to values comparable to those of </w:t>
      </w:r>
      <w:r w:rsidRPr="00E82370">
        <w:lastRenderedPageBreak/>
        <w:t xml:space="preserve">the placebo group by Week 10. Analyses in </w:t>
      </w:r>
      <w:r>
        <w:t>S</w:t>
      </w:r>
      <w:r w:rsidRPr="00E82370">
        <w:t xml:space="preserve">tudy AC-055B201 showed that decreases in haemoglobin in the macitentan group occurred within the first </w:t>
      </w:r>
      <w:r>
        <w:t>four</w:t>
      </w:r>
      <w:r w:rsidRPr="00E82370">
        <w:t xml:space="preserve"> months of starting study treatment, and thereafter stabilised.</w:t>
      </w:r>
    </w:p>
    <w:p w:rsidR="00EE38C9" w:rsidRPr="00E82370" w:rsidRDefault="00EE38C9" w:rsidP="005D4226">
      <w:r w:rsidRPr="00E82370">
        <w:t xml:space="preserve">Analyses of </w:t>
      </w:r>
      <w:r w:rsidR="00D67C70">
        <w:t>BP</w:t>
      </w:r>
      <w:r w:rsidRPr="00E82370">
        <w:t xml:space="preserve"> readings in the pivotal </w:t>
      </w:r>
      <w:r>
        <w:t>S</w:t>
      </w:r>
      <w:r w:rsidRPr="00E82370">
        <w:t xml:space="preserve">tudy (AC-055-302) yielded results consistent with findings of the analyses on AEs of special interest, showing that mean changes in </w:t>
      </w:r>
      <w:r w:rsidR="00D67C70">
        <w:t>BP</w:t>
      </w:r>
      <w:r w:rsidRPr="00E82370">
        <w:t xml:space="preserve"> from baseline up to 28 days after treatment discontinuation were small and generally comparable across treatment groups (mean change from baseline in SBP of -1.9 and -2.4 mmHg with macitentan 3</w:t>
      </w:r>
      <w:r w:rsidR="00100727">
        <w:t xml:space="preserve"> </w:t>
      </w:r>
      <w:r w:rsidRPr="00E82370">
        <w:t>mg and 10</w:t>
      </w:r>
      <w:r w:rsidR="00100727">
        <w:t xml:space="preserve"> </w:t>
      </w:r>
      <w:r w:rsidRPr="00E82370">
        <w:t xml:space="preserve">mg versus -2.7 mmHg with placebo; mean change from baseline in DBP of -2.5 and -4.2 mmHg versus -2.8 mmHg). Repeated measures analysis of the change from baseline in SBP showed that the estimated treatment effect over 12 months compared to placebo was small for both dose groups and showed a relative increase rather than decrease in </w:t>
      </w:r>
      <w:r w:rsidR="00D67C70">
        <w:t>BP</w:t>
      </w:r>
      <w:r w:rsidRPr="00E82370">
        <w:t xml:space="preserve"> (0.16 mmHg [95% CLs: –1.62, 1.93; p=0.8637] for macitentan 3 mg, and 0.10 mmHg [95% CLs: –1.69, 1.89;</w:t>
      </w:r>
      <w:r w:rsidR="00503210">
        <w:t xml:space="preserve"> </w:t>
      </w:r>
      <w:r w:rsidRPr="00E82370">
        <w:t>p=0.9138] for macitentan 10</w:t>
      </w:r>
      <w:r w:rsidR="00503210">
        <w:t> </w:t>
      </w:r>
      <w:r w:rsidR="005D4226">
        <w:t>mg).</w:t>
      </w:r>
    </w:p>
    <w:p w:rsidR="00EE38C9" w:rsidRPr="00E82370" w:rsidRDefault="00EE38C9" w:rsidP="005D4226">
      <w:r w:rsidRPr="00E82370">
        <w:t xml:space="preserve">Analyses of the use of macitentan in subjects with hepatic impairment did not raise any increased safety concerns for macitentan in this group of patient population, but the sample size was small. Analyses of the use of macitentan in subjects with severe renal impairment also did not raise any increased safety concerns for macitentan in this group of patient population, except that there were more pronounced decreases in </w:t>
      </w:r>
      <w:r w:rsidR="00D67C70">
        <w:t>BP</w:t>
      </w:r>
      <w:r w:rsidRPr="00E82370">
        <w:t xml:space="preserve"> in these subjects with severe renal impairment compared to healthy subjects (median maximum decreases from baseline in SBP: -22.0 mmHg v</w:t>
      </w:r>
      <w:r>
        <w:t>ersu</w:t>
      </w:r>
      <w:r w:rsidRPr="00E82370">
        <w:t>s -3.0mmHg; DBP: -7.5 mmHg v</w:t>
      </w:r>
      <w:r>
        <w:t>ersu</w:t>
      </w:r>
      <w:r w:rsidRPr="00E82370">
        <w:t xml:space="preserve">s -3.5 mmHg). However, these changes in </w:t>
      </w:r>
      <w:r w:rsidR="00D67C70">
        <w:t>BP</w:t>
      </w:r>
      <w:r w:rsidRPr="00E82370">
        <w:t xml:space="preserve"> were not associated with changes in pulse rate, and were not reported as clinically relevant by the investigator, and this is an adverse effect that is monitorable by routine </w:t>
      </w:r>
      <w:r w:rsidR="00D67C70">
        <w:t>BP</w:t>
      </w:r>
      <w:r w:rsidRPr="00E82370">
        <w:t xml:space="preserve"> measurements. The need for monitoring of </w:t>
      </w:r>
      <w:r w:rsidR="00D67C70">
        <w:t>BP</w:t>
      </w:r>
      <w:r w:rsidRPr="00E82370">
        <w:t xml:space="preserve"> in patients with SRFI has been included as a precaution in</w:t>
      </w:r>
      <w:r>
        <w:t xml:space="preserve"> the proposed PI, stating that ‘</w:t>
      </w:r>
      <w:r w:rsidRPr="00E82370">
        <w:t xml:space="preserve">Patients with severe renal impairment may experience </w:t>
      </w:r>
      <w:r w:rsidR="00D67C70">
        <w:t>BP</w:t>
      </w:r>
      <w:r w:rsidRPr="00E82370">
        <w:t xml:space="preserve"> reduction at treatment initiation and monitoring should be considered</w:t>
      </w:r>
      <w:r>
        <w:t>’</w:t>
      </w:r>
      <w:r w:rsidR="005D4226">
        <w:t>.</w:t>
      </w:r>
    </w:p>
    <w:p w:rsidR="00EE38C9" w:rsidRPr="00E82370" w:rsidRDefault="00EE38C9" w:rsidP="005D4226">
      <w:r w:rsidRPr="00E82370">
        <w:t>With regards to the proposed therapeutic dose of macitentan 10 mg, safety results did not raise any particular concerns with macitentan 10 mg. Overall, the incidences of all-causality AEs, treatment-related AEs, deaths, SAEs, and AEs leading to permanent discontinuation of study drug were comparable between the macitentan dose groups. Although there was a higher risk for occurrence of hypotension-related AEs with macitentan 10 mg compared to 3</w:t>
      </w:r>
      <w:r w:rsidR="00100727">
        <w:t xml:space="preserve"> </w:t>
      </w:r>
      <w:r w:rsidRPr="00E82370">
        <w:t>mg (relative risk ratio versus placebo of 1.36 and 1.59 for macitenta</w:t>
      </w:r>
      <w:r>
        <w:t>n 3 mg and 10 mg</w:t>
      </w:r>
      <w:r w:rsidRPr="00E82370">
        <w:t>), and a higher risk for the occurrence of decreased haemoglobin-related AEs with macitentan 10 mg compared to 3</w:t>
      </w:r>
      <w:r w:rsidR="00100727">
        <w:t xml:space="preserve"> </w:t>
      </w:r>
      <w:r w:rsidRPr="00E82370">
        <w:t>mg (relative risk ratio versus placebo of 2.32 and 3.26</w:t>
      </w:r>
      <w:r>
        <w:t xml:space="preserve"> for macitentan 3 mg and 10 mg</w:t>
      </w:r>
      <w:r w:rsidRPr="00E82370">
        <w:t xml:space="preserve">), evaluation of haemoglobin concentrations and </w:t>
      </w:r>
      <w:r w:rsidR="00D67C70">
        <w:t xml:space="preserve">BP </w:t>
      </w:r>
      <w:r w:rsidRPr="00E82370">
        <w:t>measurements in the pivotal studies did not raise significant safety concerns, as discussed in the preceding paragraphs.</w:t>
      </w:r>
    </w:p>
    <w:p w:rsidR="00B80C4D" w:rsidRPr="005D4226" w:rsidRDefault="00B80C4D" w:rsidP="005D4226">
      <w:pPr>
        <w:pStyle w:val="Heading3"/>
      </w:pPr>
      <w:bookmarkStart w:id="191" w:name="_Toc383684167"/>
      <w:bookmarkStart w:id="192" w:name="_Toc391645287"/>
      <w:r>
        <w:t>First round benefit-risk assessment</w:t>
      </w:r>
      <w:bookmarkEnd w:id="191"/>
      <w:bookmarkEnd w:id="192"/>
    </w:p>
    <w:p w:rsidR="00B80C4D" w:rsidRPr="00285A33" w:rsidRDefault="00B80C4D" w:rsidP="00285A33">
      <w:pPr>
        <w:pStyle w:val="Heading4"/>
      </w:pPr>
      <w:bookmarkStart w:id="193" w:name="_Toc236802592"/>
      <w:bookmarkStart w:id="194" w:name="_Toc241374331"/>
      <w:bookmarkStart w:id="195" w:name="_Ref272160836"/>
      <w:bookmarkStart w:id="196" w:name="_Toc272414693"/>
      <w:bookmarkStart w:id="197" w:name="_Toc290846331"/>
      <w:bookmarkStart w:id="198" w:name="_Toc368037027"/>
      <w:bookmarkStart w:id="199" w:name="_Toc383684168"/>
      <w:r w:rsidRPr="00E82370">
        <w:t>First round assessment of benefits</w:t>
      </w:r>
      <w:bookmarkEnd w:id="193"/>
      <w:bookmarkEnd w:id="194"/>
      <w:bookmarkEnd w:id="195"/>
      <w:bookmarkEnd w:id="196"/>
      <w:bookmarkEnd w:id="197"/>
      <w:bookmarkEnd w:id="198"/>
      <w:bookmarkEnd w:id="199"/>
    </w:p>
    <w:p w:rsidR="00B80C4D" w:rsidRPr="00E82370" w:rsidRDefault="00B80C4D" w:rsidP="00285A33">
      <w:r w:rsidRPr="00E82370">
        <w:t>The benefits of macitentan in the proposed usage are:</w:t>
      </w:r>
    </w:p>
    <w:p w:rsidR="00B80C4D" w:rsidRPr="003F3C8D" w:rsidRDefault="00B80C4D" w:rsidP="00285A33">
      <w:pPr>
        <w:pStyle w:val="ListBullet"/>
      </w:pPr>
      <w:r w:rsidRPr="003F3C8D">
        <w:t xml:space="preserve">Treatment of PAH in terms of </w:t>
      </w:r>
      <w:r w:rsidRPr="00285A33">
        <w:t>potential</w:t>
      </w:r>
      <w:r w:rsidRPr="003F3C8D">
        <w:t xml:space="preserve"> benefits in reducing morbidity/mortality and in symptom relief.</w:t>
      </w:r>
    </w:p>
    <w:p w:rsidR="00B80C4D" w:rsidRPr="00E82370" w:rsidRDefault="00B80C4D" w:rsidP="00285A33">
      <w:r w:rsidRPr="00E82370">
        <w:t>As previously discussed, the proposed therapeutic dose of 10 mg macitentan is appropriate. Hence in the discussion of the benefit-risk assessment, only reference to the m</w:t>
      </w:r>
      <w:r>
        <w:t>a</w:t>
      </w:r>
      <w:r w:rsidRPr="00E82370">
        <w:t>citentan 10 mg dose will be made.</w:t>
      </w:r>
    </w:p>
    <w:p w:rsidR="00B80C4D" w:rsidRPr="00E82370" w:rsidRDefault="00B80C4D" w:rsidP="00285A33">
      <w:pPr>
        <w:rPr>
          <w:rFonts w:cs="Cambria"/>
        </w:rPr>
      </w:pPr>
      <w:r w:rsidRPr="00E82370">
        <w:t xml:space="preserve">Efficacy results in the pivotal </w:t>
      </w:r>
      <w:r>
        <w:t>St</w:t>
      </w:r>
      <w:r w:rsidRPr="00E82370">
        <w:t xml:space="preserve">udy (AC-055-302) showed that there was a statistically significant relative risk reduction of 45% (p&lt;0.0001) with macitentan 10 mg compared to </w:t>
      </w:r>
      <w:r w:rsidRPr="00E82370">
        <w:lastRenderedPageBreak/>
        <w:t>placebo for the occurrence of a morbidity or mortality event (primary endpoint). There was also a statistically significant re</w:t>
      </w:r>
      <w:r w:rsidR="00503210">
        <w:t>lative risk reduction of 50% (p</w:t>
      </w:r>
      <w:r w:rsidRPr="00E82370">
        <w:t>&lt;0.0001) with macitentan 10 mg compared to placebo for the occurrence of</w:t>
      </w:r>
      <w:r w:rsidRPr="00E82370">
        <w:rPr>
          <w:rFonts w:cs="Cambria"/>
        </w:rPr>
        <w:t xml:space="preserve"> death due to PAH or hospitalisation for PAH</w:t>
      </w:r>
      <w:r w:rsidRPr="00E82370">
        <w:t>.</w:t>
      </w:r>
    </w:p>
    <w:p w:rsidR="00B80C4D" w:rsidRPr="00E82370" w:rsidRDefault="00B80C4D" w:rsidP="00285A33">
      <w:r w:rsidRPr="00E82370">
        <w:t>However, further analyses suggested that these observed effects were largely due to risk reduction of morbidity rather than mortality. Competing risks analysis to explore the treatment effect on the morbidity component of the primary endpoint showed that subjects on macitentan 10</w:t>
      </w:r>
      <w:r w:rsidR="00100727">
        <w:t xml:space="preserve"> </w:t>
      </w:r>
      <w:r w:rsidRPr="00E82370">
        <w:t xml:space="preserve">mg had a statistically significantly lower risk of disease worsening than subjects on placebo (p&lt;0.0001), but no statistically significant difference was observed between the macitentan and placebo groups for the risk of death (p=0.79). Analyses of other death-related secondary and exploratory endpoints (time to </w:t>
      </w:r>
      <w:r w:rsidRPr="00E82370">
        <w:rPr>
          <w:rFonts w:cs="Cambria"/>
        </w:rPr>
        <w:t xml:space="preserve">death of all causes up to EOT, </w:t>
      </w:r>
      <w:r w:rsidRPr="00E82370">
        <w:t xml:space="preserve">time to </w:t>
      </w:r>
      <w:r w:rsidRPr="00E82370">
        <w:rPr>
          <w:rFonts w:cs="Cambria"/>
        </w:rPr>
        <w:t xml:space="preserve">death of all causes up to EOS, </w:t>
      </w:r>
      <w:r w:rsidRPr="00E82370">
        <w:t>time to death due to PAH up to EOT, and time to death due to PAH up to EOS) also suggested that macitentan does not increase survival, all yielding results showing that there was no statistically significant difference in relative risk reductions of these mortality endpoints with macitentan 10</w:t>
      </w:r>
      <w:r w:rsidR="00100727">
        <w:t xml:space="preserve"> </w:t>
      </w:r>
      <w:r w:rsidRPr="00E82370">
        <w:t>mg compared to placebo. However, it is noted that the study was not powered for these mortality endpoints.</w:t>
      </w:r>
    </w:p>
    <w:p w:rsidR="00FB51BE" w:rsidRDefault="00B80C4D" w:rsidP="00285A33">
      <w:r w:rsidRPr="00E82370">
        <w:t xml:space="preserve">Analyses of the effect of macitentan on symptom relief in terms of improvements in 6MWD, WHO FC, quality of life, number of hospitalisation days per year (all-cause and PAH-related) and number of hospitalisations per year (all-cause and PAH-related) were all supportive of the beneficial effect of macitentan 10 mg on symptom relief in patients with PAH. Analyses of the effect of macitentan on exercise capacity in terms of the 6MWD showed that after </w:t>
      </w:r>
      <w:r>
        <w:t>six</w:t>
      </w:r>
      <w:r w:rsidRPr="00E82370">
        <w:t xml:space="preserve"> months of treatment, the placebo-corrected mean (SD) and median change from baseline in 6MWD was 22.0 m (92.58) a</w:t>
      </w:r>
      <w:r>
        <w:t xml:space="preserve">nd 15.0 m with macitentan10 mg </w:t>
      </w:r>
      <w:r w:rsidRPr="00E82370">
        <w:t>(p=0.0078). A repeated measures analysis for the change in 6MWD from baseline suggested that this treatment effect of macitentan was sustained over time up to Month 12, and the estimated treatment effect over 12 months compared to placebo was 25.4 m (p&lt;0.0001) with macitentan</w:t>
      </w:r>
      <w:r w:rsidR="005F2F44">
        <w:t xml:space="preserve"> </w:t>
      </w:r>
      <w:r w:rsidR="00285A33">
        <w:t>10 mg.</w:t>
      </w:r>
    </w:p>
    <w:p w:rsidR="00B80C4D" w:rsidRPr="00E82370" w:rsidRDefault="00B80C4D" w:rsidP="00285A33">
      <w:r w:rsidRPr="00E82370">
        <w:t xml:space="preserve">Analyses of the effect of macitentan on symptom relief in terms of improvements in WHO FC from baseline to Month 6 showed that there was a 74% higher chance with macitentan10 mg compared to placebo of WHO FC improvement at Month 6 (p=0.0063). Analyses of the effect of macitentan 10 mg on quality of life showed that there was a statistically significant mean change from baseline (improvement) to Month 6, across all </w:t>
      </w:r>
      <w:r w:rsidRPr="00E82370">
        <w:rPr>
          <w:rFonts w:cs="Cambria"/>
        </w:rPr>
        <w:t xml:space="preserve">SF-36 </w:t>
      </w:r>
      <w:r w:rsidRPr="00E82370">
        <w:t>questionnaire domains with the exception of the general health perception domain. Analyses of pharmacoeconomic endpoints showed that compared to placebo, treatment with macitentan reduced the number of hospitalisation days per year (mean all-cause hospitalisation days per year: 5.7 days with macitentan 10 mg v</w:t>
      </w:r>
      <w:r>
        <w:t>ersus</w:t>
      </w:r>
      <w:r w:rsidRPr="00E82370">
        <w:t xml:space="preserve"> 12.2 days with placebo; mean PAH-related hospitalisation days per year: 3.8 days v</w:t>
      </w:r>
      <w:r>
        <w:t>ersu</w:t>
      </w:r>
      <w:r w:rsidRPr="00E82370">
        <w:t>s 8.3 days) and the number of hospitalisations per year (mean number of all-cause hospitalisations per year: 0.5 v</w:t>
      </w:r>
      <w:r>
        <w:t>ersu</w:t>
      </w:r>
      <w:r w:rsidRPr="00E82370">
        <w:t>s 1.0 with placebo; mean number of PAH-related hospitalisations per year: 0.3 v</w:t>
      </w:r>
      <w:r>
        <w:t>ersu</w:t>
      </w:r>
      <w:r w:rsidRPr="00E82370">
        <w:t>s 0.7).</w:t>
      </w:r>
    </w:p>
    <w:p w:rsidR="00FB51BE" w:rsidRDefault="00B80C4D" w:rsidP="00285A33">
      <w:pPr>
        <w:rPr>
          <w:rFonts w:eastAsia="Times New Roman" w:cs="Arial"/>
          <w:lang w:val="en-US"/>
        </w:rPr>
      </w:pPr>
      <w:r w:rsidRPr="00E82370">
        <w:t>Currently-approved pharmacological treatments for PAH in Australia included ERAs (bosentan, ambrisentan), prostacyclin analogs (epoprostenol, iloprost, treprostinil), and PDE-5 inhibitors (sildenafil, tadalafil)</w:t>
      </w:r>
      <w:r>
        <w:t xml:space="preserve">. </w:t>
      </w:r>
      <w:r w:rsidRPr="00E82370">
        <w:t xml:space="preserve">In terms of posology and ease of administration, only ambrisentan has a comparable dosing regimen of per oral </w:t>
      </w:r>
      <w:r w:rsidR="005F2F44">
        <w:t>one</w:t>
      </w:r>
      <w:r w:rsidRPr="00E82370">
        <w:t xml:space="preserve"> tablet once daily. Hence, the proposed dosing regimen of macitentan of 10 mg (</w:t>
      </w:r>
      <w:r w:rsidR="005F2F44">
        <w:t>one</w:t>
      </w:r>
      <w:r w:rsidRPr="00E82370">
        <w:t xml:space="preserve"> tablet) once daily can offer some benefit in terms of ease of administration. A look at the effect of the currently approved ERAs (bosentan and ambrisentan) on 6MWD showed that the reported placebo-corrected treatment effects were variable, ranging from 31m to 76m. As reported in the Australian PI of bosentan, </w:t>
      </w:r>
      <w:r w:rsidRPr="00E82370">
        <w:rPr>
          <w:rFonts w:eastAsia="Times New Roman" w:cs="Arial"/>
          <w:lang w:val="en-US"/>
        </w:rPr>
        <w:t xml:space="preserve">two randomised, double-blind, multicentre, placebo-controlled trials had been conducted (Studies 352 and 351), where Study 352 included 213 PAH patients, and compared </w:t>
      </w:r>
      <w:r>
        <w:rPr>
          <w:rFonts w:eastAsia="Times New Roman" w:cs="Arial"/>
          <w:lang w:val="en-US"/>
        </w:rPr>
        <w:t>two</w:t>
      </w:r>
      <w:r w:rsidRPr="00E82370">
        <w:rPr>
          <w:rFonts w:eastAsia="Times New Roman" w:cs="Arial"/>
          <w:lang w:val="en-US"/>
        </w:rPr>
        <w:t xml:space="preserve"> doses of bosentan (125 mg twice daily and 250 mg twice </w:t>
      </w:r>
      <w:r w:rsidRPr="00E82370">
        <w:rPr>
          <w:rFonts w:eastAsia="Times New Roman" w:cs="Arial"/>
          <w:lang w:val="en-US"/>
        </w:rPr>
        <w:lastRenderedPageBreak/>
        <w:t>daily) with placebo, while Study 351 included 32 PAH patients, and compared bosentan 125 mg twice daily with placeb</w:t>
      </w:r>
      <w:r w:rsidR="00285A33">
        <w:rPr>
          <w:rFonts w:eastAsia="Times New Roman" w:cs="Arial"/>
          <w:lang w:val="en-US"/>
        </w:rPr>
        <w:t>o.</w:t>
      </w:r>
    </w:p>
    <w:p w:rsidR="00B80C4D" w:rsidRPr="00E82370" w:rsidRDefault="00B80C4D" w:rsidP="00285A33">
      <w:r w:rsidRPr="00E82370">
        <w:rPr>
          <w:rFonts w:eastAsia="Times New Roman"/>
          <w:lang w:val="en-US"/>
        </w:rPr>
        <w:t>Study subjects were of WHO FC III and IV at baseline, and had PAH of the following aetiology:</w:t>
      </w:r>
      <w:r w:rsidRPr="00E82370">
        <w:rPr>
          <w:rFonts w:cs="Cambria"/>
        </w:rPr>
        <w:t xml:space="preserve"> </w:t>
      </w:r>
      <w:r w:rsidRPr="00E82370">
        <w:t>primary pulmonary hypertension (</w:t>
      </w:r>
      <w:r>
        <w:t xml:space="preserve">that is, </w:t>
      </w:r>
      <w:r w:rsidRPr="00E82370">
        <w:t xml:space="preserve">idiopathic PAH) (72%), PAH secondary to scleroderma or other connective tissue diseases (21%), or PAH secondary to autoimmune disease (7%). The mean placebo-corrected treatment effect on 6MWD for bosentan 125 mg twice daily (the recommended therapeutic dose) at </w:t>
      </w:r>
      <w:r>
        <w:t>four</w:t>
      </w:r>
      <w:r w:rsidRPr="00E82370">
        <w:t xml:space="preserve"> months (Study 352) was 35m, while that at </w:t>
      </w:r>
      <w:r>
        <w:t>three</w:t>
      </w:r>
      <w:r w:rsidRPr="00E82370">
        <w:t xml:space="preserve"> months (Study 351) was 76m. With ambrisentan, the </w:t>
      </w:r>
      <w:r>
        <w:t>currently-approved Australian P</w:t>
      </w:r>
      <w:r w:rsidRPr="00E82370">
        <w:t>I reported that</w:t>
      </w:r>
      <w:r w:rsidRPr="00E82370">
        <w:rPr>
          <w:rFonts w:cs="Cambria"/>
        </w:rPr>
        <w:t xml:space="preserve"> </w:t>
      </w:r>
      <w:r w:rsidRPr="00E82370">
        <w:t xml:space="preserve">two randomised, double-blind, multi-centre, placebo-controlled, Phase </w:t>
      </w:r>
      <w:r>
        <w:t>III</w:t>
      </w:r>
      <w:r w:rsidRPr="00E82370">
        <w:t xml:space="preserve"> studies had been conducted (ARIES-1 and 2), where ARIES-1 included 201 </w:t>
      </w:r>
      <w:r>
        <w:t>p</w:t>
      </w:r>
      <w:r w:rsidRPr="00E82370">
        <w:t xml:space="preserve">atients and compared ambrisentan 5 mg and 10 mg once daily with placebo, and ARIES-2 included 192 patients and compared ambrisentan 2.5 mg and 5 mg once daily with placebo. </w:t>
      </w:r>
      <w:r w:rsidRPr="00E82370">
        <w:rPr>
          <w:rFonts w:eastAsia="Times New Roman"/>
          <w:lang w:val="en-US"/>
        </w:rPr>
        <w:t>Study subjects were of WHO FC II (38.4%)</w:t>
      </w:r>
      <w:proofErr w:type="gramStart"/>
      <w:r w:rsidRPr="00E82370">
        <w:rPr>
          <w:rFonts w:eastAsia="Times New Roman"/>
          <w:lang w:val="en-US"/>
        </w:rPr>
        <w:t>,</w:t>
      </w:r>
      <w:proofErr w:type="gramEnd"/>
      <w:r w:rsidRPr="00E82370">
        <w:rPr>
          <w:rFonts w:eastAsia="Times New Roman"/>
          <w:lang w:val="en-US"/>
        </w:rPr>
        <w:t xml:space="preserve"> III (55.0%) and IV (5%) at baseline, and the majority had </w:t>
      </w:r>
      <w:r w:rsidRPr="00E82370">
        <w:t>Idiopathic PAH (64%) and PAH associated with connective tissue disease (32%). The mean placebo-corrected treatment effect on 6MWD for ambrisentan 5</w:t>
      </w:r>
      <w:r w:rsidR="00100727">
        <w:t xml:space="preserve"> </w:t>
      </w:r>
      <w:r w:rsidRPr="00E82370">
        <w:t>mg once daily (the recommended therapeutic dose) at Week 12 was 30.6m in ARIES-1 and 59.4m in ARIES-2.</w:t>
      </w:r>
    </w:p>
    <w:p w:rsidR="00B80C4D" w:rsidRPr="00285A33" w:rsidRDefault="00B80C4D" w:rsidP="00285A33">
      <w:pPr>
        <w:pStyle w:val="Heading4"/>
      </w:pPr>
      <w:bookmarkStart w:id="200" w:name="_Toc236802596"/>
      <w:bookmarkStart w:id="201" w:name="_Toc241374334"/>
      <w:bookmarkStart w:id="202" w:name="_Ref272160964"/>
      <w:bookmarkStart w:id="203" w:name="_Toc272414694"/>
      <w:bookmarkStart w:id="204" w:name="_Toc290846332"/>
      <w:bookmarkStart w:id="205" w:name="_Toc368037028"/>
      <w:bookmarkStart w:id="206" w:name="_Toc383684169"/>
      <w:r w:rsidRPr="00E82370">
        <w:t>First round assessment of risks</w:t>
      </w:r>
      <w:bookmarkEnd w:id="200"/>
      <w:bookmarkEnd w:id="201"/>
      <w:bookmarkEnd w:id="202"/>
      <w:bookmarkEnd w:id="203"/>
      <w:bookmarkEnd w:id="204"/>
      <w:bookmarkEnd w:id="205"/>
      <w:bookmarkEnd w:id="206"/>
    </w:p>
    <w:p w:rsidR="00B80C4D" w:rsidRPr="00E82370" w:rsidRDefault="00B80C4D" w:rsidP="00285A33">
      <w:r w:rsidRPr="00E82370">
        <w:t>The risks of macitentan in the proposed usage are:</w:t>
      </w:r>
    </w:p>
    <w:p w:rsidR="00B80C4D" w:rsidRPr="00E82370" w:rsidRDefault="00B80C4D" w:rsidP="00285A33">
      <w:pPr>
        <w:pStyle w:val="ListBullet"/>
      </w:pPr>
      <w:r w:rsidRPr="00E82370">
        <w:t>Decrease in haemoglobin</w:t>
      </w:r>
    </w:p>
    <w:p w:rsidR="00B80C4D" w:rsidRPr="00E82370" w:rsidRDefault="00B80C4D" w:rsidP="00285A33">
      <w:pPr>
        <w:pStyle w:val="ListBullet"/>
      </w:pPr>
      <w:r w:rsidRPr="00E82370">
        <w:t>Hypotension</w:t>
      </w:r>
    </w:p>
    <w:p w:rsidR="00B80C4D" w:rsidRPr="00E82370" w:rsidRDefault="00B80C4D" w:rsidP="00285A33">
      <w:r w:rsidRPr="00E82370">
        <w:t xml:space="preserve">Safety analyses in the pivotal </w:t>
      </w:r>
      <w:r>
        <w:t>S</w:t>
      </w:r>
      <w:r w:rsidRPr="00E82370">
        <w:t xml:space="preserve">tudy (AC-055-302) showed that the risk for occurrence of decreased haemoglobin-related AEs was 3.3 times higher with macitentan 10 mg compared to with </w:t>
      </w:r>
      <w:proofErr w:type="gramStart"/>
      <w:r w:rsidRPr="00E82370">
        <w:t>placebo,</w:t>
      </w:r>
      <w:proofErr w:type="gramEnd"/>
      <w:r w:rsidRPr="00E82370">
        <w:t xml:space="preserve"> and that for the occurrence of hypotension-related AEs was 1.6 times higher with macitentan 10 mg compared to with placebo.</w:t>
      </w:r>
    </w:p>
    <w:p w:rsidR="00B80C4D" w:rsidRPr="00E82370" w:rsidRDefault="00B80C4D" w:rsidP="00285A33">
      <w:r w:rsidRPr="00E82370">
        <w:t xml:space="preserve">Analyses of haemoglobin levels in the pivotal </w:t>
      </w:r>
      <w:r>
        <w:t>S</w:t>
      </w:r>
      <w:r w:rsidRPr="00E82370">
        <w:t>tudy (AC-055-302) showed that the proportion of subjects with marked haemoglobin decreases (defined as haemoglobin &lt; 11 g/dL and a decrease of at least 15% from baseline) was higher in the macitentan 10 mg group than in the placebo group (13.9% v</w:t>
      </w:r>
      <w:r>
        <w:t>ersu</w:t>
      </w:r>
      <w:r w:rsidRPr="00E82370">
        <w:t xml:space="preserve">s 3.8% with placebo), as was the proportion of subjects with decreases in haemoglobin values to between &gt; 8 g/dL and </w:t>
      </w:r>
      <w:r w:rsidRPr="00E82370">
        <w:rPr>
          <w:rFonts w:cs="Arial"/>
        </w:rPr>
        <w:t>≤</w:t>
      </w:r>
      <w:r w:rsidR="005F2F44">
        <w:rPr>
          <w:rFonts w:cs="Arial"/>
        </w:rPr>
        <w:t xml:space="preserve"> </w:t>
      </w:r>
      <w:r w:rsidRPr="00E82370">
        <w:rPr>
          <w:rFonts w:cs="Cambria"/>
        </w:rPr>
        <w:t xml:space="preserve">10 g/dL at some point during the study period </w:t>
      </w:r>
      <w:r w:rsidRPr="00E82370">
        <w:t>(4.3%</w:t>
      </w:r>
      <w:r>
        <w:t xml:space="preserve"> versus</w:t>
      </w:r>
      <w:r w:rsidRPr="00E82370">
        <w:t xml:space="preserve"> 3.0%), and the proportion of subjects with decreases in haemoglobin values to </w:t>
      </w:r>
      <w:r w:rsidRPr="00E82370">
        <w:rPr>
          <w:rFonts w:cs="Arial"/>
        </w:rPr>
        <w:t>≤</w:t>
      </w:r>
      <w:r w:rsidRPr="00E82370">
        <w:rPr>
          <w:rFonts w:cs="Cambria"/>
        </w:rPr>
        <w:t xml:space="preserve"> 8 g/dL (4.3%</w:t>
      </w:r>
      <w:r w:rsidRPr="00E82370">
        <w:t xml:space="preserve"> v</w:t>
      </w:r>
      <w:r>
        <w:t>ersu</w:t>
      </w:r>
      <w:r w:rsidRPr="00E82370">
        <w:t xml:space="preserve">s 0.4%). However, the proportion of subjects with these marked decreases in haemoglobin was relatively small, and this adverse drug effect is monitorable by routine laboratory assessments. In addition, analyses of the mean change in haemoglobin from baseline over time showed that these decreases in haemoglobin occurred within the first </w:t>
      </w:r>
      <w:r>
        <w:t>three</w:t>
      </w:r>
      <w:r w:rsidRPr="00E82370">
        <w:t xml:space="preserve"> months of starting study treatment, reached a minimum at around Month 3, and thereafter stabilised. The overall estimated treatment effect over 12 months compared to placebo was small (–1.07 g/dL [95% CLs: –1.31, –0.84; p&lt;0.0001]). Analyses of the mean change in haemoglobin from baseline over time in </w:t>
      </w:r>
      <w:r>
        <w:t>S</w:t>
      </w:r>
      <w:r w:rsidRPr="00E82370">
        <w:t>tudies AC-055-201 and AC-0</w:t>
      </w:r>
      <w:r w:rsidR="00285A33">
        <w:t>55B201 yielded similar results.</w:t>
      </w:r>
    </w:p>
    <w:p w:rsidR="00B80C4D" w:rsidRPr="00E82370" w:rsidRDefault="00B80C4D" w:rsidP="00285A33">
      <w:r w:rsidRPr="00E82370">
        <w:t xml:space="preserve">Analyses of </w:t>
      </w:r>
      <w:r w:rsidR="00D67C70">
        <w:t>BP</w:t>
      </w:r>
      <w:r w:rsidRPr="00E82370">
        <w:t xml:space="preserve"> readings in the pivotal </w:t>
      </w:r>
      <w:r>
        <w:t>S</w:t>
      </w:r>
      <w:r w:rsidRPr="00E82370">
        <w:t xml:space="preserve">tudy (AC-055-302) showed that mean changes in </w:t>
      </w:r>
      <w:r w:rsidR="00D67C70">
        <w:t>BP</w:t>
      </w:r>
      <w:r w:rsidRPr="00E82370">
        <w:t xml:space="preserve"> from baseline up to 28 days after treatment discontinuation were small and comparable between macitentan 10 mg and placebo (mean change from baseline in SBP of -2.4 mmHg with macitentan 10</w:t>
      </w:r>
      <w:r w:rsidR="00100727">
        <w:t xml:space="preserve"> </w:t>
      </w:r>
      <w:r w:rsidRPr="00E82370">
        <w:t>mg v</w:t>
      </w:r>
      <w:r>
        <w:t>ersu</w:t>
      </w:r>
      <w:r w:rsidRPr="00E82370">
        <w:t>s -2.7 mmHg with placebo; mean change from baseline in DBP of -4.2 mmHg v</w:t>
      </w:r>
      <w:r>
        <w:t>ersu</w:t>
      </w:r>
      <w:r w:rsidRPr="00E82370">
        <w:t>s -2.8 mmHg). Repeated measures analysis of the change from baseline in SBP showed that the estimated treatment effect of macitentan 10</w:t>
      </w:r>
      <w:r w:rsidR="00100727">
        <w:t> </w:t>
      </w:r>
      <w:r w:rsidRPr="00E82370">
        <w:t xml:space="preserve">mg over 12 months compared to placebo was small and showed a relative increase rather than decrease in </w:t>
      </w:r>
      <w:r w:rsidR="00D67C70">
        <w:t>BP</w:t>
      </w:r>
      <w:r w:rsidRPr="00E82370">
        <w:t xml:space="preserve"> (0.1</w:t>
      </w:r>
      <w:r w:rsidR="005F2F44">
        <w:t>0 mmHg [95% CLs: –1.69, 1.89; p</w:t>
      </w:r>
      <w:r w:rsidRPr="00E82370">
        <w:t>=0.9138]). Safety results of</w:t>
      </w:r>
      <w:r>
        <w:t xml:space="preserve"> S</w:t>
      </w:r>
      <w:r w:rsidRPr="00E82370">
        <w:t xml:space="preserve">tudy AC-055-112, which studied the effect of macitentan 10 mg in patients with severe </w:t>
      </w:r>
      <w:r w:rsidRPr="00E82370">
        <w:lastRenderedPageBreak/>
        <w:t xml:space="preserve">renal impairment, showed that there were more pronounced decreases in </w:t>
      </w:r>
      <w:r w:rsidR="00D67C70">
        <w:t>BP</w:t>
      </w:r>
      <w:r w:rsidRPr="00E82370">
        <w:t xml:space="preserve"> in these subjects with severe renal impairment compared to healthy subjects (median maximum decreases</w:t>
      </w:r>
      <w:r>
        <w:t xml:space="preserve"> from baseline in SBP: -22 </w:t>
      </w:r>
      <w:r w:rsidRPr="00E82370">
        <w:t>mmHg v</w:t>
      </w:r>
      <w:r>
        <w:t>ersus</w:t>
      </w:r>
      <w:r w:rsidRPr="00E82370">
        <w:t xml:space="preserve"> -3.0mmHg; DBP: -7.5 mmHg v</w:t>
      </w:r>
      <w:r>
        <w:t>ersu</w:t>
      </w:r>
      <w:r w:rsidRPr="00E82370">
        <w:t xml:space="preserve">s -3.5 mmHg). However, these changes in </w:t>
      </w:r>
      <w:r w:rsidR="00D67C70">
        <w:t>BP</w:t>
      </w:r>
      <w:r w:rsidRPr="00E82370">
        <w:t xml:space="preserve"> were not reported as clinically relevant by the investigator, and this is an adverse effect that is monitorable by routine </w:t>
      </w:r>
      <w:r w:rsidR="00D67C70">
        <w:t>BP</w:t>
      </w:r>
      <w:r w:rsidR="00285A33">
        <w:t xml:space="preserve"> measurements.</w:t>
      </w:r>
    </w:p>
    <w:p w:rsidR="000B64D3" w:rsidRPr="00285A33" w:rsidRDefault="000B64D3" w:rsidP="00285A33">
      <w:pPr>
        <w:pStyle w:val="Heading4"/>
      </w:pPr>
      <w:bookmarkStart w:id="207" w:name="_Toc236802597"/>
      <w:bookmarkStart w:id="208" w:name="_Toc241374335"/>
      <w:bookmarkStart w:id="209" w:name="_Toc272414695"/>
      <w:bookmarkStart w:id="210" w:name="_Toc290846333"/>
      <w:bookmarkStart w:id="211" w:name="_Toc368037029"/>
      <w:bookmarkStart w:id="212" w:name="_Toc383684170"/>
      <w:r w:rsidRPr="00E82370">
        <w:t>First round assessment of benefit-risk balance</w:t>
      </w:r>
      <w:bookmarkEnd w:id="207"/>
      <w:bookmarkEnd w:id="208"/>
      <w:bookmarkEnd w:id="209"/>
      <w:bookmarkEnd w:id="210"/>
      <w:bookmarkEnd w:id="211"/>
      <w:bookmarkEnd w:id="212"/>
    </w:p>
    <w:p w:rsidR="000B64D3" w:rsidRPr="00E82370" w:rsidRDefault="000B64D3" w:rsidP="00285A33">
      <w:r w:rsidRPr="00E82370">
        <w:t>The benefit-risk balance of macitentan, given the proposed usage, is favourable.</w:t>
      </w:r>
    </w:p>
    <w:p w:rsidR="000B64D3" w:rsidRPr="00E82370" w:rsidRDefault="000B64D3" w:rsidP="000B64D3">
      <w:pPr>
        <w:autoSpaceDE w:val="0"/>
        <w:autoSpaceDN w:val="0"/>
        <w:adjustRightInd w:val="0"/>
      </w:pPr>
      <w:r w:rsidRPr="00E82370">
        <w:t xml:space="preserve">Efficacy results showed relative risk reduction for occurrence of combined mortality or morbidity events as well as effect on symptomatic relief in terms of improvements in 6MWD, WHO FC, quality of life, number of hospitalisation days per year (all-cause and PAH-related) and number of hospitalisations per year (all-cause and PAH-related). Although analyses in the pivotal study on mortality endpoints suggested that the use of macitentan 10 mg did not improve survival, the study had not been powered for survival analyses. Safety results raised concerns only with respect to decreases in haemoglobin and to decreases in systemic </w:t>
      </w:r>
      <w:r w:rsidR="00D67C70">
        <w:t>BP</w:t>
      </w:r>
      <w:r w:rsidRPr="00E82370">
        <w:t xml:space="preserve"> especially in patients with severe renal impairment. However, the decreases in haemoglobin </w:t>
      </w:r>
      <w:r>
        <w:t>appeared to occur in the first three</w:t>
      </w:r>
      <w:r w:rsidRPr="00E82370">
        <w:t xml:space="preserve"> months of administration and thereafter stabilised. It is also an adverse effect that </w:t>
      </w:r>
      <w:r w:rsidR="00E12556">
        <w:t>can be monitored</w:t>
      </w:r>
      <w:r w:rsidRPr="00E82370">
        <w:t xml:space="preserve"> by routine laboratory assessments. With macitentan 10 mg, there were more pronounced decreases in </w:t>
      </w:r>
      <w:r w:rsidR="00D67C70">
        <w:t>BP</w:t>
      </w:r>
      <w:r w:rsidRPr="00E82370">
        <w:t xml:space="preserve"> in subjects with severe renal impairment compared to healthy subjects, but this is an adverse effect that is monitorable by routine </w:t>
      </w:r>
      <w:r w:rsidR="00D67C70">
        <w:t>BP</w:t>
      </w:r>
      <w:r w:rsidR="00285A33">
        <w:t xml:space="preserve"> measurements.</w:t>
      </w:r>
    </w:p>
    <w:p w:rsidR="000B64D3" w:rsidRPr="00E82370" w:rsidRDefault="000B64D3" w:rsidP="00285A33">
      <w:r w:rsidRPr="00E82370">
        <w:t>The proposed indication for macitentan, as stated in the proposed PI, is</w:t>
      </w:r>
      <w:r>
        <w:t xml:space="preserve"> ‘</w:t>
      </w:r>
      <w:r w:rsidRPr="00E82370">
        <w:t>for the long-term treatment of PAH in patients of WHO FC II to IV to reduce morbidity and mortality. O</w:t>
      </w:r>
      <w:r>
        <w:t>psumit</w:t>
      </w:r>
      <w:r w:rsidRPr="00E82370">
        <w:t xml:space="preserve"> is effective when used as monotherapy or in combination with </w:t>
      </w:r>
      <w:r w:rsidR="00F55ED2">
        <w:t>PDE-5</w:t>
      </w:r>
      <w:r w:rsidRPr="00E82370">
        <w:t xml:space="preserve"> inhibitors or inhaled prostanoids</w:t>
      </w:r>
      <w:r>
        <w:t>’</w:t>
      </w:r>
      <w:r w:rsidRPr="00E82370">
        <w:t>. The proposed indication for use in PAH patients of WHO FC ranging from II to IV is appropriate. Although the majority of subjects in the pivotal study were of WHO FC II (52.4%) and III (45.6%), with only 1.9% (14/739) in WHO FC IV, this reflects the composition of the target patient population in clinical practice. Subgroup analyses of the efficacy and safety endpoints in this small group of patients with baseline WHO FC IV would not have been viable in view of the very small sample size. The sponsor had performed subgroup analyses based on subgroups of baseline WHO FC I or II versus III or IV, and efficacy and safety results were generally consistent with that of the overall study population</w:t>
      </w:r>
      <w:r>
        <w:t>.</w:t>
      </w:r>
    </w:p>
    <w:p w:rsidR="000B64D3" w:rsidRPr="00E82370" w:rsidRDefault="000B64D3" w:rsidP="00285A33">
      <w:r w:rsidRPr="00E82370">
        <w:t>With regards to use of macitentan alone or as add-on therapy to PDE-5 inhibitors and prostanoids, the efficacy and safety results of the pivotal study showed that results in the subgroup of subjects with or without concomitant PAH therapy were consistent with those of the overall population. In this study 64% of subjects had concomitant PAH therapy at baseline, the majority of which were PDE-5 inhibitors (taken by 61.3% of overall study subjects [sildenafil 57.6%, tadalafil 0.9%, vardenafil 2.8%]), and the remaining were prostanoids (taken by 5.6% of overall study subjects [iloprost 3.5%, beraprost 2.0%, treprostinil 0.1%]</w:t>
      </w:r>
      <w:r w:rsidRPr="00E82370">
        <w:rPr>
          <w:rStyle w:val="FootnoteReference"/>
        </w:rPr>
        <w:footnoteReference w:id="14"/>
      </w:r>
      <w:r w:rsidRPr="00E82370">
        <w:t>). Subgroup analyses of the primary efficacy endpoint showed a consistent treatment effect versus placebo across both subgroups (with and without concomitant PAH therapy at baseline) with the 10 mg macitentan dose (hazard ratios versus placebo of 0.547 [97.5% CLs 0.392, 0.762], 0.62 [95% CLs: 0.43, 0.89] and 0.45 [95% CLs: 0.28, 0.72] in the overall study population, and in subgroups with and without concomitant PAH therapy at baseline). Subgroup analysis of safety results by concomitant PAH therapy at baseline (yes v</w:t>
      </w:r>
      <w:r>
        <w:t>ersu</w:t>
      </w:r>
      <w:r w:rsidRPr="00E82370">
        <w:t>s no) yielded results consistent with that of the overall study population.</w:t>
      </w:r>
    </w:p>
    <w:p w:rsidR="000B64D3" w:rsidRPr="00E82370" w:rsidRDefault="000B64D3" w:rsidP="00285A33">
      <w:r w:rsidRPr="00E82370">
        <w:lastRenderedPageBreak/>
        <w:t>With regards to use in paediatric population, the sample size of adolescent subjects (12 to &lt; 18 years old) in the pivotal study was very small (N=20). Subgroup analyses by age group of the primary efficacy endpoint and of safety data yielded results which were generally consistent with those in the overall study population</w:t>
      </w:r>
      <w:r w:rsidRPr="00A900FE">
        <w:t>,</w:t>
      </w:r>
      <w:r w:rsidRPr="00E82370">
        <w:t xml:space="preserve"> although the small sample size makes robust conclusions on the efficacy and safety of macitentan in this group of adolescent subjects difficult. A look through the currently-approved pharmacological treatments for PAH in Australia showed that only bosentan and </w:t>
      </w:r>
      <w:r w:rsidRPr="00E82370">
        <w:rPr>
          <w:rFonts w:cs="Cambria"/>
        </w:rPr>
        <w:t>treprostinil (restricted to age ≥ 16 years)</w:t>
      </w:r>
      <w:r w:rsidRPr="00E82370">
        <w:t xml:space="preserve"> are approved for use in paediatric patients, with a per oral twice daily maintenance dosing regimen for bosentan, and </w:t>
      </w:r>
      <w:r w:rsidR="00223C49">
        <w:t>SC</w:t>
      </w:r>
      <w:r w:rsidRPr="00E82370">
        <w:t xml:space="preserve"> infusion posology for </w:t>
      </w:r>
      <w:r w:rsidRPr="00E82370">
        <w:rPr>
          <w:rFonts w:cs="Cambria"/>
        </w:rPr>
        <w:t>treprostinil</w:t>
      </w:r>
      <w:r w:rsidRPr="00E82370">
        <w:t>. The evaluator does not have the information for the basis of approval in paediatric population for bosentan, but the Australian PI for bosentan stated that one open-label non-controlled study has been conducted in 19 paediatric patients with PAH. Given that no major safety issues have been observed in the paediatric subjects in the pivotal study for macitentan, it is considered that the use of macitentan in paediatric PAH patients aged 12 and above can be approved, but that the limited experience in paediatric patients should be clearly stated in the PI. In addition, it is noted that the lower limit of the weight range of subjects in the pivotal study was 36.8kg. Hence, it is recommended that a criterion of body weight ≥ 40kg be stated in the PI in addition to the age criterion of ≥ 12 years.</w:t>
      </w:r>
    </w:p>
    <w:p w:rsidR="000B64D3" w:rsidRPr="00285A33" w:rsidRDefault="000B64D3" w:rsidP="00285A33">
      <w:pPr>
        <w:pStyle w:val="Heading3"/>
      </w:pPr>
      <w:bookmarkStart w:id="213" w:name="_Toc383684171"/>
      <w:bookmarkStart w:id="214" w:name="_Toc391645288"/>
      <w:r>
        <w:t>First round recommendation regarding authorisation</w:t>
      </w:r>
      <w:bookmarkEnd w:id="213"/>
      <w:bookmarkEnd w:id="214"/>
    </w:p>
    <w:p w:rsidR="000B64D3" w:rsidRPr="00E82370" w:rsidRDefault="000B64D3" w:rsidP="00285A33">
      <w:r w:rsidRPr="00E82370">
        <w:t xml:space="preserve">It is recommended that the application for the registration of macitentan for the long-term treatment of </w:t>
      </w:r>
      <w:r w:rsidR="00D32A10">
        <w:t>PAH</w:t>
      </w:r>
      <w:r w:rsidRPr="00E82370">
        <w:t xml:space="preserve"> in patients of WHO FC II to IV be approved. </w:t>
      </w:r>
      <w:r w:rsidRPr="00E82370">
        <w:rPr>
          <w:bCs/>
        </w:rPr>
        <w:t xml:space="preserve">This is </w:t>
      </w:r>
      <w:r w:rsidRPr="00E82370">
        <w:t xml:space="preserve">subject to a satisfactory response </w:t>
      </w:r>
      <w:r>
        <w:t>from the sponsor in reply to the TGA’s request for further information.</w:t>
      </w:r>
    </w:p>
    <w:p w:rsidR="008E7846" w:rsidRPr="00285A33" w:rsidRDefault="000B64D3" w:rsidP="00285A33">
      <w:pPr>
        <w:pStyle w:val="Heading3"/>
      </w:pPr>
      <w:bookmarkStart w:id="215" w:name="_Toc255919423"/>
      <w:bookmarkStart w:id="216" w:name="_Toc241374329"/>
      <w:bookmarkStart w:id="217" w:name="_Toc270320087"/>
      <w:bookmarkStart w:id="218" w:name="_Toc314842506"/>
      <w:bookmarkStart w:id="219" w:name="_Toc163441387"/>
      <w:bookmarkStart w:id="220" w:name="_Toc391645289"/>
      <w:bookmarkEnd w:id="162"/>
      <w:bookmarkEnd w:id="163"/>
      <w:bookmarkEnd w:id="164"/>
      <w:r>
        <w:t xml:space="preserve">Clinical </w:t>
      </w:r>
      <w:r w:rsidR="008E7846">
        <w:t>questions</w:t>
      </w:r>
      <w:bookmarkEnd w:id="215"/>
      <w:bookmarkEnd w:id="216"/>
      <w:bookmarkEnd w:id="217"/>
      <w:bookmarkEnd w:id="218"/>
      <w:bookmarkEnd w:id="220"/>
    </w:p>
    <w:p w:rsidR="00F14773" w:rsidRPr="00285A33" w:rsidRDefault="00F14773" w:rsidP="00285A33">
      <w:pPr>
        <w:pStyle w:val="Heading4"/>
      </w:pPr>
      <w:bookmarkStart w:id="221" w:name="_Toc272414704"/>
      <w:bookmarkStart w:id="222" w:name="_Toc290846344"/>
      <w:bookmarkStart w:id="223" w:name="_Toc368037036"/>
      <w:bookmarkStart w:id="224" w:name="_Toc383684173"/>
      <w:bookmarkStart w:id="225" w:name="_Toc247691523"/>
      <w:bookmarkStart w:id="226" w:name="_Toc314842507"/>
      <w:bookmarkStart w:id="227" w:name="_Toc184440295"/>
      <w:bookmarkStart w:id="228" w:name="_Toc184444673"/>
      <w:bookmarkStart w:id="229" w:name="_Toc196046503"/>
      <w:bookmarkEnd w:id="219"/>
      <w:r w:rsidRPr="00E82370">
        <w:t>Efficacy</w:t>
      </w:r>
      <w:bookmarkEnd w:id="221"/>
      <w:bookmarkEnd w:id="222"/>
      <w:bookmarkEnd w:id="223"/>
      <w:bookmarkEnd w:id="224"/>
    </w:p>
    <w:p w:rsidR="00F14773" w:rsidRPr="00406510" w:rsidRDefault="00F14773" w:rsidP="00285A33">
      <w:pPr>
        <w:pStyle w:val="Numberbullet0"/>
      </w:pPr>
      <w:r w:rsidRPr="00406510">
        <w:t xml:space="preserve">Please clarify </w:t>
      </w:r>
      <w:r w:rsidRPr="00285A33">
        <w:t>regarding</w:t>
      </w:r>
      <w:r w:rsidRPr="00406510">
        <w:t xml:space="preserve"> the information presented in Tab</w:t>
      </w:r>
      <w:r w:rsidR="00513D57">
        <w:t>le 7 on page 83 of the CSR for S</w:t>
      </w:r>
      <w:r w:rsidRPr="00406510">
        <w:t>tudy AC-055-302 being inconsistent with the description of the statistical methods given in Section 9.7.2 of the CSR.</w:t>
      </w:r>
    </w:p>
    <w:p w:rsidR="00F14773" w:rsidRPr="00E82370" w:rsidRDefault="00F14773" w:rsidP="00285A33">
      <w:r w:rsidRPr="00E82370">
        <w:t>Rationale for question:</w:t>
      </w:r>
    </w:p>
    <w:p w:rsidR="00F14773" w:rsidRPr="00E82370" w:rsidRDefault="0007068D" w:rsidP="00F14773">
      <w:r>
        <w:t>I</w:t>
      </w:r>
      <w:r w:rsidR="00F14773" w:rsidRPr="00E82370">
        <w:t xml:space="preserve">n describing the statistical methods for </w:t>
      </w:r>
      <w:r w:rsidR="00F14773">
        <w:t>S</w:t>
      </w:r>
      <w:r w:rsidR="00F14773" w:rsidRPr="00E82370">
        <w:t xml:space="preserve">tudy AC-055-302, the </w:t>
      </w:r>
      <w:r w:rsidR="00F14773">
        <w:t xml:space="preserve">sponsor had presented a table </w:t>
      </w:r>
      <w:r w:rsidR="00F14773" w:rsidRPr="00E82370">
        <w:t>in which the information presented is inconsistent with the description of the statistical methods.</w:t>
      </w:r>
      <w:r w:rsidR="00F14773" w:rsidRPr="00E82370">
        <w:rPr>
          <w:i/>
        </w:rPr>
        <w:t xml:space="preserve"> </w:t>
      </w:r>
      <w:r w:rsidR="00F14773" w:rsidRPr="00E82370">
        <w:t>The source of this table was traced, leading the evaluator to a table in the St</w:t>
      </w:r>
      <w:r w:rsidR="00F14773">
        <w:t xml:space="preserve">atistical Analysis Plan (SAP) </w:t>
      </w:r>
      <w:r w:rsidR="00F14773" w:rsidRPr="00E82370">
        <w:t xml:space="preserve">which is different from the table presented in the body of the CSR but consistent with the statistical methods described in the body of the CSR. </w:t>
      </w:r>
      <w:r>
        <w:t>(</w:t>
      </w:r>
      <w:r w:rsidR="00F14773" w:rsidRPr="00E82370">
        <w:t xml:space="preserve">This table </w:t>
      </w:r>
      <w:r>
        <w:t>i</w:t>
      </w:r>
      <w:r w:rsidR="00F14773" w:rsidRPr="00E82370">
        <w:t xml:space="preserve">s presented </w:t>
      </w:r>
      <w:r>
        <w:t>as</w:t>
      </w:r>
      <w:r w:rsidR="00F14773" w:rsidRPr="00E82370">
        <w:t xml:space="preserve"> Table </w:t>
      </w:r>
      <w:r w:rsidR="00F14773">
        <w:t xml:space="preserve">29 of </w:t>
      </w:r>
      <w:r>
        <w:t>Attachment 2)</w:t>
      </w:r>
      <w:r w:rsidR="00F14773" w:rsidRPr="00E82370">
        <w:t>. The evaluator assumed that there was a typographical error in the table on page 83 of the body of the CSR, but this needs to</w:t>
      </w:r>
      <w:r w:rsidR="00285A33">
        <w:t xml:space="preserve"> be clarified with the sponsor.</w:t>
      </w:r>
    </w:p>
    <w:p w:rsidR="00F14773" w:rsidRPr="00E82370" w:rsidRDefault="00F14773" w:rsidP="00285A33">
      <w:pPr>
        <w:pStyle w:val="Numberbullet0"/>
      </w:pPr>
      <w:r w:rsidRPr="00E82370">
        <w:t>Please provide a breakdown of the relative proportion of subjects who had provided primary efficacy endpoint data at the Week 2, Week 4 and Week 8 time</w:t>
      </w:r>
      <w:r w:rsidR="008F5398">
        <w:t>-</w:t>
      </w:r>
      <w:r w:rsidRPr="00E82370">
        <w:t xml:space="preserve">points in Study AC-055-201, as well as an explanation of how the </w:t>
      </w:r>
      <w:r>
        <w:t>four</w:t>
      </w:r>
      <w:r w:rsidRPr="00E82370">
        <w:t xml:space="preserve">, </w:t>
      </w:r>
      <w:r>
        <w:t>eight</w:t>
      </w:r>
      <w:r w:rsidRPr="00E82370">
        <w:t xml:space="preserve"> and 10-week cohorts were defined in this study.</w:t>
      </w:r>
    </w:p>
    <w:p w:rsidR="00F14773" w:rsidRPr="00E82370" w:rsidRDefault="00F14773" w:rsidP="00285A33">
      <w:r w:rsidRPr="00E82370">
        <w:t>Rationale for question:</w:t>
      </w:r>
    </w:p>
    <w:p w:rsidR="00F14773" w:rsidRPr="00E82370" w:rsidRDefault="008F5398" w:rsidP="00285A33">
      <w:r>
        <w:t>I</w:t>
      </w:r>
      <w:r w:rsidR="00F14773" w:rsidRPr="00E82370">
        <w:t xml:space="preserve">t </w:t>
      </w:r>
      <w:r>
        <w:t>was</w:t>
      </w:r>
      <w:r w:rsidR="00F14773" w:rsidRPr="00E82370">
        <w:t xml:space="preserve"> noted that due to the early termination</w:t>
      </w:r>
      <w:r w:rsidR="00F14773">
        <w:t xml:space="preserve"> of S</w:t>
      </w:r>
      <w:r w:rsidR="00F14773" w:rsidRPr="00E82370">
        <w:t xml:space="preserve">tudy AC-055-201, only approximately half of the randomised subjects (54.4%; 206/379) completed the </w:t>
      </w:r>
      <w:r w:rsidR="00F14773">
        <w:t xml:space="preserve">eight </w:t>
      </w:r>
      <w:r w:rsidR="00F14773" w:rsidRPr="00E82370">
        <w:t xml:space="preserve">week randomised treatment. In analysing the primary efficacy endpoint, in the case of a missing value at Week 8, the last available value assessed ≥ Week 2 of Period II, was carried forward. </w:t>
      </w:r>
      <w:r w:rsidR="00F14773" w:rsidRPr="00E82370">
        <w:lastRenderedPageBreak/>
        <w:t>Analyses of the primary efficacy endpoint showed that there was statistically significantly greater reduction in trough SiDBP from baseline to Week 8 compared to placebo for the macitentan 10 mg group (mean change from baseline of -11.8 mmHg v</w:t>
      </w:r>
      <w:r w:rsidR="00F14773">
        <w:t>ersu</w:t>
      </w:r>
      <w:r w:rsidR="00F14773" w:rsidRPr="00E82370">
        <w:t>s -7.9 mmHg, p=0.0089). However, due to the early termination and the imputation method, this result was in effect an assessment of reduction in trough SiDBP from baseline to a post-baseline time</w:t>
      </w:r>
      <w:r>
        <w:t>-</w:t>
      </w:r>
      <w:r w:rsidR="00F14773" w:rsidRPr="00E82370">
        <w:t>point that ranged from Week 2 to Week 8. The sponsor did not provide a breakdown of the relative proportion</w:t>
      </w:r>
      <w:r w:rsidR="00F14773">
        <w:t>s</w:t>
      </w:r>
      <w:r w:rsidR="00F14773" w:rsidRPr="00E82370">
        <w:t xml:space="preserve"> of subjects who had provided this data at the Week 2, Week 4 and Week 8 time</w:t>
      </w:r>
      <w:r>
        <w:t>-</w:t>
      </w:r>
      <w:r w:rsidR="00285A33">
        <w:t>points.</w:t>
      </w:r>
    </w:p>
    <w:p w:rsidR="00F14773" w:rsidRPr="00E82370" w:rsidRDefault="00F14773" w:rsidP="00285A33">
      <w:r w:rsidRPr="00E82370">
        <w:t xml:space="preserve">It was noted that exploratory analyses of the absolute change from baseline in SiDBP for the </w:t>
      </w:r>
      <w:r>
        <w:t>four; eight and 1</w:t>
      </w:r>
      <w:r w:rsidRPr="00E82370">
        <w:t xml:space="preserve">0-week cohorts were performed, and results showed that the treatment effect of macitentan on the primary endpoint was reached at </w:t>
      </w:r>
      <w:r>
        <w:t>four</w:t>
      </w:r>
      <w:r w:rsidRPr="00E82370">
        <w:t xml:space="preserve"> weeks and then sustained until Week 8. However, the sponsor did not pro</w:t>
      </w:r>
      <w:r>
        <w:t>vide an explanation of how the four</w:t>
      </w:r>
      <w:r w:rsidRPr="00E82370">
        <w:t>,</w:t>
      </w:r>
      <w:r>
        <w:t xml:space="preserve"> eight</w:t>
      </w:r>
      <w:r w:rsidRPr="00E82370">
        <w:t xml:space="preserve"> and 10-week cohorts were defined in the statistical methods section of the C</w:t>
      </w:r>
      <w:r w:rsidR="00285A33">
        <w:t>SR.</w:t>
      </w:r>
    </w:p>
    <w:p w:rsidR="00F14773" w:rsidRPr="00E82370" w:rsidRDefault="00F14773" w:rsidP="00285A33">
      <w:pPr>
        <w:pStyle w:val="Heading4"/>
      </w:pPr>
      <w:bookmarkStart w:id="230" w:name="_Toc368037037"/>
      <w:bookmarkStart w:id="231" w:name="_Toc383684174"/>
      <w:r w:rsidRPr="00285A33">
        <w:t>Safety</w:t>
      </w:r>
      <w:bookmarkEnd w:id="230"/>
      <w:bookmarkEnd w:id="231"/>
    </w:p>
    <w:p w:rsidR="00F14773" w:rsidRPr="00E82370" w:rsidRDefault="00F14773" w:rsidP="00285A33">
      <w:pPr>
        <w:pStyle w:val="Numberbullet0"/>
        <w:numPr>
          <w:ilvl w:val="0"/>
          <w:numId w:val="6"/>
        </w:numPr>
      </w:pPr>
      <w:r w:rsidRPr="00E82370">
        <w:t>Please provide references to support the clinical relevance threshold of 30% reduction in sperm concentration indicated in Study AC-055-113</w:t>
      </w:r>
    </w:p>
    <w:p w:rsidR="00F14773" w:rsidRPr="00E82370" w:rsidRDefault="00F14773" w:rsidP="00285A33">
      <w:r w:rsidRPr="00E82370">
        <w:t>Rationale for question:</w:t>
      </w:r>
    </w:p>
    <w:p w:rsidR="00F14773" w:rsidRDefault="008F5398" w:rsidP="00285A33">
      <w:r>
        <w:t>In Stud</w:t>
      </w:r>
      <w:r w:rsidR="00F14773" w:rsidRPr="00E82370">
        <w:t>y AC-055-113, analysis of the change in sperm concentration from baseline to Week 12 between subjects who received only macitentan (10 mg once daily; n=14) and those who received only placebo (n=11) during the 12-week treatment period, yielded a geometric mean ratio (macitentan v</w:t>
      </w:r>
      <w:r w:rsidR="00F14773">
        <w:t>ersus</w:t>
      </w:r>
      <w:r w:rsidR="00F14773" w:rsidRPr="00E82370">
        <w:t xml:space="preserve"> placebo) of 0.724 (90% CI: 0.47, 1.12; p=0.2173), corresponding to a 28% mean reduction in sperm concentration with macitentan. According to the sponsor, the acceptable mean reduction range for no clinically relevant treatment effect was 30%. However, the sponsor had not indicated any references to support the clinical relevance threshold of 30% re</w:t>
      </w:r>
      <w:r w:rsidR="00285A33">
        <w:t>duction in sperm concentration.</w:t>
      </w:r>
    </w:p>
    <w:p w:rsidR="007D16E2" w:rsidRDefault="007D16E2" w:rsidP="00285A33">
      <w:pPr>
        <w:pStyle w:val="Heading2"/>
      </w:pPr>
      <w:bookmarkStart w:id="232" w:name="_Toc383684175"/>
      <w:bookmarkStart w:id="233" w:name="_Toc391645290"/>
      <w:r>
        <w:t xml:space="preserve">Second </w:t>
      </w:r>
      <w:r w:rsidRPr="00285A33">
        <w:t>round</w:t>
      </w:r>
      <w:r>
        <w:t xml:space="preserve"> evaluation of clinical data submitted in response to questions</w:t>
      </w:r>
      <w:bookmarkEnd w:id="232"/>
      <w:bookmarkEnd w:id="233"/>
    </w:p>
    <w:p w:rsidR="007D16E2" w:rsidRPr="00FF0E19" w:rsidRDefault="007D16E2" w:rsidP="0064650C">
      <w:r>
        <w:t>Overall, the sponsor has adequately addressed all the questions posed in the first round of evaluation. In this section on the evaluation of the sponsor’s responses to the questions posed in the first round of evaluation, each question will be re-stated for ease of reference, followed by the evaluation.</w:t>
      </w:r>
    </w:p>
    <w:p w:rsidR="007D16E2" w:rsidRPr="0064650C" w:rsidRDefault="007D16E2" w:rsidP="0064650C">
      <w:pPr>
        <w:rPr>
          <w:b/>
        </w:rPr>
      </w:pPr>
      <w:r w:rsidRPr="0064650C">
        <w:rPr>
          <w:b/>
        </w:rPr>
        <w:t xml:space="preserve">Efficacy </w:t>
      </w:r>
      <w:r w:rsidR="0064650C">
        <w:rPr>
          <w:b/>
        </w:rPr>
        <w:t>Q</w:t>
      </w:r>
      <w:r w:rsidRPr="0064650C">
        <w:rPr>
          <w:b/>
        </w:rPr>
        <w:t>uestion 1:</w:t>
      </w:r>
    </w:p>
    <w:p w:rsidR="007D16E2" w:rsidRPr="0064650C" w:rsidRDefault="007D16E2" w:rsidP="0064650C">
      <w:pPr>
        <w:rPr>
          <w:i/>
        </w:rPr>
      </w:pPr>
      <w:r w:rsidRPr="0064650C">
        <w:rPr>
          <w:i/>
        </w:rPr>
        <w:t xml:space="preserve">Please clarify regarding the information presented in Table 7 on page 83 of the CSR for </w:t>
      </w:r>
      <w:r w:rsidR="00C81A95" w:rsidRPr="0064650C">
        <w:rPr>
          <w:i/>
        </w:rPr>
        <w:t>S</w:t>
      </w:r>
      <w:r w:rsidRPr="0064650C">
        <w:rPr>
          <w:i/>
        </w:rPr>
        <w:t>tudy AC-055-302 being inconsistent with the description of the statistical methods given in Section 9.7.2 of the CSR.</w:t>
      </w:r>
    </w:p>
    <w:p w:rsidR="007D16E2" w:rsidRPr="00952221" w:rsidRDefault="007D16E2" w:rsidP="0064650C">
      <w:r>
        <w:t xml:space="preserve">The </w:t>
      </w:r>
      <w:r w:rsidRPr="00952221">
        <w:t>sponsor confirmed that there was a typographical error in the above-mentioned table, and that the two-sided nominal type-I error level used for each comparison of active dose versus placebo to keep the study-wise type-I error to a two</w:t>
      </w:r>
      <w:r>
        <w:t>-</w:t>
      </w:r>
      <w:r w:rsidRPr="00952221">
        <w:t xml:space="preserve">sided </w:t>
      </w:r>
      <w:r>
        <w:t>0.01 ‘conclusive’</w:t>
      </w:r>
      <w:r w:rsidRPr="00952221">
        <w:t xml:space="preserve"> level of statistical testing was errone</w:t>
      </w:r>
      <w:r>
        <w:t xml:space="preserve">ously indicated as 0.025, when it </w:t>
      </w:r>
      <w:r w:rsidRPr="00952221">
        <w:t xml:space="preserve">should have been 0.005 as pre-specified in the </w:t>
      </w:r>
      <w:r>
        <w:t>Statistical Analysis Plan. The sponsor had issued a</w:t>
      </w:r>
      <w:r w:rsidRPr="00952221">
        <w:t>n Ad</w:t>
      </w:r>
      <w:r>
        <w:t xml:space="preserve">dendum to the AC-055-302 CSR </w:t>
      </w:r>
      <w:r w:rsidRPr="00952221">
        <w:t>to correct this discrepancy.</w:t>
      </w:r>
    </w:p>
    <w:p w:rsidR="007D16E2" w:rsidRDefault="007D16E2" w:rsidP="0064650C">
      <w:r>
        <w:t>As the first round of evaluation was based on the assumption that there was a typographical error in the above-mentioned table, the sponsor’s response to this question has not resulted in any changes to the conclusions of the first round of evaluation.</w:t>
      </w:r>
    </w:p>
    <w:p w:rsidR="007D16E2" w:rsidRPr="0064650C" w:rsidRDefault="007D16E2" w:rsidP="0064650C">
      <w:pPr>
        <w:rPr>
          <w:b/>
        </w:rPr>
      </w:pPr>
      <w:r w:rsidRPr="0064650C">
        <w:rPr>
          <w:b/>
        </w:rPr>
        <w:lastRenderedPageBreak/>
        <w:t>Efficacy Question 2:</w:t>
      </w:r>
    </w:p>
    <w:p w:rsidR="007D16E2" w:rsidRPr="0064650C" w:rsidRDefault="007D16E2" w:rsidP="0064650C">
      <w:pPr>
        <w:rPr>
          <w:i/>
        </w:rPr>
      </w:pPr>
      <w:r w:rsidRPr="0064650C">
        <w:rPr>
          <w:i/>
        </w:rPr>
        <w:t>Please provide a breakdown of the relative proportions of subjects who had provided primary efficacy endpoint data at the Week 2, Week 4 and Week 8 time</w:t>
      </w:r>
      <w:r w:rsidR="008F5398" w:rsidRPr="0064650C">
        <w:rPr>
          <w:i/>
        </w:rPr>
        <w:t>-</w:t>
      </w:r>
      <w:r w:rsidRPr="0064650C">
        <w:rPr>
          <w:i/>
        </w:rPr>
        <w:t>points in Study AC-055-201, as well as an explanation of how the four, eight and 10-week cohorts were defined in this study.</w:t>
      </w:r>
    </w:p>
    <w:p w:rsidR="007D16E2" w:rsidRDefault="007D16E2" w:rsidP="0064650C">
      <w:r>
        <w:t xml:space="preserve">The sponsor provided a </w:t>
      </w:r>
      <w:r w:rsidRPr="00E53DC4">
        <w:t>breakdown of the relative proportions of</w:t>
      </w:r>
      <w:r>
        <w:t xml:space="preserve"> </w:t>
      </w:r>
      <w:r w:rsidRPr="00E53DC4">
        <w:t>subjects who had provided primary efficacy endpoint data at the Week 2 (Visit 4),</w:t>
      </w:r>
      <w:r>
        <w:t xml:space="preserve"> </w:t>
      </w:r>
      <w:r w:rsidRPr="00E53DC4">
        <w:t xml:space="preserve">Week 4 (Visit 5) and Week 8 (Visit 6) </w:t>
      </w:r>
      <w:r>
        <w:t>time</w:t>
      </w:r>
      <w:r w:rsidR="008F5398">
        <w:t>-</w:t>
      </w:r>
      <w:r>
        <w:t>points in Study AC-055-201, showing that o</w:t>
      </w:r>
      <w:r w:rsidRPr="00E53DC4">
        <w:t>verall, Visit 6</w:t>
      </w:r>
      <w:r>
        <w:t xml:space="preserve"> </w:t>
      </w:r>
      <w:r w:rsidRPr="00E53DC4">
        <w:t>measurements for the primary endpoint analysis were used for 75.4% of the patients</w:t>
      </w:r>
      <w:r>
        <w:t xml:space="preserve"> (75.9%, 79.6%, 66.7%, 78.9%, 78.6% and 73.2% in the placebo, macitentan 0.3</w:t>
      </w:r>
      <w:r w:rsidR="00100727">
        <w:t xml:space="preserve"> </w:t>
      </w:r>
      <w:r>
        <w:t>mg, 1</w:t>
      </w:r>
      <w:r w:rsidR="00100727">
        <w:t> </w:t>
      </w:r>
      <w:r>
        <w:t>mg, 3</w:t>
      </w:r>
      <w:r w:rsidR="00100727">
        <w:t xml:space="preserve"> </w:t>
      </w:r>
      <w:r>
        <w:t>mg, and 10</w:t>
      </w:r>
      <w:r w:rsidR="00100727">
        <w:t xml:space="preserve"> </w:t>
      </w:r>
      <w:r>
        <w:t>mg, and enalapril 20</w:t>
      </w:r>
      <w:r w:rsidR="00100727">
        <w:t xml:space="preserve"> </w:t>
      </w:r>
      <w:r>
        <w:t>mg groups)</w:t>
      </w:r>
      <w:r w:rsidRPr="00E53DC4">
        <w:t>,</w:t>
      </w:r>
      <w:r>
        <w:t xml:space="preserve"> </w:t>
      </w:r>
      <w:r w:rsidRPr="00E53DC4">
        <w:t>while Visit 4 and Visit 5 measurements were used for 9.8% and 14.5% of the patients.</w:t>
      </w:r>
    </w:p>
    <w:p w:rsidR="007D16E2" w:rsidRDefault="007D16E2" w:rsidP="0064650C">
      <w:r>
        <w:t>The sponsor also provided explanation that for</w:t>
      </w:r>
      <w:r w:rsidRPr="00E53DC4">
        <w:t xml:space="preserve"> the cohort analyses, eac</w:t>
      </w:r>
      <w:r>
        <w:t xml:space="preserve">h cohort consisted of </w:t>
      </w:r>
      <w:r w:rsidRPr="00E53DC4">
        <w:t>patients for whom</w:t>
      </w:r>
      <w:r>
        <w:t xml:space="preserve"> </w:t>
      </w:r>
      <w:r w:rsidRPr="00E53DC4">
        <w:t>the values at all time</w:t>
      </w:r>
      <w:r w:rsidR="008F5398">
        <w:t>-</w:t>
      </w:r>
      <w:r w:rsidRPr="00E53DC4">
        <w:t>points in the relevant time window (</w:t>
      </w:r>
      <w:r>
        <w:t xml:space="preserve">four, eight </w:t>
      </w:r>
      <w:r w:rsidRPr="00E53DC4">
        <w:t>and 10 weeks) could be</w:t>
      </w:r>
      <w:r>
        <w:t xml:space="preserve"> </w:t>
      </w:r>
      <w:r w:rsidRPr="00E53DC4">
        <w:t xml:space="preserve">derived by means of a </w:t>
      </w:r>
      <w:r>
        <w:t>first</w:t>
      </w:r>
      <w:r w:rsidRPr="00E53DC4">
        <w:t xml:space="preserve"> degree Lagrange interpolation. The interpolated endpoint value</w:t>
      </w:r>
      <w:r>
        <w:t xml:space="preserve"> </w:t>
      </w:r>
      <w:r w:rsidRPr="00E53DC4">
        <w:t>was to be on treatment period and up to 28 days after the end of the study treatment.</w:t>
      </w:r>
      <w:r>
        <w:t xml:space="preserve"> </w:t>
      </w:r>
      <w:r w:rsidRPr="00E53DC4">
        <w:t>Patients with their last assessment before the relevant time</w:t>
      </w:r>
      <w:r w:rsidR="008F5398">
        <w:t>-</w:t>
      </w:r>
      <w:r w:rsidRPr="00E53DC4">
        <w:t xml:space="preserve">point but </w:t>
      </w:r>
      <w:r>
        <w:t>within</w:t>
      </w:r>
      <w:r w:rsidRPr="00E53DC4">
        <w:t xml:space="preserve"> an</w:t>
      </w:r>
      <w:r>
        <w:t xml:space="preserve"> </w:t>
      </w:r>
      <w:r w:rsidRPr="00E53DC4">
        <w:t xml:space="preserve">acceptability window of ± </w:t>
      </w:r>
      <w:r>
        <w:t>one</w:t>
      </w:r>
      <w:r w:rsidRPr="00E53DC4">
        <w:t xml:space="preserve"> week were assigned to the cohort, after applying a carry</w:t>
      </w:r>
      <w:r>
        <w:t>-</w:t>
      </w:r>
      <w:r w:rsidRPr="00E53DC4">
        <w:t>forward</w:t>
      </w:r>
      <w:r>
        <w:t xml:space="preserve"> </w:t>
      </w:r>
      <w:r w:rsidRPr="00E53DC4">
        <w:t>in order to have values up to the exact scheduled time</w:t>
      </w:r>
      <w:r w:rsidR="008F5398">
        <w:t>-</w:t>
      </w:r>
      <w:r w:rsidRPr="00E53DC4">
        <w:t>point.</w:t>
      </w:r>
    </w:p>
    <w:p w:rsidR="007D16E2" w:rsidRPr="0064650C" w:rsidRDefault="007D16E2" w:rsidP="0064650C">
      <w:pPr>
        <w:rPr>
          <w:b/>
        </w:rPr>
      </w:pPr>
      <w:r w:rsidRPr="0064650C">
        <w:rPr>
          <w:b/>
        </w:rPr>
        <w:t>Safety Question 1:</w:t>
      </w:r>
    </w:p>
    <w:p w:rsidR="007D16E2" w:rsidRPr="0064650C" w:rsidRDefault="007D16E2" w:rsidP="0064650C">
      <w:pPr>
        <w:rPr>
          <w:i/>
        </w:rPr>
      </w:pPr>
      <w:r w:rsidRPr="0064650C">
        <w:rPr>
          <w:i/>
        </w:rPr>
        <w:t>Please provide references to support the clinical relevance threshold of 30% reduction in sperm concentration indicated in Study AC-055-113.</w:t>
      </w:r>
    </w:p>
    <w:p w:rsidR="007D16E2" w:rsidRPr="001075D2" w:rsidRDefault="007D16E2" w:rsidP="0064650C">
      <w:r>
        <w:t>In its response, the sponsor acknowledged that a</w:t>
      </w:r>
      <w:r w:rsidRPr="001075D2">
        <w:t>lthough sperm</w:t>
      </w:r>
      <w:r>
        <w:t xml:space="preserve"> </w:t>
      </w:r>
      <w:r w:rsidRPr="001075D2">
        <w:t>concentration, morphology, and motility are useful tools to evaluate infertility, the</w:t>
      </w:r>
      <w:r>
        <w:t xml:space="preserve"> </w:t>
      </w:r>
      <w:r w:rsidRPr="001075D2">
        <w:t>correlation between values outside the (wide) normal range and fertility is not strong</w:t>
      </w:r>
      <w:r>
        <w:t>. According to the sponsor, t</w:t>
      </w:r>
      <w:r w:rsidRPr="001075D2">
        <w:t>he selection of the 30% threshold was based on a study performed by Amory et al.</w:t>
      </w:r>
      <w:r w:rsidR="00C81A95" w:rsidRPr="00C81A95">
        <w:rPr>
          <w:rStyle w:val="FootnoteReference"/>
        </w:rPr>
        <w:t xml:space="preserve"> </w:t>
      </w:r>
      <w:r w:rsidR="00C81A95">
        <w:rPr>
          <w:rStyle w:val="FootnoteReference"/>
        </w:rPr>
        <w:footnoteReference w:id="15"/>
      </w:r>
      <w:r w:rsidRPr="001075D2">
        <w:t>, in</w:t>
      </w:r>
      <w:r>
        <w:t xml:space="preserve"> </w:t>
      </w:r>
      <w:r w:rsidRPr="001075D2">
        <w:t>which the effect of dutasteride and finasteride on semen parameters and serum hormones</w:t>
      </w:r>
      <w:r>
        <w:t xml:space="preserve"> in healthy men was evaluated </w:t>
      </w:r>
      <w:r w:rsidRPr="001075D2">
        <w:t>In this study a clinically significant</w:t>
      </w:r>
      <w:r>
        <w:t xml:space="preserve"> </w:t>
      </w:r>
      <w:r w:rsidRPr="001075D2">
        <w:t>difference of 30% in sperm co</w:t>
      </w:r>
      <w:r>
        <w:t xml:space="preserve">ncentration was used, which was </w:t>
      </w:r>
      <w:r w:rsidRPr="001075D2">
        <w:t>derived from human studies of male fertility and effectiveness of hormonal</w:t>
      </w:r>
      <w:r>
        <w:t xml:space="preserve"> </w:t>
      </w:r>
      <w:r w:rsidRPr="001075D2">
        <w:t>contraceptives, using impai</w:t>
      </w:r>
      <w:r>
        <w:t xml:space="preserve">rment of fertility as standard. The sponsor provided further support for the selection </w:t>
      </w:r>
      <w:r w:rsidRPr="001075D2">
        <w:t>of the 30% threshold</w:t>
      </w:r>
      <w:r>
        <w:t>, stating that t</w:t>
      </w:r>
      <w:r w:rsidRPr="001075D2">
        <w:t>he same</w:t>
      </w:r>
      <w:r>
        <w:t xml:space="preserve"> threshold had been</w:t>
      </w:r>
      <w:r w:rsidRPr="001075D2">
        <w:t xml:space="preserve"> used in a clinical study in which the possible effects of bosentan on</w:t>
      </w:r>
      <w:r>
        <w:t xml:space="preserve"> </w:t>
      </w:r>
      <w:r w:rsidRPr="001075D2">
        <w:t xml:space="preserve">testicular function were studied in patients with </w:t>
      </w:r>
      <w:r>
        <w:t>PAH</w:t>
      </w:r>
      <w:r w:rsidRPr="001075D2">
        <w:t xml:space="preserve"> (Clinical Study Report AC-052-402, Submission No. PM-2010-01202-3-3, May 2010</w:t>
      </w:r>
      <w:r>
        <w:t>).</w:t>
      </w:r>
    </w:p>
    <w:p w:rsidR="007D16E2" w:rsidRDefault="007D16E2" w:rsidP="0064650C">
      <w:pPr>
        <w:pStyle w:val="Heading2"/>
      </w:pPr>
      <w:bookmarkStart w:id="234" w:name="_Toc383684176"/>
      <w:bookmarkStart w:id="235" w:name="_Toc391645291"/>
      <w:r>
        <w:t xml:space="preserve">Second round </w:t>
      </w:r>
      <w:r w:rsidRPr="0064650C">
        <w:t>benefit</w:t>
      </w:r>
      <w:r>
        <w:t>-risk assessment</w:t>
      </w:r>
      <w:bookmarkEnd w:id="234"/>
      <w:bookmarkEnd w:id="235"/>
    </w:p>
    <w:p w:rsidR="007D16E2" w:rsidRPr="00E82370" w:rsidRDefault="007D16E2" w:rsidP="0064650C">
      <w:pPr>
        <w:pStyle w:val="Heading3"/>
      </w:pPr>
      <w:bookmarkStart w:id="236" w:name="_Toc272414709"/>
      <w:bookmarkStart w:id="237" w:name="_Toc290846349"/>
      <w:bookmarkStart w:id="238" w:name="_Toc368037040"/>
      <w:bookmarkStart w:id="239" w:name="_Toc383684177"/>
      <w:bookmarkStart w:id="240" w:name="_Toc391645292"/>
      <w:r w:rsidRPr="00E82370">
        <w:t xml:space="preserve">Second round assessment </w:t>
      </w:r>
      <w:r w:rsidRPr="0064650C">
        <w:t>of</w:t>
      </w:r>
      <w:r w:rsidRPr="00E82370">
        <w:t xml:space="preserve"> benefits</w:t>
      </w:r>
      <w:bookmarkEnd w:id="236"/>
      <w:bookmarkEnd w:id="237"/>
      <w:bookmarkEnd w:id="238"/>
      <w:bookmarkEnd w:id="239"/>
      <w:bookmarkEnd w:id="240"/>
    </w:p>
    <w:p w:rsidR="007D16E2" w:rsidRPr="00E63600" w:rsidRDefault="007D16E2" w:rsidP="0064650C">
      <w:bookmarkStart w:id="241" w:name="_Toc272414710"/>
      <w:bookmarkStart w:id="242" w:name="_Toc290846350"/>
      <w:r w:rsidRPr="00E63600">
        <w:t>After consideration of the responses to clinical questions, the benefits of macitentan in the proposed usage are unchanged from those</w:t>
      </w:r>
      <w:r w:rsidR="00C81A95">
        <w:t xml:space="preserve"> previously</w:t>
      </w:r>
      <w:r w:rsidRPr="00E63600">
        <w:t xml:space="preserve"> identified.</w:t>
      </w:r>
    </w:p>
    <w:p w:rsidR="007D16E2" w:rsidRPr="00E63600" w:rsidRDefault="007D16E2" w:rsidP="0064650C">
      <w:pPr>
        <w:pStyle w:val="Heading3"/>
      </w:pPr>
      <w:bookmarkStart w:id="243" w:name="_Toc368037041"/>
      <w:bookmarkStart w:id="244" w:name="_Toc383684178"/>
      <w:bookmarkStart w:id="245" w:name="_Toc391645293"/>
      <w:r w:rsidRPr="00E63600">
        <w:t xml:space="preserve">Second round </w:t>
      </w:r>
      <w:r w:rsidRPr="0064650C">
        <w:t>assessment</w:t>
      </w:r>
      <w:r w:rsidRPr="00E63600">
        <w:t xml:space="preserve"> of risks</w:t>
      </w:r>
      <w:bookmarkEnd w:id="241"/>
      <w:bookmarkEnd w:id="242"/>
      <w:bookmarkEnd w:id="243"/>
      <w:bookmarkEnd w:id="244"/>
      <w:bookmarkEnd w:id="245"/>
    </w:p>
    <w:p w:rsidR="007D16E2" w:rsidRPr="00E63600" w:rsidRDefault="007D16E2" w:rsidP="0064650C">
      <w:bookmarkStart w:id="246" w:name="_Toc272414711"/>
      <w:bookmarkStart w:id="247" w:name="_Toc290846351"/>
      <w:r w:rsidRPr="00E63600">
        <w:t xml:space="preserve">After consideration of the responses to clinical questions, the risks of macitentan in the proposed usage are unchanged from those </w:t>
      </w:r>
      <w:r w:rsidR="00C81A95">
        <w:t xml:space="preserve">previously </w:t>
      </w:r>
      <w:r w:rsidRPr="00E63600">
        <w:t>identified</w:t>
      </w:r>
      <w:r>
        <w:t>.</w:t>
      </w:r>
    </w:p>
    <w:p w:rsidR="007D16E2" w:rsidRPr="00E63600" w:rsidRDefault="007D16E2" w:rsidP="0064650C">
      <w:pPr>
        <w:pStyle w:val="Heading3"/>
      </w:pPr>
      <w:bookmarkStart w:id="248" w:name="_Toc368037042"/>
      <w:bookmarkStart w:id="249" w:name="_Toc383684179"/>
      <w:bookmarkStart w:id="250" w:name="_Toc391645294"/>
      <w:r w:rsidRPr="00E63600">
        <w:lastRenderedPageBreak/>
        <w:t xml:space="preserve">Second round assessment of benefit-risk </w:t>
      </w:r>
      <w:r w:rsidRPr="0064650C">
        <w:t>balance</w:t>
      </w:r>
      <w:bookmarkEnd w:id="246"/>
      <w:bookmarkEnd w:id="247"/>
      <w:bookmarkEnd w:id="248"/>
      <w:bookmarkEnd w:id="249"/>
      <w:bookmarkEnd w:id="250"/>
    </w:p>
    <w:p w:rsidR="007D16E2" w:rsidRPr="00E63600" w:rsidRDefault="007D16E2" w:rsidP="0064650C">
      <w:r w:rsidRPr="00E63600">
        <w:t>The benefit-risk balance of macitentan, given the proposed usage, is favourable.</w:t>
      </w:r>
    </w:p>
    <w:p w:rsidR="007D16E2" w:rsidRDefault="007D16E2" w:rsidP="0064650C">
      <w:pPr>
        <w:pStyle w:val="Heading2"/>
      </w:pPr>
      <w:bookmarkStart w:id="251" w:name="_Toc383684180"/>
      <w:bookmarkStart w:id="252" w:name="_Toc391645295"/>
      <w:r>
        <w:t>Second round recommendation regarding authorisation</w:t>
      </w:r>
      <w:bookmarkEnd w:id="251"/>
      <w:bookmarkEnd w:id="252"/>
    </w:p>
    <w:p w:rsidR="007D16E2" w:rsidRPr="00E63600" w:rsidRDefault="007D16E2" w:rsidP="0064650C">
      <w:pPr>
        <w:rPr>
          <w:bCs/>
        </w:rPr>
      </w:pPr>
      <w:r w:rsidRPr="00E63600">
        <w:rPr>
          <w:bCs/>
        </w:rPr>
        <w:t xml:space="preserve">It is recommended that the application </w:t>
      </w:r>
      <w:r w:rsidRPr="00E63600">
        <w:t xml:space="preserve">for the registration of macitentan for the long-term treatment of </w:t>
      </w:r>
      <w:r w:rsidR="00D32A10">
        <w:t>PAH</w:t>
      </w:r>
      <w:r w:rsidRPr="00E63600">
        <w:t xml:space="preserve"> in patients of WHO FC II to IV be approved</w:t>
      </w:r>
      <w:r w:rsidRPr="00E63600">
        <w:rPr>
          <w:bCs/>
        </w:rPr>
        <w:t>.</w:t>
      </w:r>
    </w:p>
    <w:p w:rsidR="008E7846" w:rsidRPr="0064650C" w:rsidRDefault="008E7846" w:rsidP="0064650C">
      <w:pPr>
        <w:pStyle w:val="Heading2"/>
      </w:pPr>
      <w:bookmarkStart w:id="253" w:name="_Toc247691524"/>
      <w:bookmarkStart w:id="254" w:name="_Toc314842508"/>
      <w:bookmarkStart w:id="255" w:name="_Toc196046504"/>
      <w:bookmarkStart w:id="256" w:name="_Toc163441390"/>
      <w:bookmarkStart w:id="257" w:name="_Toc391645296"/>
      <w:bookmarkEnd w:id="225"/>
      <w:bookmarkEnd w:id="226"/>
      <w:bookmarkEnd w:id="227"/>
      <w:bookmarkEnd w:id="228"/>
      <w:bookmarkEnd w:id="229"/>
      <w:r w:rsidRPr="00E41208">
        <w:t xml:space="preserve">V. Pharmacovigilance </w:t>
      </w:r>
      <w:r>
        <w:t>f</w:t>
      </w:r>
      <w:r w:rsidRPr="00E41208">
        <w:t>indings</w:t>
      </w:r>
      <w:bookmarkEnd w:id="253"/>
      <w:bookmarkEnd w:id="254"/>
      <w:bookmarkEnd w:id="257"/>
    </w:p>
    <w:p w:rsidR="008E7846" w:rsidRPr="0064650C" w:rsidRDefault="00386150" w:rsidP="0064650C">
      <w:pPr>
        <w:pStyle w:val="Heading3"/>
      </w:pPr>
      <w:bookmarkStart w:id="258" w:name="_Toc247691526"/>
      <w:bookmarkStart w:id="259" w:name="_Toc314842509"/>
      <w:bookmarkStart w:id="260" w:name="_Toc391645297"/>
      <w:r>
        <w:rPr>
          <w:lang w:eastAsia="en-AU"/>
        </w:rPr>
        <w:t>Risk m</w:t>
      </w:r>
      <w:r w:rsidR="008E7846">
        <w:rPr>
          <w:lang w:eastAsia="en-AU"/>
        </w:rPr>
        <w:t xml:space="preserve">anagement </w:t>
      </w:r>
      <w:r>
        <w:rPr>
          <w:lang w:eastAsia="en-AU"/>
        </w:rPr>
        <w:t>p</w:t>
      </w:r>
      <w:r w:rsidR="008E7846">
        <w:rPr>
          <w:lang w:eastAsia="en-AU"/>
        </w:rPr>
        <w:t>lan</w:t>
      </w:r>
      <w:bookmarkEnd w:id="258"/>
      <w:bookmarkEnd w:id="259"/>
      <w:bookmarkEnd w:id="260"/>
    </w:p>
    <w:p w:rsidR="008E7846" w:rsidRDefault="008E7846" w:rsidP="0064650C">
      <w:pPr>
        <w:rPr>
          <w:lang w:eastAsia="en-AU"/>
        </w:rPr>
      </w:pPr>
      <w:r>
        <w:rPr>
          <w:lang w:eastAsia="en-AU"/>
        </w:rPr>
        <w:t xml:space="preserve">The sponsor submitted a Risk Management Plan </w:t>
      </w:r>
      <w:r w:rsidR="006D12D9" w:rsidRPr="006D12D9">
        <w:t>EU Risk Management Plan (EU-RMP) Version 1 (dated 05/10/2012, DLP 26/04/2012) with Australian Specific Annex (ASA) Version 1.0 (18/01/2013)</w:t>
      </w:r>
      <w:r w:rsidR="006D12D9">
        <w:t xml:space="preserve"> </w:t>
      </w:r>
      <w:r>
        <w:rPr>
          <w:lang w:eastAsia="en-AU"/>
        </w:rPr>
        <w:t>which was reviewed by the TGA’s Office of Product Review (OPR).</w:t>
      </w:r>
    </w:p>
    <w:p w:rsidR="008E7846" w:rsidRPr="0064650C" w:rsidRDefault="003A7F6C" w:rsidP="0064650C">
      <w:pPr>
        <w:pStyle w:val="Heading4"/>
      </w:pPr>
      <w:r>
        <w:rPr>
          <w:lang w:eastAsia="en-AU"/>
        </w:rPr>
        <w:t>Safety s</w:t>
      </w:r>
      <w:r w:rsidR="008E7846">
        <w:rPr>
          <w:lang w:eastAsia="en-AU"/>
        </w:rPr>
        <w:t>pecification</w:t>
      </w:r>
    </w:p>
    <w:p w:rsidR="006D12D9" w:rsidRPr="006D12D9" w:rsidRDefault="006D12D9" w:rsidP="0064650C">
      <w:r w:rsidRPr="006D12D9">
        <w:t xml:space="preserve">Subject to the evaluation of the non-clinical aspects of the Safety Specification (SS) by the Toxicology area of the OSE and the clinical aspects of the SS by the OMA, the summary of the Ongoing Safety Concerns as specified by the sponsor is as follows (Table </w:t>
      </w:r>
      <w:r w:rsidR="00C81A95">
        <w:t>7</w:t>
      </w:r>
      <w:r w:rsidRPr="006D12D9">
        <w:t>):</w:t>
      </w:r>
    </w:p>
    <w:p w:rsidR="006D12D9" w:rsidRPr="00FB51BE" w:rsidRDefault="006D12D9" w:rsidP="0064650C">
      <w:pPr>
        <w:pStyle w:val="TableTitle"/>
      </w:pPr>
      <w:r w:rsidRPr="00FB51BE">
        <w:t xml:space="preserve">Table </w:t>
      </w:r>
      <w:r w:rsidR="00C81A95" w:rsidRPr="00FB51BE">
        <w:t>7</w:t>
      </w:r>
      <w:r w:rsidRPr="00FB51BE">
        <w:t>: Important identified and potential risks and missing information</w:t>
      </w:r>
    </w:p>
    <w:tbl>
      <w:tblPr>
        <w:tblStyle w:val="TableTGAblue"/>
        <w:tblW w:w="0" w:type="auto"/>
        <w:tblLook w:val="04A0" w:firstRow="1" w:lastRow="0" w:firstColumn="1" w:lastColumn="0" w:noHBand="0" w:noVBand="1"/>
      </w:tblPr>
      <w:tblGrid>
        <w:gridCol w:w="2411"/>
        <w:gridCol w:w="6061"/>
      </w:tblGrid>
      <w:tr w:rsidR="008F5398" w:rsidTr="008F5398">
        <w:trPr>
          <w:cnfStyle w:val="100000000000" w:firstRow="1" w:lastRow="0" w:firstColumn="0" w:lastColumn="0" w:oddVBand="0" w:evenVBand="0" w:oddHBand="0" w:evenHBand="0" w:firstRowFirstColumn="0" w:firstRowLastColumn="0" w:lastRowFirstColumn="0" w:lastRowLastColumn="0"/>
        </w:trPr>
        <w:tc>
          <w:tcPr>
            <w:tcW w:w="2411" w:type="dxa"/>
          </w:tcPr>
          <w:p w:rsidR="008F5398" w:rsidRPr="008F5398" w:rsidRDefault="008F5398" w:rsidP="0064650C">
            <w:pPr>
              <w:ind w:left="0" w:right="0"/>
            </w:pPr>
          </w:p>
        </w:tc>
        <w:tc>
          <w:tcPr>
            <w:tcW w:w="6061" w:type="dxa"/>
          </w:tcPr>
          <w:p w:rsidR="008F5398" w:rsidRPr="008F5398" w:rsidRDefault="008F5398" w:rsidP="0064650C">
            <w:pPr>
              <w:ind w:left="-1" w:right="34"/>
            </w:pPr>
            <w:r w:rsidRPr="008F5398">
              <w:t>Risks/Concerns</w:t>
            </w:r>
          </w:p>
        </w:tc>
      </w:tr>
      <w:tr w:rsidR="008F5398" w:rsidTr="008F5398">
        <w:tc>
          <w:tcPr>
            <w:tcW w:w="2411" w:type="dxa"/>
          </w:tcPr>
          <w:p w:rsidR="008F5398" w:rsidRPr="008F5398" w:rsidRDefault="008F5398" w:rsidP="0064650C">
            <w:pPr>
              <w:ind w:left="0" w:right="0"/>
            </w:pPr>
            <w:r w:rsidRPr="008F5398">
              <w:t>Important identified risks</w:t>
            </w:r>
          </w:p>
        </w:tc>
        <w:tc>
          <w:tcPr>
            <w:tcW w:w="6061" w:type="dxa"/>
          </w:tcPr>
          <w:p w:rsidR="008F5398" w:rsidRPr="008F5398" w:rsidRDefault="008F5398" w:rsidP="0064650C">
            <w:pPr>
              <w:ind w:left="-1" w:right="34"/>
            </w:pPr>
            <w:r w:rsidRPr="008F5398">
              <w:t>Anaemia, decrease in haemoglobin concentration</w:t>
            </w:r>
          </w:p>
        </w:tc>
      </w:tr>
      <w:tr w:rsidR="008F5398" w:rsidTr="008F5398">
        <w:tc>
          <w:tcPr>
            <w:tcW w:w="2411" w:type="dxa"/>
          </w:tcPr>
          <w:p w:rsidR="008F5398" w:rsidRPr="008F5398" w:rsidRDefault="0064650C" w:rsidP="0064650C">
            <w:pPr>
              <w:ind w:left="0" w:right="0"/>
            </w:pPr>
            <w:r>
              <w:t>Important potential risks</w:t>
            </w:r>
          </w:p>
        </w:tc>
        <w:tc>
          <w:tcPr>
            <w:tcW w:w="6061" w:type="dxa"/>
          </w:tcPr>
          <w:p w:rsidR="008F5398" w:rsidRPr="008F5398" w:rsidRDefault="008F5398" w:rsidP="0064650C">
            <w:pPr>
              <w:ind w:left="-1" w:right="34"/>
            </w:pPr>
            <w:r w:rsidRPr="008F5398">
              <w:t>Teratogenicity</w:t>
            </w:r>
          </w:p>
          <w:p w:rsidR="008F5398" w:rsidRPr="008F5398" w:rsidRDefault="008F5398" w:rsidP="0064650C">
            <w:pPr>
              <w:ind w:left="-1" w:right="34"/>
            </w:pPr>
            <w:r w:rsidRPr="008F5398">
              <w:t>Hepatotoxicity</w:t>
            </w:r>
          </w:p>
          <w:p w:rsidR="008F5398" w:rsidRPr="008F5398" w:rsidRDefault="008F5398" w:rsidP="0064650C">
            <w:pPr>
              <w:ind w:left="-1" w:right="34"/>
            </w:pPr>
            <w:r w:rsidRPr="008F5398">
              <w:t>Hypotension</w:t>
            </w:r>
          </w:p>
          <w:p w:rsidR="008F5398" w:rsidRPr="008F5398" w:rsidRDefault="008F5398" w:rsidP="0064650C">
            <w:pPr>
              <w:ind w:left="-1" w:right="34"/>
            </w:pPr>
            <w:r w:rsidRPr="008F5398">
              <w:t>Thrombocytopenia</w:t>
            </w:r>
          </w:p>
          <w:p w:rsidR="008F5398" w:rsidRPr="008F5398" w:rsidRDefault="008F5398" w:rsidP="0064650C">
            <w:pPr>
              <w:ind w:left="-1" w:right="34"/>
            </w:pPr>
            <w:r w:rsidRPr="008F5398">
              <w:t>Leukopenia</w:t>
            </w:r>
          </w:p>
          <w:p w:rsidR="008F5398" w:rsidRPr="008F5398" w:rsidRDefault="008F5398" w:rsidP="0064650C">
            <w:pPr>
              <w:ind w:left="-1" w:right="34"/>
            </w:pPr>
            <w:r w:rsidRPr="008F5398">
              <w:t>Menstrual disorders</w:t>
            </w:r>
          </w:p>
          <w:p w:rsidR="008F5398" w:rsidRPr="008F5398" w:rsidRDefault="008F5398" w:rsidP="0064650C">
            <w:pPr>
              <w:ind w:left="-1" w:right="34"/>
            </w:pPr>
            <w:r w:rsidRPr="008F5398">
              <w:t>Ovarian cysts</w:t>
            </w:r>
          </w:p>
        </w:tc>
      </w:tr>
      <w:tr w:rsidR="008F5398" w:rsidTr="008F5398">
        <w:tc>
          <w:tcPr>
            <w:tcW w:w="2411" w:type="dxa"/>
          </w:tcPr>
          <w:p w:rsidR="008F5398" w:rsidRPr="008F5398" w:rsidRDefault="008F5398" w:rsidP="0064650C">
            <w:pPr>
              <w:ind w:left="0" w:right="0"/>
            </w:pPr>
            <w:r w:rsidRPr="008F5398">
              <w:t>Other safety concerns</w:t>
            </w:r>
          </w:p>
        </w:tc>
        <w:tc>
          <w:tcPr>
            <w:tcW w:w="6061" w:type="dxa"/>
          </w:tcPr>
          <w:p w:rsidR="008F5398" w:rsidRPr="008F5398" w:rsidRDefault="008F5398" w:rsidP="0064650C">
            <w:pPr>
              <w:ind w:left="-1" w:right="34"/>
            </w:pPr>
            <w:r w:rsidRPr="008F5398">
              <w:t>Off-label use, for example in paediatric patients</w:t>
            </w:r>
          </w:p>
        </w:tc>
      </w:tr>
      <w:tr w:rsidR="008F5398" w:rsidTr="008F5398">
        <w:tc>
          <w:tcPr>
            <w:tcW w:w="2411" w:type="dxa"/>
          </w:tcPr>
          <w:p w:rsidR="008F5398" w:rsidRPr="008F5398" w:rsidRDefault="0064650C" w:rsidP="0064650C">
            <w:pPr>
              <w:ind w:left="0" w:right="0"/>
            </w:pPr>
            <w:r>
              <w:t>Missing information</w:t>
            </w:r>
          </w:p>
        </w:tc>
        <w:tc>
          <w:tcPr>
            <w:tcW w:w="6061" w:type="dxa"/>
          </w:tcPr>
          <w:p w:rsidR="008F5398" w:rsidRPr="008F5398" w:rsidRDefault="008F5398" w:rsidP="0064650C">
            <w:pPr>
              <w:ind w:left="-1" w:right="34"/>
            </w:pPr>
            <w:r w:rsidRPr="008F5398">
              <w:t>Paediatric PAH patients below 12 years of age</w:t>
            </w:r>
          </w:p>
          <w:p w:rsidR="008F5398" w:rsidRPr="008F5398" w:rsidRDefault="008F5398" w:rsidP="0064650C">
            <w:pPr>
              <w:ind w:left="-1" w:right="34"/>
            </w:pPr>
            <w:r w:rsidRPr="008F5398">
              <w:t>PAH patients with moderate to severe hepatic impairment</w:t>
            </w:r>
          </w:p>
          <w:p w:rsidR="008F5398" w:rsidRPr="008F5398" w:rsidRDefault="008F5398" w:rsidP="0064650C">
            <w:pPr>
              <w:ind w:left="-1" w:right="34"/>
            </w:pPr>
            <w:r w:rsidRPr="008F5398">
              <w:t>PAH patients with severe renal impair</w:t>
            </w:r>
            <w:r w:rsidR="0064650C">
              <w:t>ment and/or undergoing dialysis</w:t>
            </w:r>
          </w:p>
        </w:tc>
      </w:tr>
    </w:tbl>
    <w:p w:rsidR="006D12D9" w:rsidRPr="0064650C" w:rsidRDefault="006D12D9" w:rsidP="0064650C">
      <w:pPr>
        <w:pStyle w:val="Heading4"/>
      </w:pPr>
      <w:r w:rsidRPr="0064650C">
        <w:lastRenderedPageBreak/>
        <w:t>OPR reviewer comment:</w:t>
      </w:r>
    </w:p>
    <w:p w:rsidR="006D12D9" w:rsidRPr="006D12D9" w:rsidRDefault="006D12D9" w:rsidP="0064650C">
      <w:r w:rsidRPr="006D12D9">
        <w:t>Notwithstanding the evaluation of the non-clinical and clinical aspects of the SS, some additional ongoing safety concerns should be considered.</w:t>
      </w:r>
    </w:p>
    <w:p w:rsidR="006D12D9" w:rsidRPr="006D12D9" w:rsidRDefault="006D12D9" w:rsidP="0064650C">
      <w:pPr>
        <w:pStyle w:val="Heading4"/>
      </w:pPr>
      <w:r w:rsidRPr="006D12D9">
        <w:t xml:space="preserve">Ongoing </w:t>
      </w:r>
      <w:r w:rsidR="0064650C">
        <w:t>s</w:t>
      </w:r>
      <w:r w:rsidRPr="006D12D9">
        <w:t xml:space="preserve">afety </w:t>
      </w:r>
      <w:r w:rsidR="0064650C">
        <w:t>c</w:t>
      </w:r>
      <w:r w:rsidRPr="006D12D9">
        <w:t>oncerns</w:t>
      </w:r>
    </w:p>
    <w:p w:rsidR="006D12D9" w:rsidRPr="006D12D9" w:rsidRDefault="006D12D9" w:rsidP="0064650C">
      <w:r>
        <w:t>T</w:t>
      </w:r>
      <w:r w:rsidRPr="006D12D9">
        <w:t>he sponsor should add the following as Ongoing Safety Concerns:</w:t>
      </w:r>
    </w:p>
    <w:p w:rsidR="006D12D9" w:rsidRPr="006D12D9" w:rsidRDefault="006D12D9" w:rsidP="0064650C">
      <w:pPr>
        <w:pStyle w:val="Heading4"/>
      </w:pPr>
      <w:r w:rsidRPr="006D12D9">
        <w:t xml:space="preserve">Important </w:t>
      </w:r>
      <w:r w:rsidR="0064650C">
        <w:t>p</w:t>
      </w:r>
      <w:r w:rsidRPr="006D12D9">
        <w:t xml:space="preserve">otential </w:t>
      </w:r>
      <w:r w:rsidR="0064650C">
        <w:t>r</w:t>
      </w:r>
      <w:r w:rsidRPr="006D12D9">
        <w:t>isks:</w:t>
      </w:r>
    </w:p>
    <w:p w:rsidR="006D12D9" w:rsidRPr="006D12D9" w:rsidRDefault="006D12D9" w:rsidP="0064650C">
      <w:pPr>
        <w:pStyle w:val="ListBullet"/>
      </w:pPr>
      <w:r w:rsidRPr="006D12D9">
        <w:t>Vasculitis;</w:t>
      </w:r>
    </w:p>
    <w:p w:rsidR="006D12D9" w:rsidRPr="006D12D9" w:rsidRDefault="006D12D9" w:rsidP="0064650C">
      <w:pPr>
        <w:pStyle w:val="ListBullet"/>
      </w:pPr>
      <w:r w:rsidRPr="006D12D9">
        <w:t xml:space="preserve">Reduction in male </w:t>
      </w:r>
      <w:r w:rsidRPr="0064650C">
        <w:t>fertility</w:t>
      </w:r>
      <w:r w:rsidRPr="006D12D9">
        <w:t>; and</w:t>
      </w:r>
    </w:p>
    <w:p w:rsidR="006D12D9" w:rsidRPr="008F633C" w:rsidRDefault="006D12D9" w:rsidP="006D12D9">
      <w:pPr>
        <w:pStyle w:val="ListBullet"/>
        <w:rPr>
          <w:lang w:val="pt-PT"/>
        </w:rPr>
      </w:pPr>
      <w:r w:rsidRPr="008F633C">
        <w:rPr>
          <w:lang w:val="pt-PT"/>
        </w:rPr>
        <w:t>Peripheral oedema/veno-occlusive disease.</w:t>
      </w:r>
    </w:p>
    <w:p w:rsidR="006D12D9" w:rsidRPr="006D12D9" w:rsidRDefault="006D12D9" w:rsidP="0064650C">
      <w:pPr>
        <w:pStyle w:val="Heading4"/>
      </w:pPr>
      <w:r w:rsidRPr="006D12D9">
        <w:t xml:space="preserve">Important </w:t>
      </w:r>
      <w:r w:rsidR="0064650C">
        <w:t>m</w:t>
      </w:r>
      <w:r w:rsidRPr="006D12D9">
        <w:t xml:space="preserve">issing </w:t>
      </w:r>
      <w:r w:rsidR="0064650C">
        <w:t>i</w:t>
      </w:r>
      <w:r w:rsidRPr="006D12D9">
        <w:t>nformation:</w:t>
      </w:r>
    </w:p>
    <w:p w:rsidR="006D12D9" w:rsidRPr="006D12D9" w:rsidRDefault="006D12D9" w:rsidP="0064650C">
      <w:pPr>
        <w:pStyle w:val="ListBullet"/>
      </w:pPr>
      <w:r w:rsidRPr="006D12D9">
        <w:t>PAH patients with HIV infection; and</w:t>
      </w:r>
    </w:p>
    <w:p w:rsidR="006D12D9" w:rsidRPr="006D12D9" w:rsidRDefault="006D12D9" w:rsidP="006D12D9">
      <w:pPr>
        <w:pStyle w:val="ListBullet"/>
      </w:pPr>
      <w:r w:rsidRPr="006D12D9">
        <w:t>PAH patients with chronic haemolytic anaemia.</w:t>
      </w:r>
    </w:p>
    <w:p w:rsidR="006D12D9" w:rsidRPr="006D12D9" w:rsidRDefault="006D12D9" w:rsidP="0064650C">
      <w:pPr>
        <w:pStyle w:val="Heading4"/>
      </w:pPr>
      <w:r w:rsidRPr="006D12D9">
        <w:t>Male fertility</w:t>
      </w:r>
    </w:p>
    <w:p w:rsidR="006D12D9" w:rsidRPr="006D12D9" w:rsidRDefault="006D12D9" w:rsidP="0064650C">
      <w:r w:rsidRPr="006D12D9">
        <w:t>It is noted the sponsor had conducted a trial in healthy volunteers to assess male fertility. It is requested the sponsor submit details of the study (including, but not limited to study design, results and interpretation of the results) to assess whether reduction in male fertility should be an Ongoing Safety Concern.</w:t>
      </w:r>
    </w:p>
    <w:p w:rsidR="008E7846" w:rsidRDefault="008E7846" w:rsidP="0064650C">
      <w:pPr>
        <w:pStyle w:val="Heading4"/>
        <w:rPr>
          <w:lang w:eastAsia="en-AU"/>
        </w:rPr>
      </w:pPr>
      <w:r>
        <w:rPr>
          <w:lang w:eastAsia="en-AU"/>
        </w:rPr>
        <w:t xml:space="preserve">Pharmacovigilance </w:t>
      </w:r>
      <w:r w:rsidR="003A7F6C" w:rsidRPr="0064650C">
        <w:t>p</w:t>
      </w:r>
      <w:r w:rsidRPr="0064650C">
        <w:t>lan</w:t>
      </w:r>
    </w:p>
    <w:p w:rsidR="006D12D9" w:rsidRPr="006D12D9" w:rsidRDefault="006D12D9" w:rsidP="0064650C">
      <w:r w:rsidRPr="006D12D9">
        <w:t>The sponsor proposes only routine pharmacovigilance activities for important identified and potential risks and missing information (as stated above).</w:t>
      </w:r>
    </w:p>
    <w:p w:rsidR="006D12D9" w:rsidRPr="006D12D9" w:rsidRDefault="006D12D9" w:rsidP="0064650C">
      <w:r w:rsidRPr="006D12D9">
        <w:t>The sponsor is not proposing any additional studies to evaluate the Ongoing Safety Concerns further.</w:t>
      </w:r>
    </w:p>
    <w:p w:rsidR="006D12D9" w:rsidRPr="006D12D9" w:rsidRDefault="006D12D9" w:rsidP="0064650C">
      <w:r w:rsidRPr="006D12D9">
        <w:t>It is suggested the sponsor conduct relevant and appropriate additional pharmacovigilance activities to address the following Ongoing Safety Concerns:</w:t>
      </w:r>
    </w:p>
    <w:p w:rsidR="006D12D9" w:rsidRPr="006D12D9" w:rsidRDefault="006D12D9" w:rsidP="0064650C">
      <w:pPr>
        <w:pStyle w:val="ListBullet"/>
      </w:pPr>
      <w:r w:rsidRPr="006D12D9">
        <w:t>Hepatotoxicity (due to inconclusive data from trials);</w:t>
      </w:r>
    </w:p>
    <w:p w:rsidR="006D12D9" w:rsidRPr="00F959CE" w:rsidRDefault="00F959CE" w:rsidP="0064650C">
      <w:pPr>
        <w:pStyle w:val="ListBullet"/>
        <w:rPr>
          <w:lang w:val="it-IT"/>
        </w:rPr>
      </w:pPr>
      <w:r w:rsidRPr="0064650C">
        <w:t>Thrombocytopoenia</w:t>
      </w:r>
      <w:r w:rsidR="006D12D9" w:rsidRPr="00F959CE">
        <w:rPr>
          <w:lang w:val="it-IT"/>
        </w:rPr>
        <w:t>/Leukopaenia (due to insufficient data presented);</w:t>
      </w:r>
    </w:p>
    <w:p w:rsidR="006D12D9" w:rsidRPr="006D12D9" w:rsidRDefault="006D12D9" w:rsidP="0064650C">
      <w:pPr>
        <w:pStyle w:val="ListBullet"/>
      </w:pPr>
      <w:r w:rsidRPr="006D12D9">
        <w:t>PAH patients with moderate to severe hepatic impairment;</w:t>
      </w:r>
    </w:p>
    <w:p w:rsidR="006D12D9" w:rsidRPr="006D12D9" w:rsidRDefault="006D12D9" w:rsidP="0064650C">
      <w:pPr>
        <w:pStyle w:val="ListBullet"/>
      </w:pPr>
      <w:r w:rsidRPr="006D12D9">
        <w:t xml:space="preserve">PAH patients with </w:t>
      </w:r>
      <w:r w:rsidRPr="0064650C">
        <w:t>severe</w:t>
      </w:r>
      <w:r w:rsidRPr="006D12D9">
        <w:t xml:space="preserve"> renal impairment;</w:t>
      </w:r>
    </w:p>
    <w:p w:rsidR="006D12D9" w:rsidRPr="006D12D9" w:rsidRDefault="006D12D9" w:rsidP="006D12D9">
      <w:pPr>
        <w:pStyle w:val="ListBullet"/>
      </w:pPr>
      <w:r w:rsidRPr="006D12D9">
        <w:t>PAH patients with HIV infection; and</w:t>
      </w:r>
    </w:p>
    <w:p w:rsidR="006D12D9" w:rsidRDefault="006D12D9" w:rsidP="0064650C">
      <w:pPr>
        <w:pStyle w:val="ListBullet"/>
      </w:pPr>
      <w:r w:rsidRPr="006D12D9">
        <w:t xml:space="preserve">PAH patients with </w:t>
      </w:r>
      <w:r w:rsidRPr="0064650C">
        <w:t>chronic</w:t>
      </w:r>
      <w:r w:rsidRPr="006D12D9">
        <w:t xml:space="preserve"> haemolytic anaemia.</w:t>
      </w:r>
    </w:p>
    <w:p w:rsidR="006D12D9" w:rsidRPr="006D12D9" w:rsidRDefault="006D12D9" w:rsidP="0064650C">
      <w:pPr>
        <w:pStyle w:val="Heading3"/>
      </w:pPr>
      <w:bookmarkStart w:id="261" w:name="_Toc360542460"/>
      <w:bookmarkStart w:id="262" w:name="_Toc391645298"/>
      <w:r w:rsidRPr="006D12D9">
        <w:t xml:space="preserve">Sponsor’s </w:t>
      </w:r>
      <w:r w:rsidRPr="0064650C">
        <w:t>conclusion</w:t>
      </w:r>
      <w:r w:rsidRPr="006D12D9">
        <w:t xml:space="preserve"> in regard to the need for risk minimisation activities</w:t>
      </w:r>
      <w:bookmarkEnd w:id="261"/>
      <w:bookmarkEnd w:id="262"/>
    </w:p>
    <w:p w:rsidR="006D12D9" w:rsidRPr="006D12D9" w:rsidRDefault="006D12D9" w:rsidP="009D3FA3">
      <w:r w:rsidRPr="006D12D9">
        <w:t>The sponsor states that additional risk minimisation activities were necessary for the following Ongoing Safety Concerns:</w:t>
      </w:r>
    </w:p>
    <w:p w:rsidR="006D12D9" w:rsidRPr="006D12D9" w:rsidRDefault="006D12D9" w:rsidP="009D3FA3">
      <w:pPr>
        <w:pStyle w:val="ListBullet"/>
      </w:pPr>
      <w:r w:rsidRPr="006D12D9">
        <w:t>Anaemia;</w:t>
      </w:r>
    </w:p>
    <w:p w:rsidR="006D12D9" w:rsidRPr="006D12D9" w:rsidRDefault="006D12D9" w:rsidP="006D12D9">
      <w:pPr>
        <w:pStyle w:val="ListBullet"/>
      </w:pPr>
      <w:r w:rsidRPr="006D12D9">
        <w:t>Hepatotoxicity;</w:t>
      </w:r>
    </w:p>
    <w:p w:rsidR="006D12D9" w:rsidRPr="006D12D9" w:rsidRDefault="006D12D9" w:rsidP="009D3FA3">
      <w:pPr>
        <w:pStyle w:val="ListBullet"/>
      </w:pPr>
      <w:r w:rsidRPr="006D12D9">
        <w:lastRenderedPageBreak/>
        <w:t>Teratogenicity; and</w:t>
      </w:r>
    </w:p>
    <w:p w:rsidR="006D12D9" w:rsidRPr="006D12D9" w:rsidRDefault="006D12D9" w:rsidP="006D12D9">
      <w:pPr>
        <w:pStyle w:val="ListBullet"/>
      </w:pPr>
      <w:r w:rsidRPr="006D12D9">
        <w:t>Off-label use.</w:t>
      </w:r>
    </w:p>
    <w:p w:rsidR="006D12D9" w:rsidRPr="006D12D9" w:rsidRDefault="006D12D9" w:rsidP="009D3FA3">
      <w:r w:rsidRPr="006D12D9">
        <w:t>The sponsor states that for the remaining Ongoing Safety Concerns, routine risk minimisation activities are sufficient.</w:t>
      </w:r>
    </w:p>
    <w:p w:rsidR="006D12D9" w:rsidRPr="00FB537F" w:rsidRDefault="006D12D9" w:rsidP="009D3FA3">
      <w:pPr>
        <w:pStyle w:val="Heading4"/>
      </w:pPr>
      <w:r w:rsidRPr="00FB537F">
        <w:t>OPR reviewer comment:</w:t>
      </w:r>
    </w:p>
    <w:p w:rsidR="006D12D9" w:rsidRPr="006D12D9" w:rsidRDefault="006D12D9" w:rsidP="009D3FA3">
      <w:r w:rsidRPr="006D12D9">
        <w:t>The sponsor’s conclusion is acceptable.</w:t>
      </w:r>
    </w:p>
    <w:p w:rsidR="006D12D9" w:rsidRPr="00634D55" w:rsidRDefault="006D12D9" w:rsidP="009D3FA3">
      <w:pPr>
        <w:pStyle w:val="Heading4"/>
      </w:pPr>
      <w:bookmarkStart w:id="263" w:name="_Toc268857338"/>
      <w:bookmarkStart w:id="264" w:name="_Toc360542461"/>
      <w:r w:rsidRPr="00634D55">
        <w:t>Potential for medication errors</w:t>
      </w:r>
      <w:bookmarkEnd w:id="263"/>
      <w:bookmarkEnd w:id="264"/>
      <w:r w:rsidR="00634D55">
        <w:t>:</w:t>
      </w:r>
    </w:p>
    <w:p w:rsidR="006D12D9" w:rsidRPr="00634D55" w:rsidRDefault="006D12D9" w:rsidP="009D3FA3">
      <w:r w:rsidRPr="00634D55">
        <w:t>For the purposes of this RMP evaluation different types of medication errors, as suggested by Ferner &amp; Aronson (2006</w:t>
      </w:r>
      <w:r w:rsidR="00C81A95">
        <w:t>)</w:t>
      </w:r>
      <w:r w:rsidR="00355FBD">
        <w:rPr>
          <w:rStyle w:val="FootnoteReference"/>
        </w:rPr>
        <w:footnoteReference w:id="16"/>
      </w:r>
      <w:r w:rsidRPr="00634D55">
        <w:t>, have been considered.</w:t>
      </w:r>
    </w:p>
    <w:p w:rsidR="006D12D9" w:rsidRPr="00FB537F" w:rsidRDefault="006D12D9" w:rsidP="009D3FA3">
      <w:pPr>
        <w:pStyle w:val="Heading4"/>
      </w:pPr>
      <w:r w:rsidRPr="00FB537F">
        <w:t>OPR reviewer comment:</w:t>
      </w:r>
    </w:p>
    <w:p w:rsidR="006D12D9" w:rsidRPr="00634D55" w:rsidRDefault="006D12D9" w:rsidP="009D3FA3">
      <w:r w:rsidRPr="00634D55">
        <w:t>The sponsor’s actions regarding name confusion, labelling and presentation are considered acceptable.</w:t>
      </w:r>
    </w:p>
    <w:p w:rsidR="006D12D9" w:rsidRPr="00634D55" w:rsidRDefault="006D12D9" w:rsidP="009D3FA3">
      <w:pPr>
        <w:pStyle w:val="Heading4"/>
      </w:pPr>
      <w:r w:rsidRPr="00634D55">
        <w:t>Potential for overdose</w:t>
      </w:r>
    </w:p>
    <w:p w:rsidR="006D12D9" w:rsidRPr="00634D55" w:rsidRDefault="006D12D9" w:rsidP="009D3FA3">
      <w:r w:rsidRPr="00634D55">
        <w:t>The risk for overdose is low. In the proposed PI, overdosage and its management have been discussed to a satisfactory standard.</w:t>
      </w:r>
    </w:p>
    <w:p w:rsidR="006D12D9" w:rsidRPr="00634D55" w:rsidRDefault="006D12D9" w:rsidP="009D3FA3">
      <w:pPr>
        <w:pStyle w:val="Heading4"/>
      </w:pPr>
      <w:r w:rsidRPr="00634D55">
        <w:t>Potential for off-label use</w:t>
      </w:r>
    </w:p>
    <w:p w:rsidR="006D12D9" w:rsidRPr="00634D55" w:rsidRDefault="006D12D9" w:rsidP="009D3FA3">
      <w:r w:rsidRPr="00634D55">
        <w:t xml:space="preserve">Macitentan could potentially be used to manage </w:t>
      </w:r>
      <w:r w:rsidR="00503210">
        <w:t>IPF</w:t>
      </w:r>
      <w:r w:rsidRPr="00634D55">
        <w:t xml:space="preserve">. At this stage the use for </w:t>
      </w:r>
      <w:r w:rsidR="00503210">
        <w:t>IPF</w:t>
      </w:r>
      <w:r w:rsidRPr="00634D55">
        <w:t xml:space="preserve"> would be off-label.</w:t>
      </w:r>
    </w:p>
    <w:p w:rsidR="006D12D9" w:rsidRPr="00634D55" w:rsidRDefault="006D12D9" w:rsidP="009D3FA3">
      <w:r w:rsidRPr="00634D55">
        <w:t xml:space="preserve">The proposed indication is adequately described in the proposed PI, and this drug will be almost exclusively prescribed by </w:t>
      </w:r>
      <w:r w:rsidR="00D32A10">
        <w:t>PAH</w:t>
      </w:r>
      <w:r w:rsidRPr="00634D55">
        <w:t xml:space="preserve"> specialists, but there is a potential for off-label use.</w:t>
      </w:r>
    </w:p>
    <w:p w:rsidR="006D12D9" w:rsidRPr="00634D55" w:rsidRDefault="006D12D9" w:rsidP="009D3FA3">
      <w:pPr>
        <w:pStyle w:val="Heading4"/>
      </w:pPr>
      <w:r w:rsidRPr="00634D55">
        <w:t>Potential for paediatric off-label use</w:t>
      </w:r>
    </w:p>
    <w:p w:rsidR="006D12D9" w:rsidRPr="00F30EE0" w:rsidRDefault="006D12D9" w:rsidP="009D3FA3">
      <w:r w:rsidRPr="00634D55">
        <w:t>The sponsor recognises that macitentan is only indicated for adults and children over the age of 12 years. This is reflected in the proposed PI. This is considered acceptable</w:t>
      </w:r>
      <w:r w:rsidRPr="00F30EE0">
        <w:t>.</w:t>
      </w:r>
    </w:p>
    <w:p w:rsidR="00634D55" w:rsidRPr="00F30EE0" w:rsidRDefault="00634D55" w:rsidP="009D3FA3">
      <w:pPr>
        <w:pStyle w:val="Heading3"/>
      </w:pPr>
      <w:bookmarkStart w:id="265" w:name="_Toc360542462"/>
      <w:bookmarkStart w:id="266" w:name="_Toc391645299"/>
      <w:r>
        <w:t xml:space="preserve">Risk minimisation </w:t>
      </w:r>
      <w:r w:rsidRPr="009D3FA3">
        <w:t>plan</w:t>
      </w:r>
      <w:bookmarkEnd w:id="265"/>
      <w:bookmarkEnd w:id="266"/>
    </w:p>
    <w:p w:rsidR="00634D55" w:rsidRPr="009D3FA3" w:rsidRDefault="00634D55" w:rsidP="009D3FA3">
      <w:pPr>
        <w:pStyle w:val="Heading4"/>
      </w:pPr>
      <w:bookmarkStart w:id="267" w:name="_Toc360542463"/>
      <w:r w:rsidRPr="00F30EE0">
        <w:t>Planned actions</w:t>
      </w:r>
      <w:bookmarkEnd w:id="267"/>
    </w:p>
    <w:p w:rsidR="00634D55" w:rsidRPr="00634D55" w:rsidRDefault="00634D55" w:rsidP="009D3FA3">
      <w:r w:rsidRPr="00634D55">
        <w:t>Additional risk minimisation activities are proposed for macitentan.</w:t>
      </w:r>
    </w:p>
    <w:p w:rsidR="00634D55" w:rsidRPr="00634D55" w:rsidRDefault="00634D55" w:rsidP="009D3FA3">
      <w:r w:rsidRPr="00634D55">
        <w:t>The sponsor is planning the following additional risk minimisation activities (see Table</w:t>
      </w:r>
      <w:r w:rsidR="00C81A95">
        <w:t xml:space="preserve"> 8</w:t>
      </w:r>
      <w:r w:rsidRPr="00634D55">
        <w:t>):</w:t>
      </w:r>
    </w:p>
    <w:p w:rsidR="00634D55" w:rsidRPr="00634D55" w:rsidRDefault="00634D55" w:rsidP="009D3FA3">
      <w:pPr>
        <w:pStyle w:val="ListBullet"/>
      </w:pPr>
      <w:r w:rsidRPr="00634D55">
        <w:t xml:space="preserve">Prescribing </w:t>
      </w:r>
      <w:r w:rsidRPr="009D3FA3">
        <w:t>checklist</w:t>
      </w:r>
      <w:r w:rsidRPr="00634D55">
        <w:t>;</w:t>
      </w:r>
    </w:p>
    <w:p w:rsidR="00634D55" w:rsidRPr="00634D55" w:rsidRDefault="00634D55" w:rsidP="00634D55">
      <w:pPr>
        <w:pStyle w:val="ListBullet"/>
      </w:pPr>
      <w:r w:rsidRPr="00634D55">
        <w:t>HCP Brochure; and</w:t>
      </w:r>
    </w:p>
    <w:p w:rsidR="00634D55" w:rsidRPr="00634D55" w:rsidRDefault="00634D55" w:rsidP="009D3FA3">
      <w:pPr>
        <w:pStyle w:val="ListBullet"/>
      </w:pPr>
      <w:r w:rsidRPr="00634D55">
        <w:t>Patient card.</w:t>
      </w:r>
    </w:p>
    <w:p w:rsidR="00634D55" w:rsidRDefault="00634D55" w:rsidP="009D3FA3">
      <w:r w:rsidRPr="00634D55">
        <w:t>Furthermore, in Australia, macitentan will be classified as a Schedule 100 drug,</w:t>
      </w:r>
      <w:r w:rsidR="000329B6">
        <w:t xml:space="preserve"> that is, </w:t>
      </w:r>
      <w:r w:rsidRPr="00634D55">
        <w:t>prescription by PAH specialists only.</w:t>
      </w:r>
    </w:p>
    <w:p w:rsidR="00FB537F" w:rsidRDefault="00FB537F" w:rsidP="00185D90">
      <w:pPr>
        <w:rPr>
          <w:rFonts w:asciiTheme="majorHAnsi" w:hAnsiTheme="majorHAnsi" w:cstheme="minorHAnsi"/>
        </w:rPr>
      </w:pPr>
      <w:r w:rsidRPr="00634D55">
        <w:lastRenderedPageBreak/>
        <w:t>It is noted that the sponsor is planning to evaluate the effectiveness of the additional risk minimisation activities pre- and post</w:t>
      </w:r>
      <w:r>
        <w:t>-</w:t>
      </w:r>
      <w:r w:rsidRPr="00634D55">
        <w:t>launch</w:t>
      </w:r>
      <w:r>
        <w:rPr>
          <w:rFonts w:asciiTheme="majorHAnsi" w:hAnsiTheme="majorHAnsi" w:cstheme="minorHAnsi"/>
        </w:rPr>
        <w:t>.</w:t>
      </w:r>
    </w:p>
    <w:p w:rsidR="00FB537F" w:rsidRPr="00634D55" w:rsidRDefault="00FB537F" w:rsidP="00185D90">
      <w:pPr>
        <w:pStyle w:val="Heading4"/>
      </w:pPr>
      <w:r w:rsidRPr="00634D55">
        <w:t>OPR reviewer comment:</w:t>
      </w:r>
    </w:p>
    <w:p w:rsidR="00FB537F" w:rsidRPr="00634D55" w:rsidRDefault="00FB537F" w:rsidP="00185D90">
      <w:r w:rsidRPr="00634D55">
        <w:t>The additional risk minimisation activities outlined by the sponsor seem reasonable and appropriate, except for some issues outlined below.</w:t>
      </w:r>
    </w:p>
    <w:p w:rsidR="00FB537F" w:rsidRPr="00634D55" w:rsidRDefault="00FB537F" w:rsidP="00185D90">
      <w:r w:rsidRPr="00634D55">
        <w:t>The sponsor is advised to submit the details of the Australian versions of the Prescribing checklist, the HCP Brochure; and Patient card.</w:t>
      </w:r>
    </w:p>
    <w:p w:rsidR="00FB537F" w:rsidRPr="00634D55" w:rsidRDefault="00FB537F" w:rsidP="00185D90">
      <w:r w:rsidRPr="00634D55">
        <w:t>The sponsor should make the results of the additional risk minimisation activity evaluations (pre- and post</w:t>
      </w:r>
      <w:r>
        <w:t>-</w:t>
      </w:r>
      <w:r w:rsidRPr="00634D55">
        <w:t>launch) available within the submitted PSURs.</w:t>
      </w:r>
    </w:p>
    <w:p w:rsidR="00FB537F" w:rsidRPr="00634D55" w:rsidRDefault="00FB537F" w:rsidP="00185D90">
      <w:r w:rsidRPr="00634D55">
        <w:t xml:space="preserve">In regard to the proposed routine risk minimisation activities, it is recommended to the Delegate that the draft </w:t>
      </w:r>
      <w:r>
        <w:t>PI</w:t>
      </w:r>
      <w:r w:rsidRPr="00634D55">
        <w:t xml:space="preserve"> document be revised as follows:</w:t>
      </w:r>
    </w:p>
    <w:p w:rsidR="00FB537F" w:rsidRPr="00634D55" w:rsidRDefault="00FB537F" w:rsidP="00185D90">
      <w:pPr>
        <w:ind w:left="720"/>
      </w:pPr>
      <w:r w:rsidRPr="00634D55">
        <w:t>In the ‘Precautions’ section, the PI should include a statement that macitentan discontinuation should be considered in treatment-related pulmonary veno-occlusive disease (or a statement to that effect).</w:t>
      </w:r>
    </w:p>
    <w:p w:rsidR="00FB537F" w:rsidRPr="00634D55" w:rsidRDefault="00FB537F" w:rsidP="00185D90">
      <w:pPr>
        <w:ind w:left="720"/>
      </w:pPr>
      <w:r w:rsidRPr="00634D55">
        <w:t>In the ‘Adverse Events’ section, the PI should list values for haemoglobin in the more commonly used unit g/L rather than g/dL.</w:t>
      </w:r>
    </w:p>
    <w:p w:rsidR="00FB537F" w:rsidRPr="00634D55" w:rsidRDefault="00FB537F" w:rsidP="00185D90">
      <w:pPr>
        <w:ind w:left="720"/>
      </w:pPr>
      <w:r w:rsidRPr="00634D55">
        <w:t>In the ‘Overdosage’ section, the PI should contain the Poisons Information contact telephone number.</w:t>
      </w:r>
    </w:p>
    <w:p w:rsidR="00FB537F" w:rsidRPr="00634D55" w:rsidRDefault="00FB537F" w:rsidP="00185D90">
      <w:r w:rsidRPr="00634D55">
        <w:t>In regard to the proposed routine risk minimisation activities, the draft consumer medicine information (CMI) document is considered satisfactory.</w:t>
      </w:r>
    </w:p>
    <w:p w:rsidR="00FB537F" w:rsidRPr="00634D55" w:rsidRDefault="00FB537F" w:rsidP="00185D90">
      <w:r w:rsidRPr="00634D55">
        <w:t>In regard to the proposed additional risk minimisation activities, it is recommended to the sponsor to undertake the following:</w:t>
      </w:r>
    </w:p>
    <w:p w:rsidR="00FB537F" w:rsidRPr="00634D55" w:rsidRDefault="00FB537F" w:rsidP="00185D90">
      <w:pPr>
        <w:ind w:left="720"/>
      </w:pPr>
      <w:r w:rsidRPr="00634D55">
        <w:t>On the ‘Opsumit Prescriber Checklist’, the liver function test results should include fields for albumin, ALP, and GGT, to accommodate that intrinsic liver damage may not be shown by abnormal ALT or AST only.</w:t>
      </w:r>
    </w:p>
    <w:p w:rsidR="00FB537F" w:rsidRPr="00634D55" w:rsidRDefault="00FB537F" w:rsidP="00185D90">
      <w:pPr>
        <w:ind w:left="720"/>
      </w:pPr>
      <w:r w:rsidRPr="00634D55">
        <w:t>Establish a patient registry similar to the register for Tracleer (bosentan).</w:t>
      </w:r>
    </w:p>
    <w:p w:rsidR="00634D55" w:rsidRPr="00634D55" w:rsidRDefault="00634D55" w:rsidP="00185D90">
      <w:pPr>
        <w:pStyle w:val="TableTitle"/>
      </w:pPr>
      <w:r w:rsidRPr="00634D55">
        <w:t xml:space="preserve">Table </w:t>
      </w:r>
      <w:r w:rsidR="00C81A95">
        <w:t>8</w:t>
      </w:r>
      <w:r>
        <w:t xml:space="preserve">: </w:t>
      </w:r>
      <w:r w:rsidRPr="00634D55">
        <w:t>Additional risk minimisation activities planned by the sponsor regarding certain safety concerns</w:t>
      </w:r>
    </w:p>
    <w:tbl>
      <w:tblPr>
        <w:tblStyle w:val="TableTGAblue"/>
        <w:tblW w:w="0" w:type="auto"/>
        <w:tblLook w:val="04A0" w:firstRow="1" w:lastRow="0" w:firstColumn="1" w:lastColumn="0" w:noHBand="0" w:noVBand="1"/>
      </w:tblPr>
      <w:tblGrid>
        <w:gridCol w:w="2225"/>
        <w:gridCol w:w="6495"/>
      </w:tblGrid>
      <w:tr w:rsidR="00634D55" w:rsidRPr="00634D55" w:rsidTr="00185D90">
        <w:trPr>
          <w:cnfStyle w:val="100000000000" w:firstRow="1" w:lastRow="0" w:firstColumn="0" w:lastColumn="0" w:oddVBand="0" w:evenVBand="0" w:oddHBand="0" w:evenHBand="0" w:firstRowFirstColumn="0" w:firstRowLastColumn="0" w:lastRowFirstColumn="0" w:lastRowLastColumn="0"/>
        </w:trPr>
        <w:tc>
          <w:tcPr>
            <w:tcW w:w="2225" w:type="dxa"/>
          </w:tcPr>
          <w:p w:rsidR="00634D55" w:rsidRPr="00634D55" w:rsidRDefault="00634D55" w:rsidP="00185D90">
            <w:pPr>
              <w:ind w:left="0" w:right="24"/>
            </w:pPr>
            <w:r w:rsidRPr="00634D55">
              <w:t>Acti</w:t>
            </w:r>
            <w:r>
              <w:t>vi</w:t>
            </w:r>
            <w:r w:rsidRPr="00634D55">
              <w:t>ty</w:t>
            </w:r>
          </w:p>
        </w:tc>
        <w:tc>
          <w:tcPr>
            <w:tcW w:w="6495" w:type="dxa"/>
          </w:tcPr>
          <w:p w:rsidR="00634D55" w:rsidRPr="00634D55" w:rsidRDefault="00634D55" w:rsidP="00185D90">
            <w:pPr>
              <w:ind w:left="43" w:right="0"/>
            </w:pPr>
            <w:r w:rsidRPr="00634D55">
              <w:t>Aims</w:t>
            </w:r>
          </w:p>
        </w:tc>
      </w:tr>
      <w:tr w:rsidR="00634D55" w:rsidRPr="00634D55" w:rsidTr="00185D90">
        <w:tc>
          <w:tcPr>
            <w:tcW w:w="2225" w:type="dxa"/>
          </w:tcPr>
          <w:p w:rsidR="00634D55" w:rsidRPr="00634D55" w:rsidRDefault="00634D55" w:rsidP="00185D90">
            <w:pPr>
              <w:ind w:left="0" w:right="24"/>
            </w:pPr>
            <w:r w:rsidRPr="00634D55">
              <w:t>Prescribing checklist</w:t>
            </w:r>
          </w:p>
        </w:tc>
        <w:tc>
          <w:tcPr>
            <w:tcW w:w="6495" w:type="dxa"/>
          </w:tcPr>
          <w:p w:rsidR="00634D55" w:rsidRPr="00634D55" w:rsidRDefault="00634D55" w:rsidP="00185D90">
            <w:pPr>
              <w:ind w:left="43" w:right="0"/>
            </w:pPr>
            <w:r w:rsidRPr="00634D55">
              <w:t>To ensure appropriate usage of Opsumit by reminding HCP of the contra-indications, warnings and precautions, and of the need to provide patients with appropriate information regarding the product.</w:t>
            </w:r>
          </w:p>
          <w:p w:rsidR="00634D55" w:rsidRPr="00634D55" w:rsidRDefault="00634D55" w:rsidP="00185D90">
            <w:pPr>
              <w:ind w:left="43" w:right="0"/>
            </w:pPr>
            <w:r w:rsidRPr="00634D55">
              <w:t>To remind HCP to dispense the patient card.</w:t>
            </w:r>
          </w:p>
        </w:tc>
      </w:tr>
      <w:tr w:rsidR="00634D55" w:rsidRPr="00634D55" w:rsidTr="00185D90">
        <w:tc>
          <w:tcPr>
            <w:tcW w:w="2225" w:type="dxa"/>
          </w:tcPr>
          <w:p w:rsidR="00634D55" w:rsidRPr="00634D55" w:rsidRDefault="00634D55" w:rsidP="00185D90">
            <w:pPr>
              <w:ind w:left="0" w:right="24"/>
            </w:pPr>
            <w:r w:rsidRPr="00634D55">
              <w:t>HCP Brochure</w:t>
            </w:r>
          </w:p>
        </w:tc>
        <w:tc>
          <w:tcPr>
            <w:tcW w:w="6495" w:type="dxa"/>
          </w:tcPr>
          <w:p w:rsidR="00634D55" w:rsidRPr="00634D55" w:rsidRDefault="00634D55" w:rsidP="00185D90">
            <w:pPr>
              <w:ind w:left="43" w:right="0"/>
            </w:pPr>
            <w:r w:rsidRPr="00634D55">
              <w:t xml:space="preserve">To educate prescribers and other HCPs on key safety information related to Opsumit (contraindications, warnings, supportive information regarding contraception), on the need to have appropriate communication with the patient prior to initiation of and during treatment, and about the need to report pregnancies using pregnancy </w:t>
            </w:r>
            <w:r w:rsidR="00A54191">
              <w:t>AE</w:t>
            </w:r>
            <w:r w:rsidRPr="00634D55">
              <w:t xml:space="preserve"> forms.</w:t>
            </w:r>
          </w:p>
          <w:p w:rsidR="00634D55" w:rsidRPr="00634D55" w:rsidRDefault="00634D55" w:rsidP="00185D90">
            <w:pPr>
              <w:ind w:left="43" w:right="0"/>
            </w:pPr>
            <w:r w:rsidRPr="00634D55">
              <w:t>To inform prescribers and other HCPs about symptoms of potential adverse drug reactions (ADRs) and on the need to report them.</w:t>
            </w:r>
          </w:p>
        </w:tc>
      </w:tr>
      <w:tr w:rsidR="00634D55" w:rsidRPr="00634D55" w:rsidTr="00185D90">
        <w:tc>
          <w:tcPr>
            <w:tcW w:w="2225" w:type="dxa"/>
          </w:tcPr>
          <w:p w:rsidR="00634D55" w:rsidRPr="00634D55" w:rsidRDefault="00634D55" w:rsidP="00185D90">
            <w:pPr>
              <w:ind w:left="0" w:right="24"/>
            </w:pPr>
            <w:r w:rsidRPr="00634D55">
              <w:lastRenderedPageBreak/>
              <w:t>Patient card</w:t>
            </w:r>
          </w:p>
        </w:tc>
        <w:tc>
          <w:tcPr>
            <w:tcW w:w="6495" w:type="dxa"/>
          </w:tcPr>
          <w:p w:rsidR="00634D55" w:rsidRPr="00634D55" w:rsidRDefault="00634D55" w:rsidP="00185D90">
            <w:pPr>
              <w:ind w:left="43" w:right="0"/>
            </w:pPr>
            <w:r w:rsidRPr="00634D55">
              <w:t>To educate patients about the potential risk of teratogenicity associated with Opsumit treatment.</w:t>
            </w:r>
          </w:p>
          <w:p w:rsidR="00634D55" w:rsidRPr="00634D55" w:rsidRDefault="00634D55" w:rsidP="00185D90">
            <w:pPr>
              <w:ind w:left="43" w:right="0"/>
            </w:pPr>
            <w:r w:rsidRPr="00634D55">
              <w:t>To inform patients where to obtain more information about their treatment.</w:t>
            </w:r>
          </w:p>
          <w:p w:rsidR="00634D55" w:rsidRPr="00634D55" w:rsidRDefault="00634D55" w:rsidP="00185D90">
            <w:pPr>
              <w:ind w:left="43" w:right="0"/>
            </w:pPr>
            <w:r w:rsidRPr="00634D55">
              <w:t>To educate patients on the need to report immediately to their prescribing physician any pregnancy that may occur, as well as symptoms and signs of any potential ADR.</w:t>
            </w:r>
          </w:p>
        </w:tc>
      </w:tr>
    </w:tbl>
    <w:p w:rsidR="008E7846" w:rsidRPr="00185D90" w:rsidRDefault="008E7846" w:rsidP="00185D90">
      <w:pPr>
        <w:pStyle w:val="Heading4"/>
      </w:pPr>
      <w:bookmarkStart w:id="268" w:name="_Toc247691527"/>
      <w:r>
        <w:rPr>
          <w:lang w:eastAsia="en-AU"/>
        </w:rPr>
        <w:t xml:space="preserve">Summary of </w:t>
      </w:r>
      <w:r w:rsidR="003A7F6C">
        <w:rPr>
          <w:lang w:eastAsia="en-AU"/>
        </w:rPr>
        <w:t>r</w:t>
      </w:r>
      <w:r>
        <w:rPr>
          <w:lang w:eastAsia="en-AU"/>
        </w:rPr>
        <w:t>ecommendations</w:t>
      </w:r>
    </w:p>
    <w:p w:rsidR="00634D55" w:rsidRPr="00634D55" w:rsidRDefault="00634D55" w:rsidP="00185D90">
      <w:r w:rsidRPr="00634D55">
        <w:t>The OPR provides these recommendations in the context that the submitted RMP (EU Risk Management Plan (EU-RMP) U12-1933-01 Version 1.0 (dated 26/07/2012, DLP 21/03/2012) with Australian Specific Annex (ASA) Version 1.0 (dated 10/09/2012)) is supportive to the application; the implementation of a RMP satisfactory to the TGA is imposed as a condition of registration; the submitted EU-RMP is applicable without modification in Australia unless so qualified; and the draft</w:t>
      </w:r>
      <w:r w:rsidR="0011222B">
        <w:t xml:space="preserve"> PI</w:t>
      </w:r>
      <w:r w:rsidRPr="00634D55">
        <w:t xml:space="preserve"> and </w:t>
      </w:r>
      <w:r w:rsidR="0011222B">
        <w:t>CMI</w:t>
      </w:r>
      <w:r w:rsidRPr="00634D55">
        <w:t xml:space="preserve"> documents should NOT be revised until the Delegates Overview has been received:</w:t>
      </w:r>
    </w:p>
    <w:p w:rsidR="00634D55" w:rsidRPr="00634D55" w:rsidRDefault="00634D55" w:rsidP="00185D90">
      <w:pPr>
        <w:pStyle w:val="Heading4"/>
      </w:pPr>
      <w:r w:rsidRPr="00634D55">
        <w:t>Further safety considerations</w:t>
      </w:r>
    </w:p>
    <w:p w:rsidR="00634D55" w:rsidRPr="00634D55" w:rsidRDefault="00634D55" w:rsidP="00185D90">
      <w:pPr>
        <w:pStyle w:val="Numberbullet0"/>
        <w:numPr>
          <w:ilvl w:val="0"/>
          <w:numId w:val="9"/>
        </w:numPr>
      </w:pPr>
      <w:r w:rsidRPr="00634D55">
        <w:t xml:space="preserve">Safety considerations may be raised by the nonclinical and clinical evaluators through the consolidated </w:t>
      </w:r>
      <w:r w:rsidR="00C81A95">
        <w:t>request for further information</w:t>
      </w:r>
      <w:r w:rsidRPr="00634D55">
        <w:t xml:space="preserve"> and/or the Nonclinical and Clinical Evaluation Reports respectively. It is important to ensure that the information provided in response to these includes a consideration of the relevance for the R</w:t>
      </w:r>
      <w:r w:rsidR="00C81A95">
        <w:t>M</w:t>
      </w:r>
      <w:r w:rsidRPr="00634D55">
        <w:t>P, and any specific information needed to address this issue in the RMP. For any safety considerations so raised, please provide information that is relevant and necessary to address the issue in the RMP.</w:t>
      </w:r>
    </w:p>
    <w:p w:rsidR="00634D55" w:rsidRPr="003D0F84" w:rsidRDefault="00634D55" w:rsidP="00185D90">
      <w:r w:rsidRPr="003D0F84">
        <w:t>Unless the sponsor can provide compelling justification against any of the following recommendations, the following should be considered:</w:t>
      </w:r>
    </w:p>
    <w:p w:rsidR="00634D55" w:rsidRPr="003D0F84" w:rsidRDefault="00634D55" w:rsidP="00185D90">
      <w:pPr>
        <w:pStyle w:val="Heading4"/>
      </w:pPr>
      <w:r w:rsidRPr="003D0F84">
        <w:t>Recommendations in regard to ongoing safety concerns</w:t>
      </w:r>
    </w:p>
    <w:p w:rsidR="00634D55" w:rsidRPr="003D0F84" w:rsidRDefault="00634D55" w:rsidP="00185D90">
      <w:pPr>
        <w:pStyle w:val="Numberbullet0"/>
      </w:pPr>
      <w:r w:rsidRPr="003D0F84">
        <w:t xml:space="preserve">The sponsor should add the following </w:t>
      </w:r>
      <w:r w:rsidRPr="00185D90">
        <w:t>as</w:t>
      </w:r>
      <w:r w:rsidRPr="003D0F84">
        <w:t xml:space="preserve"> Ongoing Safety Concerns:</w:t>
      </w:r>
    </w:p>
    <w:p w:rsidR="00634D55" w:rsidRPr="003D0F84" w:rsidRDefault="00634D55" w:rsidP="00185D90">
      <w:pPr>
        <w:pStyle w:val="Numberbullet2"/>
      </w:pPr>
      <w:r w:rsidRPr="003D0F84">
        <w:t>Important Potential Risks:</w:t>
      </w:r>
    </w:p>
    <w:p w:rsidR="00634D55" w:rsidRPr="003D0F84" w:rsidRDefault="00634D55" w:rsidP="00185D90">
      <w:pPr>
        <w:pStyle w:val="ListBullet3"/>
      </w:pPr>
      <w:r w:rsidRPr="003D0F84">
        <w:t>Vasculitis;</w:t>
      </w:r>
    </w:p>
    <w:p w:rsidR="00634D55" w:rsidRPr="003D0F84" w:rsidRDefault="00634D55" w:rsidP="00185D90">
      <w:pPr>
        <w:pStyle w:val="ListBullet3"/>
      </w:pPr>
      <w:r w:rsidRPr="003D0F84">
        <w:t>Reduction in male fertility; and</w:t>
      </w:r>
    </w:p>
    <w:p w:rsidR="00634D55" w:rsidRPr="008F633C" w:rsidRDefault="00634D55" w:rsidP="003D0F84">
      <w:pPr>
        <w:pStyle w:val="ListBullet3"/>
        <w:rPr>
          <w:lang w:val="pt-PT"/>
        </w:rPr>
      </w:pPr>
      <w:r w:rsidRPr="008F633C">
        <w:rPr>
          <w:lang w:val="pt-PT"/>
        </w:rPr>
        <w:t>Peripheral oedema/veno-occlusive disease.</w:t>
      </w:r>
    </w:p>
    <w:p w:rsidR="00634D55" w:rsidRPr="003D0F84" w:rsidRDefault="00634D55" w:rsidP="00185D90">
      <w:pPr>
        <w:pStyle w:val="Numberbullet2"/>
      </w:pPr>
      <w:r w:rsidRPr="003D0F84">
        <w:t>Important Missing Information:</w:t>
      </w:r>
    </w:p>
    <w:p w:rsidR="00634D55" w:rsidRPr="003D0F84" w:rsidRDefault="00634D55" w:rsidP="00185D90">
      <w:pPr>
        <w:pStyle w:val="ListBullet3"/>
      </w:pPr>
      <w:r w:rsidRPr="003D0F84">
        <w:t>PAH patients with HIV infection; and</w:t>
      </w:r>
    </w:p>
    <w:p w:rsidR="00634D55" w:rsidRPr="003D0F84" w:rsidRDefault="00634D55" w:rsidP="003D0F84">
      <w:pPr>
        <w:pStyle w:val="ListBullet3"/>
      </w:pPr>
      <w:r w:rsidRPr="003D0F84">
        <w:t>PAH patients with chronic haemolytic anaemia.</w:t>
      </w:r>
    </w:p>
    <w:p w:rsidR="00634D55" w:rsidRPr="003D0F84" w:rsidRDefault="00634D55" w:rsidP="00185D90">
      <w:pPr>
        <w:pStyle w:val="Numberbullet0"/>
      </w:pPr>
      <w:r w:rsidRPr="003D0F84">
        <w:t>It is noted the sponsor had conducted a trial in healthy volunteers to assess male fertility. It is requested the sponsor submit details of the study (including, but not limited to study design, results and interpretation of the results) to assess whether reduction in male fertility should be an Ongoing Safety Concern.</w:t>
      </w:r>
    </w:p>
    <w:p w:rsidR="00634D55" w:rsidRPr="003D0F84" w:rsidRDefault="00634D55" w:rsidP="00906C76">
      <w:pPr>
        <w:pStyle w:val="Heading4"/>
      </w:pPr>
      <w:r w:rsidRPr="003D0F84">
        <w:lastRenderedPageBreak/>
        <w:t>Recommendations in regard to pharmacovigilance</w:t>
      </w:r>
      <w:r w:rsidR="00906C76">
        <w:t xml:space="preserve"> activities</w:t>
      </w:r>
    </w:p>
    <w:p w:rsidR="00634D55" w:rsidRPr="003D0F84" w:rsidRDefault="00634D55" w:rsidP="00906C76">
      <w:pPr>
        <w:pStyle w:val="Numberbullet0"/>
      </w:pPr>
      <w:r w:rsidRPr="003D0F84">
        <w:t>It is suggested the sponsor conduct relevant and appropriate additional pharmacovigilance activities to address the following Ongoing Safety Concerns:</w:t>
      </w:r>
    </w:p>
    <w:p w:rsidR="00634D55" w:rsidRPr="003D0F84" w:rsidRDefault="00634D55" w:rsidP="00906C76">
      <w:pPr>
        <w:pStyle w:val="ListBullet2"/>
      </w:pPr>
      <w:r w:rsidRPr="003D0F84">
        <w:t>Hepatotoxicity;</w:t>
      </w:r>
    </w:p>
    <w:p w:rsidR="00634D55" w:rsidRPr="003D0F84" w:rsidRDefault="00634D55" w:rsidP="00906C76">
      <w:pPr>
        <w:pStyle w:val="ListBullet2"/>
      </w:pPr>
      <w:r w:rsidRPr="003D0F84">
        <w:t>Thromb</w:t>
      </w:r>
      <w:r w:rsidR="00F959CE">
        <w:t>o</w:t>
      </w:r>
      <w:r w:rsidRPr="003D0F84">
        <w:t>cytopaenia/Leukopaenia;</w:t>
      </w:r>
    </w:p>
    <w:p w:rsidR="00634D55" w:rsidRPr="003D0F84" w:rsidRDefault="00634D55" w:rsidP="00906C76">
      <w:pPr>
        <w:pStyle w:val="ListBullet2"/>
      </w:pPr>
      <w:r w:rsidRPr="003D0F84">
        <w:t>PAH patients with moderate to severe hepatic impairment;</w:t>
      </w:r>
    </w:p>
    <w:p w:rsidR="00634D55" w:rsidRPr="003D0F84" w:rsidRDefault="00634D55" w:rsidP="00906C76">
      <w:pPr>
        <w:pStyle w:val="ListBullet2"/>
      </w:pPr>
      <w:r w:rsidRPr="003D0F84">
        <w:t>PAH patients with severe renal impairment;</w:t>
      </w:r>
    </w:p>
    <w:p w:rsidR="00634D55" w:rsidRPr="003D0F84" w:rsidRDefault="00634D55" w:rsidP="00906C76">
      <w:pPr>
        <w:pStyle w:val="ListBullet2"/>
      </w:pPr>
      <w:r w:rsidRPr="003D0F84">
        <w:t>PAH patients with HIV infection; and</w:t>
      </w:r>
    </w:p>
    <w:p w:rsidR="00634D55" w:rsidRPr="003D0F84" w:rsidRDefault="00634D55" w:rsidP="00906C76">
      <w:pPr>
        <w:pStyle w:val="ListBullet2"/>
      </w:pPr>
      <w:r w:rsidRPr="003D0F84">
        <w:t>PAH patients with chronic haemolytic anaemia.</w:t>
      </w:r>
    </w:p>
    <w:p w:rsidR="003D0F84" w:rsidRPr="003D0F84" w:rsidRDefault="003D0F84" w:rsidP="00906C76">
      <w:pPr>
        <w:pStyle w:val="Heading4"/>
      </w:pPr>
      <w:r w:rsidRPr="003D0F84">
        <w:t xml:space="preserve">Recommendations in regard to risk minimisation activities </w:t>
      </w:r>
    </w:p>
    <w:p w:rsidR="003D0F84" w:rsidRPr="003D0F84" w:rsidRDefault="003D0F84" w:rsidP="00906C76">
      <w:pPr>
        <w:pStyle w:val="Numberbullet0"/>
      </w:pPr>
      <w:r w:rsidRPr="003D0F84">
        <w:t xml:space="preserve">The sponsor is advised to submit the details of the </w:t>
      </w:r>
      <w:r w:rsidRPr="00906C76">
        <w:t>Australian</w:t>
      </w:r>
      <w:r w:rsidRPr="003D0F84">
        <w:t xml:space="preserve"> versions of the Prescribing checklist, the HCP Brochure; and Patient card.</w:t>
      </w:r>
    </w:p>
    <w:p w:rsidR="003D0F84" w:rsidRPr="003D0F84" w:rsidRDefault="003D0F84" w:rsidP="00906C76">
      <w:pPr>
        <w:pStyle w:val="Numberbullet0"/>
      </w:pPr>
      <w:r w:rsidRPr="003D0F84">
        <w:t>The sponsor should make the results of the additional risk minimisation activity evaluations (pre- and post</w:t>
      </w:r>
      <w:r>
        <w:t>-</w:t>
      </w:r>
      <w:r w:rsidRPr="003D0F84">
        <w:t>launch) available within the submitted PSURs.</w:t>
      </w:r>
    </w:p>
    <w:p w:rsidR="003D0F84" w:rsidRPr="003D0F84" w:rsidRDefault="003D0F84" w:rsidP="00906C76">
      <w:pPr>
        <w:pStyle w:val="Numberbullet0"/>
      </w:pPr>
      <w:r w:rsidRPr="003D0F84">
        <w:t xml:space="preserve">In regard to the proposed routine risk minimisation </w:t>
      </w:r>
      <w:r w:rsidRPr="00906C76">
        <w:t>activities</w:t>
      </w:r>
      <w:r w:rsidRPr="003D0F84">
        <w:t xml:space="preserve">, it is recommended to the Delegate that the draft </w:t>
      </w:r>
      <w:r w:rsidR="0011222B">
        <w:t>PI</w:t>
      </w:r>
      <w:r w:rsidRPr="003D0F84">
        <w:t xml:space="preserve"> document be revised as follows:</w:t>
      </w:r>
    </w:p>
    <w:p w:rsidR="003D0F84" w:rsidRPr="003D0F84" w:rsidRDefault="003D0F84" w:rsidP="00906C76">
      <w:pPr>
        <w:pStyle w:val="Numberbullet2"/>
      </w:pPr>
      <w:r w:rsidRPr="003D0F84">
        <w:t xml:space="preserve">In the ‘Precautions’ section, the PI should include a </w:t>
      </w:r>
      <w:r w:rsidRPr="00906C76">
        <w:t>statement</w:t>
      </w:r>
      <w:r w:rsidRPr="003D0F84">
        <w:t xml:space="preserve"> that macitentan discontinuation should be considered in treatment-related pulmonary veno-occlusive disease (or a statement to that effect).</w:t>
      </w:r>
    </w:p>
    <w:p w:rsidR="003D0F84" w:rsidRPr="003D0F84" w:rsidRDefault="003D0F84" w:rsidP="00906C76">
      <w:pPr>
        <w:pStyle w:val="Numberbullet2"/>
      </w:pPr>
      <w:r w:rsidRPr="003D0F84">
        <w:t>In the ‘Adverse Events’ section, the PI should list values for haemoglobin in the more commonly used unit g/L rather than g/dL.</w:t>
      </w:r>
    </w:p>
    <w:p w:rsidR="003D0F84" w:rsidRPr="003D0F84" w:rsidRDefault="003D0F84" w:rsidP="00906C76">
      <w:pPr>
        <w:pStyle w:val="Numberbullet2"/>
      </w:pPr>
      <w:r w:rsidRPr="003D0F84">
        <w:t xml:space="preserve">In the ‘Overdosage’ section, the PI should contain the </w:t>
      </w:r>
      <w:r w:rsidRPr="00906C76">
        <w:t>Poisons</w:t>
      </w:r>
      <w:r w:rsidRPr="003D0F84">
        <w:t xml:space="preserve"> Information contact telephone number.</w:t>
      </w:r>
    </w:p>
    <w:p w:rsidR="003D0F84" w:rsidRPr="003D0F84" w:rsidRDefault="003D0F84" w:rsidP="00906C76">
      <w:pPr>
        <w:pStyle w:val="Numberbullet0"/>
      </w:pPr>
      <w:r w:rsidRPr="003D0F84">
        <w:t xml:space="preserve">In regard to the proposed additional risk minimisation </w:t>
      </w:r>
      <w:r w:rsidRPr="00906C76">
        <w:t>activities</w:t>
      </w:r>
      <w:r w:rsidRPr="003D0F84">
        <w:t>, it is recommended to the sponsor to undertake the following:</w:t>
      </w:r>
    </w:p>
    <w:p w:rsidR="003D0F84" w:rsidRPr="003D0F84" w:rsidRDefault="003D0F84" w:rsidP="00906C76">
      <w:pPr>
        <w:pStyle w:val="Numberbullet2"/>
      </w:pPr>
      <w:r w:rsidRPr="003D0F84">
        <w:t>On the ‘Opsumit Prescriber Checklist’, the liver function test results should include fields for albumin, ALP, and GGT, to accommodate that intrinsic liver damage may not be shown by abnormal ALT or AST only.</w:t>
      </w:r>
    </w:p>
    <w:p w:rsidR="003D0F84" w:rsidRDefault="003D0F84" w:rsidP="00906C76">
      <w:pPr>
        <w:pStyle w:val="Numberbullet2"/>
      </w:pPr>
      <w:r w:rsidRPr="003D0F84">
        <w:t xml:space="preserve">Establish a patient registry similar to the register for </w:t>
      </w:r>
      <w:r w:rsidRPr="00906C76">
        <w:t>Tracleer</w:t>
      </w:r>
      <w:r w:rsidRPr="003D0F84">
        <w:t xml:space="preserve"> (bosentan).</w:t>
      </w:r>
    </w:p>
    <w:p w:rsidR="00CB65BF" w:rsidRPr="00906C76" w:rsidRDefault="00CB65BF" w:rsidP="00906C76">
      <w:pPr>
        <w:pStyle w:val="Heading3"/>
      </w:pPr>
      <w:bookmarkStart w:id="269" w:name="_Toc391645300"/>
      <w:r>
        <w:t>Second round risk management plan advice</w:t>
      </w:r>
      <w:bookmarkEnd w:id="269"/>
    </w:p>
    <w:p w:rsidR="00CB65BF" w:rsidRDefault="00CB65BF" w:rsidP="00F30733">
      <w:r w:rsidRPr="00CB65BF">
        <w:t xml:space="preserve">Table </w:t>
      </w:r>
      <w:r w:rsidR="00F73FD3">
        <w:t>9</w:t>
      </w:r>
      <w:r w:rsidRPr="00CB65BF">
        <w:t xml:space="preserve"> seeks to reconcile issues identified in the RMP evaluation report for the above submission with consideration of the following documents</w:t>
      </w:r>
      <w:r>
        <w:t>:</w:t>
      </w:r>
    </w:p>
    <w:p w:rsidR="00CB65BF" w:rsidRDefault="00CB65BF" w:rsidP="00F30733">
      <w:pPr>
        <w:pStyle w:val="Numberbullet0"/>
        <w:numPr>
          <w:ilvl w:val="0"/>
          <w:numId w:val="16"/>
        </w:numPr>
      </w:pPr>
      <w:r>
        <w:t xml:space="preserve">EU Risk Management Plan (EU-RMP) </w:t>
      </w:r>
      <w:r w:rsidRPr="00F30733">
        <w:t>Version</w:t>
      </w:r>
      <w:r>
        <w:t xml:space="preserve"> 3 (dated 12/08/2013, DLP 26/04/2012 with Australian Specific Annes (ASA) Version 1.0 (dated 22/08/2013).</w:t>
      </w:r>
    </w:p>
    <w:p w:rsidR="00CB65BF" w:rsidRDefault="00CB65BF" w:rsidP="00F30733">
      <w:pPr>
        <w:pStyle w:val="Numberbullet0"/>
        <w:numPr>
          <w:ilvl w:val="0"/>
          <w:numId w:val="16"/>
        </w:numPr>
      </w:pPr>
      <w:r>
        <w:t xml:space="preserve">Sponsor’s response to the TGA request for </w:t>
      </w:r>
      <w:r w:rsidRPr="00F30733">
        <w:t>further</w:t>
      </w:r>
      <w:r>
        <w:t xml:space="preserve"> information, dated 21 August 2013.</w:t>
      </w:r>
    </w:p>
    <w:p w:rsidR="00CB65BF" w:rsidRDefault="00CB65BF" w:rsidP="00F30733">
      <w:pPr>
        <w:pStyle w:val="Numberbullet0"/>
        <w:numPr>
          <w:ilvl w:val="0"/>
          <w:numId w:val="16"/>
        </w:numPr>
      </w:pPr>
      <w:r>
        <w:t>OMA Clinical Evaluation Report (first round dated 19 June 2013; second round dated 27 September 2013.</w:t>
      </w:r>
    </w:p>
    <w:p w:rsidR="00CB65BF" w:rsidRDefault="00CB65BF" w:rsidP="00F30733">
      <w:pPr>
        <w:pStyle w:val="Numberbullet0"/>
        <w:numPr>
          <w:ilvl w:val="0"/>
          <w:numId w:val="16"/>
        </w:numPr>
      </w:pPr>
      <w:r>
        <w:t>OSE, Non-clinical Evaluation Report (NCER), (dated 20 September 2013).</w:t>
      </w:r>
    </w:p>
    <w:p w:rsidR="00CB65BF" w:rsidRDefault="00CB65BF" w:rsidP="00F30733">
      <w:r>
        <w:t>It is considered that the sponsor’s response to the TGA request for further information has adequately addressed some of the issues identified in the RMP evaluation report. The outstanding issues</w:t>
      </w:r>
      <w:r w:rsidR="0098062B">
        <w:t xml:space="preserve"> are specified in </w:t>
      </w:r>
      <w:r w:rsidR="00F73FD3">
        <w:t>T</w:t>
      </w:r>
      <w:r w:rsidR="0098062B">
        <w:t xml:space="preserve">able </w:t>
      </w:r>
      <w:r w:rsidR="00F73FD3">
        <w:t>9</w:t>
      </w:r>
      <w:r w:rsidR="0098062B">
        <w:t>. Additional recommendations have been made.</w:t>
      </w:r>
    </w:p>
    <w:p w:rsidR="00754215" w:rsidRDefault="00754215" w:rsidP="00F30733">
      <w:pPr>
        <w:pStyle w:val="TableTitle"/>
      </w:pPr>
      <w:r>
        <w:lastRenderedPageBreak/>
        <w:t xml:space="preserve">Table </w:t>
      </w:r>
      <w:r w:rsidR="00F73FD3">
        <w:t>9</w:t>
      </w:r>
      <w:r>
        <w:t>: Reconciliation of issues outlined in the RMP report</w:t>
      </w:r>
    </w:p>
    <w:tbl>
      <w:tblPr>
        <w:tblStyle w:val="TableTGAblue"/>
        <w:tblW w:w="5000" w:type="pct"/>
        <w:jc w:val="center"/>
        <w:tblLayout w:type="fixed"/>
        <w:tblLook w:val="04A0" w:firstRow="1" w:lastRow="0" w:firstColumn="1" w:lastColumn="0" w:noHBand="0" w:noVBand="1"/>
      </w:tblPr>
      <w:tblGrid>
        <w:gridCol w:w="2405"/>
        <w:gridCol w:w="4046"/>
        <w:gridCol w:w="2269"/>
      </w:tblGrid>
      <w:tr w:rsidR="00FA1444" w:rsidRPr="007C75D1" w:rsidTr="005A1E8F">
        <w:trPr>
          <w:cnfStyle w:val="100000000000" w:firstRow="1" w:lastRow="0" w:firstColumn="0" w:lastColumn="0" w:oddVBand="0" w:evenVBand="0" w:oddHBand="0" w:evenHBand="0" w:firstRowFirstColumn="0" w:firstRowLastColumn="0" w:lastRowFirstColumn="0" w:lastRowLastColumn="0"/>
          <w:jc w:val="center"/>
        </w:trPr>
        <w:tc>
          <w:tcPr>
            <w:tcW w:w="1379" w:type="pct"/>
            <w:noWrap/>
          </w:tcPr>
          <w:p w:rsidR="00FA1444" w:rsidRPr="007C75D1" w:rsidRDefault="00FA1444" w:rsidP="00D17D73">
            <w:pPr>
              <w:ind w:left="0" w:right="0"/>
            </w:pPr>
            <w:r w:rsidRPr="007C75D1">
              <w:t>Recommendation in RMP evaluation report</w:t>
            </w:r>
          </w:p>
        </w:tc>
        <w:tc>
          <w:tcPr>
            <w:tcW w:w="2320" w:type="pct"/>
            <w:noWrap/>
          </w:tcPr>
          <w:p w:rsidR="00FA1444" w:rsidRPr="007C75D1" w:rsidRDefault="00FA1444" w:rsidP="00D17D73">
            <w:pPr>
              <w:ind w:left="5" w:right="-2"/>
            </w:pPr>
            <w:r w:rsidRPr="007C75D1">
              <w:t>Sponsor’s response (or summary of the response)</w:t>
            </w:r>
          </w:p>
        </w:tc>
        <w:tc>
          <w:tcPr>
            <w:tcW w:w="1301" w:type="pct"/>
            <w:noWrap/>
          </w:tcPr>
          <w:p w:rsidR="00FA1444" w:rsidRPr="007C75D1" w:rsidRDefault="00FA1444" w:rsidP="00D17D73">
            <w:pPr>
              <w:ind w:left="70" w:right="0"/>
            </w:pPr>
            <w:r w:rsidRPr="007C75D1">
              <w:t>OPR evaluator’s comment</w:t>
            </w:r>
          </w:p>
        </w:tc>
      </w:tr>
      <w:tr w:rsidR="00FA1444" w:rsidRPr="007C75D1" w:rsidTr="005A1E8F">
        <w:trPr>
          <w:jc w:val="center"/>
        </w:trPr>
        <w:tc>
          <w:tcPr>
            <w:tcW w:w="1379"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FA1444" w:rsidRPr="00126C75" w:rsidRDefault="00FA1444" w:rsidP="00D17D73">
            <w:pPr>
              <w:ind w:left="0" w:right="0"/>
            </w:pPr>
            <w:r w:rsidRPr="00126C75">
              <w:t>Safety considerations may be raised by the nonclinical and clinical evaluators through the consolidated section 31 request and/or the Nonclinical and Clinical Evaluation Reports respectively. It is important to ensure that the information provided in response to these includes a consideration of the relevance for the R</w:t>
            </w:r>
            <w:r w:rsidR="00C81A95">
              <w:t>MP</w:t>
            </w:r>
            <w:r w:rsidRPr="00126C75">
              <w:t>, and any specific information needed to address this issue in the RMP. For any safety considerations so raised, please provide information that is relevant and necessary to address the issue in the RMP.</w:t>
            </w:r>
          </w:p>
        </w:tc>
        <w:tc>
          <w:tcPr>
            <w:tcW w:w="232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FA1444" w:rsidRPr="00FB537F" w:rsidRDefault="00FA1444" w:rsidP="00D17D73">
            <w:pPr>
              <w:ind w:left="5" w:right="-2"/>
            </w:pPr>
            <w:r w:rsidRPr="00FB537F">
              <w:t>‘Point acknowledged. Nonclinical and Clinical Evaluation Reports have not been received at the time of writing this S31 response.’</w:t>
            </w:r>
          </w:p>
        </w:tc>
        <w:tc>
          <w:tcPr>
            <w:tcW w:w="1301"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FA1444" w:rsidRPr="00126C75" w:rsidRDefault="00FA1444" w:rsidP="00D17D73">
            <w:pPr>
              <w:ind w:left="70" w:right="0"/>
            </w:pPr>
            <w:r w:rsidRPr="00126C75">
              <w:t>This is considered acceptable.</w:t>
            </w:r>
          </w:p>
        </w:tc>
      </w:tr>
      <w:tr w:rsidR="00FA1444" w:rsidRPr="00153CDE" w:rsidTr="005A1E8F">
        <w:trPr>
          <w:jc w:val="center"/>
        </w:trPr>
        <w:tc>
          <w:tcPr>
            <w:tcW w:w="1379"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FA1444" w:rsidRPr="00126C75" w:rsidRDefault="00FA1444" w:rsidP="00D17D73">
            <w:pPr>
              <w:ind w:left="0" w:right="0"/>
            </w:pPr>
            <w:r w:rsidRPr="00126C75">
              <w:t>The sponsor should add the following as Ongoing Safety Concerns:</w:t>
            </w:r>
          </w:p>
          <w:p w:rsidR="00FA1444" w:rsidRPr="00126C75" w:rsidRDefault="00FA1444" w:rsidP="00D17D73">
            <w:pPr>
              <w:ind w:left="0" w:right="0"/>
            </w:pPr>
            <w:r w:rsidRPr="00126C75">
              <w:t>Important Potential Risks:</w:t>
            </w:r>
          </w:p>
          <w:p w:rsidR="00FA1444" w:rsidRPr="00126C75" w:rsidRDefault="00FA1444" w:rsidP="00D17D73">
            <w:pPr>
              <w:ind w:left="0" w:right="0"/>
            </w:pPr>
            <w:r w:rsidRPr="00126C75">
              <w:t>Vasculitis;</w:t>
            </w:r>
          </w:p>
        </w:tc>
        <w:tc>
          <w:tcPr>
            <w:tcW w:w="232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FB51BE" w:rsidRDefault="00A329EF" w:rsidP="00D17D73">
            <w:pPr>
              <w:ind w:left="5" w:right="-2"/>
            </w:pPr>
            <w:r>
              <w:t>I</w:t>
            </w:r>
            <w:r w:rsidR="00FB51BE" w:rsidRPr="00FB51BE">
              <w:t>n the current European RMP for Tracleer (bosentan), vasculitis is no longer</w:t>
            </w:r>
            <w:r w:rsidR="00FB51BE">
              <w:t xml:space="preserve"> </w:t>
            </w:r>
            <w:r w:rsidR="00FB51BE" w:rsidRPr="00FB51BE">
              <w:t>included as an Important Potential Risk.</w:t>
            </w:r>
          </w:p>
          <w:p w:rsidR="00FB51BE" w:rsidRDefault="00FB51BE" w:rsidP="00D17D73">
            <w:pPr>
              <w:ind w:left="5" w:right="-2"/>
            </w:pPr>
            <w:r w:rsidRPr="00FB51BE">
              <w:t>Close monitoring of all reported vasculitis cases was performed during the 11 years’</w:t>
            </w:r>
            <w:r>
              <w:t xml:space="preserve"> </w:t>
            </w:r>
            <w:r w:rsidRPr="00FB51BE">
              <w:t>post-marketing period of Tracleer. In the latest (18th) PSUR/PBRER covering the period</w:t>
            </w:r>
            <w:r>
              <w:t xml:space="preserve"> </w:t>
            </w:r>
            <w:r w:rsidRPr="00FB51BE">
              <w:t>up to 19 November 2012, the sponsor provided a cumulative review of cases of</w:t>
            </w:r>
            <w:r>
              <w:t xml:space="preserve"> </w:t>
            </w:r>
            <w:r w:rsidRPr="00FB51BE">
              <w:t>vasculitis:</w:t>
            </w:r>
          </w:p>
          <w:p w:rsidR="00FB51BE" w:rsidRPr="00FB51BE" w:rsidRDefault="00FB51BE" w:rsidP="00D17D73">
            <w:pPr>
              <w:ind w:left="5" w:right="-2"/>
            </w:pPr>
            <w:r w:rsidRPr="00FB51BE">
              <w:t>In 20 placebo-controlled bosentan studies across all indications, and including 1,838</w:t>
            </w:r>
            <w:r>
              <w:t xml:space="preserve"> </w:t>
            </w:r>
            <w:r w:rsidRPr="00FB51BE">
              <w:t>placebo- and 2,486 bosentan-treated patients at doses up to 2,000 mg/day, the incidence</w:t>
            </w:r>
            <w:r>
              <w:t xml:space="preserve"> </w:t>
            </w:r>
            <w:r w:rsidRPr="00FB51BE">
              <w:t>of vasculitis using ‘Vasculitis’ SMQ was identical in placebo and bosentan groups (0.3</w:t>
            </w:r>
            <w:r>
              <w:t xml:space="preserve"> </w:t>
            </w:r>
            <w:r w:rsidRPr="00FB51BE">
              <w:t>%).</w:t>
            </w:r>
          </w:p>
          <w:p w:rsidR="00FB51BE" w:rsidRDefault="00FB51BE" w:rsidP="00D17D73">
            <w:pPr>
              <w:ind w:left="5" w:right="-2"/>
            </w:pPr>
            <w:r w:rsidRPr="00FB51BE">
              <w:t xml:space="preserve">Based on analysis of a cumulative number of 52 post-marketing reports of </w:t>
            </w:r>
            <w:r w:rsidRPr="00FB51BE">
              <w:lastRenderedPageBreak/>
              <w:t>vasculitis</w:t>
            </w:r>
            <w:r>
              <w:t xml:space="preserve"> </w:t>
            </w:r>
            <w:r w:rsidRPr="00FB51BE">
              <w:t>received since Tracleer IBD, underlying autoimmune CTDs and concomitant medications</w:t>
            </w:r>
            <w:r>
              <w:t xml:space="preserve"> </w:t>
            </w:r>
            <w:r w:rsidRPr="00FB51BE">
              <w:t>were strong confounding factors in reported cases. There is no clear evidence of a causal</w:t>
            </w:r>
            <w:r>
              <w:t xml:space="preserve"> </w:t>
            </w:r>
            <w:r w:rsidRPr="00FB51BE">
              <w:t>relationship between vasculitis and bosentan</w:t>
            </w:r>
            <w:r>
              <w:t xml:space="preserve"> a</w:t>
            </w:r>
            <w:r w:rsidRPr="00FB51BE">
              <w:t>dministration.</w:t>
            </w:r>
          </w:p>
          <w:p w:rsidR="00D17D73" w:rsidRDefault="00FB51BE" w:rsidP="00D17D73">
            <w:pPr>
              <w:ind w:left="5" w:right="-2"/>
            </w:pPr>
            <w:r w:rsidRPr="00FB51BE">
              <w:t>In the final PRAC PSUR assessment report, dated 13 June 2013, the EU assessor</w:t>
            </w:r>
            <w:r>
              <w:t xml:space="preserve"> </w:t>
            </w:r>
            <w:r w:rsidRPr="00FB51BE">
              <w:t>commented:</w:t>
            </w:r>
          </w:p>
          <w:p w:rsidR="00A329EF" w:rsidRDefault="00FB51BE" w:rsidP="00D17D73">
            <w:pPr>
              <w:ind w:left="5" w:right="-2"/>
            </w:pPr>
            <w:r w:rsidRPr="00FB51BE">
              <w:rPr>
                <w:i/>
                <w:iCs/>
              </w:rPr>
              <w:t>“Regarding the review of vasculitis, the assessor agrees with the MAH that there is no</w:t>
            </w:r>
            <w:r w:rsidR="00A329EF">
              <w:rPr>
                <w:i/>
                <w:iCs/>
              </w:rPr>
              <w:t xml:space="preserve"> </w:t>
            </w:r>
            <w:r w:rsidRPr="00FB51BE">
              <w:rPr>
                <w:i/>
                <w:iCs/>
              </w:rPr>
              <w:t>clear evidence of a causal relationship between the event and bosentan when the</w:t>
            </w:r>
            <w:r w:rsidR="00A329EF">
              <w:rPr>
                <w:i/>
                <w:iCs/>
              </w:rPr>
              <w:t xml:space="preserve"> </w:t>
            </w:r>
            <w:r w:rsidRPr="00FB51BE">
              <w:rPr>
                <w:i/>
                <w:iCs/>
              </w:rPr>
              <w:t>presence of underlying autoimmune collagen vascular diseases in this PAH patient</w:t>
            </w:r>
            <w:r w:rsidR="00A329EF">
              <w:rPr>
                <w:i/>
                <w:iCs/>
              </w:rPr>
              <w:t xml:space="preserve"> </w:t>
            </w:r>
            <w:r w:rsidRPr="00FB51BE">
              <w:rPr>
                <w:i/>
                <w:iCs/>
              </w:rPr>
              <w:t>population is taken into consideration, and given the fact that most patients also received</w:t>
            </w:r>
            <w:r w:rsidR="00A329EF">
              <w:rPr>
                <w:i/>
                <w:iCs/>
              </w:rPr>
              <w:t xml:space="preserve"> </w:t>
            </w:r>
            <w:r w:rsidRPr="00FB51BE">
              <w:rPr>
                <w:i/>
                <w:iCs/>
              </w:rPr>
              <w:t>multiple concomitant medications. However, as proposed by the MAH this issue should</w:t>
            </w:r>
            <w:r w:rsidR="00A329EF">
              <w:rPr>
                <w:i/>
                <w:iCs/>
              </w:rPr>
              <w:t xml:space="preserve"> </w:t>
            </w:r>
            <w:r w:rsidRPr="00FB51BE">
              <w:rPr>
                <w:i/>
                <w:iCs/>
              </w:rPr>
              <w:t>continue to be closely monitored".</w:t>
            </w:r>
          </w:p>
          <w:p w:rsidR="00FB51BE" w:rsidRPr="00FB51BE" w:rsidRDefault="00FB51BE" w:rsidP="00D17D73">
            <w:pPr>
              <w:ind w:left="5" w:right="-2"/>
            </w:pPr>
            <w:r w:rsidRPr="00FB51BE">
              <w:t xml:space="preserve">Based on the cumulative review of vasculitis and in line with the </w:t>
            </w:r>
            <w:r w:rsidRPr="00FB51BE">
              <w:rPr>
                <w:i/>
                <w:iCs/>
              </w:rPr>
              <w:t>Guidance on format of</w:t>
            </w:r>
            <w:r w:rsidR="00A329EF">
              <w:rPr>
                <w:i/>
                <w:iCs/>
              </w:rPr>
              <w:t xml:space="preserve"> </w:t>
            </w:r>
            <w:r w:rsidRPr="00FB51BE">
              <w:rPr>
                <w:i/>
                <w:iCs/>
              </w:rPr>
              <w:t xml:space="preserve">the risk management plan (RMP) </w:t>
            </w:r>
            <w:r w:rsidRPr="00FB51BE">
              <w:t xml:space="preserve">in the EU and the </w:t>
            </w:r>
            <w:r w:rsidRPr="00FB51BE">
              <w:rPr>
                <w:i/>
                <w:iCs/>
              </w:rPr>
              <w:t>Guideline on good</w:t>
            </w:r>
            <w:r w:rsidR="00A329EF">
              <w:rPr>
                <w:i/>
                <w:iCs/>
              </w:rPr>
              <w:t xml:space="preserve"> </w:t>
            </w:r>
            <w:r w:rsidRPr="00FB51BE">
              <w:rPr>
                <w:i/>
                <w:iCs/>
              </w:rPr>
              <w:t>pharmacovigilance practices Module VII: Periodic Safety Update Report</w:t>
            </w:r>
            <w:r w:rsidRPr="00FB51BE">
              <w:t>, vasculitis has</w:t>
            </w:r>
            <w:r w:rsidR="00A329EF">
              <w:t xml:space="preserve"> </w:t>
            </w:r>
            <w:r w:rsidRPr="00FB51BE">
              <w:t>been categorised as other potential risk, not important, and removed from the Tracleer</w:t>
            </w:r>
            <w:r w:rsidR="00A329EF">
              <w:t xml:space="preserve"> </w:t>
            </w:r>
            <w:r w:rsidRPr="00FB51BE">
              <w:t>EU RMP.</w:t>
            </w:r>
          </w:p>
          <w:p w:rsidR="00FA1444" w:rsidRPr="00126C75" w:rsidRDefault="00FB51BE" w:rsidP="00D17D73">
            <w:pPr>
              <w:ind w:left="5" w:right="-2"/>
            </w:pPr>
            <w:r w:rsidRPr="00FB51BE">
              <w:t>Based on these considerations and the available clinical data with macitentan presented in</w:t>
            </w:r>
            <w:r w:rsidR="00A329EF">
              <w:t xml:space="preserve"> </w:t>
            </w:r>
            <w:r w:rsidRPr="00FB51BE">
              <w:t xml:space="preserve">the previous response, the Applicant recommends not </w:t>
            </w:r>
            <w:proofErr w:type="gramStart"/>
            <w:r w:rsidRPr="00FB51BE">
              <w:t>to include</w:t>
            </w:r>
            <w:proofErr w:type="gramEnd"/>
            <w:r w:rsidRPr="00FB51BE">
              <w:t xml:space="preserve"> vasculitis as an</w:t>
            </w:r>
            <w:r w:rsidR="00A329EF">
              <w:t xml:space="preserve"> </w:t>
            </w:r>
            <w:r w:rsidRPr="00FB51BE">
              <w:t>Important Potential Risk in the AU RMP for macitentan. Any case reports of vasculitis</w:t>
            </w:r>
            <w:r w:rsidR="00A329EF">
              <w:t xml:space="preserve"> </w:t>
            </w:r>
            <w:r w:rsidRPr="00FB51BE">
              <w:t>will be closely monitored and analysis of aggregated data will be presented in PSURs/PBRERs.</w:t>
            </w:r>
          </w:p>
        </w:tc>
        <w:tc>
          <w:tcPr>
            <w:tcW w:w="1301"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FA1444" w:rsidRPr="00126C75" w:rsidRDefault="00F36B87" w:rsidP="00D17D73">
            <w:pPr>
              <w:ind w:left="70" w:right="0"/>
            </w:pPr>
            <w:r>
              <w:lastRenderedPageBreak/>
              <w:t>This is considered acceptable.</w:t>
            </w:r>
          </w:p>
        </w:tc>
      </w:tr>
      <w:tr w:rsidR="00FA1444" w:rsidRPr="007C75D1" w:rsidTr="005A1E8F">
        <w:trPr>
          <w:jc w:val="center"/>
        </w:trPr>
        <w:tc>
          <w:tcPr>
            <w:tcW w:w="1379"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FA1444" w:rsidRPr="00754215" w:rsidRDefault="00FA1444" w:rsidP="00D17D73">
            <w:pPr>
              <w:ind w:left="0" w:right="0"/>
            </w:pPr>
            <w:r w:rsidRPr="00754215">
              <w:lastRenderedPageBreak/>
              <w:t>Reduction in male fertility; and</w:t>
            </w:r>
          </w:p>
        </w:tc>
        <w:tc>
          <w:tcPr>
            <w:tcW w:w="232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FA1444" w:rsidRPr="00FB537F" w:rsidRDefault="00FA1444" w:rsidP="00D17D73">
            <w:pPr>
              <w:ind w:left="5" w:right="-2"/>
            </w:pPr>
            <w:r w:rsidRPr="00FB537F">
              <w:t xml:space="preserve">‘Based on the above, patients treated with macitentan do not seem to be at increased risk of developing testicular disorders and/or infertility; nevertheless, in line with the EU RMP, </w:t>
            </w:r>
            <w:r w:rsidRPr="00FB537F">
              <w:lastRenderedPageBreak/>
              <w:t>testicular tubular atrophy (testicular disorders and/or infertility) will be included as an Important Potential Risk in the RMP. Individual case reports of testicular disorders or infertility will be closely monitored and data analysis will be presented in the PSUR.’</w:t>
            </w:r>
          </w:p>
        </w:tc>
        <w:tc>
          <w:tcPr>
            <w:tcW w:w="1301"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FA1444" w:rsidRPr="00754215" w:rsidRDefault="00FA1444" w:rsidP="00D17D73">
            <w:pPr>
              <w:ind w:left="70" w:right="0"/>
            </w:pPr>
            <w:r w:rsidRPr="00754215">
              <w:lastRenderedPageBreak/>
              <w:t>This is considered acceptable.</w:t>
            </w:r>
          </w:p>
        </w:tc>
      </w:tr>
      <w:tr w:rsidR="00FA1444" w:rsidRPr="00BC6B51" w:rsidTr="005A1E8F">
        <w:trPr>
          <w:jc w:val="center"/>
        </w:trPr>
        <w:tc>
          <w:tcPr>
            <w:tcW w:w="1379"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FA1444" w:rsidRPr="008F633C" w:rsidRDefault="00FA1444" w:rsidP="00D17D73">
            <w:pPr>
              <w:ind w:left="0" w:right="0"/>
              <w:rPr>
                <w:lang w:val="pt-PT"/>
              </w:rPr>
            </w:pPr>
            <w:r w:rsidRPr="008F633C">
              <w:rPr>
                <w:lang w:val="pt-PT"/>
              </w:rPr>
              <w:lastRenderedPageBreak/>
              <w:t>Peripheral oedema/veno-occlusive disease.</w:t>
            </w:r>
          </w:p>
        </w:tc>
        <w:tc>
          <w:tcPr>
            <w:tcW w:w="232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FA1444" w:rsidRPr="00FB537F" w:rsidRDefault="00FA1444" w:rsidP="00D17D73">
            <w:pPr>
              <w:ind w:left="5" w:right="-2"/>
            </w:pPr>
            <w:r w:rsidRPr="00FB537F">
              <w:t>‘Therefore, considering the very similar or even lower incidence rates of oedema AEs in the macitentan treatment groups compared to placebo, especially when adjusted for patient-years of exposure, the Applicant proposes not to include peripheral oedema as an Important Potential Risk in the RMP, as is also consistent with the EU RMP; however, individual case reports of peripheral oedema will be closely monitored and aggregated data will be presented in the PSUR as part of routine pharmacovigilance activities.’</w:t>
            </w:r>
          </w:p>
        </w:tc>
        <w:tc>
          <w:tcPr>
            <w:tcW w:w="1301"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FA1444" w:rsidRPr="00754215" w:rsidRDefault="00FA1444" w:rsidP="00D17D73">
            <w:pPr>
              <w:ind w:left="70" w:right="0"/>
            </w:pPr>
            <w:r w:rsidRPr="00754215">
              <w:t>This is considered acceptable.</w:t>
            </w:r>
          </w:p>
        </w:tc>
      </w:tr>
      <w:tr w:rsidR="00FA1444" w:rsidRPr="00284D46" w:rsidTr="005A1E8F">
        <w:trPr>
          <w:jc w:val="center"/>
        </w:trPr>
        <w:tc>
          <w:tcPr>
            <w:tcW w:w="1379"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FA1444" w:rsidRPr="00754215" w:rsidRDefault="00FA1444" w:rsidP="00D17D73">
            <w:pPr>
              <w:ind w:left="0" w:right="0"/>
            </w:pPr>
            <w:r w:rsidRPr="00754215">
              <w:t>Important Missing Information:</w:t>
            </w:r>
          </w:p>
          <w:p w:rsidR="00FA1444" w:rsidRPr="00754215" w:rsidRDefault="00FA1444" w:rsidP="00D17D73">
            <w:pPr>
              <w:ind w:left="0" w:right="0"/>
            </w:pPr>
            <w:r w:rsidRPr="00754215">
              <w:t>PAH patients with HIV infection; and</w:t>
            </w:r>
          </w:p>
        </w:tc>
        <w:tc>
          <w:tcPr>
            <w:tcW w:w="232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FA1444" w:rsidRPr="00754215" w:rsidRDefault="00A329EF" w:rsidP="00D17D73">
            <w:pPr>
              <w:ind w:left="5" w:right="-2"/>
            </w:pPr>
            <w:r w:rsidRPr="00A329EF">
              <w:rPr>
                <w:rFonts w:eastAsiaTheme="minorHAnsi" w:cs="TimesNewRomanPSMT"/>
              </w:rPr>
              <w:t>The sponsor agrees to the addition of PAH patients with HIV infection as important</w:t>
            </w:r>
            <w:r>
              <w:rPr>
                <w:rFonts w:eastAsiaTheme="minorHAnsi" w:cs="TimesNewRomanPSMT"/>
              </w:rPr>
              <w:t xml:space="preserve"> </w:t>
            </w:r>
            <w:r w:rsidRPr="00A329EF">
              <w:rPr>
                <w:rFonts w:eastAsiaTheme="minorHAnsi" w:cs="TimesNewRomanPSMT"/>
              </w:rPr>
              <w:t>missing information within the OPSUMIT RMP Australian Specific Annex. The updated</w:t>
            </w:r>
            <w:r>
              <w:rPr>
                <w:rFonts w:eastAsiaTheme="minorHAnsi" w:cs="TimesNewRomanPSMT"/>
              </w:rPr>
              <w:t xml:space="preserve"> </w:t>
            </w:r>
            <w:r w:rsidRPr="00A329EF">
              <w:rPr>
                <w:rFonts w:eastAsiaTheme="minorHAnsi" w:cs="TimesNewRomanPSMT"/>
              </w:rPr>
              <w:t>Annex will be provided in a subsequent submission.</w:t>
            </w:r>
            <w:r w:rsidRPr="00754215" w:rsidDel="00A329EF">
              <w:rPr>
                <w:i/>
              </w:rPr>
              <w:t xml:space="preserve"> </w:t>
            </w:r>
          </w:p>
        </w:tc>
        <w:tc>
          <w:tcPr>
            <w:tcW w:w="1301"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F36B87" w:rsidRPr="00F36B87" w:rsidRDefault="00F36B87" w:rsidP="00D17D73">
            <w:pPr>
              <w:ind w:left="70" w:right="0"/>
              <w:rPr>
                <w:rFonts w:eastAsiaTheme="minorHAnsi" w:cs="Cambria"/>
                <w:color w:val="000000"/>
              </w:rPr>
            </w:pPr>
            <w:r w:rsidRPr="00F36B87">
              <w:rPr>
                <w:rFonts w:eastAsiaTheme="minorHAnsi" w:cs="Cambria"/>
                <w:color w:val="000000"/>
              </w:rPr>
              <w:t>The sponsor has agreed to include PAH patients with HIV infection</w:t>
            </w:r>
            <w:r>
              <w:rPr>
                <w:rFonts w:eastAsiaTheme="minorHAnsi" w:cs="Cambria"/>
                <w:color w:val="000000"/>
              </w:rPr>
              <w:t>.</w:t>
            </w:r>
          </w:p>
          <w:p w:rsidR="00FA1444" w:rsidRPr="00754215" w:rsidRDefault="00F36B87" w:rsidP="00D17D73">
            <w:pPr>
              <w:ind w:left="70" w:right="0"/>
            </w:pPr>
            <w:r w:rsidRPr="00F36B87">
              <w:rPr>
                <w:rFonts w:eastAsiaTheme="minorHAnsi" w:cs="Cambria"/>
                <w:color w:val="000000"/>
              </w:rPr>
              <w:t xml:space="preserve">This is </w:t>
            </w:r>
            <w:r>
              <w:rPr>
                <w:rFonts w:eastAsiaTheme="minorHAnsi" w:cs="Cambria"/>
                <w:color w:val="000000"/>
              </w:rPr>
              <w:t xml:space="preserve">considered </w:t>
            </w:r>
            <w:r w:rsidRPr="00F36B87">
              <w:rPr>
                <w:rFonts w:eastAsiaTheme="minorHAnsi" w:cs="Cambria"/>
                <w:color w:val="000000"/>
              </w:rPr>
              <w:t>acceptable.</w:t>
            </w:r>
          </w:p>
        </w:tc>
      </w:tr>
      <w:tr w:rsidR="00FA1444" w:rsidRPr="007C75D1" w:rsidTr="005A1E8F">
        <w:trPr>
          <w:jc w:val="center"/>
        </w:trPr>
        <w:tc>
          <w:tcPr>
            <w:tcW w:w="1379"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FA1444" w:rsidRPr="00754215" w:rsidRDefault="00FA1444" w:rsidP="00D17D73">
            <w:pPr>
              <w:ind w:left="0" w:right="0"/>
            </w:pPr>
            <w:r w:rsidRPr="00754215">
              <w:t>PAH patients with chronic haemolytic anaemia.</w:t>
            </w:r>
          </w:p>
        </w:tc>
        <w:tc>
          <w:tcPr>
            <w:tcW w:w="232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FA1444" w:rsidRPr="00A329EF" w:rsidRDefault="00FA1444" w:rsidP="00D17D73">
            <w:pPr>
              <w:ind w:left="5" w:right="-2"/>
            </w:pPr>
            <w:r w:rsidRPr="00A329EF">
              <w:t>‘Ongoing safety concerns within the EU RMP include ‘Anaemia, decrease in haemoglobin concentration’ as an Important Identified Risk.</w:t>
            </w:r>
          </w:p>
          <w:p w:rsidR="00FA1444" w:rsidRPr="00A329EF" w:rsidRDefault="00FA1444" w:rsidP="00D17D73">
            <w:pPr>
              <w:ind w:left="5" w:right="-2"/>
            </w:pPr>
            <w:r w:rsidRPr="00A329EF">
              <w:t>As described in Annex 12, Section 1.1 of V 3.0 of the EU RMP, the MedDRA Preferred Terms ‘Chronic Anaemia’ and ‘Haemolytic Anaemia’ are included in the subgroup “Anaemia”, and are therefore already identified as Important Identified Risks.</w:t>
            </w:r>
          </w:p>
          <w:p w:rsidR="00FA1444" w:rsidRPr="00754215" w:rsidRDefault="00FA1444" w:rsidP="00D17D73">
            <w:pPr>
              <w:ind w:left="5" w:right="-2"/>
            </w:pPr>
            <w:r w:rsidRPr="00A329EF">
              <w:t xml:space="preserve">The Applicant therefore does not agree to specifically include ‘PAH patients with chronic haemolytic anaemia’ under Important Missing Information in the Ongoing Safety Concerns. Individual case reports of anaemia (including chronic haemolytic anaemia) will be closely monitored and data analysis will </w:t>
            </w:r>
            <w:r w:rsidRPr="00A329EF">
              <w:lastRenderedPageBreak/>
              <w:t>be presented in PSURs as part of routine pharmacovigilance activities.’</w:t>
            </w:r>
          </w:p>
        </w:tc>
        <w:tc>
          <w:tcPr>
            <w:tcW w:w="1301"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FA1444" w:rsidRPr="00754215" w:rsidRDefault="00FA1444" w:rsidP="00D17D73">
            <w:pPr>
              <w:ind w:left="70" w:right="0"/>
            </w:pPr>
            <w:r w:rsidRPr="00754215">
              <w:lastRenderedPageBreak/>
              <w:t>This is considered acceptable.</w:t>
            </w:r>
          </w:p>
        </w:tc>
      </w:tr>
      <w:tr w:rsidR="00FA1444" w:rsidRPr="007C75D1" w:rsidTr="005A1E8F">
        <w:trPr>
          <w:jc w:val="center"/>
        </w:trPr>
        <w:tc>
          <w:tcPr>
            <w:tcW w:w="1379"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FA1444" w:rsidRPr="00754215" w:rsidRDefault="00FA1444" w:rsidP="00D17D73">
            <w:pPr>
              <w:ind w:left="0" w:right="0"/>
            </w:pPr>
            <w:r w:rsidRPr="00754215">
              <w:lastRenderedPageBreak/>
              <w:t>It is noted the sponsor had conducted a trial in healthy volunteers to assess male fertility. It is requested the sponsor submit details of the study (including, but not limited to study design, results and interpretation of the results) to assess whether reduction in male fertility should be an Ongoing Safety Concern.</w:t>
            </w:r>
          </w:p>
        </w:tc>
        <w:tc>
          <w:tcPr>
            <w:tcW w:w="232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FA1444" w:rsidRPr="00754215" w:rsidRDefault="00FA1444" w:rsidP="00D17D73">
            <w:pPr>
              <w:ind w:left="5" w:right="-2"/>
            </w:pPr>
            <w:r w:rsidRPr="00A329EF">
              <w:t>‘Study AC-055-113, entitled “A single-center, double-blind, randomized, placebo-controlled, parallel-group study to investigate the effects of a 12-week once daily treatment with macitentan 10 mg on spermatogenesis in healthy male subjects”, was submitted as part of the MAA and is located in Module 5.3.4.1, volumes 28–33.’</w:t>
            </w:r>
          </w:p>
        </w:tc>
        <w:tc>
          <w:tcPr>
            <w:tcW w:w="1301"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FA1444" w:rsidRPr="00754215" w:rsidRDefault="00FA1444" w:rsidP="00D17D73">
            <w:pPr>
              <w:ind w:left="70" w:right="0"/>
            </w:pPr>
            <w:r w:rsidRPr="00754215">
              <w:t>This is considered acceptable.</w:t>
            </w:r>
          </w:p>
        </w:tc>
      </w:tr>
      <w:tr w:rsidR="00FA1444" w:rsidRPr="007C75D1" w:rsidTr="005A1E8F">
        <w:trPr>
          <w:jc w:val="center"/>
        </w:trPr>
        <w:tc>
          <w:tcPr>
            <w:tcW w:w="1379"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FA1444" w:rsidRPr="00754215" w:rsidRDefault="00FA1444" w:rsidP="00D17D73">
            <w:pPr>
              <w:ind w:left="0" w:right="0"/>
            </w:pPr>
            <w:r w:rsidRPr="00754215">
              <w:t>It is suggested the sponsor conduct relevant and appropriate additional pharmacovigilance activities to address the following Ongoing Safety Concerns:</w:t>
            </w:r>
          </w:p>
          <w:p w:rsidR="00FA1444" w:rsidRPr="00754215" w:rsidRDefault="00FA1444" w:rsidP="00D17D73">
            <w:pPr>
              <w:ind w:left="0" w:right="0"/>
            </w:pPr>
            <w:r w:rsidRPr="00754215">
              <w:t>Hepatotoxicity;</w:t>
            </w:r>
          </w:p>
        </w:tc>
        <w:tc>
          <w:tcPr>
            <w:tcW w:w="232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A329EF" w:rsidRDefault="00A329EF" w:rsidP="00D17D73">
            <w:pPr>
              <w:ind w:left="5" w:right="-2"/>
              <w:rPr>
                <w:rFonts w:eastAsiaTheme="minorHAnsi" w:cs="TimesNewRomanPSMT"/>
                <w:color w:val="222222"/>
              </w:rPr>
            </w:pPr>
            <w:r w:rsidRPr="00A329EF">
              <w:rPr>
                <w:rFonts w:eastAsiaTheme="minorHAnsi" w:cs="TimesNewRomanPSMT"/>
                <w:color w:val="000000"/>
              </w:rPr>
              <w:t>To further confirm and characterise the hepatic safety profile of Opsumit (macitentan)</w:t>
            </w:r>
            <w:r>
              <w:rPr>
                <w:rFonts w:eastAsiaTheme="minorHAnsi" w:cs="TimesNewRomanPSMT"/>
                <w:color w:val="000000"/>
              </w:rPr>
              <w:t xml:space="preserve"> b</w:t>
            </w:r>
            <w:r w:rsidRPr="00A329EF">
              <w:rPr>
                <w:rFonts w:eastAsiaTheme="minorHAnsi" w:cs="TimesNewRomanPSMT"/>
                <w:color w:val="000000"/>
              </w:rPr>
              <w:t>ased on post-marketing experience, the sponsor has already initiated the following</w:t>
            </w:r>
            <w:r>
              <w:rPr>
                <w:rFonts w:eastAsiaTheme="minorHAnsi" w:cs="TimesNewRomanPSMT"/>
                <w:color w:val="000000"/>
              </w:rPr>
              <w:t xml:space="preserve"> </w:t>
            </w:r>
            <w:r w:rsidRPr="00A329EF">
              <w:rPr>
                <w:rFonts w:eastAsiaTheme="minorHAnsi" w:cs="TimesNewRomanPSMT"/>
                <w:color w:val="000000"/>
              </w:rPr>
              <w:t>routine and additional Pharmacovigilance activities on a global basis:</w:t>
            </w:r>
          </w:p>
          <w:p w:rsidR="00A329EF" w:rsidRDefault="00A329EF" w:rsidP="00D17D73">
            <w:pPr>
              <w:ind w:left="5" w:right="-2"/>
              <w:rPr>
                <w:rFonts w:eastAsia="SymbolMT" w:cs="SymbolMT"/>
                <w:color w:val="222222"/>
              </w:rPr>
            </w:pPr>
            <w:r w:rsidRPr="00A329EF">
              <w:rPr>
                <w:rFonts w:eastAsiaTheme="minorHAnsi" w:cs="TimesNewRomanPSMT"/>
                <w:color w:val="222222"/>
              </w:rPr>
              <w:t>Routine Pharmacovigilance activities:</w:t>
            </w:r>
          </w:p>
          <w:p w:rsidR="00F202A5" w:rsidRDefault="00A329EF" w:rsidP="00D17D73">
            <w:pPr>
              <w:ind w:left="5" w:right="-2"/>
              <w:rPr>
                <w:rFonts w:eastAsia="SymbolMT" w:cs="SymbolMT"/>
                <w:color w:val="222222"/>
              </w:rPr>
            </w:pPr>
            <w:r w:rsidRPr="00A329EF">
              <w:rPr>
                <w:rFonts w:eastAsiaTheme="minorHAnsi" w:cs="TimesNewRomanPSMT"/>
                <w:color w:val="222222"/>
              </w:rPr>
              <w:t>The sponsor will conduct detailed follow-up of all events suggestive of potential</w:t>
            </w:r>
            <w:r>
              <w:rPr>
                <w:rFonts w:eastAsiaTheme="minorHAnsi" w:cs="TimesNewRomanPSMT"/>
                <w:color w:val="222222"/>
              </w:rPr>
              <w:t xml:space="preserve"> </w:t>
            </w:r>
            <w:r w:rsidRPr="00A329EF">
              <w:rPr>
                <w:rFonts w:eastAsiaTheme="minorHAnsi" w:cs="TimesNewRomanPSMT"/>
                <w:color w:val="000000"/>
              </w:rPr>
              <w:t xml:space="preserve">drug induced liver injury </w:t>
            </w:r>
            <w:r w:rsidRPr="00A329EF">
              <w:rPr>
                <w:rFonts w:eastAsiaTheme="minorHAnsi" w:cs="TimesNewRomanPSMT"/>
                <w:color w:val="222222"/>
              </w:rPr>
              <w:t>(with or without associated clinical symptoms). These</w:t>
            </w:r>
            <w:r>
              <w:rPr>
                <w:rFonts w:eastAsiaTheme="minorHAnsi" w:cs="TimesNewRomanPSMT"/>
                <w:color w:val="222222"/>
              </w:rPr>
              <w:t xml:space="preserve"> </w:t>
            </w:r>
            <w:r w:rsidRPr="00A329EF">
              <w:rPr>
                <w:rFonts w:eastAsiaTheme="minorHAnsi" w:cs="TimesNewRomanPSMT"/>
                <w:color w:val="222222"/>
              </w:rPr>
              <w:t>reports will be processed as high priority cases. The Drug Safety Physician will</w:t>
            </w:r>
            <w:r>
              <w:rPr>
                <w:rFonts w:eastAsiaTheme="minorHAnsi" w:cs="TimesNewRomanPSMT"/>
                <w:color w:val="222222"/>
              </w:rPr>
              <w:t xml:space="preserve"> </w:t>
            </w:r>
            <w:r w:rsidRPr="00A329EF">
              <w:rPr>
                <w:rFonts w:eastAsiaTheme="minorHAnsi" w:cs="TimesNewRomanPSMT"/>
                <w:color w:val="222222"/>
              </w:rPr>
              <w:t>intensively monitor all reports (irrespective of seriousness or causality, from</w:t>
            </w:r>
            <w:r w:rsidR="00F202A5">
              <w:rPr>
                <w:rFonts w:eastAsiaTheme="minorHAnsi" w:cs="TimesNewRomanPSMT"/>
                <w:color w:val="222222"/>
              </w:rPr>
              <w:t xml:space="preserve"> </w:t>
            </w:r>
            <w:r w:rsidRPr="00A329EF">
              <w:rPr>
                <w:rFonts w:eastAsiaTheme="minorHAnsi" w:cs="TimesNewRomanPSMT"/>
                <w:color w:val="222222"/>
              </w:rPr>
              <w:t>worldwide post-marketing or clinical trials sources).</w:t>
            </w:r>
          </w:p>
          <w:p w:rsidR="00DD7553" w:rsidRDefault="00A329EF" w:rsidP="00D17D73">
            <w:pPr>
              <w:ind w:left="5" w:right="-2"/>
              <w:rPr>
                <w:rFonts w:eastAsia="SymbolMT" w:cs="SymbolMT"/>
                <w:color w:val="222222"/>
              </w:rPr>
            </w:pPr>
            <w:r w:rsidRPr="00A329EF">
              <w:rPr>
                <w:rFonts w:eastAsiaTheme="minorHAnsi" w:cs="TimesNewRomanPSMT"/>
                <w:color w:val="000000"/>
              </w:rPr>
              <w:t xml:space="preserve">Targeted hepatic AE questionnaire: All </w:t>
            </w:r>
            <w:r w:rsidRPr="00A329EF">
              <w:rPr>
                <w:rFonts w:eastAsiaTheme="minorHAnsi" w:cs="TimesNewRomanPSMT"/>
                <w:color w:val="222222"/>
              </w:rPr>
              <w:t xml:space="preserve">events suggestive of </w:t>
            </w:r>
            <w:r w:rsidRPr="00A329EF">
              <w:rPr>
                <w:rFonts w:eastAsiaTheme="minorHAnsi" w:cs="TimesNewRomanPSMT"/>
                <w:color w:val="000000"/>
              </w:rPr>
              <w:t>drug induced liver</w:t>
            </w:r>
            <w:r w:rsidR="00F202A5">
              <w:rPr>
                <w:rFonts w:eastAsiaTheme="minorHAnsi" w:cs="TimesNewRomanPSMT"/>
                <w:color w:val="000000"/>
              </w:rPr>
              <w:t xml:space="preserve"> </w:t>
            </w:r>
            <w:r w:rsidRPr="00A329EF">
              <w:rPr>
                <w:rFonts w:eastAsiaTheme="minorHAnsi" w:cs="TimesNewRomanPSMT"/>
                <w:color w:val="000000"/>
              </w:rPr>
              <w:t>injury will receive prompt internal medical review, and e</w:t>
            </w:r>
            <w:r w:rsidRPr="00A329EF">
              <w:rPr>
                <w:rFonts w:eastAsiaTheme="minorHAnsi" w:cs="TimesNewRomanPSMT"/>
                <w:color w:val="222222"/>
              </w:rPr>
              <w:t xml:space="preserve">xtensive </w:t>
            </w:r>
            <w:r w:rsidRPr="00A329EF">
              <w:rPr>
                <w:rFonts w:eastAsiaTheme="minorHAnsi" w:cs="TimesNewRomanPSMT"/>
                <w:color w:val="000000"/>
              </w:rPr>
              <w:t xml:space="preserve">focused </w:t>
            </w:r>
            <w:r w:rsidR="00F202A5" w:rsidRPr="00A329EF">
              <w:rPr>
                <w:rFonts w:eastAsiaTheme="minorHAnsi" w:cs="TimesNewRomanPSMT"/>
                <w:color w:val="000000"/>
              </w:rPr>
              <w:t>follow-up</w:t>
            </w:r>
            <w:r w:rsidR="00F202A5">
              <w:rPr>
                <w:rFonts w:eastAsiaTheme="minorHAnsi" w:cs="TimesNewRomanPSMT"/>
                <w:color w:val="000000"/>
              </w:rPr>
              <w:t xml:space="preserve"> </w:t>
            </w:r>
            <w:r w:rsidRPr="00A329EF">
              <w:rPr>
                <w:rFonts w:eastAsiaTheme="minorHAnsi" w:cs="TimesNewRomanPSMT"/>
                <w:color w:val="000000"/>
              </w:rPr>
              <w:t>activities, using a targeted hepatic AE questionnaire designed to collect</w:t>
            </w:r>
            <w:r w:rsidR="00F202A5">
              <w:rPr>
                <w:rFonts w:eastAsiaTheme="minorHAnsi" w:cs="TimesNewRomanPSMT"/>
                <w:color w:val="000000"/>
              </w:rPr>
              <w:t xml:space="preserve"> </w:t>
            </w:r>
            <w:r w:rsidRPr="00A329EF">
              <w:rPr>
                <w:rFonts w:eastAsiaTheme="minorHAnsi" w:cs="TimesNewRomanPSMT"/>
                <w:color w:val="000000"/>
              </w:rPr>
              <w:t>detailed information regarding clinical description, risk factors, diagnostic</w:t>
            </w:r>
            <w:r w:rsidR="00F202A5">
              <w:rPr>
                <w:rFonts w:eastAsiaTheme="minorHAnsi" w:cs="TimesNewRomanPSMT"/>
                <w:color w:val="000000"/>
              </w:rPr>
              <w:t xml:space="preserve"> </w:t>
            </w:r>
            <w:r w:rsidRPr="00A329EF">
              <w:rPr>
                <w:rFonts w:eastAsiaTheme="minorHAnsi" w:cs="TimesNewRomanPSMT"/>
                <w:color w:val="000000"/>
              </w:rPr>
              <w:t>evaluation, management, and. If no response is received, re</w:t>
            </w:r>
            <w:r w:rsidRPr="00A329EF">
              <w:rPr>
                <w:rFonts w:eastAsiaTheme="minorHAnsi" w:cs="TimesNewRomanPSMT"/>
                <w:color w:val="222222"/>
              </w:rPr>
              <w:t>peated follow-up attempts will be made</w:t>
            </w:r>
            <w:r w:rsidR="00A44222">
              <w:rPr>
                <w:rFonts w:eastAsiaTheme="minorHAnsi" w:cs="TimesNewRomanPSMT"/>
                <w:color w:val="222222"/>
              </w:rPr>
              <w:t xml:space="preserve"> </w:t>
            </w:r>
            <w:r w:rsidRPr="00A329EF">
              <w:rPr>
                <w:rFonts w:eastAsiaTheme="minorHAnsi" w:cs="TimesNewRomanPSMT"/>
                <w:color w:val="222222"/>
              </w:rPr>
              <w:t xml:space="preserve">as per </w:t>
            </w:r>
            <w:r w:rsidRPr="00A329EF">
              <w:rPr>
                <w:rFonts w:eastAsiaTheme="minorHAnsi" w:cs="TimesNewRomanPSMT"/>
                <w:color w:val="222222"/>
              </w:rPr>
              <w:lastRenderedPageBreak/>
              <w:t>Actelion follow-up procedure for high priority case.</w:t>
            </w:r>
          </w:p>
          <w:p w:rsidR="00A44222" w:rsidRDefault="00A329EF" w:rsidP="00D17D73">
            <w:pPr>
              <w:ind w:left="5" w:right="-2"/>
              <w:rPr>
                <w:rFonts w:eastAsiaTheme="minorHAnsi" w:cs="TimesNewRomanPSMT"/>
                <w:color w:val="222222"/>
              </w:rPr>
            </w:pPr>
            <w:r w:rsidRPr="00DD7553">
              <w:rPr>
                <w:rFonts w:eastAsiaTheme="minorHAnsi" w:cs="TimesNewRomanPSMT"/>
                <w:color w:val="000000"/>
              </w:rPr>
              <w:t>Thorough analysis and assessment of all hepatic safety data including reported</w:t>
            </w:r>
            <w:r w:rsidR="00DD7553">
              <w:rPr>
                <w:rFonts w:eastAsiaTheme="minorHAnsi" w:cs="TimesNewRomanPSMT"/>
                <w:color w:val="000000"/>
              </w:rPr>
              <w:t xml:space="preserve"> </w:t>
            </w:r>
            <w:r w:rsidRPr="00DD7553">
              <w:rPr>
                <w:rFonts w:eastAsiaTheme="minorHAnsi" w:cs="TimesNewRomanPSMT"/>
                <w:color w:val="000000"/>
              </w:rPr>
              <w:t>Hepatic Adverse Events of Special Interest (HAESI) 1 from all global sources will</w:t>
            </w:r>
            <w:r w:rsidR="00DD7553">
              <w:rPr>
                <w:rFonts w:eastAsiaTheme="minorHAnsi" w:cs="TimesNewRomanPSMT"/>
                <w:color w:val="000000"/>
              </w:rPr>
              <w:t xml:space="preserve"> </w:t>
            </w:r>
            <w:r w:rsidRPr="00DD7553">
              <w:rPr>
                <w:rFonts w:eastAsiaTheme="minorHAnsi" w:cs="TimesNewRomanPSMT"/>
                <w:color w:val="000000"/>
              </w:rPr>
              <w:t xml:space="preserve">be provided in </w:t>
            </w:r>
            <w:r w:rsidRPr="00DD7553">
              <w:rPr>
                <w:rFonts w:eastAsiaTheme="minorHAnsi" w:cs="TimesNewRomanPSMT"/>
                <w:color w:val="222222"/>
              </w:rPr>
              <w:t xml:space="preserve">the PSURs </w:t>
            </w:r>
            <w:r w:rsidRPr="00DD7553">
              <w:rPr>
                <w:rFonts w:eastAsiaTheme="minorHAnsi" w:cs="TimesNewRomanPSMT"/>
                <w:color w:val="000000"/>
              </w:rPr>
              <w:t xml:space="preserve">/ Periodic Benefit Risk Evaluation Reports </w:t>
            </w:r>
            <w:r w:rsidRPr="00DD7553">
              <w:rPr>
                <w:rFonts w:eastAsiaTheme="minorHAnsi" w:cs="TimesNewRomanPSMT"/>
                <w:color w:val="222222"/>
              </w:rPr>
              <w:t>(PBRERs).</w:t>
            </w:r>
            <w:r w:rsidR="00DD7553">
              <w:rPr>
                <w:rFonts w:eastAsiaTheme="minorHAnsi" w:cs="TimesNewRomanPSMT"/>
                <w:color w:val="222222"/>
              </w:rPr>
              <w:t xml:space="preserve"> </w:t>
            </w:r>
            <w:r w:rsidRPr="00DD7553">
              <w:rPr>
                <w:rFonts w:eastAsiaTheme="minorHAnsi" w:cs="TimesNewRomanPSMT"/>
                <w:color w:val="000000"/>
              </w:rPr>
              <w:t>The analysis will include evaluation of the frequency, nature, severity, risk</w:t>
            </w:r>
            <w:r w:rsidR="00DD7553">
              <w:rPr>
                <w:rFonts w:eastAsiaTheme="minorHAnsi" w:cs="TimesNewRomanPSMT"/>
                <w:color w:val="000000"/>
              </w:rPr>
              <w:t xml:space="preserve"> </w:t>
            </w:r>
            <w:r w:rsidRPr="00DD7553">
              <w:rPr>
                <w:rFonts w:eastAsiaTheme="minorHAnsi" w:cs="TimesNewRomanPSMT"/>
                <w:color w:val="000000"/>
              </w:rPr>
              <w:t>factors, alternative causes, clinical management, and outcomes of any potential</w:t>
            </w:r>
            <w:r w:rsidR="00A44222">
              <w:rPr>
                <w:rFonts w:eastAsiaTheme="minorHAnsi" w:cs="TimesNewRomanPSMT"/>
                <w:color w:val="000000"/>
              </w:rPr>
              <w:t xml:space="preserve"> </w:t>
            </w:r>
            <w:r w:rsidRPr="00DD7553">
              <w:rPr>
                <w:rFonts w:eastAsiaTheme="minorHAnsi" w:cs="TimesNewRomanPSMT"/>
                <w:color w:val="000000"/>
              </w:rPr>
              <w:t>drug induced liver injury, and will also include further analysis on PAH patients</w:t>
            </w:r>
            <w:r w:rsidR="00A44222">
              <w:rPr>
                <w:rFonts w:eastAsiaTheme="minorHAnsi" w:cs="TimesNewRomanPSMT"/>
                <w:color w:val="000000"/>
              </w:rPr>
              <w:t xml:space="preserve"> </w:t>
            </w:r>
            <w:r w:rsidRPr="00DD7553">
              <w:rPr>
                <w:rFonts w:eastAsiaTheme="minorHAnsi" w:cs="TimesNewRomanPSMT"/>
                <w:color w:val="000000"/>
              </w:rPr>
              <w:t>treated with macitentan with a medical history of moderate to severe hepatic</w:t>
            </w:r>
            <w:r w:rsidR="00185A3C">
              <w:rPr>
                <w:rFonts w:eastAsiaTheme="minorHAnsi" w:cs="TimesNewRomanPSMT"/>
                <w:color w:val="000000"/>
              </w:rPr>
              <w:t xml:space="preserve"> </w:t>
            </w:r>
            <w:r w:rsidRPr="00DD7553">
              <w:rPr>
                <w:rFonts w:eastAsiaTheme="minorHAnsi" w:cs="TimesNewRomanPSMT"/>
                <w:color w:val="000000"/>
              </w:rPr>
              <w:t>impairment.</w:t>
            </w:r>
          </w:p>
          <w:p w:rsidR="00A329EF" w:rsidRPr="00DD7553" w:rsidRDefault="00A329EF" w:rsidP="00D17D73">
            <w:pPr>
              <w:ind w:left="5" w:right="-2"/>
              <w:rPr>
                <w:rFonts w:eastAsiaTheme="minorHAnsi" w:cs="TimesNewRomanPSMT"/>
                <w:color w:val="222222"/>
              </w:rPr>
            </w:pPr>
            <w:r w:rsidRPr="00DD7553">
              <w:rPr>
                <w:rFonts w:eastAsiaTheme="minorHAnsi" w:cs="TimesNewRomanPSMT"/>
                <w:color w:val="222222"/>
              </w:rPr>
              <w:t>Additional Pharmacovigilance activities:</w:t>
            </w:r>
          </w:p>
          <w:p w:rsidR="00A44222" w:rsidRDefault="00A329EF" w:rsidP="00D17D73">
            <w:pPr>
              <w:ind w:left="5" w:right="-2"/>
              <w:rPr>
                <w:rFonts w:eastAsia="SymbolMT" w:cs="SymbolMT"/>
                <w:color w:val="222222"/>
              </w:rPr>
            </w:pPr>
            <w:r w:rsidRPr="00A44222">
              <w:rPr>
                <w:rFonts w:eastAsiaTheme="minorHAnsi" w:cs="TimesNewRomanPSMT"/>
                <w:color w:val="000000"/>
              </w:rPr>
              <w:t>An Independent Liver Safety Board (ILSB) has been established to provide</w:t>
            </w:r>
            <w:r w:rsidR="00A44222">
              <w:rPr>
                <w:rFonts w:eastAsiaTheme="minorHAnsi" w:cs="TimesNewRomanPSMT"/>
                <w:color w:val="000000"/>
              </w:rPr>
              <w:t xml:space="preserve"> </w:t>
            </w:r>
            <w:r w:rsidRPr="00A44222">
              <w:rPr>
                <w:rFonts w:eastAsiaTheme="minorHAnsi" w:cs="TimesNewRomanPSMT"/>
                <w:color w:val="000000"/>
              </w:rPr>
              <w:t>review and assessment of each individual case report containing HAESI reported</w:t>
            </w:r>
            <w:r w:rsidR="00A44222">
              <w:rPr>
                <w:rFonts w:eastAsiaTheme="minorHAnsi" w:cs="TimesNewRomanPSMT"/>
                <w:color w:val="000000"/>
              </w:rPr>
              <w:t xml:space="preserve"> </w:t>
            </w:r>
            <w:r w:rsidRPr="00A44222">
              <w:rPr>
                <w:rFonts w:eastAsiaTheme="minorHAnsi" w:cs="TimesNewRomanPSMT"/>
                <w:color w:val="000000"/>
              </w:rPr>
              <w:t>from all global sources as agreed upon and defined in the ILSB charter. The ILSB</w:t>
            </w:r>
            <w:r w:rsidR="00A44222">
              <w:rPr>
                <w:rFonts w:eastAsiaTheme="minorHAnsi" w:cs="TimesNewRomanPSMT"/>
                <w:color w:val="000000"/>
              </w:rPr>
              <w:t xml:space="preserve"> </w:t>
            </w:r>
            <w:r w:rsidRPr="00A44222">
              <w:rPr>
                <w:rFonts w:eastAsiaTheme="minorHAnsi" w:cs="TimesNewRomanPSMT"/>
                <w:color w:val="000000"/>
              </w:rPr>
              <w:t>will also perform ad-hoc review of emerging data that require specific attention</w:t>
            </w:r>
            <w:r w:rsidR="00A44222">
              <w:rPr>
                <w:rFonts w:eastAsiaTheme="minorHAnsi" w:cs="TimesNewRomanPSMT"/>
                <w:color w:val="000000"/>
              </w:rPr>
              <w:t xml:space="preserve"> </w:t>
            </w:r>
            <w:r w:rsidRPr="00A44222">
              <w:rPr>
                <w:rFonts w:eastAsiaTheme="minorHAnsi" w:cs="TimesNewRomanPSMT"/>
                <w:color w:val="000000"/>
              </w:rPr>
              <w:t>(e.g. increased frequency or unusual pattern of specific hepatic AE(s), published</w:t>
            </w:r>
            <w:r w:rsidR="00A44222">
              <w:rPr>
                <w:rFonts w:eastAsiaTheme="minorHAnsi" w:cs="TimesNewRomanPSMT"/>
                <w:color w:val="000000"/>
              </w:rPr>
              <w:t xml:space="preserve"> </w:t>
            </w:r>
            <w:r w:rsidRPr="00A44222">
              <w:rPr>
                <w:rFonts w:eastAsiaTheme="minorHAnsi" w:cs="TimesNewRomanPSMT"/>
                <w:color w:val="000000"/>
              </w:rPr>
              <w:t xml:space="preserve">case report or case series, etc). The ILSB will also </w:t>
            </w:r>
            <w:r w:rsidRPr="00A44222">
              <w:rPr>
                <w:rFonts w:eastAsiaTheme="minorHAnsi" w:cs="TimesNewRomanPSMT"/>
                <w:color w:val="222222"/>
              </w:rPr>
              <w:t>review the hepatic safety data</w:t>
            </w:r>
            <w:r w:rsidR="00A44222">
              <w:rPr>
                <w:rFonts w:eastAsiaTheme="minorHAnsi" w:cs="TimesNewRomanPSMT"/>
                <w:color w:val="222222"/>
              </w:rPr>
              <w:t xml:space="preserve"> </w:t>
            </w:r>
            <w:r w:rsidRPr="00A44222">
              <w:rPr>
                <w:rFonts w:eastAsiaTheme="minorHAnsi" w:cs="TimesNewRomanPSMT"/>
                <w:color w:val="222222"/>
              </w:rPr>
              <w:t xml:space="preserve">analysis that will be provided in PSURs </w:t>
            </w:r>
            <w:r w:rsidRPr="00A44222">
              <w:rPr>
                <w:rFonts w:eastAsiaTheme="minorHAnsi" w:cs="TimesNewRomanPSMT"/>
                <w:color w:val="000000"/>
              </w:rPr>
              <w:t xml:space="preserve">/ </w:t>
            </w:r>
            <w:r w:rsidRPr="00A44222">
              <w:rPr>
                <w:rFonts w:eastAsiaTheme="minorHAnsi" w:cs="TimesNewRomanPSMT"/>
                <w:color w:val="222222"/>
              </w:rPr>
              <w:t>PBRERs</w:t>
            </w:r>
            <w:r w:rsidRPr="00A44222">
              <w:rPr>
                <w:rFonts w:eastAsiaTheme="minorHAnsi" w:cs="TimesNewRomanPSMT"/>
                <w:color w:val="000000"/>
              </w:rPr>
              <w:t>.</w:t>
            </w:r>
          </w:p>
          <w:p w:rsidR="00FA1444" w:rsidRPr="00754215" w:rsidRDefault="00A329EF" w:rsidP="00D17D73">
            <w:pPr>
              <w:ind w:left="5" w:right="-2"/>
            </w:pPr>
            <w:r w:rsidRPr="00A44222">
              <w:rPr>
                <w:rFonts w:eastAsiaTheme="minorHAnsi" w:cs="TimesNewRomanPSMT"/>
                <w:color w:val="000000"/>
              </w:rPr>
              <w:t>Additional safety data from all ongoing and planned clinical studies with</w:t>
            </w:r>
            <w:r w:rsidR="00A44222">
              <w:rPr>
                <w:rFonts w:eastAsiaTheme="minorHAnsi" w:cs="TimesNewRomanPSMT"/>
                <w:color w:val="000000"/>
              </w:rPr>
              <w:t xml:space="preserve"> </w:t>
            </w:r>
            <w:r w:rsidRPr="00A44222">
              <w:rPr>
                <w:rFonts w:eastAsiaTheme="minorHAnsi" w:cs="TimesNewRomanPSMT"/>
                <w:color w:val="000000"/>
              </w:rPr>
              <w:t>macitentan in PAH and other indications will provide a valuable source of</w:t>
            </w:r>
            <w:r w:rsidR="00A44222">
              <w:rPr>
                <w:rFonts w:eastAsiaTheme="minorHAnsi" w:cs="TimesNewRomanPSMT"/>
                <w:color w:val="000000"/>
              </w:rPr>
              <w:t xml:space="preserve"> </w:t>
            </w:r>
            <w:r w:rsidRPr="00A44222">
              <w:rPr>
                <w:rFonts w:eastAsiaTheme="minorHAnsi" w:cs="TimesNewRomanPSMT"/>
                <w:color w:val="000000"/>
              </w:rPr>
              <w:t>information. Analysis of integrated data regarding liver function test values and</w:t>
            </w:r>
            <w:r w:rsidR="00A44222">
              <w:rPr>
                <w:rFonts w:eastAsiaTheme="minorHAnsi" w:cs="TimesNewRomanPSMT"/>
                <w:color w:val="000000"/>
              </w:rPr>
              <w:t xml:space="preserve"> </w:t>
            </w:r>
            <w:r w:rsidRPr="00A44222">
              <w:rPr>
                <w:rFonts w:eastAsiaTheme="minorHAnsi" w:cs="TimesNewRomanPSMT"/>
                <w:color w:val="000000"/>
              </w:rPr>
              <w:t>hepatobiliary / investigation adverse events from these clinical studies will be</w:t>
            </w:r>
            <w:r w:rsidR="00A44222">
              <w:rPr>
                <w:rFonts w:eastAsiaTheme="minorHAnsi" w:cs="TimesNewRomanPSMT"/>
                <w:color w:val="000000"/>
              </w:rPr>
              <w:t xml:space="preserve"> </w:t>
            </w:r>
            <w:r w:rsidRPr="00A44222">
              <w:rPr>
                <w:rFonts w:eastAsiaTheme="minorHAnsi" w:cs="TimesNewRomanPSMT"/>
                <w:color w:val="000000"/>
              </w:rPr>
              <w:t>performed as documented in the current proposed RMP.</w:t>
            </w:r>
            <w:r w:rsidR="00D17D73">
              <w:rPr>
                <w:i/>
              </w:rPr>
              <w:t>’</w:t>
            </w:r>
          </w:p>
        </w:tc>
        <w:tc>
          <w:tcPr>
            <w:tcW w:w="1301"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FA1444" w:rsidRPr="00754215" w:rsidRDefault="002845BF" w:rsidP="00D17D73">
            <w:pPr>
              <w:ind w:left="70" w:right="0"/>
            </w:pPr>
            <w:r w:rsidRPr="002845BF">
              <w:rPr>
                <w:rFonts w:eastAsiaTheme="minorHAnsi" w:cs="Cambria"/>
                <w:color w:val="000000"/>
              </w:rPr>
              <w:lastRenderedPageBreak/>
              <w:t>The sponsor is already conducting ‘A long-term prospective observational study (product exposure registry) to</w:t>
            </w:r>
            <w:r>
              <w:rPr>
                <w:rFonts w:eastAsiaTheme="minorHAnsi" w:cs="Cambria"/>
                <w:color w:val="000000"/>
              </w:rPr>
              <w:t xml:space="preserve"> </w:t>
            </w:r>
            <w:r w:rsidRPr="002845BF">
              <w:rPr>
                <w:rFonts w:eastAsiaTheme="minorHAnsi" w:cs="Cambria"/>
                <w:color w:val="000000"/>
              </w:rPr>
              <w:t>evaluate potential serious hepatic risks related to the use of Opsumit</w:t>
            </w:r>
            <w:r>
              <w:rPr>
                <w:rFonts w:eastAsiaTheme="minorHAnsi" w:cs="Cambria"/>
                <w:color w:val="000000"/>
              </w:rPr>
              <w:t xml:space="preserve"> </w:t>
            </w:r>
            <w:r w:rsidRPr="002845BF">
              <w:rPr>
                <w:rFonts w:eastAsiaTheme="minorHAnsi" w:cs="Cambria"/>
                <w:color w:val="000000"/>
              </w:rPr>
              <w:t>(macitentan)’ and an assessment and analysis of reports of serious hepatic adverse events in the US. The sponsor should assign these activities to the ‘hepatotoxicity’ ongoing safety concern.</w:t>
            </w:r>
          </w:p>
        </w:tc>
      </w:tr>
      <w:tr w:rsidR="00FA1444" w:rsidRPr="007C75D1" w:rsidTr="005A1E8F">
        <w:trPr>
          <w:jc w:val="center"/>
        </w:trPr>
        <w:tc>
          <w:tcPr>
            <w:tcW w:w="1379"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FA1444" w:rsidRPr="00FF58F9" w:rsidRDefault="00FA1444" w:rsidP="00D17D73">
            <w:pPr>
              <w:ind w:left="0" w:right="0"/>
            </w:pPr>
            <w:r w:rsidRPr="00FF58F9">
              <w:lastRenderedPageBreak/>
              <w:t>PAH patients with HIV infection; and</w:t>
            </w:r>
          </w:p>
        </w:tc>
        <w:tc>
          <w:tcPr>
            <w:tcW w:w="232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A44222" w:rsidRDefault="00A44222" w:rsidP="00D17D73">
            <w:pPr>
              <w:ind w:left="5" w:right="-2"/>
              <w:rPr>
                <w:rFonts w:eastAsiaTheme="minorHAnsi" w:cs="TimesNewRomanPSMT"/>
                <w:color w:val="222222"/>
              </w:rPr>
            </w:pPr>
            <w:r w:rsidRPr="00A44222">
              <w:rPr>
                <w:rFonts w:eastAsiaTheme="minorHAnsi" w:cs="TimesNewRomanPSMT"/>
                <w:color w:val="000000"/>
              </w:rPr>
              <w:t>To closely monitor and further characterise the risk and assess any causal relationship,</w:t>
            </w:r>
            <w:r>
              <w:rPr>
                <w:rFonts w:eastAsiaTheme="minorHAnsi" w:cs="TimesNewRomanPSMT"/>
                <w:color w:val="000000"/>
              </w:rPr>
              <w:t xml:space="preserve"> </w:t>
            </w:r>
            <w:r w:rsidRPr="00A44222">
              <w:rPr>
                <w:rFonts w:eastAsiaTheme="minorHAnsi" w:cs="TimesNewRomanPSMT"/>
                <w:color w:val="000000"/>
              </w:rPr>
              <w:t xml:space="preserve">the sponsor proposes the following routine and </w:t>
            </w:r>
            <w:r w:rsidRPr="00A44222">
              <w:rPr>
                <w:rFonts w:eastAsiaTheme="minorHAnsi" w:cs="TimesNewRomanPSMT"/>
                <w:color w:val="000000"/>
              </w:rPr>
              <w:lastRenderedPageBreak/>
              <w:t>additional Pharmacovigilance activities:</w:t>
            </w:r>
          </w:p>
          <w:p w:rsidR="00A44222" w:rsidRDefault="00A44222" w:rsidP="00D17D73">
            <w:pPr>
              <w:ind w:left="5" w:right="-2"/>
              <w:rPr>
                <w:rFonts w:eastAsia="SymbolMT" w:cs="SymbolMT"/>
                <w:color w:val="222222"/>
              </w:rPr>
            </w:pPr>
            <w:r w:rsidRPr="00A44222">
              <w:rPr>
                <w:rFonts w:eastAsiaTheme="minorHAnsi" w:cs="TimesNewRomanPSMT"/>
                <w:color w:val="222222"/>
              </w:rPr>
              <w:t>Routine Pharmacovigilance activities:</w:t>
            </w:r>
          </w:p>
          <w:p w:rsidR="00A44222" w:rsidRDefault="00A44222" w:rsidP="00D17D73">
            <w:pPr>
              <w:ind w:left="5" w:right="-2"/>
              <w:rPr>
                <w:rFonts w:eastAsia="SymbolMT" w:cs="SymbolMT"/>
                <w:color w:val="222222"/>
              </w:rPr>
            </w:pPr>
            <w:r w:rsidRPr="00A44222">
              <w:rPr>
                <w:rFonts w:eastAsiaTheme="minorHAnsi" w:cs="TimesNewRomanPSMT"/>
                <w:color w:val="222222"/>
              </w:rPr>
              <w:t>The sponsor will conduct extensive follow-up of all events reported in macitentan</w:t>
            </w:r>
            <w:r>
              <w:rPr>
                <w:rFonts w:eastAsiaTheme="minorHAnsi" w:cs="TimesNewRomanPSMT"/>
                <w:color w:val="222222"/>
              </w:rPr>
              <w:t xml:space="preserve"> </w:t>
            </w:r>
            <w:r w:rsidRPr="00A44222">
              <w:rPr>
                <w:rFonts w:eastAsiaTheme="minorHAnsi" w:cs="TimesNewRomanPSMT"/>
                <w:color w:val="222222"/>
              </w:rPr>
              <w:t>treated patients with HIV. These reports will be processed as high priority cases.</w:t>
            </w:r>
            <w:r>
              <w:rPr>
                <w:rFonts w:eastAsiaTheme="minorHAnsi" w:cs="TimesNewRomanPSMT"/>
                <w:color w:val="222222"/>
              </w:rPr>
              <w:t xml:space="preserve"> </w:t>
            </w:r>
            <w:r w:rsidRPr="00A44222">
              <w:rPr>
                <w:rFonts w:eastAsiaTheme="minorHAnsi" w:cs="TimesNewRomanPSMT"/>
                <w:color w:val="222222"/>
              </w:rPr>
              <w:t>The Drug Safety Physician will intensively monitor all reports (irrespective of</w:t>
            </w:r>
            <w:r>
              <w:rPr>
                <w:rFonts w:eastAsiaTheme="minorHAnsi" w:cs="TimesNewRomanPSMT"/>
                <w:color w:val="222222"/>
              </w:rPr>
              <w:t xml:space="preserve"> </w:t>
            </w:r>
            <w:r w:rsidRPr="00A44222">
              <w:rPr>
                <w:rFonts w:eastAsiaTheme="minorHAnsi" w:cs="TimesNewRomanPSMT"/>
                <w:color w:val="222222"/>
              </w:rPr>
              <w:t>seriousness or causality, from worldwide post-marketing or clinical trial sources).</w:t>
            </w:r>
          </w:p>
          <w:p w:rsidR="00A44222" w:rsidRDefault="00A44222" w:rsidP="00D17D73">
            <w:pPr>
              <w:ind w:left="5" w:right="-2"/>
              <w:rPr>
                <w:rFonts w:eastAsia="SymbolMT" w:cs="SymbolMT"/>
                <w:color w:val="000000"/>
              </w:rPr>
            </w:pPr>
            <w:r w:rsidRPr="00A44222">
              <w:rPr>
                <w:rFonts w:eastAsiaTheme="minorHAnsi" w:cs="TimesNewRomanPSMT"/>
                <w:color w:val="222222"/>
              </w:rPr>
              <w:t>In order to collect additional information, DCFs will be sent to the reporter as</w:t>
            </w:r>
            <w:r>
              <w:rPr>
                <w:rFonts w:eastAsiaTheme="minorHAnsi" w:cs="TimesNewRomanPSMT"/>
                <w:color w:val="222222"/>
              </w:rPr>
              <w:t xml:space="preserve"> </w:t>
            </w:r>
            <w:r w:rsidRPr="00A44222">
              <w:rPr>
                <w:rFonts w:eastAsiaTheme="minorHAnsi" w:cs="TimesNewRomanPSMT"/>
                <w:color w:val="222222"/>
              </w:rPr>
              <w:t>appropriate. Extensive and repeated follow-up attempts will be made as per</w:t>
            </w:r>
            <w:r>
              <w:rPr>
                <w:rFonts w:eastAsiaTheme="minorHAnsi" w:cs="TimesNewRomanPSMT"/>
                <w:color w:val="222222"/>
              </w:rPr>
              <w:t xml:space="preserve"> </w:t>
            </w:r>
            <w:r w:rsidRPr="00A44222">
              <w:rPr>
                <w:rFonts w:eastAsiaTheme="minorHAnsi" w:cs="TimesNewRomanPSMT"/>
                <w:color w:val="222222"/>
              </w:rPr>
              <w:t>Actelion follow-up procedure for high priority cases.</w:t>
            </w:r>
          </w:p>
          <w:p w:rsidR="00A44222" w:rsidRDefault="00A44222" w:rsidP="00D17D73">
            <w:pPr>
              <w:ind w:left="5" w:right="-2"/>
              <w:rPr>
                <w:rFonts w:eastAsiaTheme="minorHAnsi" w:cs="TimesNewRomanPSMT"/>
                <w:color w:val="222222"/>
              </w:rPr>
            </w:pPr>
            <w:r w:rsidRPr="00A44222">
              <w:rPr>
                <w:rFonts w:eastAsiaTheme="minorHAnsi" w:cs="TimesNewRomanPSMT"/>
                <w:color w:val="222222"/>
              </w:rPr>
              <w:t>The sponsor will analyse all macitentan cases with events reported in patients</w:t>
            </w:r>
            <w:r>
              <w:rPr>
                <w:rFonts w:eastAsiaTheme="minorHAnsi" w:cs="TimesNewRomanPSMT"/>
                <w:color w:val="222222"/>
              </w:rPr>
              <w:t xml:space="preserve"> </w:t>
            </w:r>
            <w:r w:rsidRPr="00A44222">
              <w:rPr>
                <w:rFonts w:eastAsiaTheme="minorHAnsi" w:cs="TimesNewRomanPSMT"/>
                <w:color w:val="222222"/>
              </w:rPr>
              <w:t xml:space="preserve">with HIV and will provide </w:t>
            </w:r>
            <w:r w:rsidRPr="00A44222">
              <w:rPr>
                <w:rFonts w:eastAsiaTheme="minorHAnsi" w:cs="TimesNewRomanPSMT"/>
                <w:color w:val="000000"/>
              </w:rPr>
              <w:t xml:space="preserve">thorough aggregated data analysis in </w:t>
            </w:r>
            <w:r w:rsidRPr="00A44222">
              <w:rPr>
                <w:rFonts w:eastAsiaTheme="minorHAnsi" w:cs="TimesNewRomanPSMT"/>
                <w:color w:val="222222"/>
              </w:rPr>
              <w:t>the</w:t>
            </w:r>
            <w:r>
              <w:rPr>
                <w:rFonts w:eastAsiaTheme="minorHAnsi" w:cs="TimesNewRomanPSMT"/>
                <w:color w:val="222222"/>
              </w:rPr>
              <w:t xml:space="preserve"> </w:t>
            </w:r>
            <w:r w:rsidRPr="00A44222">
              <w:rPr>
                <w:rFonts w:eastAsiaTheme="minorHAnsi" w:cs="TimesNewRomanPSMT"/>
                <w:color w:val="222222"/>
              </w:rPr>
              <w:t xml:space="preserve">PSURs/PBRERs. </w:t>
            </w:r>
            <w:r w:rsidRPr="00A44222">
              <w:rPr>
                <w:rFonts w:eastAsiaTheme="minorHAnsi" w:cs="TimesNewRomanPSMT"/>
                <w:color w:val="000000"/>
              </w:rPr>
              <w:t>These will also include further detailed analysis for patients</w:t>
            </w:r>
            <w:r>
              <w:rPr>
                <w:rFonts w:eastAsiaTheme="minorHAnsi" w:cs="TimesNewRomanPSMT"/>
                <w:color w:val="000000"/>
              </w:rPr>
              <w:t xml:space="preserve"> </w:t>
            </w:r>
            <w:r w:rsidRPr="00A44222">
              <w:rPr>
                <w:rFonts w:eastAsiaTheme="minorHAnsi" w:cs="TimesNewRomanPSMT"/>
                <w:color w:val="000000"/>
              </w:rPr>
              <w:t>with concomitant lopinavir+ritonavir or other ritonavir-boosted protease inhibitor</w:t>
            </w:r>
            <w:r>
              <w:rPr>
                <w:rFonts w:eastAsiaTheme="minorHAnsi" w:cs="TimesNewRomanPSMT"/>
                <w:color w:val="000000"/>
              </w:rPr>
              <w:t xml:space="preserve"> </w:t>
            </w:r>
            <w:r w:rsidRPr="00A44222">
              <w:rPr>
                <w:rFonts w:eastAsiaTheme="minorHAnsi" w:cs="TimesNewRomanPSMT"/>
                <w:color w:val="000000"/>
              </w:rPr>
              <w:t>treatment, to identify any unusual pattern of AEs or evidence suggesting DDI.</w:t>
            </w:r>
          </w:p>
          <w:p w:rsidR="00FA1444" w:rsidRPr="00FF58F9" w:rsidRDefault="00A44222" w:rsidP="00D17D73">
            <w:pPr>
              <w:ind w:left="5" w:right="-2"/>
            </w:pPr>
            <w:r w:rsidRPr="00A44222">
              <w:rPr>
                <w:rFonts w:eastAsiaTheme="minorHAnsi" w:cs="TimesNewRomanPSMT"/>
                <w:color w:val="222222"/>
              </w:rPr>
              <w:t>Additional Pharmacovigilance activities:</w:t>
            </w:r>
            <w:r>
              <w:rPr>
                <w:rFonts w:eastAsiaTheme="minorHAnsi" w:cs="TimesNewRomanPSMT"/>
                <w:color w:val="222222"/>
              </w:rPr>
              <w:t xml:space="preserve"> </w:t>
            </w:r>
            <w:r w:rsidRPr="00A44222">
              <w:rPr>
                <w:rFonts w:eastAsiaTheme="minorHAnsi" w:cs="TimesNewRomanPSMT"/>
                <w:color w:val="000000"/>
              </w:rPr>
              <w:t>Additional safety data from all ongoing</w:t>
            </w:r>
            <w:r>
              <w:rPr>
                <w:rFonts w:eastAsiaTheme="minorHAnsi" w:cs="TimesNewRomanPSMT"/>
                <w:color w:val="000000"/>
              </w:rPr>
              <w:t xml:space="preserve"> </w:t>
            </w:r>
            <w:r w:rsidRPr="00A44222">
              <w:rPr>
                <w:rFonts w:eastAsiaTheme="minorHAnsi" w:cs="TimesNewRomanPSMT"/>
                <w:color w:val="000000"/>
              </w:rPr>
              <w:t>and planned clinical studies with macitentan will provide a valuable source of</w:t>
            </w:r>
            <w:r>
              <w:rPr>
                <w:rFonts w:eastAsiaTheme="minorHAnsi" w:cs="TimesNewRomanPSMT"/>
                <w:color w:val="000000"/>
              </w:rPr>
              <w:t xml:space="preserve"> </w:t>
            </w:r>
            <w:r w:rsidRPr="00A44222">
              <w:rPr>
                <w:rFonts w:eastAsiaTheme="minorHAnsi" w:cs="TimesNewRomanPSMT"/>
                <w:color w:val="000000"/>
              </w:rPr>
              <w:t>information. Integrated safety data analysis regarding patients with HIV from</w:t>
            </w:r>
            <w:r>
              <w:rPr>
                <w:rFonts w:eastAsiaTheme="minorHAnsi" w:cs="TimesNewRomanPSMT"/>
                <w:color w:val="000000"/>
              </w:rPr>
              <w:t xml:space="preserve"> </w:t>
            </w:r>
            <w:r w:rsidRPr="00A44222">
              <w:rPr>
                <w:rFonts w:eastAsiaTheme="minorHAnsi" w:cs="TimesNewRomanPSMT"/>
                <w:color w:val="000000"/>
              </w:rPr>
              <w:t>these clinical studies will be performed.</w:t>
            </w:r>
          </w:p>
        </w:tc>
        <w:tc>
          <w:tcPr>
            <w:tcW w:w="1301"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FA1444" w:rsidRPr="002845BF" w:rsidRDefault="002845BF" w:rsidP="00D17D73">
            <w:pPr>
              <w:ind w:left="70" w:right="0"/>
            </w:pPr>
            <w:r w:rsidRPr="002845BF">
              <w:rPr>
                <w:rFonts w:eastAsiaTheme="minorHAnsi" w:cs="Cambria"/>
                <w:color w:val="000000"/>
              </w:rPr>
              <w:lastRenderedPageBreak/>
              <w:t>Routine pharmacovigilance may be sufficient.</w:t>
            </w:r>
          </w:p>
        </w:tc>
      </w:tr>
      <w:tr w:rsidR="00FA1444" w:rsidRPr="007C75D1" w:rsidTr="005A1E8F">
        <w:trPr>
          <w:jc w:val="center"/>
        </w:trPr>
        <w:tc>
          <w:tcPr>
            <w:tcW w:w="1379"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FA1444" w:rsidRPr="00FF58F9" w:rsidRDefault="00FA1444" w:rsidP="00D17D73">
            <w:pPr>
              <w:ind w:left="0" w:right="0"/>
            </w:pPr>
            <w:r w:rsidRPr="00FF58F9">
              <w:lastRenderedPageBreak/>
              <w:t>The sponsor is advised to submit the details of the Australian versions of the Prescribing checklist, the HCP Brochure; and Patient card.</w:t>
            </w:r>
          </w:p>
        </w:tc>
        <w:tc>
          <w:tcPr>
            <w:tcW w:w="232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FA1444" w:rsidRPr="00BA0C18" w:rsidRDefault="00FA1444" w:rsidP="00D17D73">
            <w:pPr>
              <w:ind w:left="5" w:right="-2"/>
            </w:pPr>
            <w:r w:rsidRPr="00BA0C18">
              <w:t>‘The Applicant would like to submit the Australian version of the Prescribing Checklist, the HCP Brochure, and Patient Card at a later stage of the evaluation, following receipt of the clinical evaluation report and when there is greater clarity surrounding the AU PI content.’</w:t>
            </w:r>
          </w:p>
        </w:tc>
        <w:tc>
          <w:tcPr>
            <w:tcW w:w="1301"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FA1444" w:rsidRPr="00FF58F9" w:rsidRDefault="00FA1444" w:rsidP="00D17D73">
            <w:pPr>
              <w:ind w:left="70" w:right="0"/>
            </w:pPr>
            <w:r w:rsidRPr="00FF58F9">
              <w:t>This is considered acceptable.</w:t>
            </w:r>
          </w:p>
        </w:tc>
      </w:tr>
      <w:tr w:rsidR="00FA1444" w:rsidRPr="007C75D1" w:rsidTr="005A1E8F">
        <w:trPr>
          <w:jc w:val="center"/>
        </w:trPr>
        <w:tc>
          <w:tcPr>
            <w:tcW w:w="1379"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FA1444" w:rsidRPr="00FF58F9" w:rsidRDefault="00FA1444" w:rsidP="00D17D73">
            <w:pPr>
              <w:ind w:left="0" w:right="0"/>
            </w:pPr>
            <w:r w:rsidRPr="00FF58F9">
              <w:t xml:space="preserve">The sponsor should make the results of the </w:t>
            </w:r>
            <w:r w:rsidRPr="00FF58F9">
              <w:lastRenderedPageBreak/>
              <w:t>additional risk minimisation activity evaluations (pre- and post</w:t>
            </w:r>
            <w:r w:rsidR="00FF58F9">
              <w:t>-</w:t>
            </w:r>
            <w:r w:rsidRPr="00FF58F9">
              <w:t>launch) available within the submitted PSURs.</w:t>
            </w:r>
          </w:p>
        </w:tc>
        <w:tc>
          <w:tcPr>
            <w:tcW w:w="232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FA1444" w:rsidRPr="00BA0C18" w:rsidRDefault="00FA1444" w:rsidP="00D17D73">
            <w:pPr>
              <w:ind w:left="5" w:right="-2"/>
            </w:pPr>
            <w:r w:rsidRPr="00BA0C18">
              <w:lastRenderedPageBreak/>
              <w:t xml:space="preserve">‘The results of the risk minimisation actions described in the EU RMP, ASA </w:t>
            </w:r>
            <w:r w:rsidRPr="00BA0C18">
              <w:lastRenderedPageBreak/>
              <w:t>and within these responses will be described in PSURs.’</w:t>
            </w:r>
          </w:p>
        </w:tc>
        <w:tc>
          <w:tcPr>
            <w:tcW w:w="1301"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FA1444" w:rsidRPr="00FF58F9" w:rsidRDefault="00FA1444" w:rsidP="00D17D73">
            <w:pPr>
              <w:ind w:left="70" w:right="0"/>
            </w:pPr>
            <w:r w:rsidRPr="00FF58F9">
              <w:lastRenderedPageBreak/>
              <w:t xml:space="preserve">This is considered </w:t>
            </w:r>
            <w:r w:rsidRPr="00FF58F9">
              <w:lastRenderedPageBreak/>
              <w:t>acceptable.</w:t>
            </w:r>
          </w:p>
        </w:tc>
      </w:tr>
      <w:tr w:rsidR="00FA1444" w:rsidRPr="007C75D1" w:rsidTr="005A1E8F">
        <w:trPr>
          <w:jc w:val="center"/>
        </w:trPr>
        <w:tc>
          <w:tcPr>
            <w:tcW w:w="1379"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FA1444" w:rsidRPr="00FF58F9" w:rsidRDefault="00FA1444" w:rsidP="00D17D73">
            <w:pPr>
              <w:ind w:left="0" w:right="0"/>
            </w:pPr>
            <w:r w:rsidRPr="00FF58F9">
              <w:lastRenderedPageBreak/>
              <w:t xml:space="preserve">In regard to the proposed routine risk minimisation activities, it is recommended to the Delegate that the draft </w:t>
            </w:r>
            <w:r w:rsidR="0011222B">
              <w:t>PI</w:t>
            </w:r>
            <w:r w:rsidRPr="00FF58F9">
              <w:t xml:space="preserve"> document be revised</w:t>
            </w:r>
            <w:r w:rsidR="00FF58F9" w:rsidRPr="00FF58F9">
              <w:t>.</w:t>
            </w:r>
          </w:p>
        </w:tc>
        <w:tc>
          <w:tcPr>
            <w:tcW w:w="232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FA1444" w:rsidRPr="00FF58F9" w:rsidRDefault="00FA1444" w:rsidP="00D17D73">
            <w:pPr>
              <w:ind w:left="5" w:right="-2"/>
            </w:pPr>
            <w:r w:rsidRPr="00FF58F9">
              <w:t>Appropriate changes have been made by the sponsor.</w:t>
            </w:r>
          </w:p>
        </w:tc>
        <w:tc>
          <w:tcPr>
            <w:tcW w:w="1301"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FA1444" w:rsidRPr="00FF58F9" w:rsidRDefault="00FA1444" w:rsidP="00D17D73">
            <w:pPr>
              <w:ind w:left="70" w:right="0"/>
            </w:pPr>
            <w:r w:rsidRPr="00FF58F9">
              <w:t>This is considered acceptable.</w:t>
            </w:r>
          </w:p>
        </w:tc>
      </w:tr>
      <w:tr w:rsidR="00FA1444" w:rsidRPr="007C75D1" w:rsidTr="005A1E8F">
        <w:trPr>
          <w:jc w:val="center"/>
        </w:trPr>
        <w:tc>
          <w:tcPr>
            <w:tcW w:w="1379"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FA1444" w:rsidRPr="00FF58F9" w:rsidRDefault="00FA1444" w:rsidP="00D17D73">
            <w:pPr>
              <w:ind w:left="0" w:right="0"/>
            </w:pPr>
            <w:r w:rsidRPr="00FF58F9">
              <w:t>In regard to the proposed additional risk minimisation activities, it is recommended to the sponsor to undertake the following:</w:t>
            </w:r>
          </w:p>
          <w:p w:rsidR="00FA1444" w:rsidRPr="00FF58F9" w:rsidRDefault="00FA1444" w:rsidP="00D17D73">
            <w:pPr>
              <w:ind w:left="0" w:right="0"/>
            </w:pPr>
            <w:r w:rsidRPr="00FF58F9">
              <w:t>On the ‘Opsumit Prescriber Checklist’, the liver function test results should include fields for albumin, ALP, and GGT, to accommodate that intrinsic liver damage may not be shown by abnormal ALT or AST only.</w:t>
            </w:r>
          </w:p>
        </w:tc>
        <w:tc>
          <w:tcPr>
            <w:tcW w:w="232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FA1444" w:rsidRPr="00FF58F9" w:rsidRDefault="00BA0C18" w:rsidP="00D17D73">
            <w:pPr>
              <w:ind w:left="5" w:right="-2"/>
            </w:pPr>
            <w:r w:rsidRPr="00BA0C18">
              <w:rPr>
                <w:rFonts w:eastAsiaTheme="minorHAnsi" w:cs="TimesNewRomanPSMT"/>
              </w:rPr>
              <w:t>The sponsor agrees to add the proposed laboratory variables to the prescriber checklist</w:t>
            </w:r>
            <w:r w:rsidR="002845BF">
              <w:rPr>
                <w:rFonts w:eastAsiaTheme="minorHAnsi" w:cs="TimesNewRomanPSMT"/>
              </w:rPr>
              <w:t xml:space="preserve"> </w:t>
            </w:r>
            <w:r w:rsidRPr="00BA0C18">
              <w:rPr>
                <w:rFonts w:eastAsiaTheme="minorHAnsi" w:cs="TimesNewRomanPSMT"/>
              </w:rPr>
              <w:t>for patients in Australia.</w:t>
            </w:r>
          </w:p>
        </w:tc>
        <w:tc>
          <w:tcPr>
            <w:tcW w:w="1301"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F36B87" w:rsidRDefault="002845BF" w:rsidP="00D17D73">
            <w:pPr>
              <w:ind w:left="70" w:right="0"/>
              <w:rPr>
                <w:rFonts w:eastAsiaTheme="minorHAnsi" w:cs="Cambria"/>
                <w:color w:val="000000"/>
              </w:rPr>
            </w:pPr>
            <w:r w:rsidRPr="002845BF">
              <w:rPr>
                <w:rFonts w:eastAsiaTheme="minorHAnsi" w:cs="Cambria"/>
                <w:color w:val="000000"/>
              </w:rPr>
              <w:t>The sponsor agreed to make the necessary changes on the checklist.</w:t>
            </w:r>
          </w:p>
          <w:p w:rsidR="00D51E07" w:rsidRPr="002845BF" w:rsidRDefault="002845BF" w:rsidP="00D17D73">
            <w:pPr>
              <w:ind w:left="70" w:right="0"/>
            </w:pPr>
            <w:r w:rsidRPr="002845BF">
              <w:rPr>
                <w:rFonts w:eastAsiaTheme="minorHAnsi" w:cs="Cambria"/>
                <w:color w:val="000000"/>
              </w:rPr>
              <w:t xml:space="preserve">This is </w:t>
            </w:r>
            <w:r w:rsidR="00F36B87">
              <w:rPr>
                <w:rFonts w:eastAsiaTheme="minorHAnsi" w:cs="Cambria"/>
                <w:color w:val="000000"/>
              </w:rPr>
              <w:t xml:space="preserve">considered </w:t>
            </w:r>
            <w:r w:rsidRPr="002845BF">
              <w:rPr>
                <w:rFonts w:eastAsiaTheme="minorHAnsi" w:cs="Cambria"/>
                <w:color w:val="000000"/>
              </w:rPr>
              <w:t>acceptable.</w:t>
            </w:r>
          </w:p>
        </w:tc>
      </w:tr>
      <w:tr w:rsidR="00FA1444" w:rsidRPr="007C75D1" w:rsidTr="005A1E8F">
        <w:trPr>
          <w:jc w:val="center"/>
        </w:trPr>
        <w:tc>
          <w:tcPr>
            <w:tcW w:w="1379"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FA1444" w:rsidRPr="00D51E07" w:rsidRDefault="00FA1444" w:rsidP="00D17D73">
            <w:pPr>
              <w:ind w:left="0" w:right="0"/>
            </w:pPr>
            <w:r w:rsidRPr="00D51E07">
              <w:t>Establish a patient registry similar to the register for Tracleer (bosentan).</w:t>
            </w:r>
          </w:p>
        </w:tc>
        <w:tc>
          <w:tcPr>
            <w:tcW w:w="232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BA0C18" w:rsidRPr="002845BF" w:rsidRDefault="00BA0C18" w:rsidP="00D17D73">
            <w:pPr>
              <w:ind w:left="5" w:right="-2"/>
              <w:rPr>
                <w:rFonts w:eastAsiaTheme="minorHAnsi" w:cs="TimesNewRomanPSMT"/>
              </w:rPr>
            </w:pPr>
            <w:r w:rsidRPr="002845BF">
              <w:rPr>
                <w:rFonts w:eastAsiaTheme="minorHAnsi" w:cs="TimesNewRomanPSMT"/>
              </w:rPr>
              <w:t>The Bosentan Patient Registry (BPR) was set up in Australia as part of a risk-sharing agreement between the Sponsor and the Australian Pharmaceutical Benefits Advisory Committee (PBAC) to allow setting a price and obtaining reimbursement. The BPR objectives did not include objectives related to the Tracleer (bosentan) safety profile. The</w:t>
            </w:r>
            <w:r w:rsidR="002845BF" w:rsidRPr="002845BF">
              <w:rPr>
                <w:rFonts w:eastAsiaTheme="minorHAnsi" w:cs="TimesNewRomanPSMT"/>
              </w:rPr>
              <w:t xml:space="preserve"> </w:t>
            </w:r>
            <w:r w:rsidRPr="002845BF">
              <w:rPr>
                <w:rFonts w:eastAsiaTheme="minorHAnsi" w:cs="TimesNewRomanPSMT"/>
              </w:rPr>
              <w:t>BPR was completed five years ago, and published in 2011 [Keogh 2011</w:t>
            </w:r>
            <w:r w:rsidR="002845BF">
              <w:rPr>
                <w:rStyle w:val="FootnoteReference"/>
                <w:rFonts w:asciiTheme="minorHAnsi" w:eastAsiaTheme="minorHAnsi" w:hAnsiTheme="minorHAnsi" w:cs="TimesNewRomanPSMT"/>
                <w:sz w:val="18"/>
                <w:szCs w:val="18"/>
              </w:rPr>
              <w:footnoteReference w:id="17"/>
            </w:r>
            <w:r w:rsidRPr="002845BF">
              <w:rPr>
                <w:rFonts w:eastAsiaTheme="minorHAnsi" w:cs="TimesNewRomanPSMT"/>
              </w:rPr>
              <w:t>]</w:t>
            </w:r>
          </w:p>
          <w:p w:rsidR="00BA0C18" w:rsidRPr="002845BF" w:rsidRDefault="00BA0C18" w:rsidP="00D17D73">
            <w:pPr>
              <w:ind w:left="5" w:right="-2"/>
              <w:rPr>
                <w:rFonts w:eastAsiaTheme="minorHAnsi" w:cs="TimesNewRomanPSMT"/>
              </w:rPr>
            </w:pPr>
            <w:r w:rsidRPr="002845BF">
              <w:rPr>
                <w:rFonts w:eastAsiaTheme="minorHAnsi" w:cs="TimesNewRomanPSMT"/>
              </w:rPr>
              <w:lastRenderedPageBreak/>
              <w:t>Given that Opsumit will be a Section 100 medication in Australia, to be prescribed only</w:t>
            </w:r>
            <w:r w:rsidR="002845BF" w:rsidRPr="002845BF">
              <w:rPr>
                <w:rFonts w:eastAsiaTheme="minorHAnsi" w:cs="TimesNewRomanPSMT"/>
              </w:rPr>
              <w:t xml:space="preserve"> </w:t>
            </w:r>
            <w:r w:rsidRPr="002845BF">
              <w:rPr>
                <w:rFonts w:eastAsiaTheme="minorHAnsi" w:cs="TimesNewRomanPSMT"/>
              </w:rPr>
              <w:t>from Medicare-approved ‘Designated Centres’, Opsumit will be prescribed by PAH</w:t>
            </w:r>
            <w:r w:rsidR="002845BF" w:rsidRPr="002845BF">
              <w:rPr>
                <w:rFonts w:eastAsiaTheme="minorHAnsi" w:cs="TimesNewRomanPSMT"/>
              </w:rPr>
              <w:t xml:space="preserve"> </w:t>
            </w:r>
            <w:r w:rsidRPr="002845BF">
              <w:rPr>
                <w:rFonts w:eastAsiaTheme="minorHAnsi" w:cs="TimesNewRomanPSMT"/>
              </w:rPr>
              <w:t>specialists who will be fully familiar with the risks of other ERAs, and having the</w:t>
            </w:r>
            <w:r w:rsidR="002845BF" w:rsidRPr="002845BF">
              <w:rPr>
                <w:rFonts w:eastAsiaTheme="minorHAnsi" w:cs="TimesNewRomanPSMT"/>
              </w:rPr>
              <w:t xml:space="preserve"> </w:t>
            </w:r>
            <w:r w:rsidRPr="002845BF">
              <w:rPr>
                <w:rFonts w:eastAsiaTheme="minorHAnsi" w:cs="TimesNewRomanPSMT"/>
              </w:rPr>
              <w:t>necessary facilities to oversee close monitoring of patients. Physicians within the</w:t>
            </w:r>
            <w:r w:rsidR="002845BF" w:rsidRPr="002845BF">
              <w:rPr>
                <w:rFonts w:eastAsiaTheme="minorHAnsi" w:cs="TimesNewRomanPSMT"/>
              </w:rPr>
              <w:t xml:space="preserve"> </w:t>
            </w:r>
            <w:r w:rsidRPr="002845BF">
              <w:rPr>
                <w:rFonts w:eastAsiaTheme="minorHAnsi" w:cs="TimesNewRomanPSMT"/>
              </w:rPr>
              <w:t>Designated Centres are responsible for ensuring that all patients prescribed Opsumit</w:t>
            </w:r>
            <w:r w:rsidR="002845BF" w:rsidRPr="002845BF">
              <w:rPr>
                <w:rFonts w:eastAsiaTheme="minorHAnsi" w:cs="TimesNewRomanPSMT"/>
              </w:rPr>
              <w:t xml:space="preserve"> </w:t>
            </w:r>
            <w:r w:rsidRPr="002845BF">
              <w:rPr>
                <w:rFonts w:eastAsiaTheme="minorHAnsi" w:cs="TimesNewRomanPSMT"/>
              </w:rPr>
              <w:t>undergo the necessary monitoring tests. The Sponsor will ensure that prescribers in all</w:t>
            </w:r>
            <w:r w:rsidR="002845BF" w:rsidRPr="002845BF">
              <w:rPr>
                <w:rFonts w:eastAsiaTheme="minorHAnsi" w:cs="TimesNewRomanPSMT"/>
              </w:rPr>
              <w:t xml:space="preserve"> </w:t>
            </w:r>
            <w:r w:rsidRPr="002845BF">
              <w:rPr>
                <w:rFonts w:eastAsiaTheme="minorHAnsi" w:cs="TimesNewRomanPSMT"/>
              </w:rPr>
              <w:t>Designated Centres will be educated on the specific safety concerns and appropriate use</w:t>
            </w:r>
            <w:r w:rsidR="002845BF" w:rsidRPr="002845BF">
              <w:rPr>
                <w:rFonts w:eastAsiaTheme="minorHAnsi" w:cs="TimesNewRomanPSMT"/>
              </w:rPr>
              <w:t xml:space="preserve"> </w:t>
            </w:r>
            <w:r w:rsidRPr="002845BF">
              <w:rPr>
                <w:rFonts w:eastAsiaTheme="minorHAnsi" w:cs="TimesNewRomanPSMT"/>
              </w:rPr>
              <w:t>and monitoring necessary when prescribing Opsumit.</w:t>
            </w:r>
          </w:p>
          <w:p w:rsidR="002845BF" w:rsidRPr="002845BF" w:rsidRDefault="00BA0C18" w:rsidP="00D17D73">
            <w:pPr>
              <w:ind w:left="5" w:right="-2"/>
              <w:rPr>
                <w:rFonts w:eastAsiaTheme="minorHAnsi" w:cs="TimesNewRomanPSMT"/>
              </w:rPr>
            </w:pPr>
            <w:r w:rsidRPr="002845BF">
              <w:rPr>
                <w:rFonts w:eastAsiaTheme="minorHAnsi" w:cs="TimesNewRomanPSMT"/>
              </w:rPr>
              <w:t>In this setting, the characterisation of the post-marketing safety profile of Opsumit is best</w:t>
            </w:r>
            <w:r w:rsidR="002845BF" w:rsidRPr="002845BF">
              <w:rPr>
                <w:rFonts w:eastAsiaTheme="minorHAnsi" w:cs="TimesNewRomanPSMT"/>
              </w:rPr>
              <w:t xml:space="preserve"> </w:t>
            </w:r>
            <w:r w:rsidRPr="002845BF">
              <w:rPr>
                <w:rFonts w:eastAsiaTheme="minorHAnsi" w:cs="TimesNewRomanPSMT"/>
              </w:rPr>
              <w:t>served by careful routine and additional pharmacovigilance activities</w:t>
            </w:r>
            <w:r w:rsidR="002845BF" w:rsidRPr="002845BF">
              <w:rPr>
                <w:rFonts w:eastAsiaTheme="minorHAnsi" w:cs="TimesNewRomanPSMT"/>
              </w:rPr>
              <w:t>.</w:t>
            </w:r>
            <w:r w:rsidRPr="002845BF">
              <w:rPr>
                <w:rFonts w:eastAsiaTheme="minorHAnsi" w:cs="TimesNewRomanPSMT"/>
              </w:rPr>
              <w:t xml:space="preserve"> The sponsor is of the opinion that these measures are sufficient to</w:t>
            </w:r>
            <w:r w:rsidR="002845BF" w:rsidRPr="002845BF">
              <w:rPr>
                <w:rFonts w:eastAsiaTheme="minorHAnsi" w:cs="TimesNewRomanPSMT"/>
              </w:rPr>
              <w:t xml:space="preserve"> </w:t>
            </w:r>
            <w:r w:rsidRPr="002845BF">
              <w:rPr>
                <w:rFonts w:eastAsiaTheme="minorHAnsi" w:cs="TimesNewRomanPSMT"/>
              </w:rPr>
              <w:t>further define the Opsumit safety profile.</w:t>
            </w:r>
          </w:p>
          <w:p w:rsidR="00FA1444" w:rsidRPr="00D51E07" w:rsidRDefault="00BA0C18" w:rsidP="00D17D73">
            <w:pPr>
              <w:ind w:left="5" w:right="-2"/>
            </w:pPr>
            <w:r w:rsidRPr="002845BF">
              <w:rPr>
                <w:rFonts w:eastAsiaTheme="minorHAnsi" w:cs="TimesNewRomanPSMT"/>
              </w:rPr>
              <w:t>In conclusion, the sponsor is of the opinion that an additional registry to characterise the</w:t>
            </w:r>
            <w:r w:rsidR="002845BF" w:rsidRPr="002845BF">
              <w:rPr>
                <w:rFonts w:eastAsiaTheme="minorHAnsi" w:cs="TimesNewRomanPSMT"/>
              </w:rPr>
              <w:t xml:space="preserve"> </w:t>
            </w:r>
            <w:r w:rsidRPr="002845BF">
              <w:rPr>
                <w:rFonts w:eastAsiaTheme="minorHAnsi" w:cs="TimesNewRomanPSMT"/>
              </w:rPr>
              <w:t>Opsumit safety profile is not needed. Of note, no such registry was required for Volibris</w:t>
            </w:r>
            <w:r w:rsidR="002845BF" w:rsidRPr="002845BF">
              <w:rPr>
                <w:rFonts w:eastAsiaTheme="minorHAnsi" w:cs="TimesNewRomanPSMT"/>
              </w:rPr>
              <w:t xml:space="preserve"> </w:t>
            </w:r>
            <w:r w:rsidRPr="002845BF">
              <w:rPr>
                <w:rFonts w:eastAsiaTheme="minorHAnsi" w:cs="TimesNewRomanPSMT"/>
              </w:rPr>
              <w:t>(ambrisentan) in Australia.</w:t>
            </w:r>
          </w:p>
        </w:tc>
        <w:tc>
          <w:tcPr>
            <w:tcW w:w="1301"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FA1444" w:rsidRPr="002845BF" w:rsidRDefault="002845BF" w:rsidP="00D17D73">
            <w:pPr>
              <w:ind w:left="70" w:right="0"/>
            </w:pPr>
            <w:r w:rsidRPr="002845BF">
              <w:rPr>
                <w:rFonts w:eastAsiaTheme="minorHAnsi" w:cs="Cambria"/>
                <w:color w:val="000000"/>
              </w:rPr>
              <w:lastRenderedPageBreak/>
              <w:t xml:space="preserve">If the sponsor agrees to include the additional pharmacovigilance activities conducted in the US, another registry is not absolutely necessary, but considering that the sponsor has a </w:t>
            </w:r>
            <w:r w:rsidRPr="002845BF">
              <w:rPr>
                <w:rFonts w:eastAsiaTheme="minorHAnsi" w:cs="Cambria"/>
                <w:color w:val="000000"/>
              </w:rPr>
              <w:lastRenderedPageBreak/>
              <w:t>registry infrastructure in place for Tracleer, and could include macitentan with minimal effort, this would be considered beneficial.</w:t>
            </w:r>
          </w:p>
        </w:tc>
      </w:tr>
    </w:tbl>
    <w:p w:rsidR="008E7846" w:rsidRPr="00792A32" w:rsidRDefault="008E7846" w:rsidP="00D17D73">
      <w:pPr>
        <w:pStyle w:val="Heading2"/>
      </w:pPr>
      <w:bookmarkStart w:id="270" w:name="_Toc314842510"/>
      <w:bookmarkStart w:id="271" w:name="_Toc391645301"/>
      <w:r>
        <w:lastRenderedPageBreak/>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255"/>
      <w:bookmarkEnd w:id="268"/>
      <w:bookmarkEnd w:id="270"/>
      <w:bookmarkEnd w:id="271"/>
    </w:p>
    <w:p w:rsidR="008E7846" w:rsidRDefault="008E7846" w:rsidP="00D17D73">
      <w:bookmarkStart w:id="272" w:name="_Toc247691528"/>
      <w:r>
        <w:t xml:space="preserve">The submission was summarised in the following </w:t>
      </w:r>
      <w:r w:rsidRPr="00EF5C48">
        <w:t xml:space="preserve">Delegate’s </w:t>
      </w:r>
      <w:r>
        <w:t>overview</w:t>
      </w:r>
      <w:r w:rsidRPr="00EF5C48">
        <w:t xml:space="preserve"> and recommendation</w:t>
      </w:r>
      <w:r>
        <w:t>s:</w:t>
      </w:r>
    </w:p>
    <w:p w:rsidR="008E7846" w:rsidRPr="00D17D73" w:rsidRDefault="008E7846" w:rsidP="00D17D73">
      <w:pPr>
        <w:pStyle w:val="Heading3"/>
      </w:pPr>
      <w:bookmarkStart w:id="273" w:name="_Toc314842511"/>
      <w:bookmarkStart w:id="274" w:name="_Toc391645302"/>
      <w:r>
        <w:t>Quality</w:t>
      </w:r>
      <w:bookmarkEnd w:id="272"/>
      <w:bookmarkEnd w:id="273"/>
      <w:bookmarkEnd w:id="274"/>
    </w:p>
    <w:p w:rsidR="00355FBD" w:rsidRPr="00355FBD" w:rsidRDefault="00355FBD" w:rsidP="00D17D73">
      <w:bookmarkStart w:id="275" w:name="_Toc314842512"/>
      <w:r w:rsidRPr="00355FBD">
        <w:t xml:space="preserve">The </w:t>
      </w:r>
      <w:r>
        <w:t xml:space="preserve">quality </w:t>
      </w:r>
      <w:r w:rsidRPr="00355FBD">
        <w:t>evaluator has recommended approval for macitentan. The chemistry and quality control, product</w:t>
      </w:r>
      <w:r>
        <w:t xml:space="preserve"> specifications, shelf life of two</w:t>
      </w:r>
      <w:r w:rsidRPr="00355FBD">
        <w:t xml:space="preserve"> years, storage temperature, GMP clearances, labels and PI are acceptable. The absolute bioavailability of macitentan is not known but the sponsor had provided an acceptable justification given the poor solubility and chemical instability of the active ingredient. Using computer modelling, the estimated oral bioavailability was 74%. The </w:t>
      </w:r>
      <w:r>
        <w:t>PK</w:t>
      </w:r>
      <w:r w:rsidRPr="00355FBD">
        <w:t xml:space="preserve"> of macitentan and its metabolite were not affected by food. The pivotal study used a tablet formulation that is the same as proposed for registration however early</w:t>
      </w:r>
      <w:r>
        <w:t xml:space="preserve"> </w:t>
      </w:r>
      <w:proofErr w:type="gramStart"/>
      <w:r>
        <w:t>P</w:t>
      </w:r>
      <w:r w:rsidRPr="00355FBD">
        <w:t>hase</w:t>
      </w:r>
      <w:proofErr w:type="gramEnd"/>
      <w:r w:rsidRPr="00355FBD">
        <w:t xml:space="preserve"> I and II studies used a capsule formulation. A relative bioavailability study comparing the tablet with capsule showed they were bioequivalent </w:t>
      </w:r>
      <w:r w:rsidRPr="00355FBD">
        <w:lastRenderedPageBreak/>
        <w:t>for AUC for the active and metabolite but slightly bioinequivalent for the active on C</w:t>
      </w:r>
      <w:r w:rsidRPr="00355FBD">
        <w:rPr>
          <w:vertAlign w:val="subscript"/>
        </w:rPr>
        <w:t>max</w:t>
      </w:r>
      <w:r w:rsidRPr="00355FBD">
        <w:t xml:space="preserve"> with the tablet being on average 18% lower than the capsule. Given the chronic dosing nature of macitentan, implying that AUC is more relevant, and that data are available using the tablet from the pivotal study then this is not likely to be clinically significant.</w:t>
      </w:r>
      <w:r>
        <w:t xml:space="preserve"> </w:t>
      </w:r>
      <w:r w:rsidRPr="00355FBD">
        <w:t xml:space="preserve">This is consistent with the EU guideline on this matter that notes that there is no requirement to demonstrate bioequivalence between </w:t>
      </w:r>
      <w:r w:rsidR="00F73FD3">
        <w:t>P</w:t>
      </w:r>
      <w:r w:rsidRPr="00355FBD">
        <w:t xml:space="preserve">hase II and </w:t>
      </w:r>
      <w:r w:rsidR="00F73FD3">
        <w:t>P</w:t>
      </w:r>
      <w:r w:rsidRPr="00355FBD">
        <w:t xml:space="preserve">hase III formulations since any differences would be taken into account in the design of the </w:t>
      </w:r>
      <w:r>
        <w:t>P</w:t>
      </w:r>
      <w:r w:rsidRPr="00355FBD">
        <w:t>hase III studies.</w:t>
      </w:r>
    </w:p>
    <w:p w:rsidR="008E7846" w:rsidRPr="00D17D73" w:rsidRDefault="008E7846" w:rsidP="00D17D73">
      <w:pPr>
        <w:pStyle w:val="Heading3"/>
      </w:pPr>
      <w:bookmarkStart w:id="276" w:name="_Toc391645303"/>
      <w:r>
        <w:t>Nonclinical</w:t>
      </w:r>
      <w:bookmarkEnd w:id="275"/>
      <w:bookmarkEnd w:id="276"/>
    </w:p>
    <w:p w:rsidR="00355FBD" w:rsidRDefault="00355FBD" w:rsidP="00D17D73">
      <w:bookmarkStart w:id="277" w:name="_Toc247691530"/>
      <w:bookmarkStart w:id="278" w:name="_Toc314842513"/>
      <w:r w:rsidRPr="00355FBD">
        <w:t>The</w:t>
      </w:r>
      <w:r>
        <w:t xml:space="preserve"> nonclinical </w:t>
      </w:r>
      <w:r w:rsidRPr="00355FBD">
        <w:t>evaluator has no objections to the registration of macitentan. The dossier was comp</w:t>
      </w:r>
      <w:r w:rsidR="00A333A9">
        <w:t xml:space="preserve">rehensive and of high quality. </w:t>
      </w:r>
      <w:r w:rsidRPr="00355FBD">
        <w:t>Macitentan and its active metabolite are competitive antagonists of ET</w:t>
      </w:r>
      <w:r w:rsidRPr="00E74CF2">
        <w:rPr>
          <w:vertAlign w:val="subscript"/>
        </w:rPr>
        <w:t>A</w:t>
      </w:r>
      <w:r w:rsidRPr="00355FBD">
        <w:t xml:space="preserve"> and ET</w:t>
      </w:r>
      <w:r w:rsidRPr="00E74CF2">
        <w:rPr>
          <w:vertAlign w:val="subscript"/>
        </w:rPr>
        <w:t>B</w:t>
      </w:r>
      <w:r w:rsidRPr="00355FBD">
        <w:t xml:space="preserve"> receptors and macitentan was more potent than </w:t>
      </w:r>
      <w:r w:rsidRPr="00E74CF2">
        <w:t>bosentan but had s</w:t>
      </w:r>
      <w:r w:rsidR="00A333A9" w:rsidRPr="00E74CF2">
        <w:t xml:space="preserve">imilar potency to ambrisentan. </w:t>
      </w:r>
      <w:r w:rsidRPr="00E74CF2">
        <w:t>It has a longer receptor occupancy half</w:t>
      </w:r>
      <w:r w:rsidR="00A333A9" w:rsidRPr="00E74CF2">
        <w:t>-</w:t>
      </w:r>
      <w:r w:rsidRPr="00355FBD">
        <w:t xml:space="preserve">life than both of these and was also more effective at lowering BP and inhibiting induction of pulmonary fibrosis in rat models of PAH. Safety pharmacology studies did not identify any unexpected clinical hazards. No effects on hERG-mediated K+ channels were seen at clinical plasma levels. CYP3A4 was the major metabolising enzyme along with CYP2C19 playing a minor role. </w:t>
      </w:r>
      <w:r w:rsidR="00A333A9">
        <w:t>M</w:t>
      </w:r>
      <w:r w:rsidRPr="00355FBD">
        <w:t>acitentan showed no significant inhibition of CYP enzymes and was neither a substrate nor inhibitor of PgP or organic anion transporting polypeptides (OATP1B1 and OATP1B3). Potential target systems for toxicity include liver (high doses), haematopoietic (anaemia), testis (</w:t>
      </w:r>
      <w:r w:rsidR="00A333A9">
        <w:t xml:space="preserve">four to </w:t>
      </w:r>
      <w:r w:rsidRPr="00355FBD">
        <w:t>14 times clinical exposure) and vasculature (multicentric arteritis/p</w:t>
      </w:r>
      <w:r w:rsidR="00A333A9">
        <w:t xml:space="preserve">eriarteritis like other ERAs). </w:t>
      </w:r>
      <w:r w:rsidRPr="00355FBD">
        <w:t>There was no evidence of mutagenicity or carcinogenicity but it was teratogenic (class effect for ERAs, Category X) and fetotoxic.</w:t>
      </w:r>
    </w:p>
    <w:p w:rsidR="00E74CF2" w:rsidRPr="00D17D73" w:rsidRDefault="00E74CF2" w:rsidP="00D17D73">
      <w:pPr>
        <w:pStyle w:val="Heading3"/>
      </w:pPr>
      <w:bookmarkStart w:id="279" w:name="_Toc391645304"/>
      <w:r>
        <w:t>Clinical</w:t>
      </w:r>
      <w:bookmarkEnd w:id="279"/>
    </w:p>
    <w:p w:rsidR="00E74CF2" w:rsidRPr="00E74CF2" w:rsidRDefault="00E74CF2" w:rsidP="00D17D73">
      <w:r w:rsidRPr="00E74CF2">
        <w:t>The clinical eva</w:t>
      </w:r>
      <w:r>
        <w:t xml:space="preserve">luator has recommended approval </w:t>
      </w:r>
      <w:r w:rsidRPr="00E74CF2">
        <w:t>for macitentan with a revised indication to remove the claim for a reduction in morbidity and mortality and to add the proportion of subgroups of PAH in which efficacy was demonstrated. The evaluator commented that there is potential benefit of macitentan for the treatment of PAH in terms of reducing morbidity and mortality and in symptom relief and there are risks in terms of hypotension and decreases in haemoglobin with limited data in the paediatric population (12 to &lt;</w:t>
      </w:r>
      <w:r>
        <w:t xml:space="preserve"> </w:t>
      </w:r>
      <w:r w:rsidRPr="00E74CF2">
        <w:t>18 years).</w:t>
      </w:r>
    </w:p>
    <w:p w:rsidR="00E74CF2" w:rsidRDefault="00E74CF2" w:rsidP="00D17D73">
      <w:r w:rsidRPr="00E74CF2">
        <w:t>The clinical dossier included the following data:</w:t>
      </w:r>
    </w:p>
    <w:p w:rsidR="00E74CF2" w:rsidRPr="00B268B7" w:rsidRDefault="00E74CF2" w:rsidP="00D17D73">
      <w:pPr>
        <w:pStyle w:val="ListBullet"/>
      </w:pPr>
      <w:r w:rsidRPr="00B268B7">
        <w:t>14 pharmacology studies</w:t>
      </w:r>
    </w:p>
    <w:p w:rsidR="00E74CF2" w:rsidRPr="00B268B7" w:rsidRDefault="00E74CF2" w:rsidP="00D17D73">
      <w:pPr>
        <w:pStyle w:val="ListBullet"/>
      </w:pPr>
      <w:r w:rsidRPr="00B268B7">
        <w:t xml:space="preserve">one </w:t>
      </w:r>
      <w:r w:rsidR="0011222B">
        <w:t xml:space="preserve">PopPK </w:t>
      </w:r>
      <w:r w:rsidRPr="00B268B7">
        <w:t>analysis</w:t>
      </w:r>
    </w:p>
    <w:p w:rsidR="00E74CF2" w:rsidRPr="00B268B7" w:rsidRDefault="00E74CF2" w:rsidP="00D17D73">
      <w:pPr>
        <w:pStyle w:val="ListBullet"/>
      </w:pPr>
      <w:r w:rsidRPr="00B268B7">
        <w:t>one pivotal clinical study [SERAPHIN]</w:t>
      </w:r>
    </w:p>
    <w:p w:rsidR="00E74CF2" w:rsidRPr="00B268B7" w:rsidRDefault="00E74CF2" w:rsidP="00D17D73">
      <w:pPr>
        <w:pStyle w:val="ListBullet"/>
      </w:pPr>
      <w:r w:rsidRPr="00B268B7">
        <w:t>two other clinical studies</w:t>
      </w:r>
    </w:p>
    <w:p w:rsidR="00A333A9" w:rsidRPr="000C456F" w:rsidRDefault="00A333A9" w:rsidP="00D17D73">
      <w:pPr>
        <w:pStyle w:val="Heading4"/>
      </w:pPr>
      <w:r w:rsidRPr="000C456F">
        <w:t>Pharmacology</w:t>
      </w:r>
    </w:p>
    <w:p w:rsidR="00A333A9" w:rsidRPr="00A333A9" w:rsidRDefault="00A333A9" w:rsidP="00D17D73">
      <w:r w:rsidRPr="00A333A9">
        <w:t>The pharmacology studies noted the following findings:</w:t>
      </w:r>
    </w:p>
    <w:p w:rsidR="00A333A9" w:rsidRPr="001B7E8B" w:rsidRDefault="00A333A9" w:rsidP="00D17D73">
      <w:pPr>
        <w:pStyle w:val="ListBullet"/>
      </w:pPr>
      <w:r w:rsidRPr="001B7E8B">
        <w:t>Macitentan t</w:t>
      </w:r>
      <w:r w:rsidRPr="00F73FD3">
        <w:rPr>
          <w:vertAlign w:val="subscript"/>
        </w:rPr>
        <w:t>max</w:t>
      </w:r>
      <w:r w:rsidRPr="001B7E8B">
        <w:t xml:space="preserve"> is 8 hours, t½ is 16 hours, steady state three days and volume of distribution is 40 L.</w:t>
      </w:r>
    </w:p>
    <w:p w:rsidR="00A333A9" w:rsidRPr="001B7E8B" w:rsidRDefault="00A333A9" w:rsidP="00D17D73">
      <w:pPr>
        <w:pStyle w:val="ListBullet"/>
      </w:pPr>
      <w:r w:rsidRPr="001B7E8B">
        <w:t>Macitentan is metabolised to an active metabolite via CYP3A4 and to a lesser extent by CYP2C19.</w:t>
      </w:r>
    </w:p>
    <w:p w:rsidR="00A333A9" w:rsidRPr="001B7E8B" w:rsidRDefault="00A333A9" w:rsidP="00D17D73">
      <w:pPr>
        <w:pStyle w:val="ListBullet"/>
      </w:pPr>
      <w:r w:rsidRPr="001B7E8B">
        <w:t xml:space="preserve">Active </w:t>
      </w:r>
      <w:r w:rsidRPr="00D17D73">
        <w:t>metabolite</w:t>
      </w:r>
      <w:r w:rsidRPr="001B7E8B">
        <w:t xml:space="preserve"> t</w:t>
      </w:r>
      <w:r w:rsidRPr="00F73FD3">
        <w:rPr>
          <w:vertAlign w:val="subscript"/>
        </w:rPr>
        <w:t>max</w:t>
      </w:r>
      <w:r w:rsidRPr="001B7E8B">
        <w:t xml:space="preserve"> is 24 hours; t½ is 48 hours and steady state seven days.</w:t>
      </w:r>
    </w:p>
    <w:p w:rsidR="00A333A9" w:rsidRPr="001B7E8B" w:rsidRDefault="00A333A9" w:rsidP="00D17D73">
      <w:pPr>
        <w:pStyle w:val="ListBullet"/>
      </w:pPr>
      <w:r w:rsidRPr="001B7E8B">
        <w:lastRenderedPageBreak/>
        <w:t>Food did not affect exposures for macitentan or metabolite.</w:t>
      </w:r>
    </w:p>
    <w:p w:rsidR="00A333A9" w:rsidRPr="001B7E8B" w:rsidRDefault="00A333A9" w:rsidP="00D17D73">
      <w:pPr>
        <w:pStyle w:val="ListBullet"/>
      </w:pPr>
      <w:r w:rsidRPr="001B7E8B">
        <w:t>Highly protein bound and extensively metabolised with no unchanged drug recovered in urine.</w:t>
      </w:r>
    </w:p>
    <w:p w:rsidR="00A333A9" w:rsidRPr="001B7E8B" w:rsidRDefault="00A333A9" w:rsidP="00D17D73">
      <w:pPr>
        <w:pStyle w:val="ListBullet"/>
      </w:pPr>
      <w:r w:rsidRPr="001B7E8B">
        <w:t xml:space="preserve">Renal excretion was the most important route of </w:t>
      </w:r>
      <w:r w:rsidRPr="00D17D73">
        <w:t>elimination</w:t>
      </w:r>
    </w:p>
    <w:p w:rsidR="00A333A9" w:rsidRPr="001B7E8B" w:rsidRDefault="00A333A9" w:rsidP="00D17D73">
      <w:pPr>
        <w:pStyle w:val="ListBullet"/>
      </w:pPr>
      <w:r w:rsidRPr="001B7E8B">
        <w:t xml:space="preserve">Population modelling showed the target PAH population would have trough concentrations of macitentan at 1.6 to 2.3 times healthy </w:t>
      </w:r>
      <w:r w:rsidRPr="00D17D73">
        <w:t>controls</w:t>
      </w:r>
      <w:r w:rsidRPr="001B7E8B">
        <w:t>.</w:t>
      </w:r>
    </w:p>
    <w:p w:rsidR="00A333A9" w:rsidRPr="00A333A9" w:rsidRDefault="00A333A9" w:rsidP="00D17D73">
      <w:pPr>
        <w:pStyle w:val="ListBullet"/>
      </w:pPr>
      <w:r w:rsidRPr="00A333A9">
        <w:t>AUC and C</w:t>
      </w:r>
      <w:r w:rsidRPr="00A333A9">
        <w:rPr>
          <w:vertAlign w:val="subscript"/>
        </w:rPr>
        <w:t>max</w:t>
      </w:r>
      <w:r w:rsidRPr="00A333A9">
        <w:t xml:space="preserve"> of macitentan were decreased in healthy </w:t>
      </w:r>
      <w:r w:rsidRPr="00D17D73">
        <w:t>subjects</w:t>
      </w:r>
      <w:r w:rsidRPr="00A333A9">
        <w:t xml:space="preserve"> with mild (↓21% AUC), moderate (↓34% AUC) and severe (↓6% AUC) hepatic impairment compared to controls. Active metabolite was also reduced. S</w:t>
      </w:r>
      <w:r>
        <w:t xml:space="preserve">afety results were acceptable. </w:t>
      </w:r>
      <w:r w:rsidRPr="00A333A9">
        <w:t>These results did not indicate a need for dose adjustment.</w:t>
      </w:r>
    </w:p>
    <w:p w:rsidR="00A333A9" w:rsidRPr="00A333A9" w:rsidRDefault="00A333A9" w:rsidP="00D17D73">
      <w:pPr>
        <w:pStyle w:val="ListBullet"/>
      </w:pPr>
      <w:r w:rsidRPr="00A333A9">
        <w:t>AUC and C</w:t>
      </w:r>
      <w:r w:rsidRPr="00A333A9">
        <w:rPr>
          <w:vertAlign w:val="subscript"/>
        </w:rPr>
        <w:t>max</w:t>
      </w:r>
      <w:r w:rsidRPr="00A333A9">
        <w:t xml:space="preserve"> were higher in severe renal impairment by 24% and 11% respectively with the active metabolite being 58% and 39% higher. Safety results showed reductions in </w:t>
      </w:r>
      <w:r w:rsidR="00D67C70">
        <w:t>BP</w:t>
      </w:r>
      <w:r w:rsidRPr="00A333A9">
        <w:t xml:space="preserve"> in this group. These results did not indicate a need for dose adjustment but a precaution was added regarding </w:t>
      </w:r>
      <w:r w:rsidR="00D67C70">
        <w:t>BP</w:t>
      </w:r>
      <w:r w:rsidRPr="00A333A9">
        <w:t xml:space="preserve"> reduction and monitoring recommended.</w:t>
      </w:r>
    </w:p>
    <w:p w:rsidR="00A333A9" w:rsidRPr="00A333A9" w:rsidRDefault="00A333A9" w:rsidP="00D17D73">
      <w:pPr>
        <w:pStyle w:val="ListBullet"/>
      </w:pPr>
      <w:r w:rsidRPr="00A333A9">
        <w:t xml:space="preserve">No clinically relevant drug interactions were observed with warfarin, sildenafil and cyclosporine. Ketoconazole led to a 2.32 fold increase in macitentan AUC and a 26% decrease in active metabolite with acceptable safety. The evaluator agreed with the sponsor that these changes were acceptable and did not require </w:t>
      </w:r>
      <w:r>
        <w:t xml:space="preserve">a change in macitentan dosing. </w:t>
      </w:r>
      <w:r w:rsidRPr="00A333A9">
        <w:t>Rifampicin decreased macitentan by 79% on AUC</w:t>
      </w:r>
      <w:r w:rsidRPr="00F73FD3">
        <w:rPr>
          <w:vertAlign w:val="subscript"/>
        </w:rPr>
        <w:t>T</w:t>
      </w:r>
      <w:r w:rsidRPr="00A333A9">
        <w:t xml:space="preserve"> but not the metabolite and the evaluator agreed with the sponsor that no dose adjustment is required but a precaution has been included on potentially reduced efficacy.</w:t>
      </w:r>
    </w:p>
    <w:p w:rsidR="00A333A9" w:rsidRPr="00A333A9" w:rsidRDefault="00A333A9" w:rsidP="00D17D73">
      <w:pPr>
        <w:pStyle w:val="ListBullet"/>
      </w:pPr>
      <w:r w:rsidRPr="00A333A9">
        <w:t>P</w:t>
      </w:r>
      <w:r>
        <w:t>D</w:t>
      </w:r>
      <w:r w:rsidRPr="00A333A9">
        <w:t xml:space="preserve"> data indicated that 10</w:t>
      </w:r>
      <w:r>
        <w:t xml:space="preserve"> </w:t>
      </w:r>
      <w:r w:rsidRPr="00A333A9">
        <w:t>mg appeared to be close to the plateau of the pharmacological effect and 3</w:t>
      </w:r>
      <w:r>
        <w:t xml:space="preserve"> </w:t>
      </w:r>
      <w:r w:rsidRPr="00A333A9">
        <w:t>mg appeared to be the lowest dose showing relevant hemodynamic effects, thus supporting both strengths for the pivotal trial.</w:t>
      </w:r>
    </w:p>
    <w:p w:rsidR="00A333A9" w:rsidRPr="000C456F" w:rsidRDefault="00A333A9" w:rsidP="00D17D73">
      <w:pPr>
        <w:pStyle w:val="Heading4"/>
      </w:pPr>
      <w:r w:rsidRPr="000C456F">
        <w:t>Efficacy</w:t>
      </w:r>
    </w:p>
    <w:p w:rsidR="00A333A9" w:rsidRPr="00A333A9" w:rsidRDefault="00A333A9" w:rsidP="00D17D73">
      <w:r w:rsidRPr="00A333A9">
        <w:rPr>
          <w:b/>
        </w:rPr>
        <w:t>Study SERAPHIN (AC-055-302):</w:t>
      </w:r>
      <w:r w:rsidRPr="00A333A9">
        <w:t xml:space="preserve"> This was a </w:t>
      </w:r>
      <w:r>
        <w:t>P</w:t>
      </w:r>
      <w:r w:rsidRPr="00A333A9">
        <w:t>hase III, multi-centre, multi-national, randomised, double blind, placebo controlled, parallel group study of 3</w:t>
      </w:r>
      <w:r>
        <w:t xml:space="preserve"> </w:t>
      </w:r>
      <w:r w:rsidRPr="00A333A9">
        <w:t>mg macitentan daily, 10</w:t>
      </w:r>
      <w:r>
        <w:t xml:space="preserve"> </w:t>
      </w:r>
      <w:r w:rsidRPr="00A333A9">
        <w:t xml:space="preserve">mg macitentan daily and placebo daily in 742 subjects (80% completion, 9% major protocol violations) with symptomatic PAH. Concomitant medications were allowed (64% of subjects) and included phosphodiesterase inhibitors (sildenafil 58% of subjects) and inhaled prostanoids (iloprost 3.5% of subjects) but other ERAs and </w:t>
      </w:r>
      <w:r w:rsidR="00B90382">
        <w:t>IV</w:t>
      </w:r>
      <w:r w:rsidRPr="00A333A9">
        <w:t xml:space="preserve"> or </w:t>
      </w:r>
      <w:r w:rsidR="00223C49">
        <w:t xml:space="preserve">SC </w:t>
      </w:r>
      <w:r w:rsidRPr="00A333A9">
        <w:t>prostanoids (</w:t>
      </w:r>
      <w:r>
        <w:t xml:space="preserve">for example, </w:t>
      </w:r>
      <w:r w:rsidRPr="00A333A9">
        <w:t xml:space="preserve">epoprostenol, treprostinil) were not allowed. This was an event driven trial with a target of 285 events and included patients from PAH WHO Groups 1.1 to 1.3 of the Venice classification </w:t>
      </w:r>
      <w:r>
        <w:t xml:space="preserve">that is, </w:t>
      </w:r>
      <w:r w:rsidRPr="00A333A9">
        <w:t>idiopathic, familial, collagen vascular disease, simple congenital systemic to pulmonary shunts, HIV infection, drugs or toxins but not patients with significant venous or capillary involvement (</w:t>
      </w:r>
      <w:r>
        <w:t xml:space="preserve">for example, </w:t>
      </w:r>
      <w:r w:rsidRPr="00A333A9">
        <w:t>PVOD) or persistent pulmonary hypertension of the newbo</w:t>
      </w:r>
      <w:r>
        <w:t xml:space="preserve">rn. </w:t>
      </w:r>
      <w:r w:rsidRPr="00A333A9">
        <w:t>Inclusion/exclusion criteria were considered acceptable and consistent with EU guidelines. Baseline demographic characteristics were comparable between groups (77% female, mean age 46 years, n=13 aged 12</w:t>
      </w:r>
      <w:r>
        <w:t xml:space="preserve"> to </w:t>
      </w:r>
      <w:r w:rsidRPr="00A333A9">
        <w:t>&lt;</w:t>
      </w:r>
      <w:r>
        <w:t xml:space="preserve"> </w:t>
      </w:r>
      <w:r w:rsidRPr="00A333A9">
        <w:t>18 years on macitentan) as to w</w:t>
      </w:r>
      <w:r>
        <w:t>h</w:t>
      </w:r>
      <w:r w:rsidRPr="00A333A9">
        <w:t>ere h</w:t>
      </w:r>
      <w:r w:rsidR="00246834">
        <w:t>a</w:t>
      </w:r>
      <w:r w:rsidRPr="00A333A9">
        <w:t>emodynamic</w:t>
      </w:r>
      <w:r w:rsidR="00246834">
        <w:t>s</w:t>
      </w:r>
      <w:r w:rsidRPr="00A333A9">
        <w:t xml:space="preserve"> and disease characteristics (mean PAH diagnosis time of 2.7 years, idiopathic PAH (55%), collagen vascular disease (31%), congenital shunts (8%), drugs and toxins (3%), HIV (1%), mean 6MWD of 360m, WHO FC II (52%), WHO FC III (46%), WHO FC IV (2%)).The primary efficacy endpoint, using a time to event analysis, of first morbidity or mortality event (death or </w:t>
      </w:r>
      <w:r w:rsidR="00A54191">
        <w:t>AE</w:t>
      </w:r>
      <w:r w:rsidRPr="00A333A9">
        <w:t xml:space="preserve"> leading to death within </w:t>
      </w:r>
      <w:r w:rsidR="00246834">
        <w:t>four</w:t>
      </w:r>
      <w:r w:rsidRPr="00A333A9">
        <w:t xml:space="preserve"> weeks of study discontinuation, atrial septostomy or hospitalisation for it, lung transplantation or hospitalisation for it, initiation of IV or SC prostanoids or hospitalisation for it or</w:t>
      </w:r>
      <w:r w:rsidR="00D17D73">
        <w:t xml:space="preserve"> worsening of PAH) occurred in:</w:t>
      </w:r>
    </w:p>
    <w:p w:rsidR="00A333A9" w:rsidRPr="008F633C" w:rsidRDefault="00A333A9" w:rsidP="00D17D73">
      <w:pPr>
        <w:pStyle w:val="ListBullet"/>
        <w:rPr>
          <w:lang w:val="fr-FR"/>
        </w:rPr>
      </w:pPr>
      <w:r w:rsidRPr="008F633C">
        <w:rPr>
          <w:lang w:val="fr-FR"/>
        </w:rPr>
        <w:lastRenderedPageBreak/>
        <w:t>38% on macitentan 3</w:t>
      </w:r>
      <w:r w:rsidR="00100727" w:rsidRPr="008F633C">
        <w:rPr>
          <w:lang w:val="fr-FR"/>
        </w:rPr>
        <w:t xml:space="preserve"> </w:t>
      </w:r>
      <w:r w:rsidRPr="008F633C">
        <w:rPr>
          <w:lang w:val="fr-FR"/>
        </w:rPr>
        <w:t>mg (HR 0.704, 97.5%CI 0.516-0.960 p=0.0108)</w:t>
      </w:r>
    </w:p>
    <w:p w:rsidR="00A333A9" w:rsidRPr="008F633C" w:rsidRDefault="00A333A9" w:rsidP="00D17D73">
      <w:pPr>
        <w:pStyle w:val="ListBullet"/>
        <w:rPr>
          <w:lang w:val="fr-FR"/>
        </w:rPr>
      </w:pPr>
      <w:r w:rsidRPr="008F633C">
        <w:rPr>
          <w:lang w:val="fr-FR"/>
        </w:rPr>
        <w:t>31% on macitentan 10</w:t>
      </w:r>
      <w:r w:rsidR="00100727" w:rsidRPr="008F633C">
        <w:rPr>
          <w:lang w:val="fr-FR"/>
        </w:rPr>
        <w:t xml:space="preserve"> </w:t>
      </w:r>
      <w:r w:rsidRPr="008F633C">
        <w:rPr>
          <w:lang w:val="fr-FR"/>
        </w:rPr>
        <w:t>mg (HR 0.547, 97.5% CI 0.392-0.762 p&lt;0.</w:t>
      </w:r>
      <w:r w:rsidRPr="00D17D73">
        <w:t>0001</w:t>
      </w:r>
      <w:r w:rsidRPr="008F633C">
        <w:rPr>
          <w:lang w:val="fr-FR"/>
        </w:rPr>
        <w:t>)</w:t>
      </w:r>
    </w:p>
    <w:p w:rsidR="00A333A9" w:rsidRPr="00246834" w:rsidRDefault="00A333A9" w:rsidP="00246834">
      <w:pPr>
        <w:pStyle w:val="ListBullet"/>
      </w:pPr>
      <w:r w:rsidRPr="00246834">
        <w:t>46% on placebo</w:t>
      </w:r>
    </w:p>
    <w:p w:rsidR="00246834" w:rsidRDefault="00246834" w:rsidP="00D17D73">
      <w:proofErr w:type="gramStart"/>
      <w:r>
        <w:t>that</w:t>
      </w:r>
      <w:proofErr w:type="gramEnd"/>
      <w:r>
        <w:t xml:space="preserve"> is, </w:t>
      </w:r>
      <w:r w:rsidRPr="00246834">
        <w:t>a 30% and 45% reduction in the primary endpoint for 3</w:t>
      </w:r>
      <w:r>
        <w:t xml:space="preserve"> </w:t>
      </w:r>
      <w:r w:rsidRPr="00246834">
        <w:t>mg and 10</w:t>
      </w:r>
      <w:r>
        <w:t xml:space="preserve"> </w:t>
      </w:r>
      <w:r w:rsidRPr="00246834">
        <w:t>mg macitentan. The</w:t>
      </w:r>
      <w:r w:rsidR="00DA4B61">
        <w:t xml:space="preserve"> number needed to treat (</w:t>
      </w:r>
      <w:r w:rsidRPr="00246834">
        <w:t>NNT</w:t>
      </w:r>
      <w:r w:rsidR="00DA4B61">
        <w:t>)</w:t>
      </w:r>
      <w:r w:rsidRPr="00246834">
        <w:t xml:space="preserve"> for 10</w:t>
      </w:r>
      <w:r w:rsidR="00100727">
        <w:t xml:space="preserve"> </w:t>
      </w:r>
      <w:r w:rsidRPr="00246834">
        <w:t xml:space="preserve">mg macitentan was 6.1 at </w:t>
      </w:r>
      <w:r>
        <w:t>two</w:t>
      </w:r>
      <w:r w:rsidRPr="00246834">
        <w:t xml:space="preserve"> years. Only the 10</w:t>
      </w:r>
      <w:r>
        <w:t xml:space="preserve"> </w:t>
      </w:r>
      <w:r w:rsidRPr="00246834">
        <w:t xml:space="preserve">mg dose was considered to be a conclusive result based on the statistical design. The Kaplan-Meier curve showed a separation by </w:t>
      </w:r>
      <w:r>
        <w:t>six</w:t>
      </w:r>
      <w:r w:rsidRPr="00246834">
        <w:t xml:space="preserve"> months. The per-protocol results were consistent with the above all-randomised set population. The components of the primary endpoint showed it was predominantly driven by worsening of PAH with death showing a similar result between placebo (6.8%) and 10</w:t>
      </w:r>
      <w:r w:rsidR="00100727">
        <w:t xml:space="preserve"> </w:t>
      </w:r>
      <w:r w:rsidRPr="00246834">
        <w:t>mg macitentan (6.6%). Subgroup analyses were generally consistent with the overall population including those with and without other PAH treatments at the 10</w:t>
      </w:r>
      <w:r>
        <w:t xml:space="preserve"> </w:t>
      </w:r>
      <w:r w:rsidRPr="00246834">
        <w:t>mg dose (HR 0.62 with and HR 0.45 without concomitant PAH treatments), age (&lt;</w:t>
      </w:r>
      <w:r>
        <w:t xml:space="preserve"> </w:t>
      </w:r>
      <w:r w:rsidRPr="00246834">
        <w:t>18 v</w:t>
      </w:r>
      <w:r>
        <w:t>ersus</w:t>
      </w:r>
      <w:r w:rsidRPr="00246834">
        <w:t xml:space="preserve"> 18</w:t>
      </w:r>
      <w:r>
        <w:t xml:space="preserve"> to </w:t>
      </w:r>
      <w:r w:rsidRPr="00246834">
        <w:t>64 v</w:t>
      </w:r>
      <w:r>
        <w:t>ersu</w:t>
      </w:r>
      <w:r w:rsidRPr="00246834">
        <w:t>s &gt;</w:t>
      </w:r>
      <w:r>
        <w:t xml:space="preserve"> </w:t>
      </w:r>
      <w:r w:rsidR="0007068D">
        <w:t>64 years), baseline WHO FC</w:t>
      </w:r>
      <w:r w:rsidRPr="00246834">
        <w:t xml:space="preserve"> (I/II v</w:t>
      </w:r>
      <w:r>
        <w:t>ersu</w:t>
      </w:r>
      <w:r w:rsidRPr="00246834">
        <w:t>s III/IV) and aetiology of PAH (idiopathic/other v</w:t>
      </w:r>
      <w:r>
        <w:t>ersu</w:t>
      </w:r>
      <w:r w:rsidRPr="00246834">
        <w:t>s collagen vascular disease v</w:t>
      </w:r>
      <w:r>
        <w:t>ersu</w:t>
      </w:r>
      <w:r w:rsidRPr="00246834">
        <w:t xml:space="preserve">s congenital shunts). Secondary efficacy endpoints showed a placebo subtracted mean difference in 6MWD at </w:t>
      </w:r>
      <w:r>
        <w:t>six</w:t>
      </w:r>
      <w:r w:rsidRPr="00246834">
        <w:t xml:space="preserve"> months of 16.8m on 3</w:t>
      </w:r>
      <w:r>
        <w:t xml:space="preserve"> </w:t>
      </w:r>
      <w:r w:rsidRPr="00246834">
        <w:t>mg macitentan and 22m on 10</w:t>
      </w:r>
      <w:r>
        <w:t xml:space="preserve"> </w:t>
      </w:r>
      <w:r w:rsidRPr="00246834">
        <w:t xml:space="preserve">mg macitentan. Improvement in WHO </w:t>
      </w:r>
      <w:r w:rsidR="0007068D">
        <w:t>FC</w:t>
      </w:r>
      <w:r w:rsidRPr="00246834">
        <w:t xml:space="preserve"> at </w:t>
      </w:r>
      <w:r w:rsidR="00CC49A0">
        <w:t>six</w:t>
      </w:r>
      <w:r w:rsidRPr="00246834">
        <w:t xml:space="preserve"> months occurred in 19.8% on 3</w:t>
      </w:r>
      <w:r w:rsidR="00CC49A0">
        <w:t xml:space="preserve"> </w:t>
      </w:r>
      <w:r w:rsidRPr="00246834">
        <w:t>mg macitentan (RR 1.54, p=0.0395) and 22.3% on 10</w:t>
      </w:r>
      <w:r w:rsidR="00CC49A0">
        <w:t xml:space="preserve"> </w:t>
      </w:r>
      <w:r w:rsidRPr="00246834">
        <w:t xml:space="preserve">mg macitentan (RR 1.74, p=0.0063) compared with 12.9% on placebo. </w:t>
      </w:r>
      <w:proofErr w:type="gramStart"/>
      <w:r w:rsidRPr="00246834">
        <w:t>Death due to PAH or hospitalisation due to PAH</w:t>
      </w:r>
      <w:r w:rsidR="00CC49A0">
        <w:t>,</w:t>
      </w:r>
      <w:r w:rsidRPr="00246834">
        <w:t xml:space="preserve"> showed a relative risk reduction of 33% on 3</w:t>
      </w:r>
      <w:r w:rsidR="00CC49A0">
        <w:t xml:space="preserve"> </w:t>
      </w:r>
      <w:r w:rsidRPr="00246834">
        <w:t>mg macitentan and 50% on 10</w:t>
      </w:r>
      <w:r w:rsidR="00CC49A0">
        <w:t xml:space="preserve"> </w:t>
      </w:r>
      <w:r w:rsidRPr="00246834">
        <w:t>mg macitentan.</w:t>
      </w:r>
      <w:proofErr w:type="gramEnd"/>
      <w:r w:rsidRPr="00246834">
        <w:t xml:space="preserve"> A non-significant 36% relative risk reduction in death from all causes was seen for 10</w:t>
      </w:r>
      <w:r w:rsidR="00100727">
        <w:t xml:space="preserve"> </w:t>
      </w:r>
      <w:r w:rsidRPr="00246834">
        <w:t>mg macitentan but not for 3</w:t>
      </w:r>
      <w:r w:rsidR="00100727">
        <w:t xml:space="preserve"> </w:t>
      </w:r>
      <w:r w:rsidRPr="00246834">
        <w:t xml:space="preserve">mg macitentan. A number of exploratory endpoints, including improvements in WHO </w:t>
      </w:r>
      <w:r w:rsidR="0007068D">
        <w:t>FC</w:t>
      </w:r>
      <w:r w:rsidRPr="00246834">
        <w:t>, Borg dyspnoea index and quality of life (SF-36, except general health perception domain) appeared supportive.</w:t>
      </w:r>
    </w:p>
    <w:p w:rsidR="00754E33" w:rsidRPr="00754E33" w:rsidRDefault="00754E33" w:rsidP="00D17D73">
      <w:r w:rsidRPr="00754E33">
        <w:rPr>
          <w:b/>
        </w:rPr>
        <w:t>Study AC-055-201:</w:t>
      </w:r>
      <w:r w:rsidRPr="00754E33">
        <w:t xml:space="preserve"> This was a proof of concept, dose finding study in essential hypertension that was terminated early (54% completed </w:t>
      </w:r>
      <w:r>
        <w:t>eight</w:t>
      </w:r>
      <w:r w:rsidRPr="00754E33">
        <w:t xml:space="preserve"> weeks) due to lack of expected benefit and a safety analysis was conducted of five patients with elevated liver enzymes on macitentan. A significant reduction in </w:t>
      </w:r>
      <w:r w:rsidR="00513D57">
        <w:t xml:space="preserve">SiDBP </w:t>
      </w:r>
      <w:r w:rsidRPr="00754E33">
        <w:t>was observed on 10</w:t>
      </w:r>
      <w:r>
        <w:t xml:space="preserve"> </w:t>
      </w:r>
      <w:r w:rsidRPr="00754E33">
        <w:t>mg macitentan (-11.8</w:t>
      </w:r>
      <w:r>
        <w:t xml:space="preserve"> </w:t>
      </w:r>
      <w:r w:rsidRPr="00754E33">
        <w:t>mm</w:t>
      </w:r>
      <w:r>
        <w:t xml:space="preserve"> </w:t>
      </w:r>
      <w:r w:rsidRPr="00754E33">
        <w:t>Hg v</w:t>
      </w:r>
      <w:r>
        <w:t>ersu</w:t>
      </w:r>
      <w:r w:rsidRPr="00754E33">
        <w:t>s -7.9</w:t>
      </w:r>
      <w:r>
        <w:t xml:space="preserve"> </w:t>
      </w:r>
      <w:r w:rsidRPr="00754E33">
        <w:t>mm</w:t>
      </w:r>
      <w:r>
        <w:t xml:space="preserve"> </w:t>
      </w:r>
      <w:r w:rsidRPr="00754E33">
        <w:t xml:space="preserve">Hg on placebo, p=0.0089) at </w:t>
      </w:r>
      <w:r>
        <w:t>W</w:t>
      </w:r>
      <w:r w:rsidRPr="00754E33">
        <w:t>eek 2</w:t>
      </w:r>
      <w:r>
        <w:t xml:space="preserve"> to </w:t>
      </w:r>
      <w:r w:rsidRPr="00754E33">
        <w:t>8 depending on measurement.</w:t>
      </w:r>
    </w:p>
    <w:p w:rsidR="00754E33" w:rsidRPr="00754E33" w:rsidRDefault="00754E33" w:rsidP="00D17D73">
      <w:pPr>
        <w:pStyle w:val="Heading4"/>
      </w:pPr>
      <w:r w:rsidRPr="00754E33">
        <w:t>Safety</w:t>
      </w:r>
    </w:p>
    <w:p w:rsidR="00754E33" w:rsidRPr="00754E33" w:rsidRDefault="00754E33" w:rsidP="00D17D73">
      <w:r w:rsidRPr="00754E33">
        <w:t>The pivotal study had 492 patients exposed to macitentan with a mean 104 weeks duration on 10</w:t>
      </w:r>
      <w:r>
        <w:t xml:space="preserve"> </w:t>
      </w:r>
      <w:r w:rsidRPr="00754E33">
        <w:t xml:space="preserve">mg macitentan (78% one year and 65% for two years). Any </w:t>
      </w:r>
      <w:r>
        <w:t>AEs</w:t>
      </w:r>
      <w:r w:rsidRPr="00754E33">
        <w:t xml:space="preserve"> were reported with similar frequencies across the three groups of placebo, 3</w:t>
      </w:r>
      <w:r>
        <w:t xml:space="preserve"> </w:t>
      </w:r>
      <w:r w:rsidRPr="00754E33">
        <w:t>mg and 10</w:t>
      </w:r>
      <w:r>
        <w:t xml:space="preserve"> </w:t>
      </w:r>
      <w:r w:rsidRPr="00754E33">
        <w:t>mg macitentan (about 96% of subjects) with the most common on macitentan 10</w:t>
      </w:r>
      <w:r>
        <w:t xml:space="preserve"> </w:t>
      </w:r>
      <w:r w:rsidRPr="00754E33">
        <w:t>mg v</w:t>
      </w:r>
      <w:r>
        <w:t>ersu</w:t>
      </w:r>
      <w:r w:rsidRPr="00754E33">
        <w:t>s placebo being PAH (22% v</w:t>
      </w:r>
      <w:r>
        <w:t>ersu</w:t>
      </w:r>
      <w:r w:rsidRPr="00754E33">
        <w:t>s 35%), upper respiratory tract infection (15% v</w:t>
      </w:r>
      <w:r>
        <w:t>ersu</w:t>
      </w:r>
      <w:r w:rsidRPr="00754E33">
        <w:t>s 13%), peripheral oedema (18% v</w:t>
      </w:r>
      <w:r>
        <w:t>ersu</w:t>
      </w:r>
      <w:r w:rsidRPr="00754E33">
        <w:t>s 18%), nasopharyngitis (14% v</w:t>
      </w:r>
      <w:r>
        <w:t>ersu</w:t>
      </w:r>
      <w:r w:rsidRPr="00754E33">
        <w:t>s 10%), right ventricular failure (13% v</w:t>
      </w:r>
      <w:r>
        <w:t>ersu</w:t>
      </w:r>
      <w:r w:rsidRPr="00754E33">
        <w:t>s 23%), headache (14% v</w:t>
      </w:r>
      <w:r>
        <w:t>ersu</w:t>
      </w:r>
      <w:r w:rsidRPr="00754E33">
        <w:t>s 9%), anaemia (13% v</w:t>
      </w:r>
      <w:r>
        <w:t>ersu</w:t>
      </w:r>
      <w:r w:rsidRPr="00754E33">
        <w:t>s 3%), bronchitis (12% v</w:t>
      </w:r>
      <w:r>
        <w:t>ersu</w:t>
      </w:r>
      <w:r w:rsidRPr="00754E33">
        <w:t>s 6%) and dizziness (11% v</w:t>
      </w:r>
      <w:r>
        <w:t>ersu</w:t>
      </w:r>
      <w:r w:rsidRPr="00754E33">
        <w:t>s 11%). Adverse drug reactions were reported with similar frequency overall across the groups but there were some differences for 10</w:t>
      </w:r>
      <w:r>
        <w:t xml:space="preserve"> </w:t>
      </w:r>
      <w:r w:rsidRPr="00754E33">
        <w:t>mg macitentan v</w:t>
      </w:r>
      <w:r>
        <w:t>ersu</w:t>
      </w:r>
      <w:r w:rsidRPr="00754E33">
        <w:t>s placebo such as headache (5% v</w:t>
      </w:r>
      <w:r>
        <w:t>ersu</w:t>
      </w:r>
      <w:r w:rsidRPr="00754E33">
        <w:t>s 2.8%), abnormal liver function test (2.1% v</w:t>
      </w:r>
      <w:r>
        <w:t>ersu</w:t>
      </w:r>
      <w:r w:rsidRPr="00754E33">
        <w:t>s 1.2%), anaemia (3.7% v</w:t>
      </w:r>
      <w:r>
        <w:t>ersu</w:t>
      </w:r>
      <w:r w:rsidRPr="00754E33">
        <w:t>s 0.4%), thrombocytopenia (2.1% v</w:t>
      </w:r>
      <w:r>
        <w:t>ersu</w:t>
      </w:r>
      <w:r w:rsidRPr="00754E33">
        <w:t>s 0.8%), hypotension (1.7% v</w:t>
      </w:r>
      <w:r>
        <w:t>ersu</w:t>
      </w:r>
      <w:r w:rsidRPr="00754E33">
        <w:t>s 0.8%). S</w:t>
      </w:r>
      <w:r>
        <w:t>AEs</w:t>
      </w:r>
      <w:r w:rsidRPr="00754E33">
        <w:t xml:space="preserve"> were overall comparable across groups with the most common being PAH and right ventricular failure (both less on macitentan 10</w:t>
      </w:r>
      <w:r>
        <w:t xml:space="preserve"> </w:t>
      </w:r>
      <w:r w:rsidRPr="00754E33">
        <w:t>mg than placebo). Overall deaths were slightly less on 10</w:t>
      </w:r>
      <w:r>
        <w:t xml:space="preserve"> </w:t>
      </w:r>
      <w:r w:rsidRPr="00754E33">
        <w:t>mg macitentan than placebo (6.6% v</w:t>
      </w:r>
      <w:r>
        <w:t>ersus</w:t>
      </w:r>
      <w:r w:rsidRPr="00754E33">
        <w:t xml:space="preserve"> 8.4%) with the most common reason being right ventricular failure. Discontinuations due to </w:t>
      </w:r>
      <w:r w:rsidR="00A54191">
        <w:t>AE</w:t>
      </w:r>
      <w:r w:rsidRPr="00754E33">
        <w:t>s were similar with most common reason being PAH and right ventricular failure.</w:t>
      </w:r>
    </w:p>
    <w:p w:rsidR="00754E33" w:rsidRPr="00754E33" w:rsidRDefault="00754E33" w:rsidP="00D17D73">
      <w:r w:rsidRPr="00754E33">
        <w:t>Changes in liver function were seen on macitentan with higher rates of ALT &gt;</w:t>
      </w:r>
      <w:r>
        <w:t xml:space="preserve"> three times </w:t>
      </w:r>
      <w:r w:rsidRPr="00754E33">
        <w:t>ULN at 3.4% v</w:t>
      </w:r>
      <w:r>
        <w:t>ersu</w:t>
      </w:r>
      <w:r w:rsidRPr="00754E33">
        <w:t>s 1.6% and ALT</w:t>
      </w:r>
      <w:r>
        <w:t xml:space="preserve"> </w:t>
      </w:r>
      <w:r w:rsidRPr="00754E33">
        <w:t>&gt;</w:t>
      </w:r>
      <w:r>
        <w:t xml:space="preserve"> eight times </w:t>
      </w:r>
      <w:r w:rsidRPr="00754E33">
        <w:t>ULN at 2.1% v</w:t>
      </w:r>
      <w:r>
        <w:t>ersu</w:t>
      </w:r>
      <w:r w:rsidRPr="00754E33">
        <w:t xml:space="preserve">s 0.4%. </w:t>
      </w:r>
      <w:r>
        <w:t>A</w:t>
      </w:r>
      <w:r w:rsidRPr="00754E33">
        <w:t>LT or AST</w:t>
      </w:r>
      <w:r>
        <w:t xml:space="preserve"> </w:t>
      </w:r>
      <w:r w:rsidRPr="00754E33">
        <w:t>&gt;</w:t>
      </w:r>
      <w:r>
        <w:t xml:space="preserve"> </w:t>
      </w:r>
      <w:r>
        <w:lastRenderedPageBreak/>
        <w:t xml:space="preserve">three times </w:t>
      </w:r>
      <w:r w:rsidRPr="00754E33">
        <w:t xml:space="preserve">ULN returned to normal at a median </w:t>
      </w:r>
      <w:r>
        <w:t>nine</w:t>
      </w:r>
      <w:r w:rsidRPr="00754E33">
        <w:t xml:space="preserve"> and 18 days respectively. Another study suggested a dose dependent association with elevations in ALT or AST and </w:t>
      </w:r>
      <w:r w:rsidR="002B5AB8">
        <w:t xml:space="preserve">further study </w:t>
      </w:r>
      <w:r w:rsidRPr="00754E33">
        <w:t>also showed increases in ALT and AST that were greater on macitentan than placebo. One subject in the hepatic impairment study with mild hepatic impairment has clinically significant increases in ALT (8.1</w:t>
      </w:r>
      <w:r w:rsidR="002B5AB8">
        <w:t xml:space="preserve"> times </w:t>
      </w:r>
      <w:r w:rsidRPr="00754E33">
        <w:t>ULN).</w:t>
      </w:r>
    </w:p>
    <w:p w:rsidR="00754E33" w:rsidRPr="00754E33" w:rsidRDefault="00754E33" w:rsidP="00D17D73">
      <w:r w:rsidRPr="00754E33">
        <w:t>Renal function and clinical chemistry changes were low and comparable across groups. Decreases in haemoglobin were seen on macitentan 10</w:t>
      </w:r>
      <w:r w:rsidR="002B5AB8">
        <w:t xml:space="preserve"> </w:t>
      </w:r>
      <w:r w:rsidRPr="00754E33">
        <w:t>mg v</w:t>
      </w:r>
      <w:r w:rsidR="002B5AB8">
        <w:t>ersu</w:t>
      </w:r>
      <w:r w:rsidRPr="00754E33">
        <w:t>s placebo at -11</w:t>
      </w:r>
      <w:r w:rsidR="002B5AB8">
        <w:t xml:space="preserve"> </w:t>
      </w:r>
      <w:r w:rsidRPr="00754E33">
        <w:t>g/L v</w:t>
      </w:r>
      <w:r w:rsidR="002B5AB8">
        <w:t>ersus</w:t>
      </w:r>
      <w:r w:rsidRPr="00754E33">
        <w:t xml:space="preserve"> -1</w:t>
      </w:r>
      <w:r w:rsidR="002B5AB8">
        <w:t xml:space="preserve"> </w:t>
      </w:r>
      <w:r w:rsidRPr="00754E33">
        <w:t>g/L with marked decreases also greater (13.9% v</w:t>
      </w:r>
      <w:r w:rsidR="002B5AB8">
        <w:t>er</w:t>
      </w:r>
      <w:r w:rsidR="000329B6">
        <w:t>s</w:t>
      </w:r>
      <w:r w:rsidR="002B5AB8">
        <w:t>us</w:t>
      </w:r>
      <w:r w:rsidRPr="00754E33">
        <w:t xml:space="preserve"> 3.8%) and marked decreases in leucocytes (5.2% v</w:t>
      </w:r>
      <w:r w:rsidR="00AE45F6">
        <w:t>ersu</w:t>
      </w:r>
      <w:r w:rsidRPr="00754E33">
        <w:t>s 0%) and platelets (8.3% v</w:t>
      </w:r>
      <w:r w:rsidR="00AE45F6">
        <w:t>ersus</w:t>
      </w:r>
      <w:r w:rsidRPr="00754E33">
        <w:t xml:space="preserve"> 3.4%) were also seen. Changes in vital signs were small and comparable (</w:t>
      </w:r>
      <w:r w:rsidR="00DA4B61">
        <w:t>D</w:t>
      </w:r>
      <w:r w:rsidRPr="00754E33">
        <w:t>BP placebo subtracted difference of -0.64mmHg). ECG abnormalities were comparable (45% v</w:t>
      </w:r>
      <w:r w:rsidR="00AE45F6">
        <w:t>ersu</w:t>
      </w:r>
      <w:r w:rsidRPr="00754E33">
        <w:t>s 54%) including for QT changes and the thorough QT study was negative.</w:t>
      </w:r>
      <w:r w:rsidR="00190CE3">
        <w:t xml:space="preserve"> </w:t>
      </w:r>
      <w:r w:rsidRPr="00754E33">
        <w:t xml:space="preserve">A testicular safety study indicated a 28% reduction in sperm concentration. </w:t>
      </w:r>
      <w:r w:rsidR="00190CE3">
        <w:t>Seven</w:t>
      </w:r>
      <w:r w:rsidRPr="00754E33">
        <w:t xml:space="preserve"> pregnancies occurred in the pivotal study.</w:t>
      </w:r>
    </w:p>
    <w:p w:rsidR="00A333A9" w:rsidRPr="00355FBD" w:rsidRDefault="00754E33" w:rsidP="00355FBD">
      <w:r w:rsidRPr="00B36767">
        <w:t>A</w:t>
      </w:r>
      <w:r w:rsidR="00A54191">
        <w:t>E</w:t>
      </w:r>
      <w:r w:rsidRPr="00B36767">
        <w:t xml:space="preserve">s of special interest with macitentan </w:t>
      </w:r>
      <w:r w:rsidR="00AE45F6">
        <w:t>versus</w:t>
      </w:r>
      <w:r w:rsidRPr="00B36767">
        <w:t xml:space="preserve"> placebo include oedema (21% v</w:t>
      </w:r>
      <w:r w:rsidR="00B36767">
        <w:t>er</w:t>
      </w:r>
      <w:r w:rsidR="00AE45F6">
        <w:t>s</w:t>
      </w:r>
      <w:r w:rsidR="00B36767">
        <w:t>us</w:t>
      </w:r>
      <w:r w:rsidRPr="00B36767">
        <w:t xml:space="preserve"> 20%), decreased haemoglobin (16% v</w:t>
      </w:r>
      <w:r w:rsidR="00B36767">
        <w:t>ersus</w:t>
      </w:r>
      <w:r w:rsidRPr="00B36767">
        <w:t xml:space="preserve"> 5%), liver disorders and abnormal liver function (9% v</w:t>
      </w:r>
      <w:r w:rsidR="00B36767">
        <w:t>ersu</w:t>
      </w:r>
      <w:r w:rsidRPr="00B36767">
        <w:t>s 15%) and hypotension (7% v</w:t>
      </w:r>
      <w:r w:rsidR="00E74CF2">
        <w:t>ersu</w:t>
      </w:r>
      <w:r w:rsidRPr="00B36767">
        <w:t>s 4%).</w:t>
      </w:r>
      <w:r w:rsidR="00DA4B61">
        <w:t xml:space="preserve"> </w:t>
      </w:r>
      <w:r w:rsidRPr="00B36767">
        <w:t>Subgroup analysis of these events was consistent with the general population. Safety in special populations showed a consistent finding b</w:t>
      </w:r>
      <w:r w:rsidR="00A54191">
        <w:t>y age, no trend for increasing AE</w:t>
      </w:r>
      <w:r w:rsidRPr="00B36767">
        <w:t xml:space="preserve">s with increased severity of hepatic impairment or in severe renal impairment (except for </w:t>
      </w:r>
      <w:r w:rsidR="00D67C70">
        <w:t>BP</w:t>
      </w:r>
      <w:r w:rsidRPr="00B36767">
        <w:t xml:space="preserve"> reductions). Drug interaction studies showed </w:t>
      </w:r>
      <w:r w:rsidR="00A54191">
        <w:t>no additional concerns but AE</w:t>
      </w:r>
      <w:r w:rsidRPr="00B36767">
        <w:t xml:space="preserve">s were higher on the combination. Safety findings from the other studies are discussed in </w:t>
      </w:r>
      <w:r w:rsidR="00E74CF2">
        <w:t>Attachment 2.</w:t>
      </w:r>
    </w:p>
    <w:p w:rsidR="008E7846" w:rsidRPr="00003407" w:rsidRDefault="00386150" w:rsidP="00003407">
      <w:pPr>
        <w:pStyle w:val="Heading3"/>
      </w:pPr>
      <w:bookmarkStart w:id="280" w:name="_Toc314842514"/>
      <w:bookmarkStart w:id="281" w:name="_Toc391645305"/>
      <w:bookmarkEnd w:id="277"/>
      <w:bookmarkEnd w:id="278"/>
      <w:r>
        <w:rPr>
          <w:lang w:eastAsia="en-AU"/>
        </w:rPr>
        <w:t>Risk m</w:t>
      </w:r>
      <w:r w:rsidR="008E7846">
        <w:rPr>
          <w:lang w:eastAsia="en-AU"/>
        </w:rPr>
        <w:t xml:space="preserve">anagement </w:t>
      </w:r>
      <w:r>
        <w:rPr>
          <w:lang w:eastAsia="en-AU"/>
        </w:rPr>
        <w:t>p</w:t>
      </w:r>
      <w:r w:rsidR="008E7846">
        <w:rPr>
          <w:lang w:eastAsia="en-AU"/>
        </w:rPr>
        <w:t>lan</w:t>
      </w:r>
      <w:bookmarkEnd w:id="280"/>
      <w:bookmarkEnd w:id="281"/>
    </w:p>
    <w:p w:rsidR="00E74CF2" w:rsidRPr="00E74CF2" w:rsidRDefault="00E74CF2" w:rsidP="00003407">
      <w:r w:rsidRPr="00E74CF2">
        <w:t>The Office of Product Review has accepted the Macitentan EU Risk Management Plan for Opsumit (macitentan), version 3, dated 12 August 2013 (DLP 26 April 2012), with the Australian Specific Annex, version 1.0, dated 22 August 2013.</w:t>
      </w:r>
    </w:p>
    <w:p w:rsidR="00E74CF2" w:rsidRPr="00E74CF2" w:rsidRDefault="00E74CF2" w:rsidP="00003407">
      <w:r w:rsidRPr="00E74CF2">
        <w:t>The following were outstanding matters and should be followed up with OPR and in the Pre-ACPM Response:</w:t>
      </w:r>
    </w:p>
    <w:p w:rsidR="00E74CF2" w:rsidRPr="00E74CF2" w:rsidRDefault="00E74CF2" w:rsidP="00003407">
      <w:pPr>
        <w:pStyle w:val="ListBullet"/>
      </w:pPr>
      <w:r w:rsidRPr="00E74CF2">
        <w:t xml:space="preserve">Ongoing Safety </w:t>
      </w:r>
      <w:r w:rsidRPr="00003407">
        <w:t>Concern</w:t>
      </w:r>
      <w:r w:rsidRPr="00E74CF2">
        <w:t xml:space="preserve">: Hepatotoxicity: The sponsor was requested to undertake additional pharmacovigilance activities to address this ongoing safety concern but has outlined risk minimisation activities instead. Given that the sponsor is undertaking a long term prospective observational (product exposure registry) study to evaluate potential serious hepatic risks related to the use of macitentan and an assessment and analysis of reports of serious hepatic </w:t>
      </w:r>
      <w:r w:rsidR="00A54191">
        <w:t>AE</w:t>
      </w:r>
      <w:r w:rsidRPr="00E74CF2">
        <w:t>s in the US, then the sponsor should assign these activities to the hepatotoxicity ongoing safety concern.</w:t>
      </w:r>
    </w:p>
    <w:p w:rsidR="00E74CF2" w:rsidRPr="00E74CF2" w:rsidRDefault="00E74CF2" w:rsidP="00003407">
      <w:pPr>
        <w:pStyle w:val="ListBullet"/>
      </w:pPr>
      <w:r w:rsidRPr="00E74CF2">
        <w:t xml:space="preserve">Ongoing Safety </w:t>
      </w:r>
      <w:r w:rsidRPr="00003407">
        <w:t>Concerns</w:t>
      </w:r>
      <w:r w:rsidRPr="00E74CF2">
        <w:t xml:space="preserve">: Thrombocytopenia, leucopoenia, moderate to severe hepatic impairment, severe renal impairment, </w:t>
      </w:r>
      <w:proofErr w:type="gramStart"/>
      <w:r w:rsidRPr="00E74CF2">
        <w:t>HIV</w:t>
      </w:r>
      <w:proofErr w:type="gramEnd"/>
      <w:r w:rsidRPr="00E74CF2">
        <w:t xml:space="preserve"> infection: The sponsor was requested to undertake additional pharmacovigilance activities to address these ongoing safety concerns but has outlined risk minimisation activities instead such as PI amendments. The response is acceptable to OPR to undertake routine pharmacovigilance along with the PI changes.</w:t>
      </w:r>
    </w:p>
    <w:p w:rsidR="00E74CF2" w:rsidRPr="00E74CF2" w:rsidRDefault="00E74CF2" w:rsidP="00003407">
      <w:pPr>
        <w:pStyle w:val="ListBullet"/>
      </w:pPr>
      <w:r w:rsidRPr="00E74CF2">
        <w:t xml:space="preserve">Patient registry: The sponsor has a patient registry for bosentan to model long term survival outcomes as part of a risk sharing agreement with the Pharmaceutical Benefits Advisory Committee. Given the data in this submission, the sponsor disagreed that another registry is required. OPR recommended it should be established for macitentan and it could be used as an additional pharmacovigilance activity and risk minimisation activity. If the sponsor agrees to include the additional pharmacovigilance activities conducted in the US for hepatotoxicity, then another </w:t>
      </w:r>
      <w:r w:rsidRPr="00E74CF2">
        <w:lastRenderedPageBreak/>
        <w:t>registry may not be needed. The sponsor should clarify if Australian patients will have access to this registry.</w:t>
      </w:r>
    </w:p>
    <w:p w:rsidR="00E74CF2" w:rsidRPr="00E74CF2" w:rsidRDefault="00E74CF2" w:rsidP="00003407">
      <w:pPr>
        <w:pStyle w:val="ListBullet"/>
      </w:pPr>
      <w:r w:rsidRPr="00E74CF2">
        <w:t xml:space="preserve">Ritonavir and lopinavir: The sponsor should clarify the rationale for why the macitentan PI says the increase in its exposure with ritonavir and lopinavir is only expected to be about </w:t>
      </w:r>
      <w:r w:rsidR="00DA4B61">
        <w:t>two</w:t>
      </w:r>
      <w:r w:rsidRPr="00E74CF2">
        <w:t xml:space="preserve"> times but that the data for bosentan shows the increase in bosentan is about 48 times initially and then decreases to </w:t>
      </w:r>
      <w:r w:rsidR="00DA4B61">
        <w:t>five</w:t>
      </w:r>
      <w:r w:rsidRPr="00E74CF2">
        <w:t xml:space="preserve"> times.</w:t>
      </w:r>
    </w:p>
    <w:p w:rsidR="008E7846" w:rsidRPr="00003407" w:rsidRDefault="008E7846" w:rsidP="00003407">
      <w:pPr>
        <w:pStyle w:val="Heading4"/>
      </w:pPr>
      <w:bookmarkStart w:id="282" w:name="_Toc196046505"/>
      <w:bookmarkStart w:id="283" w:name="_Toc196046949"/>
      <w:r>
        <w:t xml:space="preserve">Delegate </w:t>
      </w:r>
      <w:r w:rsidR="00ED3CAD">
        <w:t>c</w:t>
      </w:r>
      <w:r>
        <w:t>onsiderations</w:t>
      </w:r>
    </w:p>
    <w:p w:rsidR="00E74CF2" w:rsidRPr="000C456F" w:rsidRDefault="00E74CF2" w:rsidP="00003407">
      <w:r w:rsidRPr="00E74CF2">
        <w:rPr>
          <w:b/>
        </w:rPr>
        <w:t>Efficacy</w:t>
      </w:r>
      <w:r w:rsidRPr="00E74CF2">
        <w:t>: Macitentan has demonstrated a 45% relative risk reduction in morbidity and mortality at the 10</w:t>
      </w:r>
      <w:r>
        <w:t xml:space="preserve"> </w:t>
      </w:r>
      <w:r w:rsidRPr="00E74CF2">
        <w:t xml:space="preserve">mg dose compared to placebo in patients with PAH that was mainly driven by a reduction in the worsening of PAH (p&lt;0.0001) with no significant difference in the risk of death (p=0.79). Macitentan does not appear to increase survival but the pivotal study was not powered to assess this endpoint. Secondary endpoints on symptom relief such as improvements in 6MWD, WHO </w:t>
      </w:r>
      <w:r w:rsidR="0007068D">
        <w:t>FC</w:t>
      </w:r>
      <w:r w:rsidRPr="00E74CF2">
        <w:t xml:space="preserve"> (74% higher chance of FC improvement at </w:t>
      </w:r>
      <w:r>
        <w:t>six</w:t>
      </w:r>
      <w:r w:rsidRPr="00E74CF2">
        <w:t xml:space="preserve"> months), quality of life, number of hospitalisations and days per year were supportive of the efficacy of macitentan 10</w:t>
      </w:r>
      <w:r>
        <w:t xml:space="preserve"> </w:t>
      </w:r>
      <w:r w:rsidRPr="00E74CF2">
        <w:t xml:space="preserve">mg. The placebo subtracted change in 6MWD at </w:t>
      </w:r>
      <w:r>
        <w:t>six</w:t>
      </w:r>
      <w:r w:rsidRPr="00E74CF2">
        <w:t xml:space="preserve"> months was small at 22m (bosentan and ambrisentan ranged from 31 to 76m at </w:t>
      </w:r>
      <w:r>
        <w:t>three</w:t>
      </w:r>
      <w:r w:rsidRPr="00E74CF2">
        <w:t xml:space="preserve"> to </w:t>
      </w:r>
      <w:r>
        <w:t>four</w:t>
      </w:r>
      <w:r w:rsidRPr="00E74CF2">
        <w:t xml:space="preserve"> months) but statistically significant (p=0.0078) and appeared to be maintained at 12 months. Death due to PAH or hospitalisation due to PAH showed a relative risk reduction of 33% on 3</w:t>
      </w:r>
      <w:r>
        <w:t xml:space="preserve"> </w:t>
      </w:r>
      <w:r w:rsidRPr="00E74CF2">
        <w:t>mg macitentan and 50% on 10</w:t>
      </w:r>
      <w:r>
        <w:t xml:space="preserve"> </w:t>
      </w:r>
      <w:r w:rsidRPr="00E74CF2">
        <w:t>mg macitentan but due to the hierarchical testing procedures, no confirmatory claims could be made for 3</w:t>
      </w:r>
      <w:r>
        <w:t xml:space="preserve"> </w:t>
      </w:r>
      <w:r w:rsidRPr="00E74CF2">
        <w:t>mg and the 10</w:t>
      </w:r>
      <w:r>
        <w:t xml:space="preserve"> </w:t>
      </w:r>
      <w:r w:rsidRPr="00E74CF2">
        <w:t>mg result could only be considered a positive study and not a conclusive study. Subgroups analyses confirmed efficacy by WHO</w:t>
      </w:r>
      <w:r w:rsidR="0007068D">
        <w:t xml:space="preserve"> FC</w:t>
      </w:r>
      <w:r w:rsidRPr="00E74CF2">
        <w:t xml:space="preserve"> (but there were few patients with </w:t>
      </w:r>
      <w:r w:rsidR="0007068D">
        <w:t>FC</w:t>
      </w:r>
      <w:r w:rsidRPr="00E74CF2">
        <w:t xml:space="preserve"> IV), PAH subtypes (but there were few with HIV, toxins or drugs), age (but there were only 13 subjects on either dose of macitentan in the 12</w:t>
      </w:r>
      <w:r>
        <w:t xml:space="preserve"> to </w:t>
      </w:r>
      <w:r w:rsidRPr="00E74CF2">
        <w:t>&lt;</w:t>
      </w:r>
      <w:r>
        <w:t xml:space="preserve"> </w:t>
      </w:r>
      <w:r w:rsidRPr="00E74CF2">
        <w:t>18 years group) and concomitant PAH treatments (PDE5 inhibitors and mainly inhaled prostanoids)</w:t>
      </w:r>
      <w:r w:rsidR="00003407">
        <w:t>.</w:t>
      </w:r>
    </w:p>
    <w:p w:rsidR="00E74CF2" w:rsidRPr="00E74CF2" w:rsidRDefault="00E74CF2" w:rsidP="00003407">
      <w:r w:rsidRPr="00E74CF2">
        <w:rPr>
          <w:b/>
        </w:rPr>
        <w:t>Indication, WHO Group 1 subgroups and WHO Functional Class:</w:t>
      </w:r>
      <w:r w:rsidRPr="00E74CF2">
        <w:t xml:space="preserve"> The sponsor proposed an initial indication that has been modified by the clinical evaluator and then subsequently modified by the sponsor. The indication is long and includes endpoint claims, a description of disease progression, which combination PAH treatments and inclusion of subgroups of WHO Group 1 for which there was evidence from the submitted data. The wording approved in USA and recommended for approval in Europe capture similar subtypes of PAH but it is unclear if this implies it is approved for all subtypes of PAH or only those listed. Only WHO </w:t>
      </w:r>
      <w:r w:rsidR="0007068D">
        <w:t>FC</w:t>
      </w:r>
      <w:r w:rsidRPr="00E74CF2">
        <w:t xml:space="preserve"> II-III appear</w:t>
      </w:r>
      <w:r w:rsidR="00451E17">
        <w:t>s</w:t>
      </w:r>
      <w:r w:rsidRPr="00E74CF2">
        <w:t xml:space="preserve"> to have been approved in USA and Europe. The indication here could be aligned with bosentan and ambrisentan which are simpler and place endpoint claims in the Clinical Trials section of the PI where they are better suited. The definition of disease progression is also better suited to the Clinical Trials section. The WHO Group 1 subgroups and WHO </w:t>
      </w:r>
      <w:r w:rsidR="0007068D">
        <w:t>FC</w:t>
      </w:r>
      <w:r w:rsidRPr="00E74CF2">
        <w:t xml:space="preserve"> however need consideration. For WHO Group 1, the sponsor has identified those subgroups that were represented in the pivotal study, as part of the indication. Bosentan and ambrisentan have both been approved with specific subgroups included in the indication and therefore approving only those subgroups would be consistent with these other ERAs. This would approve only those subgroups which have clearly demonstrated efficacy such as idiopathic and familial PAH (57%), PAH associated with connective tissue disorders (31%) and PAH caused by congenital heart disease with repaired shunts (8%), although bosentan had a specific study to support the congenital heart disease group. PAH associated with drugs and toxins (3%) and HIV (1%, n=10) were small groups and it is unclear if these should be included in the indication or not given the limited data. There may also be other WHO Group 1 subgroups that could benefit but since they were not included in the data then further evidence would be needed. The similarities of the other subgroups in WHO Group 1 are unclear and there are groups such as persistent pulmonary hypertension of the newborn and pulmonary veno-occlusive disease (PVOD) which are different to the other subgroups. </w:t>
      </w:r>
      <w:r w:rsidRPr="00E74CF2">
        <w:lastRenderedPageBreak/>
        <w:t>The classification system has also changed and may continue to do so (</w:t>
      </w:r>
      <w:r w:rsidR="00DF5758">
        <w:t xml:space="preserve">for example, </w:t>
      </w:r>
      <w:r w:rsidRPr="00E74CF2">
        <w:t>Appendix 1 and 2). ACPM</w:t>
      </w:r>
      <w:r w:rsidR="00DF5758">
        <w:t>’</w:t>
      </w:r>
      <w:r w:rsidRPr="00E74CF2">
        <w:t>s advice is requested on the inclusion of certain subgroups.</w:t>
      </w:r>
    </w:p>
    <w:p w:rsidR="00E74CF2" w:rsidRDefault="00E74CF2" w:rsidP="00003407">
      <w:r w:rsidRPr="00DF5758">
        <w:t xml:space="preserve">The issue of WHO </w:t>
      </w:r>
      <w:r w:rsidR="0007068D">
        <w:t>FC</w:t>
      </w:r>
      <w:r w:rsidRPr="00DF5758">
        <w:t xml:space="preserve"> concerns those patients in WHO </w:t>
      </w:r>
      <w:r w:rsidR="00DF5758">
        <w:t>FC</w:t>
      </w:r>
      <w:r w:rsidRPr="00DF5758">
        <w:t xml:space="preserve"> IV. The submitted data are mainly in patients with WHO </w:t>
      </w:r>
      <w:r w:rsidR="00DF5758">
        <w:t>FC</w:t>
      </w:r>
      <w:r w:rsidRPr="00DF5758">
        <w:t xml:space="preserve"> II-III with only 2% in </w:t>
      </w:r>
      <w:r w:rsidR="00DF5758">
        <w:t>C</w:t>
      </w:r>
      <w:r w:rsidRPr="00DF5758">
        <w:t xml:space="preserve">lass IV. Both the USA and possibly EU have indicated it for patients with </w:t>
      </w:r>
      <w:r w:rsidR="00DF5758">
        <w:t>C</w:t>
      </w:r>
      <w:r w:rsidRPr="00DF5758">
        <w:t xml:space="preserve">lass II-III. In Australia, both bosentan and ambrisentan have been approved with </w:t>
      </w:r>
      <w:r w:rsidR="00DF5758">
        <w:t>C</w:t>
      </w:r>
      <w:r w:rsidRPr="00DF5758">
        <w:t>lasses II-IV. Despite the few patients in</w:t>
      </w:r>
      <w:r w:rsidR="00DF5758">
        <w:t xml:space="preserve"> C</w:t>
      </w:r>
      <w:r w:rsidRPr="00DF5758">
        <w:t xml:space="preserve">lass IV in the dossier, this may be best left to clinical judgement on whether continuing treatment in this group is appropriate given that patients would be worsening if they reached </w:t>
      </w:r>
      <w:r w:rsidR="00DF5758">
        <w:t>C</w:t>
      </w:r>
      <w:r w:rsidRPr="00DF5758">
        <w:t>lass IV. ACPM</w:t>
      </w:r>
      <w:r w:rsidR="00DF5758">
        <w:t>’</w:t>
      </w:r>
      <w:r w:rsidRPr="00DF5758">
        <w:t>s advice is requested on this matter.</w:t>
      </w:r>
    </w:p>
    <w:p w:rsidR="00DF5758" w:rsidRPr="00DF5758" w:rsidRDefault="00DF5758" w:rsidP="00DF5758">
      <w:r w:rsidRPr="00DF5758">
        <w:t>Consideration is therefore needed on the inclusion/exclusion of WHO Group 1 subgroups</w:t>
      </w:r>
      <w:r>
        <w:t>, WHO FC</w:t>
      </w:r>
      <w:r w:rsidRPr="00DF5758">
        <w:t xml:space="preserve"> IV, endpoint claims such as disease progression and its definition. Given these issues, a proposed indication could be as follows:</w:t>
      </w:r>
    </w:p>
    <w:p w:rsidR="00DF5758" w:rsidRPr="00003407" w:rsidRDefault="00DF5758" w:rsidP="00003407">
      <w:pPr>
        <w:ind w:left="350"/>
        <w:rPr>
          <w:i/>
        </w:rPr>
      </w:pPr>
      <w:r w:rsidRPr="00003407">
        <w:rPr>
          <w:i/>
        </w:rPr>
        <w:t>Opsumit, as monotherapy or in combination with approved PAH treatments (phosphodiesterase-5 inhibitors or inhaled prostanoids), is indicated for the treatment of:</w:t>
      </w:r>
    </w:p>
    <w:p w:rsidR="00DF5758" w:rsidRPr="00003407" w:rsidRDefault="00DF5758" w:rsidP="00003407">
      <w:pPr>
        <w:pStyle w:val="ListBullet"/>
        <w:rPr>
          <w:i/>
        </w:rPr>
      </w:pPr>
      <w:r w:rsidRPr="00003407">
        <w:rPr>
          <w:i/>
        </w:rPr>
        <w:t xml:space="preserve">idiopathic and heritable </w:t>
      </w:r>
      <w:r w:rsidR="00D32A10" w:rsidRPr="00003407">
        <w:rPr>
          <w:i/>
        </w:rPr>
        <w:t>PAH</w:t>
      </w:r>
      <w:r w:rsidRPr="00003407">
        <w:rPr>
          <w:i/>
        </w:rPr>
        <w:t xml:space="preserve"> </w:t>
      </w:r>
    </w:p>
    <w:p w:rsidR="00DF5758" w:rsidRPr="00003407" w:rsidRDefault="00D32A10" w:rsidP="00003407">
      <w:pPr>
        <w:pStyle w:val="ListBullet"/>
        <w:rPr>
          <w:i/>
        </w:rPr>
      </w:pPr>
      <w:r w:rsidRPr="00003407">
        <w:rPr>
          <w:i/>
        </w:rPr>
        <w:t>PAH</w:t>
      </w:r>
      <w:r w:rsidR="00DF5758" w:rsidRPr="00003407">
        <w:rPr>
          <w:i/>
        </w:rPr>
        <w:t xml:space="preserve"> associated with connective tissue disorders or</w:t>
      </w:r>
    </w:p>
    <w:p w:rsidR="00DF5758" w:rsidRPr="00003407" w:rsidRDefault="00D32A10" w:rsidP="00003407">
      <w:pPr>
        <w:pStyle w:val="ListBullet"/>
        <w:rPr>
          <w:i/>
        </w:rPr>
      </w:pPr>
      <w:r w:rsidRPr="00003407">
        <w:rPr>
          <w:i/>
        </w:rPr>
        <w:t>PAH</w:t>
      </w:r>
      <w:r w:rsidR="00DF5758" w:rsidRPr="00003407">
        <w:rPr>
          <w:i/>
        </w:rPr>
        <w:t xml:space="preserve"> associated with congenital heart disease</w:t>
      </w:r>
      <w:r w:rsidRPr="00003407">
        <w:rPr>
          <w:i/>
        </w:rPr>
        <w:t>(PAH-CHD)</w:t>
      </w:r>
      <w:r w:rsidR="00DF5758" w:rsidRPr="00003407">
        <w:rPr>
          <w:i/>
        </w:rPr>
        <w:t xml:space="preserve"> with repaired shunts</w:t>
      </w:r>
    </w:p>
    <w:p w:rsidR="00DF5758" w:rsidRPr="00003407" w:rsidRDefault="00DF5758" w:rsidP="00003407">
      <w:pPr>
        <w:ind w:left="360"/>
        <w:rPr>
          <w:i/>
        </w:rPr>
      </w:pPr>
      <w:proofErr w:type="gramStart"/>
      <w:r w:rsidRPr="00003407">
        <w:rPr>
          <w:i/>
        </w:rPr>
        <w:t>in</w:t>
      </w:r>
      <w:proofErr w:type="gramEnd"/>
      <w:r w:rsidRPr="00003407">
        <w:rPr>
          <w:i/>
        </w:rPr>
        <w:t xml:space="preserve"> patients with WHO Functional Class II, III or IV symptoms</w:t>
      </w:r>
    </w:p>
    <w:p w:rsidR="00E74CF2" w:rsidRPr="00A95DEA" w:rsidRDefault="00E74CF2" w:rsidP="00003407">
      <w:r w:rsidRPr="00A95DEA">
        <w:rPr>
          <w:b/>
        </w:rPr>
        <w:t>Adults/Paediatrics</w:t>
      </w:r>
      <w:r w:rsidRPr="00A95DEA">
        <w:t>: The sponsor has applied for use in patients 12 to &lt;</w:t>
      </w:r>
      <w:r w:rsidR="00DF5758" w:rsidRPr="00A95DEA">
        <w:t xml:space="preserve"> </w:t>
      </w:r>
      <w:r w:rsidRPr="00A95DEA">
        <w:t>18 years old but the pivotal study only included 20 patients in this age group (</w:t>
      </w:r>
      <w:r w:rsidR="00DF5758" w:rsidRPr="00A95DEA">
        <w:t>seven</w:t>
      </w:r>
      <w:r w:rsidRPr="00A95DEA">
        <w:t xml:space="preserve"> on placebo, </w:t>
      </w:r>
      <w:r w:rsidR="00DF5758" w:rsidRPr="00A95DEA">
        <w:t>seven</w:t>
      </w:r>
      <w:r w:rsidRPr="00A95DEA">
        <w:t xml:space="preserve"> on 3</w:t>
      </w:r>
      <w:r w:rsidR="00100727">
        <w:t> </w:t>
      </w:r>
      <w:r w:rsidRPr="00A95DEA">
        <w:t xml:space="preserve">mg macitentan and </w:t>
      </w:r>
      <w:r w:rsidR="00DF5758" w:rsidRPr="00A95DEA">
        <w:t>six</w:t>
      </w:r>
      <w:r w:rsidRPr="00A95DEA">
        <w:t xml:space="preserve"> on 10</w:t>
      </w:r>
      <w:r w:rsidR="00DF5758" w:rsidRPr="00A95DEA">
        <w:t xml:space="preserve"> </w:t>
      </w:r>
      <w:r w:rsidRPr="00A95DEA">
        <w:t>mg macitentan). Subgroup analysis indicated the primary efficacy endpoint result and safety results were generally consistent with the overall population. Given the similar efficacy and no significant safety issues, then it appears reasonable to allow use in this population given the seriousness of the disease, however a precaution should be added on the limited data and lack of data on growth and development.</w:t>
      </w:r>
    </w:p>
    <w:p w:rsidR="00E74CF2" w:rsidRPr="00A95DEA" w:rsidRDefault="00E74CF2" w:rsidP="00003407">
      <w:r w:rsidRPr="00A95DEA">
        <w:rPr>
          <w:b/>
        </w:rPr>
        <w:t>Safety and RMP</w:t>
      </w:r>
      <w:r w:rsidRPr="00A95DEA">
        <w:t>: The safety profile of macitentan 10</w:t>
      </w:r>
      <w:r w:rsidR="00A95DEA">
        <w:t xml:space="preserve"> </w:t>
      </w:r>
      <w:r w:rsidRPr="00A95DEA">
        <w:t xml:space="preserve">mg was generally acceptable and consistent with known safety issues with ERAs such as embryo-foetal toxicity, liver function abnormalities, decreases in haemoglobin and hypotension. The main risks identified appear to be decreases in haemoglobin which tended to occur in the first </w:t>
      </w:r>
      <w:r w:rsidR="00E372F9">
        <w:t>three</w:t>
      </w:r>
      <w:r w:rsidRPr="00A95DEA">
        <w:t xml:space="preserve"> months then stabilise and can be monitored and hypotension which were small except for those with severe renal impairment and can be regularly measured. Marked decreases in leucocytes and platelets were noted but mean decreases were small in all groups.</w:t>
      </w:r>
    </w:p>
    <w:p w:rsidR="00E74CF2" w:rsidRDefault="00E74CF2" w:rsidP="00003407">
      <w:r w:rsidRPr="00E372F9">
        <w:rPr>
          <w:b/>
        </w:rPr>
        <w:t>Data deficiencies</w:t>
      </w:r>
      <w:r w:rsidRPr="00E372F9">
        <w:t>: There is a lack of robust data in WHO F</w:t>
      </w:r>
      <w:r w:rsidR="00E372F9" w:rsidRPr="00E372F9">
        <w:t>C</w:t>
      </w:r>
      <w:r w:rsidRPr="00E372F9">
        <w:t xml:space="preserve"> IV, PAH subgroups other than connective tissue disease, idiopathic/heritable and congenital heart disease, use with other PAH treatments (</w:t>
      </w:r>
      <w:r w:rsidR="00E372F9" w:rsidRPr="00E372F9">
        <w:t xml:space="preserve">such as </w:t>
      </w:r>
      <w:r w:rsidRPr="00E372F9">
        <w:t>epoprostenol) and in the paediatric age groups.</w:t>
      </w:r>
    </w:p>
    <w:p w:rsidR="00F321CB" w:rsidRPr="00003407" w:rsidRDefault="00F321CB" w:rsidP="00003407">
      <w:pPr>
        <w:pStyle w:val="Heading4"/>
      </w:pPr>
      <w:r>
        <w:t>Request for further information</w:t>
      </w:r>
    </w:p>
    <w:p w:rsidR="00F321CB" w:rsidRPr="00E372F9" w:rsidRDefault="00F321CB" w:rsidP="00003407">
      <w:r w:rsidRPr="00E372F9">
        <w:t>The sponsor is requested to address the following issues in the Pre-ACPM Response:</w:t>
      </w:r>
    </w:p>
    <w:p w:rsidR="00F321CB" w:rsidRPr="00E372F9" w:rsidRDefault="00F321CB" w:rsidP="000062AB">
      <w:pPr>
        <w:pStyle w:val="Numberbullet0"/>
        <w:numPr>
          <w:ilvl w:val="0"/>
          <w:numId w:val="10"/>
        </w:numPr>
      </w:pPr>
      <w:r w:rsidRPr="00E372F9">
        <w:t>Are any further studies planned in specific subgroups of PAH that have not been fully covered at present or in any other subtypes of pulmonary hypertension?</w:t>
      </w:r>
    </w:p>
    <w:p w:rsidR="00F321CB" w:rsidRPr="00E372F9" w:rsidRDefault="00F321CB" w:rsidP="000062AB">
      <w:pPr>
        <w:pStyle w:val="Numberbullet0"/>
        <w:numPr>
          <w:ilvl w:val="0"/>
          <w:numId w:val="10"/>
        </w:numPr>
      </w:pPr>
      <w:r w:rsidRPr="00E372F9">
        <w:t xml:space="preserve">Are any further studies or registries planned to examine serious hepatic </w:t>
      </w:r>
      <w:r w:rsidRPr="000062AB">
        <w:t>risks</w:t>
      </w:r>
      <w:r w:rsidRPr="00E372F9">
        <w:t xml:space="preserve"> with macitentan?</w:t>
      </w:r>
    </w:p>
    <w:p w:rsidR="00F321CB" w:rsidRPr="00E372F9" w:rsidRDefault="00F321CB" w:rsidP="000062AB">
      <w:pPr>
        <w:pStyle w:val="Numberbullet0"/>
        <w:numPr>
          <w:ilvl w:val="0"/>
          <w:numId w:val="10"/>
        </w:numPr>
      </w:pPr>
      <w:r w:rsidRPr="00E372F9">
        <w:t>Please clarify if the approved indication in USA and that recommended for approval in Europe is for all subgroups of PAH or only those mentioned in the indications?</w:t>
      </w:r>
    </w:p>
    <w:p w:rsidR="00F321CB" w:rsidRPr="00E372F9" w:rsidRDefault="00F321CB" w:rsidP="000062AB">
      <w:pPr>
        <w:pStyle w:val="Numberbullet0"/>
        <w:numPr>
          <w:ilvl w:val="0"/>
          <w:numId w:val="10"/>
        </w:numPr>
      </w:pPr>
      <w:r w:rsidRPr="00E372F9">
        <w:t xml:space="preserve">Discuss the efficacy and safety results for patients with PAH associated </w:t>
      </w:r>
      <w:r w:rsidRPr="000062AB">
        <w:t>with</w:t>
      </w:r>
      <w:r w:rsidRPr="00E372F9">
        <w:t xml:space="preserve"> drugs, toxins and HIV compared to the overall population results.</w:t>
      </w:r>
    </w:p>
    <w:p w:rsidR="00F321CB" w:rsidRPr="00E372F9" w:rsidRDefault="00F321CB" w:rsidP="000062AB">
      <w:pPr>
        <w:pStyle w:val="Numberbullet0"/>
        <w:numPr>
          <w:ilvl w:val="0"/>
          <w:numId w:val="10"/>
        </w:numPr>
      </w:pPr>
      <w:r w:rsidRPr="00E372F9">
        <w:lastRenderedPageBreak/>
        <w:t>The outstanding RMP matters as discussed above.</w:t>
      </w:r>
    </w:p>
    <w:p w:rsidR="00F321CB" w:rsidRPr="000062AB" w:rsidRDefault="00F321CB" w:rsidP="000062AB">
      <w:pPr>
        <w:pStyle w:val="Heading4"/>
      </w:pPr>
      <w:r>
        <w:t>Proposed action</w:t>
      </w:r>
    </w:p>
    <w:p w:rsidR="00F321CB" w:rsidRDefault="00F321CB" w:rsidP="000062AB">
      <w:r>
        <w:t>The Delegate had no reason to say</w:t>
      </w:r>
      <w:r w:rsidR="00DA4B61">
        <w:t xml:space="preserve"> </w:t>
      </w:r>
      <w:r>
        <w:t>that the application for Opsumit should not be approved for registration.</w:t>
      </w:r>
    </w:p>
    <w:p w:rsidR="00F321CB" w:rsidRDefault="00F321CB" w:rsidP="000062AB">
      <w:r>
        <w:t>The Delegate’s suggested indication is as follows:</w:t>
      </w:r>
    </w:p>
    <w:p w:rsidR="00F321CB" w:rsidRPr="000062AB" w:rsidRDefault="00F321CB" w:rsidP="000062AB">
      <w:pPr>
        <w:ind w:left="360"/>
        <w:rPr>
          <w:i/>
        </w:rPr>
      </w:pPr>
      <w:r w:rsidRPr="000062AB">
        <w:rPr>
          <w:i/>
        </w:rPr>
        <w:t>Opsumit, as monotherapy or in combination with approved PAH treatments (phosphodiesterase-5 inhibitors or inhaled prostanoids), is indicated for the treatment of:</w:t>
      </w:r>
    </w:p>
    <w:p w:rsidR="00F321CB" w:rsidRPr="000062AB" w:rsidRDefault="00F321CB" w:rsidP="000062AB">
      <w:pPr>
        <w:pStyle w:val="ListBullet"/>
        <w:rPr>
          <w:i/>
        </w:rPr>
      </w:pPr>
      <w:r w:rsidRPr="000062AB">
        <w:rPr>
          <w:i/>
        </w:rPr>
        <w:t xml:space="preserve">idiopathic and heritable </w:t>
      </w:r>
      <w:r w:rsidR="00D32A10" w:rsidRPr="000062AB">
        <w:rPr>
          <w:i/>
        </w:rPr>
        <w:t>PAH</w:t>
      </w:r>
    </w:p>
    <w:p w:rsidR="00F321CB" w:rsidRPr="000062AB" w:rsidRDefault="00D32A10" w:rsidP="000062AB">
      <w:pPr>
        <w:pStyle w:val="ListBullet"/>
        <w:rPr>
          <w:i/>
        </w:rPr>
      </w:pPr>
      <w:r w:rsidRPr="000062AB">
        <w:rPr>
          <w:i/>
        </w:rPr>
        <w:t>PAH a</w:t>
      </w:r>
      <w:r w:rsidR="00F321CB" w:rsidRPr="000062AB">
        <w:rPr>
          <w:i/>
        </w:rPr>
        <w:t>ssociated with connective tissue disorders or</w:t>
      </w:r>
    </w:p>
    <w:p w:rsidR="00F321CB" w:rsidRPr="000062AB" w:rsidRDefault="00D32A10" w:rsidP="000062AB">
      <w:pPr>
        <w:pStyle w:val="ListBullet"/>
        <w:rPr>
          <w:i/>
        </w:rPr>
      </w:pPr>
      <w:r w:rsidRPr="000062AB">
        <w:rPr>
          <w:i/>
        </w:rPr>
        <w:t>PAH</w:t>
      </w:r>
      <w:r w:rsidR="00F321CB" w:rsidRPr="000062AB">
        <w:rPr>
          <w:i/>
        </w:rPr>
        <w:t xml:space="preserve"> associated with </w:t>
      </w:r>
      <w:r w:rsidRPr="000062AB">
        <w:rPr>
          <w:i/>
        </w:rPr>
        <w:t xml:space="preserve">CHD </w:t>
      </w:r>
      <w:r w:rsidR="00F321CB" w:rsidRPr="000062AB">
        <w:rPr>
          <w:i/>
        </w:rPr>
        <w:t>with repaired shunts</w:t>
      </w:r>
    </w:p>
    <w:p w:rsidR="00F321CB" w:rsidRPr="000062AB" w:rsidRDefault="00F321CB" w:rsidP="000062AB">
      <w:pPr>
        <w:ind w:left="360"/>
        <w:rPr>
          <w:i/>
        </w:rPr>
      </w:pPr>
      <w:proofErr w:type="gramStart"/>
      <w:r w:rsidRPr="000062AB">
        <w:rPr>
          <w:i/>
        </w:rPr>
        <w:t>in</w:t>
      </w:r>
      <w:proofErr w:type="gramEnd"/>
      <w:r w:rsidRPr="000062AB">
        <w:rPr>
          <w:i/>
        </w:rPr>
        <w:t xml:space="preserve"> patients with WHO </w:t>
      </w:r>
      <w:r w:rsidR="0007068D" w:rsidRPr="000062AB">
        <w:rPr>
          <w:i/>
        </w:rPr>
        <w:t>F</w:t>
      </w:r>
      <w:r w:rsidRPr="000062AB">
        <w:rPr>
          <w:i/>
        </w:rPr>
        <w:t>unctional Class II, III or IV symptoms.</w:t>
      </w:r>
    </w:p>
    <w:p w:rsidR="00F321CB" w:rsidRDefault="00E372F9" w:rsidP="00C13C9C">
      <w:pPr>
        <w:pStyle w:val="Heading5"/>
      </w:pPr>
      <w:r w:rsidRPr="00E372F9">
        <w:t xml:space="preserve">Conditions of </w:t>
      </w:r>
      <w:r w:rsidR="00C13C9C" w:rsidRPr="00C13C9C">
        <w:t>r</w:t>
      </w:r>
      <w:r w:rsidRPr="00C13C9C">
        <w:t>egistration</w:t>
      </w:r>
    </w:p>
    <w:p w:rsidR="00E372F9" w:rsidRPr="00E372F9" w:rsidRDefault="00E372F9" w:rsidP="00C13C9C">
      <w:r w:rsidRPr="00E372F9">
        <w:t>The following are proposed as conditions of registration:</w:t>
      </w:r>
    </w:p>
    <w:p w:rsidR="00E372F9" w:rsidRDefault="00E372F9" w:rsidP="00C13C9C">
      <w:pPr>
        <w:pStyle w:val="ListBullet"/>
      </w:pPr>
      <w:r w:rsidRPr="00E372F9">
        <w:t xml:space="preserve">The </w:t>
      </w:r>
      <w:r w:rsidRPr="00C13C9C">
        <w:t>implementation</w:t>
      </w:r>
      <w:r w:rsidRPr="00E372F9">
        <w:t xml:space="preserve"> in Australia of the EU Risk Management Plan for Opsumit (macitentan), version 3, dated 12 August 2013 (DLP 26 April 2012), with the Australian Specific Annex, version 1.0, dated 22 August 2013, and subsequent changes as agreed from the sponsor email of 29 October 2013 </w:t>
      </w:r>
      <w:r w:rsidRPr="002C1637">
        <w:t xml:space="preserve">and Pre-ACPM Response of </w:t>
      </w:r>
      <w:r w:rsidR="00B268B7">
        <w:t>1</w:t>
      </w:r>
      <w:r w:rsidR="002C1637" w:rsidRPr="002C1637">
        <w:t xml:space="preserve">9 </w:t>
      </w:r>
      <w:r w:rsidR="00B268B7">
        <w:t xml:space="preserve">November </w:t>
      </w:r>
      <w:r w:rsidR="002C1637" w:rsidRPr="002C1637">
        <w:t>2013</w:t>
      </w:r>
      <w:r w:rsidRPr="002C1637">
        <w:t>,</w:t>
      </w:r>
      <w:r w:rsidRPr="00E372F9">
        <w:t xml:space="preserve"> included with submission PM-2012-04112-1-3, and any subsequent revisions, as agreed with the TGA.</w:t>
      </w:r>
    </w:p>
    <w:p w:rsidR="00F321CB" w:rsidRPr="00C13C9C" w:rsidRDefault="00F321CB" w:rsidP="00C13C9C">
      <w:pPr>
        <w:pStyle w:val="Heading4"/>
      </w:pPr>
      <w:r>
        <w:t>Request for ACPM advice</w:t>
      </w:r>
    </w:p>
    <w:p w:rsidR="00F321CB" w:rsidRPr="00F321CB" w:rsidRDefault="00F321CB" w:rsidP="00C13C9C">
      <w:r w:rsidRPr="00F321CB">
        <w:t>The committee is requested to provide advice on the following specific issues:</w:t>
      </w:r>
    </w:p>
    <w:p w:rsidR="00F321CB" w:rsidRPr="00F321CB" w:rsidRDefault="00F321CB" w:rsidP="00C13C9C">
      <w:pPr>
        <w:pStyle w:val="Numberbullet0"/>
        <w:numPr>
          <w:ilvl w:val="0"/>
          <w:numId w:val="32"/>
        </w:numPr>
      </w:pPr>
      <w:r w:rsidRPr="00F321CB">
        <w:t>Whether the data/</w:t>
      </w:r>
      <w:r w:rsidRPr="00C13C9C">
        <w:t>justifications</w:t>
      </w:r>
      <w:r w:rsidRPr="00F321CB">
        <w:t xml:space="preserve"> are sufficient to support</w:t>
      </w:r>
      <w:r>
        <w:t xml:space="preserve"> </w:t>
      </w:r>
      <w:r w:rsidRPr="00F321CB">
        <w:t>registration for only specific subgroups of WHO Group 1</w:t>
      </w:r>
      <w:r>
        <w:t xml:space="preserve"> </w:t>
      </w:r>
      <w:r w:rsidRPr="00F321CB">
        <w:t>and whether it should include PAH associated with drugs,</w:t>
      </w:r>
      <w:r>
        <w:t xml:space="preserve"> </w:t>
      </w:r>
      <w:r w:rsidRPr="00F321CB">
        <w:t>toxins and HIV; noting the change in classification system?</w:t>
      </w:r>
    </w:p>
    <w:p w:rsidR="00F321CB" w:rsidRPr="00F321CB" w:rsidRDefault="00F321CB" w:rsidP="00C13C9C">
      <w:pPr>
        <w:pStyle w:val="Numberbullet0"/>
      </w:pPr>
      <w:r w:rsidRPr="00F321CB">
        <w:t>Whether the data/</w:t>
      </w:r>
      <w:r w:rsidRPr="00C13C9C">
        <w:t>justifications</w:t>
      </w:r>
      <w:r w:rsidRPr="00F321CB">
        <w:t xml:space="preserve"> are sufficient to support</w:t>
      </w:r>
      <w:r>
        <w:t xml:space="preserve"> </w:t>
      </w:r>
      <w:r w:rsidRPr="00F321CB">
        <w:t>WHO F</w:t>
      </w:r>
      <w:r>
        <w:t>C</w:t>
      </w:r>
      <w:r w:rsidRPr="00F321CB">
        <w:t xml:space="preserve"> II-IV or only </w:t>
      </w:r>
      <w:r w:rsidR="0007068D">
        <w:t>FC</w:t>
      </w:r>
      <w:r w:rsidRPr="00F321CB">
        <w:t xml:space="preserve"> II-III?</w:t>
      </w:r>
    </w:p>
    <w:p w:rsidR="00F321CB" w:rsidRPr="00F321CB" w:rsidRDefault="00F321CB" w:rsidP="00C13C9C">
      <w:pPr>
        <w:pStyle w:val="Numberbullet0"/>
      </w:pPr>
      <w:r w:rsidRPr="00F321CB">
        <w:t>Whether the wording of the Indications should be</w:t>
      </w:r>
      <w:r>
        <w:t xml:space="preserve"> </w:t>
      </w:r>
      <w:r w:rsidRPr="00F321CB">
        <w:t>simplified in relation to endpoint claims and disease</w:t>
      </w:r>
      <w:r>
        <w:t xml:space="preserve"> </w:t>
      </w:r>
      <w:r w:rsidRPr="00F321CB">
        <w:t>progression definition and place this information in the</w:t>
      </w:r>
      <w:r>
        <w:t xml:space="preserve"> </w:t>
      </w:r>
      <w:r w:rsidRPr="00F321CB">
        <w:t>Clinical Trials section of the PI instead.</w:t>
      </w:r>
    </w:p>
    <w:p w:rsidR="00F321CB" w:rsidRPr="00F321CB" w:rsidRDefault="00F321CB" w:rsidP="00C13C9C">
      <w:r w:rsidRPr="00F321CB">
        <w:t>The committee is also requested to provide advice on any other</w:t>
      </w:r>
      <w:r>
        <w:t xml:space="preserve"> </w:t>
      </w:r>
      <w:r w:rsidRPr="00F321CB">
        <w:t>issues that it thinks may be relevant to a decision on whether or</w:t>
      </w:r>
      <w:r>
        <w:t xml:space="preserve"> </w:t>
      </w:r>
      <w:r w:rsidRPr="00F321CB">
        <w:t>not to approve this application.</w:t>
      </w:r>
    </w:p>
    <w:p w:rsidR="008E7846" w:rsidRPr="00C13C9C" w:rsidRDefault="008E7846" w:rsidP="00C13C9C">
      <w:pPr>
        <w:pStyle w:val="Heading3"/>
      </w:pPr>
      <w:bookmarkStart w:id="284" w:name="_Toc391645306"/>
      <w:r>
        <w:t xml:space="preserve">Response from </w:t>
      </w:r>
      <w:r w:rsidR="00C13C9C">
        <w:t>s</w:t>
      </w:r>
      <w:r>
        <w:t>ponsor</w:t>
      </w:r>
      <w:bookmarkEnd w:id="284"/>
    </w:p>
    <w:p w:rsidR="002C1637" w:rsidRPr="00C13C9C" w:rsidRDefault="002C1637" w:rsidP="00C13C9C">
      <w:pPr>
        <w:pStyle w:val="Heading4"/>
      </w:pPr>
      <w:bookmarkStart w:id="285" w:name="_Toc370810051"/>
      <w:r w:rsidRPr="0077319D">
        <w:t>Introduction</w:t>
      </w:r>
      <w:bookmarkEnd w:id="285"/>
    </w:p>
    <w:p w:rsidR="002C1637" w:rsidRPr="002C1637" w:rsidRDefault="002C1637" w:rsidP="00C13C9C">
      <w:r w:rsidRPr="002C1637">
        <w:t>Evaluation reports associated with the Category 1 application for O</w:t>
      </w:r>
      <w:r>
        <w:t>psumit</w:t>
      </w:r>
      <w:r w:rsidRPr="002C1637">
        <w:t xml:space="preserve"> (macitentan) submitted on 7 February 2013 were received from the TGA on 17 October 2013. Actelion has reviewed the reports, and are responding to errors documented, providing clarifications, and responding to questions raised. The location of the error, area requiring clarification, or question is provided along with a response to provide the correct information.</w:t>
      </w:r>
      <w:bookmarkStart w:id="286" w:name="_Toc360026616"/>
    </w:p>
    <w:p w:rsidR="002C1637" w:rsidRPr="00C13C9C" w:rsidRDefault="002C1637" w:rsidP="00C13C9C">
      <w:pPr>
        <w:pStyle w:val="Heading4"/>
      </w:pPr>
      <w:bookmarkStart w:id="287" w:name="_Toc370810052"/>
      <w:bookmarkEnd w:id="286"/>
      <w:r>
        <w:rPr>
          <w:lang w:val="en-US"/>
        </w:rPr>
        <w:lastRenderedPageBreak/>
        <w:t>Clinical evaluation report</w:t>
      </w:r>
      <w:bookmarkEnd w:id="287"/>
    </w:p>
    <w:p w:rsidR="002C1637" w:rsidRPr="002C1637" w:rsidRDefault="002C1637" w:rsidP="00C13C9C">
      <w:r w:rsidRPr="002C1637">
        <w:t xml:space="preserve">Upon review of the </w:t>
      </w:r>
      <w:r>
        <w:t>Clinical Evaluation Report the s</w:t>
      </w:r>
      <w:r w:rsidRPr="002C1637">
        <w:t>ponsor did not identify any important errors requiring correction.</w:t>
      </w:r>
      <w:bookmarkStart w:id="288" w:name="_Toc363051614"/>
    </w:p>
    <w:p w:rsidR="002C1637" w:rsidRPr="00A37990" w:rsidRDefault="002C1637" w:rsidP="00C13C9C">
      <w:pPr>
        <w:pStyle w:val="Heading4"/>
        <w:rPr>
          <w:lang w:val="en-US"/>
        </w:rPr>
      </w:pPr>
      <w:bookmarkStart w:id="289" w:name="_Toc370810053"/>
      <w:r>
        <w:rPr>
          <w:lang w:val="en-US"/>
        </w:rPr>
        <w:t>C</w:t>
      </w:r>
      <w:r w:rsidRPr="00A37990">
        <w:rPr>
          <w:lang w:val="en-US"/>
        </w:rPr>
        <w:t>linical</w:t>
      </w:r>
      <w:r>
        <w:rPr>
          <w:lang w:val="en-US"/>
        </w:rPr>
        <w:t xml:space="preserve"> c</w:t>
      </w:r>
      <w:r w:rsidRPr="00A37990">
        <w:rPr>
          <w:lang w:val="en-US"/>
        </w:rPr>
        <w:t xml:space="preserve">omments to </w:t>
      </w:r>
      <w:r w:rsidRPr="00C13C9C">
        <w:t>draft</w:t>
      </w:r>
      <w:r w:rsidRPr="00A37990">
        <w:rPr>
          <w:lang w:val="en-US"/>
        </w:rPr>
        <w:t xml:space="preserve"> product information</w:t>
      </w:r>
      <w:bookmarkEnd w:id="288"/>
      <w:bookmarkEnd w:id="289"/>
    </w:p>
    <w:p w:rsidR="002C1637" w:rsidRPr="002C1637" w:rsidRDefault="002C1637" w:rsidP="00C13C9C">
      <w:r>
        <w:t>U</w:t>
      </w:r>
      <w:r w:rsidRPr="002C1637">
        <w:t xml:space="preserve">pdates </w:t>
      </w:r>
      <w:r>
        <w:t>were</w:t>
      </w:r>
      <w:r w:rsidRPr="002C1637">
        <w:t xml:space="preserve"> implemented into the PI based on comments on the first round review and those documented</w:t>
      </w:r>
      <w:r w:rsidR="00C13C9C">
        <w:t xml:space="preserve"> within the Evaluation Reports.</w:t>
      </w:r>
    </w:p>
    <w:p w:rsidR="002C1637" w:rsidRPr="00C13C9C" w:rsidRDefault="002C1637" w:rsidP="00C13C9C">
      <w:pPr>
        <w:pStyle w:val="Heading4"/>
      </w:pPr>
      <w:bookmarkStart w:id="290" w:name="_Toc370810057"/>
      <w:r>
        <w:t>Indication statement</w:t>
      </w:r>
      <w:bookmarkEnd w:id="290"/>
    </w:p>
    <w:p w:rsidR="002C1637" w:rsidRPr="002C1637" w:rsidRDefault="002C1637" w:rsidP="00C13C9C">
      <w:r w:rsidRPr="002C1637">
        <w:t>The Applicant would like to propose the following modif</w:t>
      </w:r>
      <w:r w:rsidR="00F01DEB">
        <w:t>ied Therap</w:t>
      </w:r>
      <w:r w:rsidRPr="002C1637">
        <w:t>eutic Indication.</w:t>
      </w:r>
    </w:p>
    <w:p w:rsidR="002C1637" w:rsidRPr="00C13C9C" w:rsidRDefault="00DA21EB" w:rsidP="00C13C9C">
      <w:pPr>
        <w:ind w:left="720"/>
        <w:rPr>
          <w:i/>
          <w:strike/>
          <w:lang w:val="en-GB"/>
        </w:rPr>
      </w:pPr>
      <w:r w:rsidRPr="00C13C9C">
        <w:rPr>
          <w:i/>
          <w:lang w:val="en-GB"/>
        </w:rPr>
        <w:t>Opsumit</w:t>
      </w:r>
      <w:r w:rsidR="002C1637" w:rsidRPr="00C13C9C">
        <w:rPr>
          <w:i/>
          <w:lang w:val="en-GB"/>
        </w:rPr>
        <w:t xml:space="preserve">, as monotherapy or in combination with approved PAH treatments (phosphodiesterase-5 inhibitors or prostanoids), is indicated for the long-term treatment of PAH) in patients of WHO FC II to IV to delay disease progression. Disease progression included: death, initiation of IV or </w:t>
      </w:r>
      <w:r w:rsidR="00223C49" w:rsidRPr="00C13C9C">
        <w:rPr>
          <w:i/>
          <w:lang w:val="en-GB"/>
        </w:rPr>
        <w:t>SC</w:t>
      </w:r>
      <w:r w:rsidR="002C1637" w:rsidRPr="00C13C9C">
        <w:rPr>
          <w:i/>
          <w:lang w:val="en-GB"/>
        </w:rPr>
        <w:t xml:space="preserve"> prostanoids, or clinical worsening of PAH (decreased 6</w:t>
      </w:r>
      <w:r w:rsidR="00DA4B61" w:rsidRPr="00C13C9C">
        <w:rPr>
          <w:i/>
          <w:lang w:val="en-GB"/>
        </w:rPr>
        <w:t>MWD</w:t>
      </w:r>
      <w:r w:rsidR="002C1637" w:rsidRPr="00C13C9C">
        <w:rPr>
          <w:i/>
          <w:lang w:val="en-GB"/>
        </w:rPr>
        <w:t>, worsened PAH symptoms and need for additional PAH treatment). O</w:t>
      </w:r>
      <w:r w:rsidRPr="00C13C9C">
        <w:rPr>
          <w:i/>
          <w:lang w:val="en-GB"/>
        </w:rPr>
        <w:t>psumit</w:t>
      </w:r>
      <w:r w:rsidR="002C1637" w:rsidRPr="00C13C9C">
        <w:rPr>
          <w:i/>
          <w:lang w:val="en-GB"/>
        </w:rPr>
        <w:t xml:space="preserve"> also reduced hospitalisation for PAH.</w:t>
      </w:r>
    </w:p>
    <w:p w:rsidR="002C1637" w:rsidRPr="00C13C9C" w:rsidRDefault="002C1637" w:rsidP="00C13C9C">
      <w:pPr>
        <w:ind w:left="720"/>
        <w:rPr>
          <w:i/>
        </w:rPr>
      </w:pPr>
      <w:r w:rsidRPr="00C13C9C">
        <w:rPr>
          <w:i/>
        </w:rPr>
        <w:t>Efficacy was shown in a Phase III study in a PAH population that included patients with aetiologies of idiopathic PAH (55%), PAH associated with connective tissue disorders (31%), PAH associated with congenital heart disease with shunts (8%), familial PAH (2%), and PAH associated with other aetiologies [drugs and toxins (3%) and HIV (1%)] (see Clinical Trials).</w:t>
      </w:r>
    </w:p>
    <w:p w:rsidR="002C1637" w:rsidRPr="00C13C9C" w:rsidRDefault="00DA4B61" w:rsidP="00C13C9C">
      <w:pPr>
        <w:pStyle w:val="Heading4"/>
      </w:pPr>
      <w:r>
        <w:rPr>
          <w:lang w:val="en-GB"/>
        </w:rPr>
        <w:t>Sponsor justification</w:t>
      </w:r>
    </w:p>
    <w:p w:rsidR="002C1637" w:rsidRPr="00C13C9C" w:rsidRDefault="002C1637" w:rsidP="00C13C9C">
      <w:pPr>
        <w:rPr>
          <w:b/>
        </w:rPr>
      </w:pPr>
      <w:r w:rsidRPr="00C13C9C">
        <w:rPr>
          <w:b/>
        </w:rPr>
        <w:t>Justification for mentioning effects on disease progression and PAH-related hospitalisation in the Therapeutic Indication</w:t>
      </w:r>
    </w:p>
    <w:p w:rsidR="002C1637" w:rsidRPr="00DA21EB" w:rsidRDefault="002C1637" w:rsidP="00C13C9C">
      <w:r w:rsidRPr="00DA21EB">
        <w:t>The efficacy of macitentan in the long-term treatment of PAH is demonstrated by the results from SERAPHIN, the first study in PAH that used a clinical outcome composite primary endpoint, defined as morbidity-mortality in the protocol. The design and results of the study bring the documentation of treatment effects in the rare disease of PAH to a new level. Previous studies in PAH focused on symptomatic or exercise capacity improvement over a relatively short treatment period. The applicant is of the opinion that this differentiation should be emphasised in the Therapeutic Indication for Opsumit, in order to provide adequate information to the prescriber.</w:t>
      </w:r>
    </w:p>
    <w:p w:rsidR="002C1637" w:rsidRPr="00DA21EB" w:rsidRDefault="002C1637" w:rsidP="00C13C9C">
      <w:r w:rsidRPr="00DA21EB">
        <w:t>The primary clinical outcome endpoint of SERAPHIN was stringently defined as a composite of events each intended to identify clinically relevant, irreversible progression of PAH, and all events were adjudicated by the independent CEC. The study was powered for a conclusive result on the composite primary endpoint in the pre-specifie</w:t>
      </w:r>
      <w:r w:rsidR="00C13C9C">
        <w:t>d time-to-first-event analysis.</w:t>
      </w:r>
    </w:p>
    <w:p w:rsidR="002C1637" w:rsidRPr="00DA21EB" w:rsidRDefault="002C1637" w:rsidP="00C13C9C">
      <w:r w:rsidRPr="00DA21EB">
        <w:t>The primary objective of the SERAPHIN study was achieved in accordance with the strict statistical requirements of the protocol. The Hazard Ratio (HR) v</w:t>
      </w:r>
      <w:r w:rsidR="00DA21EB">
        <w:t>ersus</w:t>
      </w:r>
      <w:r w:rsidRPr="00DA21EB">
        <w:t xml:space="preserve"> placebo for a first morbidity-mortality event during treatment with macitentan 10 mg was highly statistically significant at 0.547 (97.5% CLs 0.392, 0.762, log</w:t>
      </w:r>
      <w:r w:rsidR="00DA21EB">
        <w:t xml:space="preserve"> </w:t>
      </w:r>
      <w:r w:rsidRPr="00DA21EB">
        <w:t>rank p&lt;0.0001). The 45% risk reduction v</w:t>
      </w:r>
      <w:r w:rsidR="00DA21EB">
        <w:t>ersu</w:t>
      </w:r>
      <w:r w:rsidRPr="00DA21EB">
        <w:t xml:space="preserve">s placebo observed with macitentan 10 mg is highly clinically relevant. The absolute risk reduction corresponds to a low NNT of </w:t>
      </w:r>
      <w:r w:rsidR="00DA21EB">
        <w:t>six</w:t>
      </w:r>
      <w:r w:rsidRPr="00DA21EB">
        <w:t xml:space="preserve"> patients to prevent one event (95% CLs 4.48, 10.80) at </w:t>
      </w:r>
      <w:r w:rsidR="00DA21EB">
        <w:t>two</w:t>
      </w:r>
      <w:r w:rsidRPr="00DA21EB">
        <w:t xml:space="preserve"> years. The effect of macitentan 10 mg was consistent across patient subsets, including in patients with or without background PAH-specific therapy, as well as across WHO FC I/II and WHO FC III/IV subgroups. In all analyses, the effect of macitentan was established early and was sustained for the duration of the study. In the macitentan 10 mg group, 31.4% of patients experienced at least one primary endpoint </w:t>
      </w:r>
      <w:r w:rsidRPr="00DA21EB">
        <w:lastRenderedPageBreak/>
        <w:t>event, compared to 46.4% of patients in the placebo group. The most frequently first-reported event was a morbidity event. More placebo patients (39.6%) than macitentan 10</w:t>
      </w:r>
      <w:r w:rsidR="00100727">
        <w:t> </w:t>
      </w:r>
      <w:r w:rsidRPr="00DA21EB">
        <w:t>mg patients (24.8%) experienced a morbidity event. The proportion of patients with death as the first event was 6.6% in the macitentan 10 mg group, and 6.8% in the placebo group.</w:t>
      </w:r>
    </w:p>
    <w:p w:rsidR="002C1637" w:rsidRPr="0024585C" w:rsidRDefault="002C1637" w:rsidP="0069585B">
      <w:pPr>
        <w:pStyle w:val="Heading5"/>
      </w:pPr>
      <w:r w:rsidRPr="0024585C">
        <w:t xml:space="preserve">Landmark </w:t>
      </w:r>
      <w:r w:rsidR="0069585B">
        <w:t>a</w:t>
      </w:r>
      <w:r w:rsidRPr="0069585B">
        <w:t>nalyses</w:t>
      </w:r>
    </w:p>
    <w:p w:rsidR="002C1637" w:rsidRPr="00DA21EB" w:rsidRDefault="002C1637" w:rsidP="0069585B">
      <w:r w:rsidRPr="0024585C">
        <w:t>In order to gain further understanding regarding the clinical relevance/prognostic</w:t>
      </w:r>
      <w:r w:rsidRPr="00DA21EB">
        <w:t xml:space="preserve"> importance of experiencing a non-fatal primary endpoint event (essentially, </w:t>
      </w:r>
      <w:r w:rsidR="00DA21EB" w:rsidRPr="00DA21EB">
        <w:t>‘</w:t>
      </w:r>
      <w:r w:rsidRPr="00DA21EB">
        <w:t>oth</w:t>
      </w:r>
      <w:r w:rsidRPr="0024585C">
        <w:t>er</w:t>
      </w:r>
      <w:r w:rsidRPr="00DA21EB">
        <w:t xml:space="preserve"> worsening of PAH</w:t>
      </w:r>
      <w:r w:rsidR="00DA21EB">
        <w:t>’</w:t>
      </w:r>
      <w:r w:rsidRPr="00DA21EB">
        <w:t xml:space="preserve">) in SERAPHIN, so called landmark analyses were </w:t>
      </w:r>
      <w:r w:rsidRPr="0024585C">
        <w:t>conducted [Anderson 1983</w:t>
      </w:r>
      <w:r w:rsidR="0024585C" w:rsidRPr="0024585C">
        <w:rPr>
          <w:rStyle w:val="FootnoteReference"/>
        </w:rPr>
        <w:footnoteReference w:id="18"/>
      </w:r>
      <w:r w:rsidRPr="0024585C">
        <w:t>], looking</w:t>
      </w:r>
      <w:r w:rsidRPr="00DA21EB">
        <w:t xml:space="preserve"> at survival up to EOS (Kaplan-Meier estimates and Cox proportional hazards regression) for the populations of patients who had, or had not experienced an event prior to landmark time-points, and who were still alive at the respective time-point. Landmark time-points of </w:t>
      </w:r>
      <w:r w:rsidR="00DA21EB">
        <w:t>three</w:t>
      </w:r>
      <w:r w:rsidRPr="00DA21EB">
        <w:t xml:space="preserve"> months,</w:t>
      </w:r>
      <w:r w:rsidR="00DA21EB">
        <w:t xml:space="preserve"> six </w:t>
      </w:r>
      <w:r w:rsidRPr="00DA21EB">
        <w:t>months, and 12 months into the study were explored. A clear separation between survival curves for patients having or not having experienced an event was seen at all three time-points. The risk of death of all causes up to EOS was about 1.6 to 3.3 times higher in patients who had experienced a morbidity event up to the different landmark times, as compared to in patients who had not experienced an event [</w:t>
      </w:r>
      <w:r w:rsidR="00DA21EB">
        <w:t xml:space="preserve">Table </w:t>
      </w:r>
      <w:r w:rsidR="00DA4B61">
        <w:t>10</w:t>
      </w:r>
      <w:r w:rsidRPr="00DA21EB">
        <w:t>].</w:t>
      </w:r>
    </w:p>
    <w:p w:rsidR="00DA21EB" w:rsidRPr="00DA21EB" w:rsidRDefault="00DA21EB" w:rsidP="0069585B">
      <w:pPr>
        <w:pStyle w:val="TableTitle"/>
      </w:pPr>
      <w:bookmarkStart w:id="291" w:name="_Ref356748956"/>
      <w:bookmarkStart w:id="292" w:name="_Toc358310904"/>
      <w:bookmarkStart w:id="293" w:name="_Toc356752345"/>
      <w:bookmarkStart w:id="294" w:name="_Toc355790499"/>
      <w:bookmarkStart w:id="295" w:name="_Toc370809982"/>
      <w:r w:rsidRPr="00DA21EB">
        <w:t xml:space="preserve">Table </w:t>
      </w:r>
      <w:bookmarkEnd w:id="291"/>
      <w:r w:rsidR="00DA4B61">
        <w:t>10</w:t>
      </w:r>
      <w:r>
        <w:t xml:space="preserve">: </w:t>
      </w:r>
      <w:r w:rsidRPr="00DA21EB">
        <w:t>Landmark analyses: Hazard ratio for death of all causes up to EOS by non-fatal morbidity event prior to Month 3, Month 6 and Month 12, All</w:t>
      </w:r>
      <w:r w:rsidRPr="00DA21EB">
        <w:noBreakHyphen/>
        <w:t>randomised set</w:t>
      </w:r>
      <w:bookmarkEnd w:id="292"/>
      <w:bookmarkEnd w:id="293"/>
      <w:bookmarkEnd w:id="294"/>
      <w:bookmarkEnd w:id="295"/>
    </w:p>
    <w:tbl>
      <w:tblPr>
        <w:tblStyle w:val="TableTGAblue"/>
        <w:tblW w:w="8755" w:type="dxa"/>
        <w:tblLayout w:type="fixed"/>
        <w:tblLook w:val="00A0" w:firstRow="1" w:lastRow="0" w:firstColumn="1" w:lastColumn="0" w:noHBand="0" w:noVBand="0"/>
      </w:tblPr>
      <w:tblGrid>
        <w:gridCol w:w="4538"/>
        <w:gridCol w:w="934"/>
        <w:gridCol w:w="1656"/>
        <w:gridCol w:w="1627"/>
      </w:tblGrid>
      <w:tr w:rsidR="00DA21EB" w:rsidTr="0069585B">
        <w:trPr>
          <w:cnfStyle w:val="100000000000" w:firstRow="1" w:lastRow="0" w:firstColumn="0" w:lastColumn="0" w:oddVBand="0" w:evenVBand="0" w:oddHBand="0" w:evenHBand="0" w:firstRowFirstColumn="0" w:firstRowLastColumn="0" w:lastRowFirstColumn="0" w:lastRowLastColumn="0"/>
          <w:trHeight w:val="654"/>
        </w:trPr>
        <w:tc>
          <w:tcPr>
            <w:tcW w:w="4538" w:type="dxa"/>
            <w:hideMark/>
          </w:tcPr>
          <w:p w:rsidR="00DA21EB" w:rsidRDefault="00DA21EB" w:rsidP="0069585B">
            <w:pPr>
              <w:ind w:left="0" w:right="69"/>
              <w:rPr>
                <w:lang w:val="en-GB"/>
              </w:rPr>
            </w:pPr>
            <w:r>
              <w:rPr>
                <w:lang w:val="en-GB"/>
              </w:rPr>
              <w:t>Variable</w:t>
            </w:r>
          </w:p>
        </w:tc>
        <w:tc>
          <w:tcPr>
            <w:tcW w:w="934" w:type="dxa"/>
            <w:hideMark/>
          </w:tcPr>
          <w:p w:rsidR="00DA21EB" w:rsidRDefault="00DA21EB" w:rsidP="0069585B">
            <w:pPr>
              <w:ind w:left="0" w:right="11"/>
              <w:rPr>
                <w:lang w:val="en-GB"/>
              </w:rPr>
            </w:pPr>
            <w:r>
              <w:rPr>
                <w:lang w:val="en-GB"/>
              </w:rPr>
              <w:t>HR</w:t>
            </w:r>
          </w:p>
        </w:tc>
        <w:tc>
          <w:tcPr>
            <w:tcW w:w="1656" w:type="dxa"/>
            <w:hideMark/>
          </w:tcPr>
          <w:p w:rsidR="00DA21EB" w:rsidRDefault="00DA21EB" w:rsidP="0069585B">
            <w:pPr>
              <w:ind w:left="57" w:right="0"/>
              <w:rPr>
                <w:lang w:val="en-GB"/>
              </w:rPr>
            </w:pPr>
            <w:r>
              <w:rPr>
                <w:lang w:val="en-GB"/>
              </w:rPr>
              <w:t>HR 95% CL</w:t>
            </w:r>
          </w:p>
        </w:tc>
        <w:tc>
          <w:tcPr>
            <w:tcW w:w="1627" w:type="dxa"/>
            <w:hideMark/>
          </w:tcPr>
          <w:p w:rsidR="00DA21EB" w:rsidRDefault="00DA21EB" w:rsidP="0069585B">
            <w:pPr>
              <w:ind w:left="0" w:right="34"/>
              <w:rPr>
                <w:lang w:val="en-GB"/>
              </w:rPr>
            </w:pPr>
            <w:r>
              <w:rPr>
                <w:lang w:val="en-GB"/>
              </w:rPr>
              <w:t>Pr &gt; ChisSq</w:t>
            </w:r>
          </w:p>
        </w:tc>
      </w:tr>
      <w:tr w:rsidR="00DA21EB" w:rsidTr="0069585B">
        <w:tc>
          <w:tcPr>
            <w:tcW w:w="4538" w:type="dxa"/>
            <w:hideMark/>
          </w:tcPr>
          <w:p w:rsidR="00DA21EB" w:rsidRDefault="00DA21EB" w:rsidP="0069585B">
            <w:pPr>
              <w:ind w:left="0" w:right="69"/>
              <w:rPr>
                <w:lang w:val="en-GB"/>
              </w:rPr>
            </w:pPr>
            <w:r>
              <w:rPr>
                <w:lang w:val="en-GB"/>
              </w:rPr>
              <w:t>Non-Fatal Event up to Month 3 (Yes versus No)</w:t>
            </w:r>
          </w:p>
        </w:tc>
        <w:tc>
          <w:tcPr>
            <w:tcW w:w="934" w:type="dxa"/>
            <w:hideMark/>
          </w:tcPr>
          <w:p w:rsidR="00DA21EB" w:rsidRDefault="00DA21EB" w:rsidP="0069585B">
            <w:pPr>
              <w:ind w:left="0" w:right="11"/>
              <w:rPr>
                <w:lang w:val="en-GB"/>
              </w:rPr>
            </w:pPr>
            <w:r>
              <w:rPr>
                <w:lang w:val="en-GB"/>
              </w:rPr>
              <w:t>3.272</w:t>
            </w:r>
          </w:p>
        </w:tc>
        <w:tc>
          <w:tcPr>
            <w:tcW w:w="1656" w:type="dxa"/>
            <w:hideMark/>
          </w:tcPr>
          <w:p w:rsidR="00DA21EB" w:rsidRDefault="00DA21EB" w:rsidP="0069585B">
            <w:pPr>
              <w:ind w:left="57" w:right="0"/>
              <w:rPr>
                <w:lang w:val="en-GB"/>
              </w:rPr>
            </w:pPr>
            <w:r>
              <w:rPr>
                <w:lang w:val="en-GB"/>
              </w:rPr>
              <w:t>1.865 , 5.739</w:t>
            </w:r>
          </w:p>
        </w:tc>
        <w:tc>
          <w:tcPr>
            <w:tcW w:w="1627" w:type="dxa"/>
            <w:hideMark/>
          </w:tcPr>
          <w:p w:rsidR="00DA21EB" w:rsidRDefault="00DA21EB" w:rsidP="0069585B">
            <w:pPr>
              <w:ind w:left="0" w:right="34"/>
              <w:rPr>
                <w:lang w:val="en-GB"/>
              </w:rPr>
            </w:pPr>
            <w:r>
              <w:rPr>
                <w:lang w:val="en-GB"/>
              </w:rPr>
              <w:t>&lt; 0.0001</w:t>
            </w:r>
          </w:p>
        </w:tc>
      </w:tr>
      <w:tr w:rsidR="00DA21EB" w:rsidTr="0069585B">
        <w:tc>
          <w:tcPr>
            <w:tcW w:w="4538" w:type="dxa"/>
            <w:hideMark/>
          </w:tcPr>
          <w:p w:rsidR="00DA21EB" w:rsidRDefault="00DA21EB" w:rsidP="0069585B">
            <w:pPr>
              <w:ind w:left="0" w:right="69"/>
              <w:rPr>
                <w:lang w:val="en-GB"/>
              </w:rPr>
            </w:pPr>
            <w:r>
              <w:rPr>
                <w:lang w:val="en-GB"/>
              </w:rPr>
              <w:t>Non-Fatal Event up to Month 6 (Yes versus No)</w:t>
            </w:r>
          </w:p>
        </w:tc>
        <w:tc>
          <w:tcPr>
            <w:tcW w:w="934" w:type="dxa"/>
            <w:hideMark/>
          </w:tcPr>
          <w:p w:rsidR="00DA21EB" w:rsidRDefault="00DA21EB" w:rsidP="0069585B">
            <w:pPr>
              <w:ind w:left="0" w:right="11"/>
              <w:rPr>
                <w:lang w:val="en-GB"/>
              </w:rPr>
            </w:pPr>
            <w:r>
              <w:rPr>
                <w:lang w:val="en-GB"/>
              </w:rPr>
              <w:t>1.615</w:t>
            </w:r>
          </w:p>
        </w:tc>
        <w:tc>
          <w:tcPr>
            <w:tcW w:w="1656" w:type="dxa"/>
            <w:hideMark/>
          </w:tcPr>
          <w:p w:rsidR="00DA21EB" w:rsidRDefault="00DA21EB" w:rsidP="0069585B">
            <w:pPr>
              <w:ind w:left="57" w:right="0"/>
              <w:rPr>
                <w:lang w:val="en-GB"/>
              </w:rPr>
            </w:pPr>
            <w:r>
              <w:rPr>
                <w:lang w:val="en-GB"/>
              </w:rPr>
              <w:t>0.910 , 2.865</w:t>
            </w:r>
          </w:p>
        </w:tc>
        <w:tc>
          <w:tcPr>
            <w:tcW w:w="1627" w:type="dxa"/>
            <w:hideMark/>
          </w:tcPr>
          <w:p w:rsidR="00DA21EB" w:rsidRDefault="00DA21EB" w:rsidP="0069585B">
            <w:pPr>
              <w:ind w:left="0" w:right="34"/>
              <w:rPr>
                <w:lang w:val="en-GB"/>
              </w:rPr>
            </w:pPr>
            <w:r>
              <w:rPr>
                <w:lang w:val="en-GB"/>
              </w:rPr>
              <w:t>0.1014</w:t>
            </w:r>
          </w:p>
        </w:tc>
      </w:tr>
      <w:tr w:rsidR="00DA21EB" w:rsidTr="0069585B">
        <w:tc>
          <w:tcPr>
            <w:tcW w:w="4538" w:type="dxa"/>
            <w:hideMark/>
          </w:tcPr>
          <w:p w:rsidR="00DA21EB" w:rsidRDefault="00DA21EB" w:rsidP="0069585B">
            <w:pPr>
              <w:ind w:left="0" w:right="69"/>
              <w:rPr>
                <w:lang w:val="en-GB"/>
              </w:rPr>
            </w:pPr>
            <w:r>
              <w:rPr>
                <w:lang w:val="en-GB"/>
              </w:rPr>
              <w:t xml:space="preserve">Non-Fatal Event up to Month 12 (Yes versus No) </w:t>
            </w:r>
          </w:p>
        </w:tc>
        <w:tc>
          <w:tcPr>
            <w:tcW w:w="934" w:type="dxa"/>
            <w:hideMark/>
          </w:tcPr>
          <w:p w:rsidR="00DA21EB" w:rsidRDefault="00DA21EB" w:rsidP="0069585B">
            <w:pPr>
              <w:ind w:left="0" w:right="11"/>
              <w:rPr>
                <w:lang w:val="en-GB"/>
              </w:rPr>
            </w:pPr>
            <w:r>
              <w:rPr>
                <w:lang w:val="en-GB"/>
              </w:rPr>
              <w:t>1.821</w:t>
            </w:r>
          </w:p>
        </w:tc>
        <w:tc>
          <w:tcPr>
            <w:tcW w:w="1656" w:type="dxa"/>
            <w:hideMark/>
          </w:tcPr>
          <w:p w:rsidR="00DA21EB" w:rsidRDefault="00DA21EB" w:rsidP="0069585B">
            <w:pPr>
              <w:ind w:left="57" w:right="0"/>
              <w:rPr>
                <w:lang w:val="en-GB"/>
              </w:rPr>
            </w:pPr>
            <w:r>
              <w:rPr>
                <w:lang w:val="en-GB"/>
              </w:rPr>
              <w:t>1.085, 3.055</w:t>
            </w:r>
          </w:p>
        </w:tc>
        <w:tc>
          <w:tcPr>
            <w:tcW w:w="1627" w:type="dxa"/>
            <w:hideMark/>
          </w:tcPr>
          <w:p w:rsidR="00DA21EB" w:rsidRDefault="00DA21EB" w:rsidP="0069585B">
            <w:pPr>
              <w:ind w:left="0" w:right="34"/>
              <w:rPr>
                <w:lang w:val="en-GB"/>
              </w:rPr>
            </w:pPr>
            <w:r>
              <w:rPr>
                <w:lang w:val="en-GB"/>
              </w:rPr>
              <w:t>0.0232</w:t>
            </w:r>
          </w:p>
        </w:tc>
      </w:tr>
    </w:tbl>
    <w:p w:rsidR="00DA21EB" w:rsidRDefault="00DA21EB" w:rsidP="0069585B">
      <w:pPr>
        <w:pStyle w:val="TableDescription"/>
      </w:pPr>
      <w:proofErr w:type="gramStart"/>
      <w:r>
        <w:t xml:space="preserve">CL </w:t>
      </w:r>
      <w:r>
        <w:sym w:font="Symbol" w:char="F03D"/>
      </w:r>
      <w:r>
        <w:t xml:space="preserve"> confidence limit; HR </w:t>
      </w:r>
      <w:r>
        <w:sym w:font="Symbol" w:char="F03D"/>
      </w:r>
      <w:r>
        <w:t xml:space="preserve"> hazard ratio.</w:t>
      </w:r>
      <w:proofErr w:type="gramEnd"/>
    </w:p>
    <w:p w:rsidR="00DA21EB" w:rsidRDefault="00DA21EB" w:rsidP="0069585B">
      <w:pPr>
        <w:pStyle w:val="TableDescription"/>
      </w:pPr>
      <w:r>
        <w:t>Adjusted for baseline PAH therapy and baseline WHO FC</w:t>
      </w:r>
    </w:p>
    <w:p w:rsidR="0094362F" w:rsidRPr="00C35A00" w:rsidRDefault="0094362F" w:rsidP="0069585B">
      <w:pPr>
        <w:pStyle w:val="Heading5"/>
      </w:pPr>
      <w:r w:rsidRPr="00C35A00">
        <w:t>Time-</w:t>
      </w:r>
      <w:r w:rsidRPr="0069585B">
        <w:t>Varying</w:t>
      </w:r>
      <w:r w:rsidRPr="00C35A00">
        <w:t xml:space="preserve"> Covariates (TVC)</w:t>
      </w:r>
    </w:p>
    <w:p w:rsidR="0094362F" w:rsidRPr="0094362F" w:rsidRDefault="0094362F" w:rsidP="0069585B">
      <w:r w:rsidRPr="0094362F">
        <w:t xml:space="preserve">The hypothesis that avoiding/delaying morbidity events as defined in SERAPHIN is of high relevance for vital outcome was further verified with a TVC analysis. This approach further supports the Landmark Analyses since it is based on the entire population and utilises all the information on any subject during the course of the study. This method incorporates morbidity events during the study as a TVC, while accounting for treatment within the context of the Cox’s model for time to death up to EOS. The TVC results showed that the occurrence of a morbidity event, at any time during the SERAPHIN study, was strongly associated with the occurrence of death up to EOS (data on file: deviance=35; </w:t>
      </w:r>
      <w:proofErr w:type="gramStart"/>
      <w:r>
        <w:t>χ</w:t>
      </w:r>
      <w:r w:rsidRPr="0094362F">
        <w:rPr>
          <w:vertAlign w:val="superscript"/>
        </w:rPr>
        <w:t>2</w:t>
      </w:r>
      <w:r>
        <w:rPr>
          <w:vertAlign w:val="superscript"/>
        </w:rPr>
        <w:t>(</w:t>
      </w:r>
      <w:proofErr w:type="gramEnd"/>
      <w:r>
        <w:rPr>
          <w:vertAlign w:val="superscript"/>
        </w:rPr>
        <w:t>1)</w:t>
      </w:r>
      <w:r w:rsidR="0069585B">
        <w:t>, p-value &lt;0.0001).</w:t>
      </w:r>
    </w:p>
    <w:p w:rsidR="0094362F" w:rsidRPr="0094362F" w:rsidRDefault="0094362F" w:rsidP="0069585B">
      <w:r w:rsidRPr="0094362F">
        <w:t xml:space="preserve">These results jointly support a strong prognostic relevance of a morbidity event for death. This observation suggests that preventing morbidity events, as defined in the SERAPHIN protocol lead to a decrease in the risk of death and, thus, that these events strongly </w:t>
      </w:r>
      <w:r w:rsidR="0069585B">
        <w:t>denote PAH disease progression.</w:t>
      </w:r>
    </w:p>
    <w:p w:rsidR="00347BD2" w:rsidRDefault="00347BD2" w:rsidP="0069585B">
      <w:pPr>
        <w:pStyle w:val="Heading5"/>
      </w:pPr>
      <w:r>
        <w:lastRenderedPageBreak/>
        <w:t xml:space="preserve">Survival </w:t>
      </w:r>
      <w:r w:rsidRPr="0069585B">
        <w:t>analyses</w:t>
      </w:r>
    </w:p>
    <w:p w:rsidR="00347BD2" w:rsidRPr="00347BD2" w:rsidRDefault="00347BD2" w:rsidP="0069585B">
      <w:r w:rsidRPr="00347BD2">
        <w:t>The effect of macitentan 10 mg to reduce the risk of events of irreversible disease progression is also strongly supported by the consistent findings in survival analyses. In PAH, death is usually preceded by disease progression that can be identified as a morbidity event. A non-negligible number of deaths were not captured in the time to first event analysis because they were preceded by a primary morbidity event. As a consequence, the death component of the primary morbidity/mortality endpoint of SERAPHIN does not provide the complete or even the most important information needed to evaluate the survival benefit of macitentan in PAH. Instead, the assessment of the effect of macitentan on mortality needs to consider the entirety of the survival information collected in the study, as well as the consistency between different analyses.</w:t>
      </w:r>
    </w:p>
    <w:p w:rsidR="00347BD2" w:rsidRPr="009D50A3" w:rsidRDefault="00347BD2" w:rsidP="0069585B">
      <w:r w:rsidRPr="009D50A3">
        <w:t xml:space="preserve">Results of the mortality-related analyses of SERAPHIN are displayed in </w:t>
      </w:r>
      <w:r w:rsidR="009D50A3">
        <w:t>Table</w:t>
      </w:r>
      <w:r w:rsidR="00DA4B61">
        <w:t xml:space="preserve"> 11</w:t>
      </w:r>
      <w:r w:rsidRPr="009D50A3">
        <w:t>, and can b</w:t>
      </w:r>
      <w:r w:rsidR="0069585B">
        <w:t>e summarised as follows:</w:t>
      </w:r>
    </w:p>
    <w:p w:rsidR="00347BD2" w:rsidRPr="009D50A3" w:rsidRDefault="00347BD2" w:rsidP="0069585B">
      <w:pPr>
        <w:pStyle w:val="ListBullet"/>
      </w:pPr>
      <w:r w:rsidRPr="009D50A3">
        <w:t xml:space="preserve">Up to </w:t>
      </w:r>
      <w:proofErr w:type="gramStart"/>
      <w:r w:rsidRPr="009D50A3">
        <w:t>EOS,</w:t>
      </w:r>
      <w:proofErr w:type="gramEnd"/>
      <w:r w:rsidRPr="009D50A3">
        <w:t xml:space="preserve"> and despite the cross-over to macitentan 10 mg or alternative medication after a morbidity event (ITT analysis), the estimated risk reduction with macitentan 10 mg versus placebo was 23% for all-cause death.</w:t>
      </w:r>
    </w:p>
    <w:p w:rsidR="00347BD2" w:rsidRPr="009D50A3" w:rsidRDefault="00347BD2" w:rsidP="0069585B">
      <w:pPr>
        <w:pStyle w:val="ListBullet"/>
      </w:pPr>
      <w:r w:rsidRPr="009D50A3">
        <w:t>Up to EOT, the estimated risk reduction for death with macitentan 10 mg versus placebo was 36% for all-cause death</w:t>
      </w:r>
    </w:p>
    <w:p w:rsidR="009D50A3" w:rsidRPr="00A37990" w:rsidRDefault="009D50A3" w:rsidP="0069585B">
      <w:pPr>
        <w:pStyle w:val="TableTitle"/>
      </w:pPr>
      <w:bookmarkStart w:id="296" w:name="_Toc370809983"/>
      <w:r w:rsidRPr="00A37990">
        <w:t xml:space="preserve">Table </w:t>
      </w:r>
      <w:r w:rsidR="00DA4B61">
        <w:t>11</w:t>
      </w:r>
      <w:r>
        <w:t xml:space="preserve">: </w:t>
      </w:r>
      <w:r w:rsidRPr="00A37990">
        <w:t>Analyses on time to death up to EOS and up to EOT in SERAPHIN, All</w:t>
      </w:r>
      <w:r w:rsidRPr="00A37990">
        <w:noBreakHyphen/>
        <w:t>randomi</w:t>
      </w:r>
      <w:r w:rsidRPr="00FD6414">
        <w:rPr>
          <w:rFonts w:ascii="Calibri" w:hAnsi="Calibri"/>
        </w:rPr>
        <w:t>s</w:t>
      </w:r>
      <w:r w:rsidRPr="00A37990">
        <w:t>ed set</w:t>
      </w:r>
      <w:bookmarkEnd w:id="296"/>
    </w:p>
    <w:tbl>
      <w:tblPr>
        <w:tblStyle w:val="TableTGAblue"/>
        <w:tblW w:w="4614" w:type="pct"/>
        <w:tblLook w:val="04A0" w:firstRow="1" w:lastRow="0" w:firstColumn="1" w:lastColumn="0" w:noHBand="0" w:noVBand="1"/>
      </w:tblPr>
      <w:tblGrid>
        <w:gridCol w:w="2350"/>
        <w:gridCol w:w="1588"/>
        <w:gridCol w:w="1558"/>
        <w:gridCol w:w="2551"/>
      </w:tblGrid>
      <w:tr w:rsidR="009D50A3" w:rsidRPr="002A6B20" w:rsidTr="00DA4B61">
        <w:trPr>
          <w:cnfStyle w:val="100000000000" w:firstRow="1" w:lastRow="0" w:firstColumn="0" w:lastColumn="0" w:oddVBand="0" w:evenVBand="0" w:oddHBand="0" w:evenHBand="0" w:firstRowFirstColumn="0" w:firstRowLastColumn="0" w:lastRowFirstColumn="0" w:lastRowLastColumn="0"/>
        </w:trPr>
        <w:tc>
          <w:tcPr>
            <w:tcW w:w="1460" w:type="pct"/>
            <w:hideMark/>
          </w:tcPr>
          <w:p w:rsidR="009D50A3" w:rsidRPr="002A6B20" w:rsidRDefault="009D50A3" w:rsidP="007E7FDA">
            <w:pPr>
              <w:ind w:left="0" w:right="0"/>
            </w:pPr>
            <w:r w:rsidRPr="002A6B20">
              <w:t>Endpoint</w:t>
            </w:r>
          </w:p>
        </w:tc>
        <w:tc>
          <w:tcPr>
            <w:tcW w:w="987" w:type="pct"/>
            <w:hideMark/>
          </w:tcPr>
          <w:p w:rsidR="009D50A3" w:rsidRPr="002A6B20" w:rsidRDefault="009D50A3" w:rsidP="007E7FDA">
            <w:pPr>
              <w:ind w:left="0" w:right="36"/>
            </w:pPr>
            <w:r w:rsidRPr="002A6B20">
              <w:t>Period of assessment</w:t>
            </w:r>
          </w:p>
        </w:tc>
        <w:tc>
          <w:tcPr>
            <w:tcW w:w="968" w:type="pct"/>
            <w:hideMark/>
          </w:tcPr>
          <w:p w:rsidR="009D50A3" w:rsidRPr="002A6B20" w:rsidRDefault="009D50A3" w:rsidP="007E7FDA">
            <w:pPr>
              <w:ind w:left="31" w:right="0"/>
            </w:pPr>
            <w:r w:rsidRPr="002A6B20">
              <w:t>Placebo</w:t>
            </w:r>
            <w:r w:rsidRPr="002A6B20">
              <w:br/>
              <w:t>N = 250</w:t>
            </w:r>
          </w:p>
        </w:tc>
        <w:tc>
          <w:tcPr>
            <w:tcW w:w="1585" w:type="pct"/>
            <w:hideMark/>
          </w:tcPr>
          <w:p w:rsidR="009D50A3" w:rsidRPr="002A6B20" w:rsidRDefault="009D50A3" w:rsidP="007E7FDA">
            <w:pPr>
              <w:ind w:left="33" w:right="34"/>
            </w:pPr>
            <w:r w:rsidRPr="002A6B20">
              <w:t>Macitentan 10 mg</w:t>
            </w:r>
            <w:r w:rsidRPr="002A6B20">
              <w:br/>
              <w:t>N = 242</w:t>
            </w:r>
          </w:p>
        </w:tc>
      </w:tr>
      <w:tr w:rsidR="009D50A3" w:rsidRPr="002A6B20" w:rsidTr="00DA4B61">
        <w:trPr>
          <w:trHeight w:val="510"/>
        </w:trPr>
        <w:tc>
          <w:tcPr>
            <w:tcW w:w="1460" w:type="pct"/>
            <w:hideMark/>
          </w:tcPr>
          <w:p w:rsidR="009D50A3" w:rsidRPr="002A6B20" w:rsidRDefault="007E7FDA" w:rsidP="007E7FDA">
            <w:pPr>
              <w:ind w:left="0" w:right="0"/>
              <w:rPr>
                <w:b/>
              </w:rPr>
            </w:pPr>
            <w:r>
              <w:rPr>
                <w:b/>
              </w:rPr>
              <w:t>Death (all causes)</w:t>
            </w:r>
          </w:p>
        </w:tc>
        <w:tc>
          <w:tcPr>
            <w:tcW w:w="987" w:type="pct"/>
            <w:hideMark/>
          </w:tcPr>
          <w:p w:rsidR="009D50A3" w:rsidRPr="002A6B20" w:rsidRDefault="009D50A3" w:rsidP="007E7FDA">
            <w:pPr>
              <w:ind w:left="0" w:right="36"/>
              <w:rPr>
                <w:b/>
              </w:rPr>
            </w:pPr>
            <w:r w:rsidRPr="002A6B20">
              <w:rPr>
                <w:b/>
              </w:rPr>
              <w:t>up to EOS</w:t>
            </w:r>
          </w:p>
        </w:tc>
        <w:tc>
          <w:tcPr>
            <w:tcW w:w="968" w:type="pct"/>
            <w:hideMark/>
          </w:tcPr>
          <w:p w:rsidR="009D50A3" w:rsidRPr="002A6B20" w:rsidRDefault="009D50A3" w:rsidP="007E7FDA">
            <w:pPr>
              <w:ind w:left="31" w:right="0"/>
            </w:pPr>
            <w:r w:rsidRPr="002A6B20">
              <w:t>n = 44</w:t>
            </w:r>
          </w:p>
        </w:tc>
        <w:tc>
          <w:tcPr>
            <w:tcW w:w="1585" w:type="pct"/>
            <w:hideMark/>
          </w:tcPr>
          <w:p w:rsidR="009D50A3" w:rsidRPr="002A6B20" w:rsidRDefault="009D50A3" w:rsidP="007E7FDA">
            <w:pPr>
              <w:ind w:left="33" w:right="34"/>
            </w:pPr>
            <w:r w:rsidRPr="002A6B20">
              <w:t>n = 35</w:t>
            </w:r>
          </w:p>
        </w:tc>
      </w:tr>
      <w:tr w:rsidR="009D50A3" w:rsidRPr="002A6B20" w:rsidTr="00DA4B61">
        <w:tc>
          <w:tcPr>
            <w:tcW w:w="1460" w:type="pct"/>
            <w:hideMark/>
          </w:tcPr>
          <w:p w:rsidR="009D50A3" w:rsidRPr="002A6B20" w:rsidRDefault="007E7FDA" w:rsidP="007E7FDA">
            <w:pPr>
              <w:ind w:left="0" w:right="0"/>
            </w:pPr>
            <w:r>
              <w:t>HR (97.5% CLs),</w:t>
            </w:r>
          </w:p>
        </w:tc>
        <w:tc>
          <w:tcPr>
            <w:tcW w:w="987" w:type="pct"/>
          </w:tcPr>
          <w:p w:rsidR="009D50A3" w:rsidRPr="002A6B20" w:rsidRDefault="009D50A3" w:rsidP="007E7FDA">
            <w:pPr>
              <w:ind w:left="0" w:right="36"/>
            </w:pPr>
          </w:p>
        </w:tc>
        <w:tc>
          <w:tcPr>
            <w:tcW w:w="968" w:type="pct"/>
          </w:tcPr>
          <w:p w:rsidR="009D50A3" w:rsidRPr="002A6B20" w:rsidRDefault="009D50A3" w:rsidP="007E7FDA">
            <w:pPr>
              <w:ind w:left="31" w:right="0"/>
            </w:pPr>
          </w:p>
        </w:tc>
        <w:tc>
          <w:tcPr>
            <w:tcW w:w="1585" w:type="pct"/>
            <w:hideMark/>
          </w:tcPr>
          <w:p w:rsidR="009D50A3" w:rsidRPr="002A6B20" w:rsidRDefault="009D50A3" w:rsidP="007E7FDA">
            <w:pPr>
              <w:ind w:left="33" w:right="34"/>
            </w:pPr>
            <w:r w:rsidRPr="002A6B20">
              <w:t xml:space="preserve">0.771 (0.464, 1.282) </w:t>
            </w:r>
          </w:p>
        </w:tc>
      </w:tr>
      <w:tr w:rsidR="009D50A3" w:rsidRPr="002A6B20" w:rsidTr="00DA4B61">
        <w:tc>
          <w:tcPr>
            <w:tcW w:w="1460" w:type="pct"/>
            <w:hideMark/>
          </w:tcPr>
          <w:p w:rsidR="009D50A3" w:rsidRPr="002A6B20" w:rsidRDefault="009D50A3" w:rsidP="007E7FDA">
            <w:pPr>
              <w:ind w:left="0" w:right="0"/>
            </w:pPr>
            <w:r w:rsidRPr="002A6B20">
              <w:t>logrank p-value</w:t>
            </w:r>
          </w:p>
        </w:tc>
        <w:tc>
          <w:tcPr>
            <w:tcW w:w="987" w:type="pct"/>
          </w:tcPr>
          <w:p w:rsidR="009D50A3" w:rsidRPr="002A6B20" w:rsidRDefault="009D50A3" w:rsidP="007E7FDA">
            <w:pPr>
              <w:ind w:left="0" w:right="36"/>
            </w:pPr>
          </w:p>
        </w:tc>
        <w:tc>
          <w:tcPr>
            <w:tcW w:w="968" w:type="pct"/>
          </w:tcPr>
          <w:p w:rsidR="009D50A3" w:rsidRPr="002A6B20" w:rsidRDefault="009D50A3" w:rsidP="007E7FDA">
            <w:pPr>
              <w:ind w:left="31" w:right="0"/>
            </w:pPr>
          </w:p>
        </w:tc>
        <w:tc>
          <w:tcPr>
            <w:tcW w:w="1585" w:type="pct"/>
            <w:hideMark/>
          </w:tcPr>
          <w:p w:rsidR="009D50A3" w:rsidRPr="002A6B20" w:rsidRDefault="009D50A3" w:rsidP="007E7FDA">
            <w:pPr>
              <w:ind w:left="33" w:right="34"/>
            </w:pPr>
            <w:r w:rsidRPr="002A6B20">
              <w:t>p = 0.2509</w:t>
            </w:r>
          </w:p>
        </w:tc>
      </w:tr>
      <w:tr w:rsidR="009D50A3" w:rsidRPr="002A6B20" w:rsidTr="00DA4B61">
        <w:tc>
          <w:tcPr>
            <w:tcW w:w="1460" w:type="pct"/>
            <w:hideMark/>
          </w:tcPr>
          <w:p w:rsidR="009D50A3" w:rsidRPr="002A6B20" w:rsidRDefault="009D50A3" w:rsidP="007E7FDA">
            <w:pPr>
              <w:ind w:left="0" w:right="0"/>
            </w:pPr>
            <w:r w:rsidRPr="002A6B20">
              <w:t>Relative risk reduction</w:t>
            </w:r>
          </w:p>
        </w:tc>
        <w:tc>
          <w:tcPr>
            <w:tcW w:w="987" w:type="pct"/>
          </w:tcPr>
          <w:p w:rsidR="009D50A3" w:rsidRPr="002A6B20" w:rsidRDefault="009D50A3" w:rsidP="007E7FDA">
            <w:pPr>
              <w:ind w:left="0" w:right="36"/>
            </w:pPr>
          </w:p>
        </w:tc>
        <w:tc>
          <w:tcPr>
            <w:tcW w:w="968" w:type="pct"/>
          </w:tcPr>
          <w:p w:rsidR="009D50A3" w:rsidRPr="002A6B20" w:rsidRDefault="009D50A3" w:rsidP="007E7FDA">
            <w:pPr>
              <w:ind w:left="31" w:right="0"/>
            </w:pPr>
          </w:p>
        </w:tc>
        <w:tc>
          <w:tcPr>
            <w:tcW w:w="1585" w:type="pct"/>
            <w:hideMark/>
          </w:tcPr>
          <w:p w:rsidR="009D50A3" w:rsidRPr="002A6B20" w:rsidRDefault="009D50A3" w:rsidP="007E7FDA">
            <w:pPr>
              <w:ind w:left="33" w:right="34"/>
            </w:pPr>
            <w:r w:rsidRPr="002A6B20">
              <w:t>23%</w:t>
            </w:r>
          </w:p>
        </w:tc>
      </w:tr>
      <w:tr w:rsidR="009D50A3" w:rsidRPr="002A6B20" w:rsidTr="00DA4B61">
        <w:trPr>
          <w:trHeight w:val="510"/>
        </w:trPr>
        <w:tc>
          <w:tcPr>
            <w:tcW w:w="1460" w:type="pct"/>
            <w:hideMark/>
          </w:tcPr>
          <w:p w:rsidR="009D50A3" w:rsidRPr="002A6B20" w:rsidRDefault="007E7FDA" w:rsidP="007E7FDA">
            <w:pPr>
              <w:ind w:left="0" w:right="0"/>
            </w:pPr>
            <w:r>
              <w:rPr>
                <w:b/>
              </w:rPr>
              <w:t>Death (all causes)</w:t>
            </w:r>
          </w:p>
        </w:tc>
        <w:tc>
          <w:tcPr>
            <w:tcW w:w="987" w:type="pct"/>
            <w:hideMark/>
          </w:tcPr>
          <w:p w:rsidR="009D50A3" w:rsidRPr="002A6B20" w:rsidRDefault="009D50A3" w:rsidP="007E7FDA">
            <w:pPr>
              <w:ind w:left="0" w:right="36"/>
            </w:pPr>
            <w:r w:rsidRPr="002A6B20">
              <w:rPr>
                <w:b/>
              </w:rPr>
              <w:t>up to EOT</w:t>
            </w:r>
          </w:p>
        </w:tc>
        <w:tc>
          <w:tcPr>
            <w:tcW w:w="968" w:type="pct"/>
            <w:hideMark/>
          </w:tcPr>
          <w:p w:rsidR="009D50A3" w:rsidRPr="002A6B20" w:rsidRDefault="009D50A3" w:rsidP="007E7FDA">
            <w:pPr>
              <w:ind w:left="31" w:right="0"/>
            </w:pPr>
            <w:r w:rsidRPr="002A6B20">
              <w:t>n = 19</w:t>
            </w:r>
          </w:p>
        </w:tc>
        <w:tc>
          <w:tcPr>
            <w:tcW w:w="1585" w:type="pct"/>
            <w:hideMark/>
          </w:tcPr>
          <w:p w:rsidR="009D50A3" w:rsidRPr="002A6B20" w:rsidRDefault="009D50A3" w:rsidP="007E7FDA">
            <w:pPr>
              <w:ind w:left="33" w:right="34"/>
            </w:pPr>
            <w:r w:rsidRPr="002A6B20">
              <w:t>n = 14</w:t>
            </w:r>
          </w:p>
        </w:tc>
      </w:tr>
      <w:tr w:rsidR="009D50A3" w:rsidRPr="002A6B20" w:rsidTr="00DA4B61">
        <w:tc>
          <w:tcPr>
            <w:tcW w:w="1460" w:type="pct"/>
            <w:hideMark/>
          </w:tcPr>
          <w:p w:rsidR="009D50A3" w:rsidRPr="002A6B20" w:rsidRDefault="007E7FDA" w:rsidP="007E7FDA">
            <w:pPr>
              <w:ind w:left="0" w:right="0"/>
            </w:pPr>
            <w:r>
              <w:t>HR (97.5% CLs),</w:t>
            </w:r>
          </w:p>
        </w:tc>
        <w:tc>
          <w:tcPr>
            <w:tcW w:w="987" w:type="pct"/>
          </w:tcPr>
          <w:p w:rsidR="009D50A3" w:rsidRPr="002A6B20" w:rsidRDefault="009D50A3" w:rsidP="007E7FDA">
            <w:pPr>
              <w:ind w:left="0" w:right="36"/>
            </w:pPr>
          </w:p>
        </w:tc>
        <w:tc>
          <w:tcPr>
            <w:tcW w:w="968" w:type="pct"/>
          </w:tcPr>
          <w:p w:rsidR="009D50A3" w:rsidRPr="002A6B20" w:rsidRDefault="009D50A3" w:rsidP="007E7FDA">
            <w:pPr>
              <w:ind w:left="31" w:right="0"/>
            </w:pPr>
          </w:p>
        </w:tc>
        <w:tc>
          <w:tcPr>
            <w:tcW w:w="1585" w:type="pct"/>
            <w:hideMark/>
          </w:tcPr>
          <w:p w:rsidR="009D50A3" w:rsidRPr="002A6B20" w:rsidRDefault="009D50A3" w:rsidP="007E7FDA">
            <w:pPr>
              <w:ind w:left="33" w:right="34"/>
            </w:pPr>
            <w:r w:rsidRPr="002A6B20">
              <w:t>0.638 (0.287, 1.418)</w:t>
            </w:r>
          </w:p>
        </w:tc>
      </w:tr>
      <w:tr w:rsidR="009D50A3" w:rsidRPr="002A6B20" w:rsidTr="00DA4B61">
        <w:tc>
          <w:tcPr>
            <w:tcW w:w="1460" w:type="pct"/>
            <w:hideMark/>
          </w:tcPr>
          <w:p w:rsidR="009D50A3" w:rsidRPr="002A6B20" w:rsidRDefault="009D50A3" w:rsidP="007E7FDA">
            <w:pPr>
              <w:ind w:left="0" w:right="0"/>
            </w:pPr>
            <w:r w:rsidRPr="002A6B20">
              <w:t>logrank p-value</w:t>
            </w:r>
          </w:p>
        </w:tc>
        <w:tc>
          <w:tcPr>
            <w:tcW w:w="987" w:type="pct"/>
          </w:tcPr>
          <w:p w:rsidR="009D50A3" w:rsidRPr="002A6B20" w:rsidRDefault="009D50A3" w:rsidP="007E7FDA">
            <w:pPr>
              <w:ind w:left="0" w:right="36"/>
            </w:pPr>
          </w:p>
        </w:tc>
        <w:tc>
          <w:tcPr>
            <w:tcW w:w="968" w:type="pct"/>
          </w:tcPr>
          <w:p w:rsidR="009D50A3" w:rsidRPr="002A6B20" w:rsidRDefault="009D50A3" w:rsidP="007E7FDA">
            <w:pPr>
              <w:ind w:left="31" w:right="0"/>
            </w:pPr>
          </w:p>
        </w:tc>
        <w:tc>
          <w:tcPr>
            <w:tcW w:w="1585" w:type="pct"/>
            <w:hideMark/>
          </w:tcPr>
          <w:p w:rsidR="009D50A3" w:rsidRPr="002A6B20" w:rsidRDefault="009D50A3" w:rsidP="007E7FDA">
            <w:pPr>
              <w:ind w:left="33" w:right="34"/>
            </w:pPr>
            <w:r w:rsidRPr="002A6B20">
              <w:t>p = 0.2037</w:t>
            </w:r>
          </w:p>
        </w:tc>
      </w:tr>
      <w:tr w:rsidR="009D50A3" w:rsidRPr="002A6B20" w:rsidTr="00DA4B61">
        <w:tc>
          <w:tcPr>
            <w:tcW w:w="1460" w:type="pct"/>
            <w:hideMark/>
          </w:tcPr>
          <w:p w:rsidR="009D50A3" w:rsidRPr="002A6B20" w:rsidRDefault="009D50A3" w:rsidP="007E7FDA">
            <w:pPr>
              <w:ind w:left="0" w:right="0"/>
            </w:pPr>
            <w:r w:rsidRPr="002A6B20">
              <w:t>Relative risk reduction</w:t>
            </w:r>
          </w:p>
        </w:tc>
        <w:tc>
          <w:tcPr>
            <w:tcW w:w="987" w:type="pct"/>
          </w:tcPr>
          <w:p w:rsidR="009D50A3" w:rsidRPr="002A6B20" w:rsidRDefault="009D50A3" w:rsidP="007E7FDA">
            <w:pPr>
              <w:ind w:left="0" w:right="36"/>
            </w:pPr>
          </w:p>
        </w:tc>
        <w:tc>
          <w:tcPr>
            <w:tcW w:w="968" w:type="pct"/>
          </w:tcPr>
          <w:p w:rsidR="009D50A3" w:rsidRPr="002A6B20" w:rsidRDefault="009D50A3" w:rsidP="007E7FDA">
            <w:pPr>
              <w:ind w:left="31" w:right="0"/>
            </w:pPr>
          </w:p>
        </w:tc>
        <w:tc>
          <w:tcPr>
            <w:tcW w:w="1585" w:type="pct"/>
            <w:hideMark/>
          </w:tcPr>
          <w:p w:rsidR="009D50A3" w:rsidRPr="002A6B20" w:rsidRDefault="009D50A3" w:rsidP="007E7FDA">
            <w:pPr>
              <w:ind w:left="33" w:right="34"/>
            </w:pPr>
            <w:r w:rsidRPr="002A6B20">
              <w:t>36%</w:t>
            </w:r>
          </w:p>
        </w:tc>
      </w:tr>
    </w:tbl>
    <w:p w:rsidR="009D50A3" w:rsidRDefault="009D50A3" w:rsidP="007E7FDA">
      <w:pPr>
        <w:pStyle w:val="TableDescription"/>
      </w:pPr>
      <w:r>
        <w:t xml:space="preserve">Source: </w:t>
      </w:r>
      <w:r w:rsidRPr="00260850">
        <w:t>D 12.425.</w:t>
      </w:r>
      <w:r>
        <w:t xml:space="preserve"> </w:t>
      </w:r>
      <w:r w:rsidRPr="002A6B20">
        <w:t xml:space="preserve">CL = confidence limit; EOS = end of study; EOT = end of treatment; HR </w:t>
      </w:r>
      <w:r w:rsidRPr="002A6B20">
        <w:sym w:font="Symbol" w:char="F03D"/>
      </w:r>
      <w:r w:rsidRPr="002A6B20">
        <w:t xml:space="preserve"> hazard ratio; PAH = pulmonary arterial hypertension.</w:t>
      </w:r>
    </w:p>
    <w:p w:rsidR="009D50A3" w:rsidRPr="007E7FDA" w:rsidRDefault="009D50A3" w:rsidP="007E7FDA">
      <w:pPr>
        <w:pStyle w:val="Heading5"/>
      </w:pPr>
      <w:r w:rsidRPr="00C35A00">
        <w:t>Hospi</w:t>
      </w:r>
      <w:r>
        <w:t>t</w:t>
      </w:r>
      <w:r w:rsidRPr="00C35A00">
        <w:t>alisation</w:t>
      </w:r>
    </w:p>
    <w:p w:rsidR="009D50A3" w:rsidRPr="009D50A3" w:rsidRDefault="00451E17" w:rsidP="007E7FDA">
      <w:r>
        <w:t>H</w:t>
      </w:r>
      <w:r w:rsidRPr="009D50A3">
        <w:t>ospitalisation accounted for most of the event</w:t>
      </w:r>
      <w:r>
        <w:t>s</w:t>
      </w:r>
      <w:r w:rsidRPr="009D50A3">
        <w:t xml:space="preserve"> </w:t>
      </w:r>
      <w:r>
        <w:t>i</w:t>
      </w:r>
      <w:r w:rsidRPr="009D50A3">
        <w:t xml:space="preserve">n </w:t>
      </w:r>
      <w:r w:rsidR="009D50A3" w:rsidRPr="009D50A3">
        <w:t>the critical composite secondary endpoint of death due to PAH or hospitalisation for PAH up to EOT</w:t>
      </w:r>
      <w:r w:rsidR="00100727">
        <w:t xml:space="preserve">. The hazard ratio with the 10 </w:t>
      </w:r>
      <w:r w:rsidR="009D50A3" w:rsidRPr="009D50A3">
        <w:t>mg dose of macitentan versus placebo was 0.50 (97.5% CI, 0.34 to 0.75; log</w:t>
      </w:r>
      <w:r w:rsidR="009D50A3">
        <w:t xml:space="preserve"> </w:t>
      </w:r>
      <w:r w:rsidR="009D50A3" w:rsidRPr="009D50A3">
        <w:t>rank</w:t>
      </w:r>
      <w:r w:rsidR="009D50A3">
        <w:t xml:space="preserve"> </w:t>
      </w:r>
      <w:r w:rsidR="009D50A3" w:rsidRPr="009D50A3">
        <w:t>p&lt;0.001). The mean number of hospitalisation days per year (all causes) was 5.7 days in the macitentan 10 mg group compared to 12.2 days in the placebo group. The mean number of PAH-related days of hospitalisation per year was 3.8 days in the macitentan 10</w:t>
      </w:r>
      <w:r w:rsidR="00100727">
        <w:t> </w:t>
      </w:r>
      <w:r w:rsidR="009D50A3" w:rsidRPr="009D50A3">
        <w:t xml:space="preserve">mg group and 8.3 days in the placebo group. Macitentan decreased the PAH-related </w:t>
      </w:r>
      <w:r w:rsidR="009D50A3" w:rsidRPr="009D50A3">
        <w:lastRenderedPageBreak/>
        <w:t>hospitalisations by more than half. Hospitalisation is an important consequence of PAH progression and disease-related complications. A sustained treatment effect on this parameter has not been demonstrated with other PAH medicines.</w:t>
      </w:r>
    </w:p>
    <w:p w:rsidR="009D50A3" w:rsidRPr="007E7FDA" w:rsidRDefault="009D50A3" w:rsidP="007E7FDA">
      <w:pPr>
        <w:pStyle w:val="Heading4"/>
      </w:pPr>
      <w:r>
        <w:t>Summary</w:t>
      </w:r>
    </w:p>
    <w:p w:rsidR="009D50A3" w:rsidRPr="009D50A3" w:rsidRDefault="009D50A3" w:rsidP="007E7FDA">
      <w:r w:rsidRPr="009D50A3">
        <w:t>The efficacy of macitentan has been comprehensively documented in a broad population of symptomatic PAH patients, both in monotherapy and in combination with other PAH-specific treatment. With the large and long-term SERAPHIN study it has been robustly and credibly shown for the first time that a PAH therapy, macitentan 10 mg, is effective in reducing the risk of irreversible disease progression and its complications in these patients while also providing symptomatic and functional benefit to patients. The proposed therapeutic indication is well supported by the data provided and the sponsor is of the opinion that the objectives of therapy achieved with macitentan should be included in the therapeutic indication as has been done with previously approved PAH therapies in Australia. The revised indication wording is in accordance with that approved by the US FDA.</w:t>
      </w:r>
    </w:p>
    <w:p w:rsidR="008E7846" w:rsidRDefault="008E7846" w:rsidP="007E7FDA">
      <w:pPr>
        <w:pStyle w:val="Heading4"/>
      </w:pPr>
      <w:r>
        <w:t xml:space="preserve">Advisory </w:t>
      </w:r>
      <w:r w:rsidR="007E7FDA">
        <w:t>c</w:t>
      </w:r>
      <w:r>
        <w:t xml:space="preserve">ommittee </w:t>
      </w:r>
      <w:r w:rsidR="007E7FDA">
        <w:t>c</w:t>
      </w:r>
      <w:r w:rsidRPr="007E7FDA">
        <w:t>onsiderations</w:t>
      </w:r>
    </w:p>
    <w:p w:rsidR="008E7846" w:rsidRDefault="008E7846" w:rsidP="007E7FDA">
      <w:r>
        <w:t>The Advisory Committee on Prescription Medicines (</w:t>
      </w:r>
      <w:r w:rsidRPr="001C5DFC">
        <w:t>AC</w:t>
      </w:r>
      <w:r>
        <w:t>PM), having considered the evaluations and the Delegate’s overview,</w:t>
      </w:r>
      <w:r w:rsidRPr="001C5DFC">
        <w:t xml:space="preserve"> </w:t>
      </w:r>
      <w:r>
        <w:t>as well as the sponsor’s response to these documents, advised the following:</w:t>
      </w:r>
    </w:p>
    <w:p w:rsidR="00B268B7" w:rsidRPr="004F26D7" w:rsidRDefault="00B268B7" w:rsidP="007E7FDA">
      <w:pPr>
        <w:rPr>
          <w:b/>
        </w:rPr>
      </w:pPr>
      <w:r w:rsidRPr="004F26D7">
        <w:t xml:space="preserve">The ACPM, taking into account the submitted evidence of efficacy, safety and quality, agreed with the delegate and considered </w:t>
      </w:r>
      <w:r w:rsidRPr="004F26D7">
        <w:rPr>
          <w:bCs/>
        </w:rPr>
        <w:t>O</w:t>
      </w:r>
      <w:r w:rsidR="00DA4B61">
        <w:rPr>
          <w:bCs/>
        </w:rPr>
        <w:t>psumit</w:t>
      </w:r>
      <w:r w:rsidRPr="004F26D7">
        <w:t xml:space="preserve"> </w:t>
      </w:r>
      <w:r w:rsidRPr="004F26D7">
        <w:rPr>
          <w:bCs/>
        </w:rPr>
        <w:t>film coated tablet containing 10 mg of macitentan</w:t>
      </w:r>
      <w:r w:rsidRPr="004F26D7">
        <w:rPr>
          <w:b/>
          <w:bCs/>
        </w:rPr>
        <w:t xml:space="preserve"> </w:t>
      </w:r>
      <w:r w:rsidRPr="004F26D7">
        <w:t>to have an overall positive benefit–risk profile for the delegate’s amended indication</w:t>
      </w:r>
      <w:r w:rsidRPr="007E7FDA">
        <w:t xml:space="preserve">; </w:t>
      </w:r>
    </w:p>
    <w:p w:rsidR="00B268B7" w:rsidRPr="007E7FDA" w:rsidRDefault="00B268B7" w:rsidP="007E7FDA">
      <w:pPr>
        <w:ind w:left="720"/>
        <w:rPr>
          <w:i/>
        </w:rPr>
      </w:pPr>
      <w:r w:rsidRPr="007E7FDA">
        <w:rPr>
          <w:i/>
        </w:rPr>
        <w:t>Opsumit, as monotherapy or in combination with approved PAH treatments (phosphodiesterase-5 inhibitors or inhaled prostanoids), is indicated for the treatment of:</w:t>
      </w:r>
    </w:p>
    <w:p w:rsidR="00B268B7" w:rsidRPr="007E7FDA" w:rsidRDefault="00B268B7" w:rsidP="007E7FDA">
      <w:pPr>
        <w:pStyle w:val="ListBullet"/>
        <w:rPr>
          <w:i/>
        </w:rPr>
      </w:pPr>
      <w:r w:rsidRPr="007E7FDA">
        <w:rPr>
          <w:i/>
        </w:rPr>
        <w:t xml:space="preserve">idiopathic </w:t>
      </w:r>
      <w:r w:rsidR="007E7FDA">
        <w:rPr>
          <w:i/>
        </w:rPr>
        <w:t>pulmonary arterial hypertension</w:t>
      </w:r>
    </w:p>
    <w:p w:rsidR="00B268B7" w:rsidRPr="007E7FDA" w:rsidRDefault="00B268B7" w:rsidP="007E7FDA">
      <w:pPr>
        <w:pStyle w:val="ListBullet"/>
        <w:rPr>
          <w:i/>
        </w:rPr>
      </w:pPr>
      <w:r w:rsidRPr="007E7FDA">
        <w:rPr>
          <w:i/>
        </w:rPr>
        <w:t xml:space="preserve">heritable </w:t>
      </w:r>
      <w:r w:rsidR="007E7FDA">
        <w:rPr>
          <w:i/>
        </w:rPr>
        <w:t>pulmonary arterial hypertension</w:t>
      </w:r>
    </w:p>
    <w:p w:rsidR="00B268B7" w:rsidRPr="007E7FDA" w:rsidRDefault="00B268B7" w:rsidP="007E7FDA">
      <w:pPr>
        <w:pStyle w:val="ListBullet"/>
        <w:rPr>
          <w:i/>
        </w:rPr>
      </w:pPr>
      <w:r w:rsidRPr="007E7FDA">
        <w:rPr>
          <w:i/>
        </w:rPr>
        <w:t>pulmonary arterial hypertension associated with connective tissue disorders or</w:t>
      </w:r>
    </w:p>
    <w:p w:rsidR="00B268B7" w:rsidRPr="007E7FDA" w:rsidRDefault="00B268B7" w:rsidP="007E7FDA">
      <w:pPr>
        <w:pStyle w:val="ListBullet"/>
        <w:rPr>
          <w:i/>
        </w:rPr>
      </w:pPr>
      <w:r w:rsidRPr="007E7FDA">
        <w:rPr>
          <w:i/>
        </w:rPr>
        <w:t>pulmonary arterial hypertension associated with congenital heart disease with repaired sh</w:t>
      </w:r>
      <w:r w:rsidR="0007068D" w:rsidRPr="007E7FDA">
        <w:rPr>
          <w:i/>
        </w:rPr>
        <w:t>unts in patients with WHO F</w:t>
      </w:r>
      <w:r w:rsidRPr="007E7FDA">
        <w:rPr>
          <w:i/>
        </w:rPr>
        <w:t>unctional Class II, III or IV symptoms</w:t>
      </w:r>
    </w:p>
    <w:p w:rsidR="00B268B7" w:rsidRPr="00B268B7" w:rsidRDefault="00B268B7" w:rsidP="007E7FDA">
      <w:pPr>
        <w:pStyle w:val="Heading4"/>
      </w:pPr>
      <w:r w:rsidRPr="00B268B7">
        <w:t xml:space="preserve">Specific </w:t>
      </w:r>
      <w:r w:rsidR="007E7FDA">
        <w:t>a</w:t>
      </w:r>
      <w:r w:rsidRPr="00B268B7">
        <w:t>dvice:</w:t>
      </w:r>
    </w:p>
    <w:p w:rsidR="00B268B7" w:rsidRPr="00B268B7" w:rsidRDefault="00B268B7" w:rsidP="008D0F86">
      <w:r w:rsidRPr="00B268B7">
        <w:t>The ACPM provided the following specifically requested advice:</w:t>
      </w:r>
    </w:p>
    <w:p w:rsidR="00B268B7" w:rsidRPr="00B268B7" w:rsidRDefault="00B268B7" w:rsidP="008D0F86">
      <w:pPr>
        <w:pStyle w:val="Numberbullet0"/>
        <w:numPr>
          <w:ilvl w:val="0"/>
          <w:numId w:val="31"/>
        </w:numPr>
      </w:pPr>
      <w:r w:rsidRPr="008D0F86">
        <w:t>Whether</w:t>
      </w:r>
      <w:r w:rsidRPr="00B268B7">
        <w:t xml:space="preserve"> the data/justifications are sufficient to support registration for only specific subgroups of WHO Group 1 and whether it should include PAH associated with drugs, toxins and HIV; noting the change in classification system?</w:t>
      </w:r>
    </w:p>
    <w:p w:rsidR="00B268B7" w:rsidRPr="00B268B7" w:rsidRDefault="00B268B7" w:rsidP="008D0F86">
      <w:r w:rsidRPr="00B268B7">
        <w:t>Macitentan is a new endothelin A and B receptor antagonist. In a randomised controlled trial the effects are clinically meaningful, although the mortality data was not significant. The safety profile of the medication is well recognised with this class of medication and there were no new safety issues identified in the pivotal efficacy study but longer term data needs to be collected.</w:t>
      </w:r>
    </w:p>
    <w:p w:rsidR="00B268B7" w:rsidRPr="00B268B7" w:rsidRDefault="00B268B7" w:rsidP="008D0F86">
      <w:r w:rsidRPr="00B268B7">
        <w:t>Extension to patients with portal hypertension and persistent PHPT of the newborn, which are classed in Group 1, may have different pathophysiology and require further data for inclusion.</w:t>
      </w:r>
    </w:p>
    <w:p w:rsidR="00B268B7" w:rsidRPr="00B268B7" w:rsidRDefault="00B268B7" w:rsidP="008D0F86">
      <w:r w:rsidRPr="00B268B7">
        <w:lastRenderedPageBreak/>
        <w:t>Therefore the committee advises that the indication should only include those subgroups of WHO Group 1 for which sufficient data have been provided. The indication proposed by the delegate</w:t>
      </w:r>
      <w:r w:rsidR="00284210">
        <w:t xml:space="preserve"> that</w:t>
      </w:r>
      <w:r w:rsidRPr="00B268B7">
        <w:t xml:space="preserve"> was consistent with other </w:t>
      </w:r>
      <w:r w:rsidR="00F55ED2">
        <w:t>ERA</w:t>
      </w:r>
      <w:r w:rsidRPr="00B268B7">
        <w:t>s is acceptable.</w:t>
      </w:r>
    </w:p>
    <w:p w:rsidR="00B268B7" w:rsidRPr="00B268B7" w:rsidRDefault="00B268B7" w:rsidP="008D0F86">
      <w:pPr>
        <w:pStyle w:val="Numberbullet0"/>
      </w:pPr>
      <w:r w:rsidRPr="00B268B7">
        <w:t xml:space="preserve">Whether the data/justifications are sufficient to support </w:t>
      </w:r>
      <w:r w:rsidRPr="008D0F86">
        <w:t>WHO</w:t>
      </w:r>
      <w:r w:rsidRPr="00B268B7">
        <w:t xml:space="preserve"> F</w:t>
      </w:r>
      <w:r w:rsidR="0007068D">
        <w:t>C</w:t>
      </w:r>
      <w:r w:rsidRPr="00B268B7">
        <w:t xml:space="preserve"> II-IV or only </w:t>
      </w:r>
      <w:r w:rsidR="0007068D">
        <w:t>FC</w:t>
      </w:r>
      <w:r w:rsidRPr="00B268B7">
        <w:t xml:space="preserve"> II-III?</w:t>
      </w:r>
    </w:p>
    <w:p w:rsidR="00B268B7" w:rsidRPr="00B268B7" w:rsidRDefault="00B268B7" w:rsidP="008D0F86">
      <w:r w:rsidRPr="00B268B7">
        <w:t xml:space="preserve">The ACPM advised the inclusion of the </w:t>
      </w:r>
      <w:r w:rsidR="0007068D">
        <w:t>FC</w:t>
      </w:r>
      <w:r w:rsidRPr="00B268B7">
        <w:t xml:space="preserve"> IV group was acceptable. Although there are not many patients with severe disease in the studies, this is not surprising. The limited data suggest the sicker the patients were the greater benefit. These patients will be monitored by experienced clinicians in PAH prescribing centr</w:t>
      </w:r>
      <w:r>
        <w:t>e</w:t>
      </w:r>
      <w:r w:rsidRPr="00B268B7">
        <w:t>s and the use of macitentan in this group should be left up to the discretion of the treating clinician.</w:t>
      </w:r>
    </w:p>
    <w:p w:rsidR="00B268B7" w:rsidRPr="00B268B7" w:rsidRDefault="00B268B7" w:rsidP="008D0F86">
      <w:pPr>
        <w:pStyle w:val="Numberbullet0"/>
      </w:pPr>
      <w:r w:rsidRPr="00B268B7">
        <w:t xml:space="preserve">Whether the wording of the indications should be </w:t>
      </w:r>
      <w:r w:rsidRPr="008D0F86">
        <w:t>simplified</w:t>
      </w:r>
      <w:r w:rsidRPr="00B268B7">
        <w:t xml:space="preserve"> in relation to endpoint claims and disease progression definition and place this information in the Clinical Trials section of the PI instead.</w:t>
      </w:r>
    </w:p>
    <w:p w:rsidR="00B268B7" w:rsidRPr="00B268B7" w:rsidRDefault="00B268B7" w:rsidP="008D0F86">
      <w:r w:rsidRPr="00B268B7">
        <w:t>The ACPM;</w:t>
      </w:r>
    </w:p>
    <w:p w:rsidR="00B268B7" w:rsidRPr="00B268B7" w:rsidRDefault="00B268B7" w:rsidP="008D0F86">
      <w:pPr>
        <w:pStyle w:val="ListBullet"/>
      </w:pPr>
      <w:r w:rsidRPr="00B268B7">
        <w:t xml:space="preserve">advised it would add clarity to separate idiopathic and </w:t>
      </w:r>
      <w:r w:rsidRPr="008D0F86">
        <w:t>heritable</w:t>
      </w:r>
      <w:r w:rsidRPr="00B268B7">
        <w:t xml:space="preserve"> PAH</w:t>
      </w:r>
    </w:p>
    <w:p w:rsidR="00B268B7" w:rsidRPr="00B268B7" w:rsidRDefault="00B268B7" w:rsidP="008D0F86">
      <w:pPr>
        <w:pStyle w:val="ListBullet"/>
      </w:pPr>
      <w:r w:rsidRPr="00B268B7">
        <w:t xml:space="preserve">agree with </w:t>
      </w:r>
      <w:r w:rsidR="00DA4B61">
        <w:t>D</w:t>
      </w:r>
      <w:r w:rsidRPr="00B268B7">
        <w:t>elegate on the indication being in keep</w:t>
      </w:r>
      <w:r w:rsidR="008D0F86">
        <w:t>ing with current bosentan entry</w:t>
      </w:r>
    </w:p>
    <w:p w:rsidR="00B268B7" w:rsidRPr="00B268B7" w:rsidRDefault="00B268B7" w:rsidP="008D0F86">
      <w:pPr>
        <w:pStyle w:val="ListBullet"/>
      </w:pPr>
      <w:r w:rsidRPr="00B268B7">
        <w:t xml:space="preserve">agree with removal of claim re effect on morbidity and mortality from indication </w:t>
      </w:r>
      <w:r w:rsidRPr="008D0F86">
        <w:t>and</w:t>
      </w:r>
      <w:r w:rsidRPr="00B268B7">
        <w:t xml:space="preserve"> inclusion of the percentage of each class of PAH enrolled and outcome measures descriptors to be placed i</w:t>
      </w:r>
      <w:r w:rsidR="008D0F86">
        <w:t>n Clinical Trials section of PI</w:t>
      </w:r>
    </w:p>
    <w:p w:rsidR="00B268B7" w:rsidRPr="00B268B7" w:rsidRDefault="00284210" w:rsidP="008D0F86">
      <w:pPr>
        <w:pStyle w:val="ListBullet"/>
      </w:pPr>
      <w:proofErr w:type="gramStart"/>
      <w:r>
        <w:t>it</w:t>
      </w:r>
      <w:proofErr w:type="gramEnd"/>
      <w:r>
        <w:t xml:space="preserve"> </w:t>
      </w:r>
      <w:r w:rsidR="00B268B7" w:rsidRPr="00B268B7">
        <w:t xml:space="preserve">would accept </w:t>
      </w:r>
      <w:r>
        <w:t xml:space="preserve">the </w:t>
      </w:r>
      <w:r w:rsidR="00B268B7" w:rsidRPr="00B268B7">
        <w:t xml:space="preserve">addition of the expression </w:t>
      </w:r>
      <w:r w:rsidR="00DA4B61">
        <w:t>‘</w:t>
      </w:r>
      <w:r w:rsidR="00B268B7" w:rsidRPr="00B268B7">
        <w:t xml:space="preserve">long </w:t>
      </w:r>
      <w:r w:rsidR="00B268B7" w:rsidRPr="008D0F86">
        <w:t>term</w:t>
      </w:r>
      <w:r w:rsidR="00DA4B61" w:rsidRPr="008D0F86">
        <w:t>’</w:t>
      </w:r>
      <w:r w:rsidR="00B268B7" w:rsidRPr="00B268B7">
        <w:t xml:space="preserve"> prior to treatment only</w:t>
      </w:r>
      <w:r w:rsidR="008D0F86">
        <w:t xml:space="preserve"> in the Clinical Trials section</w:t>
      </w:r>
      <w:r w:rsidR="00B268B7" w:rsidRPr="00B268B7">
        <w:t>.</w:t>
      </w:r>
    </w:p>
    <w:p w:rsidR="00B268B7" w:rsidRPr="00B268B7" w:rsidRDefault="00B268B7" w:rsidP="008D0F86">
      <w:pPr>
        <w:pStyle w:val="Heading4"/>
      </w:pPr>
      <w:r w:rsidRPr="00B268B7">
        <w:t>Proposed conditions of registration:</w:t>
      </w:r>
    </w:p>
    <w:p w:rsidR="00B268B7" w:rsidRPr="00B268B7" w:rsidRDefault="00B268B7" w:rsidP="008D0F86">
      <w:pPr>
        <w:rPr>
          <w:highlight w:val="yellow"/>
        </w:rPr>
      </w:pPr>
      <w:r w:rsidRPr="00B268B7">
        <w:t xml:space="preserve">The ACPM agreed with the </w:t>
      </w:r>
      <w:r w:rsidR="00DA4B61">
        <w:t>D</w:t>
      </w:r>
      <w:r w:rsidRPr="00B268B7">
        <w:t>elegate on the proposed conditions of registration and specifically advised on t</w:t>
      </w:r>
      <w:r w:rsidR="008D0F86">
        <w:t>he inclusion of the following:</w:t>
      </w:r>
    </w:p>
    <w:p w:rsidR="00B268B7" w:rsidRPr="00B268B7" w:rsidRDefault="00B268B7" w:rsidP="008D0F86">
      <w:pPr>
        <w:pStyle w:val="ListBullet"/>
      </w:pPr>
      <w:r w:rsidRPr="00B268B7">
        <w:t xml:space="preserve">Negotiation of PI </w:t>
      </w:r>
      <w:r w:rsidR="0011222B">
        <w:t xml:space="preserve">and </w:t>
      </w:r>
      <w:r w:rsidRPr="00B268B7">
        <w:t xml:space="preserve">CMI to the satisfaction of </w:t>
      </w:r>
      <w:r w:rsidRPr="008D0F86">
        <w:t>the</w:t>
      </w:r>
      <w:r w:rsidR="008D0F86">
        <w:t xml:space="preserve"> TGA.</w:t>
      </w:r>
    </w:p>
    <w:p w:rsidR="00B268B7" w:rsidRPr="00B268B7" w:rsidRDefault="0011222B" w:rsidP="008D0F86">
      <w:pPr>
        <w:pStyle w:val="Heading4"/>
      </w:pPr>
      <w:r>
        <w:t>Proposed Product Information/</w:t>
      </w:r>
      <w:r w:rsidR="00B268B7" w:rsidRPr="00B268B7">
        <w:t>Consumer Medicine Information amendments:</w:t>
      </w:r>
      <w:r w:rsidR="00B268B7" w:rsidRPr="00B268B7">
        <w:rPr>
          <w:highlight w:val="yellow"/>
        </w:rPr>
        <w:t xml:space="preserve"> </w:t>
      </w:r>
    </w:p>
    <w:p w:rsidR="00B268B7" w:rsidRPr="00B268B7" w:rsidRDefault="00B268B7" w:rsidP="0045164E">
      <w:r w:rsidRPr="00B268B7">
        <w:t>The ACPM agreed with the delegate to the proposed amendments to the PI and CM</w:t>
      </w:r>
      <w:r w:rsidR="0011222B">
        <w:t>I</w:t>
      </w:r>
      <w:r w:rsidRPr="00B268B7">
        <w:t xml:space="preserve"> and specifically advised on </w:t>
      </w:r>
      <w:r w:rsidR="0045164E">
        <w:t>the inclusion of the following:</w:t>
      </w:r>
    </w:p>
    <w:p w:rsidR="00B268B7" w:rsidRPr="00B268B7" w:rsidRDefault="00B268B7" w:rsidP="0045164E">
      <w:pPr>
        <w:pStyle w:val="ListBullet"/>
      </w:pPr>
      <w:r w:rsidRPr="00B268B7">
        <w:t xml:space="preserve">A statement in the </w:t>
      </w:r>
      <w:r w:rsidRPr="00B268B7">
        <w:rPr>
          <w:i/>
        </w:rPr>
        <w:t>Precautions</w:t>
      </w:r>
      <w:r w:rsidRPr="00B268B7">
        <w:t xml:space="preserve"> section of the PI </w:t>
      </w:r>
      <w:r w:rsidRPr="0045164E">
        <w:t>and</w:t>
      </w:r>
      <w:r w:rsidRPr="00B268B7">
        <w:t xml:space="preserve"> relevant sections of the CMI should clarify that pregnancy is in itself a contrain</w:t>
      </w:r>
      <w:r w:rsidR="0045164E">
        <w:t>dication in PAH.</w:t>
      </w:r>
    </w:p>
    <w:p w:rsidR="00B268B7" w:rsidRPr="00B268B7" w:rsidRDefault="00B268B7" w:rsidP="0045164E">
      <w:pPr>
        <w:pStyle w:val="ListBullet"/>
      </w:pPr>
      <w:r w:rsidRPr="00B268B7">
        <w:t>The statement in the PI and relevant sections of the CMI on contraception should advise the use of two reliable methods of contraception and for the patient to discuss with their doctor or gynaecologist which methods would be most suitabl</w:t>
      </w:r>
      <w:r w:rsidR="0045164E">
        <w:t>e for them.</w:t>
      </w:r>
    </w:p>
    <w:p w:rsidR="00B268B7" w:rsidRPr="00B268B7" w:rsidRDefault="00B268B7" w:rsidP="0045164E">
      <w:pPr>
        <w:pStyle w:val="ListBullet"/>
      </w:pPr>
      <w:r w:rsidRPr="00B268B7">
        <w:t xml:space="preserve">The PI should state that women should not become pregnant for 3 months following discontinuation, consistent with other endothelin </w:t>
      </w:r>
      <w:r w:rsidRPr="0045164E">
        <w:t>receptor</w:t>
      </w:r>
      <w:r w:rsidRPr="00B268B7">
        <w:t xml:space="preserve"> antagonists in Australia.</w:t>
      </w:r>
    </w:p>
    <w:p w:rsidR="00B268B7" w:rsidRPr="00B268B7" w:rsidRDefault="00B268B7" w:rsidP="0045164E">
      <w:pPr>
        <w:pStyle w:val="ListBullet"/>
      </w:pPr>
      <w:r w:rsidRPr="00B268B7">
        <w:t>Clear statements in the Cl</w:t>
      </w:r>
      <w:r w:rsidR="0045164E">
        <w:t>inical Trials section of the PI</w:t>
      </w:r>
    </w:p>
    <w:p w:rsidR="00B268B7" w:rsidRPr="00B268B7" w:rsidRDefault="00B268B7" w:rsidP="0045164E">
      <w:pPr>
        <w:pStyle w:val="ListBullet2"/>
      </w:pPr>
      <w:r w:rsidRPr="00B268B7">
        <w:t>to reference the pivotal study was not powered to assess effect on mortality</w:t>
      </w:r>
    </w:p>
    <w:p w:rsidR="00B268B7" w:rsidRPr="00B268B7" w:rsidRDefault="00B268B7" w:rsidP="0045164E">
      <w:pPr>
        <w:pStyle w:val="ListBullet2"/>
      </w:pPr>
      <w:proofErr w:type="gramStart"/>
      <w:r w:rsidRPr="00B268B7">
        <w:t>to</w:t>
      </w:r>
      <w:proofErr w:type="gramEnd"/>
      <w:r w:rsidRPr="00B268B7">
        <w:t xml:space="preserve"> reference the benefit on mortality was only </w:t>
      </w:r>
      <w:r w:rsidRPr="0045164E">
        <w:t>seen</w:t>
      </w:r>
      <w:r w:rsidRPr="00B268B7">
        <w:t xml:space="preserve"> in a combined endpoint analysis and no conclusive claims should be made.</w:t>
      </w:r>
    </w:p>
    <w:p w:rsidR="00B268B7" w:rsidRPr="00B268B7" w:rsidRDefault="00B268B7" w:rsidP="0045164E">
      <w:pPr>
        <w:pStyle w:val="ListBullet"/>
      </w:pPr>
      <w:r w:rsidRPr="00B268B7">
        <w:t xml:space="preserve">A statement in the </w:t>
      </w:r>
      <w:r w:rsidRPr="00B268B7">
        <w:rPr>
          <w:i/>
        </w:rPr>
        <w:t>Clinical Trials</w:t>
      </w:r>
      <w:r w:rsidRPr="00B268B7">
        <w:t xml:space="preserve"> section of the PI on </w:t>
      </w:r>
      <w:r w:rsidRPr="0045164E">
        <w:t>the</w:t>
      </w:r>
      <w:r w:rsidRPr="00B268B7">
        <w:t xml:space="preserve"> lack of data on treatment in Group1 patients, (PAH secondary to drugs, toxins and HIV).</w:t>
      </w:r>
    </w:p>
    <w:p w:rsidR="00B268B7" w:rsidRPr="00B268B7" w:rsidRDefault="00B268B7" w:rsidP="0045164E">
      <w:r w:rsidRPr="00B268B7">
        <w:lastRenderedPageBreak/>
        <w:t>The ACPM advised that the implementation by the sponsor of the recommendations outlined above to the satisfaction of the TGA, in addition to the evidence of efficacy and safety provided would support the safe and e</w:t>
      </w:r>
      <w:r w:rsidR="0045164E">
        <w:t>ffective use of these products.</w:t>
      </w:r>
    </w:p>
    <w:p w:rsidR="008E7846" w:rsidRPr="0036491D" w:rsidRDefault="008E7846" w:rsidP="0036491D">
      <w:pPr>
        <w:pStyle w:val="Heading3"/>
      </w:pPr>
      <w:bookmarkStart w:id="297" w:name="_Toc247691532"/>
      <w:bookmarkStart w:id="298" w:name="_Toc314842516"/>
      <w:bookmarkStart w:id="299" w:name="_Toc391645307"/>
      <w:bookmarkEnd w:id="256"/>
      <w:bookmarkEnd w:id="282"/>
      <w:bookmarkEnd w:id="283"/>
      <w:r>
        <w:t>Outcome</w:t>
      </w:r>
      <w:bookmarkEnd w:id="297"/>
      <w:bookmarkEnd w:id="298"/>
      <w:bookmarkEnd w:id="299"/>
    </w:p>
    <w:p w:rsidR="00994A36" w:rsidRDefault="008E7846" w:rsidP="0036491D">
      <w:r>
        <w:t>Based on a review of quality, safety and efficacy, TGA approved the registration of</w:t>
      </w:r>
      <w:r w:rsidR="00994A36">
        <w:t>:</w:t>
      </w:r>
    </w:p>
    <w:p w:rsidR="00994A36" w:rsidRDefault="00994A36" w:rsidP="0036491D">
      <w:pPr>
        <w:pStyle w:val="ListBullet"/>
      </w:pPr>
      <w:r>
        <w:t>Opsumit macitentan 10 mg film coated tablet bottle</w:t>
      </w:r>
      <w:r w:rsidR="00DA4B61">
        <w:t>; and</w:t>
      </w:r>
    </w:p>
    <w:p w:rsidR="00994A36" w:rsidRDefault="00994A36" w:rsidP="0036491D">
      <w:pPr>
        <w:pStyle w:val="ListBullet"/>
      </w:pPr>
      <w:r>
        <w:t>Opsumit macitentan 10 mg film coated tablet blister pack,</w:t>
      </w:r>
    </w:p>
    <w:p w:rsidR="008E7846" w:rsidRDefault="008E7846" w:rsidP="0036491D">
      <w:proofErr w:type="gramStart"/>
      <w:r>
        <w:t>for</w:t>
      </w:r>
      <w:proofErr w:type="gramEnd"/>
      <w:r>
        <w:t xml:space="preserve"> </w:t>
      </w:r>
      <w:r w:rsidR="000634DA">
        <w:t>once daily oral administration,</w:t>
      </w:r>
      <w:r>
        <w:t xml:space="preserve"> indicated for:</w:t>
      </w:r>
    </w:p>
    <w:p w:rsidR="000634DA" w:rsidRPr="0036491D" w:rsidRDefault="00994A36" w:rsidP="0036491D">
      <w:pPr>
        <w:ind w:left="360"/>
        <w:rPr>
          <w:i/>
        </w:rPr>
      </w:pPr>
      <w:r w:rsidRPr="0036491D">
        <w:rPr>
          <w:i/>
        </w:rPr>
        <w:t xml:space="preserve">Opsumit; as monotherapy or in combination with approved PAH treatments (phosphodiesterase-5 inhibitors or inhaled prostanoids), is </w:t>
      </w:r>
      <w:r w:rsidR="0036491D">
        <w:rPr>
          <w:i/>
        </w:rPr>
        <w:t>indicated for the treatment of:</w:t>
      </w:r>
    </w:p>
    <w:p w:rsidR="00994A36" w:rsidRPr="0036491D" w:rsidRDefault="00994A36" w:rsidP="0036491D">
      <w:pPr>
        <w:pStyle w:val="ListBullet"/>
        <w:rPr>
          <w:i/>
        </w:rPr>
      </w:pPr>
      <w:r w:rsidRPr="0036491D">
        <w:rPr>
          <w:i/>
        </w:rPr>
        <w:t>idiop</w:t>
      </w:r>
      <w:r w:rsidR="000634DA" w:rsidRPr="0036491D">
        <w:rPr>
          <w:i/>
        </w:rPr>
        <w:t>a</w:t>
      </w:r>
      <w:r w:rsidRPr="0036491D">
        <w:rPr>
          <w:i/>
        </w:rPr>
        <w:t>thic pulmon</w:t>
      </w:r>
      <w:r w:rsidR="000634DA" w:rsidRPr="0036491D">
        <w:rPr>
          <w:i/>
        </w:rPr>
        <w:t>ar</w:t>
      </w:r>
      <w:r w:rsidRPr="0036491D">
        <w:rPr>
          <w:i/>
        </w:rPr>
        <w:t xml:space="preserve">y </w:t>
      </w:r>
      <w:r w:rsidR="000634DA" w:rsidRPr="0036491D">
        <w:rPr>
          <w:i/>
        </w:rPr>
        <w:t>a</w:t>
      </w:r>
      <w:r w:rsidRPr="0036491D">
        <w:rPr>
          <w:i/>
        </w:rPr>
        <w:t>rteri</w:t>
      </w:r>
      <w:r w:rsidR="000634DA" w:rsidRPr="0036491D">
        <w:rPr>
          <w:i/>
        </w:rPr>
        <w:t>a</w:t>
      </w:r>
      <w:r w:rsidRPr="0036491D">
        <w:rPr>
          <w:i/>
        </w:rPr>
        <w:t>l</w:t>
      </w:r>
      <w:r w:rsidR="000634DA" w:rsidRPr="0036491D">
        <w:rPr>
          <w:i/>
        </w:rPr>
        <w:t xml:space="preserve"> </w:t>
      </w:r>
      <w:r w:rsidRPr="0036491D">
        <w:rPr>
          <w:i/>
        </w:rPr>
        <w:t>hypertension</w:t>
      </w:r>
    </w:p>
    <w:p w:rsidR="00994A36" w:rsidRPr="0036491D" w:rsidRDefault="00994A36" w:rsidP="0036491D">
      <w:pPr>
        <w:pStyle w:val="ListBullet"/>
        <w:rPr>
          <w:i/>
        </w:rPr>
      </w:pPr>
      <w:r w:rsidRPr="0036491D">
        <w:rPr>
          <w:i/>
        </w:rPr>
        <w:t>herit</w:t>
      </w:r>
      <w:r w:rsidR="000634DA" w:rsidRPr="0036491D">
        <w:rPr>
          <w:i/>
        </w:rPr>
        <w:t>a</w:t>
      </w:r>
      <w:r w:rsidRPr="0036491D">
        <w:rPr>
          <w:i/>
        </w:rPr>
        <w:t>ble pulmon</w:t>
      </w:r>
      <w:r w:rsidR="000634DA" w:rsidRPr="0036491D">
        <w:rPr>
          <w:i/>
        </w:rPr>
        <w:t>ar</w:t>
      </w:r>
      <w:r w:rsidRPr="0036491D">
        <w:rPr>
          <w:i/>
        </w:rPr>
        <w:t xml:space="preserve">y </w:t>
      </w:r>
      <w:r w:rsidR="000634DA" w:rsidRPr="0036491D">
        <w:rPr>
          <w:i/>
        </w:rPr>
        <w:t>a</w:t>
      </w:r>
      <w:r w:rsidRPr="0036491D">
        <w:rPr>
          <w:i/>
        </w:rPr>
        <w:t>rteri</w:t>
      </w:r>
      <w:r w:rsidR="000634DA" w:rsidRPr="0036491D">
        <w:rPr>
          <w:i/>
        </w:rPr>
        <w:t>a</w:t>
      </w:r>
      <w:r w:rsidRPr="0036491D">
        <w:rPr>
          <w:i/>
        </w:rPr>
        <w:t>l hypertension</w:t>
      </w:r>
    </w:p>
    <w:p w:rsidR="00994A36" w:rsidRPr="0036491D" w:rsidRDefault="00994A36" w:rsidP="0036491D">
      <w:pPr>
        <w:pStyle w:val="ListBullet"/>
        <w:rPr>
          <w:i/>
        </w:rPr>
      </w:pPr>
      <w:r w:rsidRPr="0036491D">
        <w:rPr>
          <w:i/>
        </w:rPr>
        <w:t>pulm</w:t>
      </w:r>
      <w:r w:rsidR="000634DA" w:rsidRPr="0036491D">
        <w:rPr>
          <w:i/>
        </w:rPr>
        <w:t>onary a</w:t>
      </w:r>
      <w:r w:rsidRPr="0036491D">
        <w:rPr>
          <w:i/>
        </w:rPr>
        <w:t>rteri</w:t>
      </w:r>
      <w:r w:rsidR="000634DA" w:rsidRPr="0036491D">
        <w:rPr>
          <w:i/>
        </w:rPr>
        <w:t>a</w:t>
      </w:r>
      <w:r w:rsidRPr="0036491D">
        <w:rPr>
          <w:i/>
        </w:rPr>
        <w:t>l</w:t>
      </w:r>
      <w:r w:rsidR="000634DA" w:rsidRPr="0036491D">
        <w:rPr>
          <w:i/>
        </w:rPr>
        <w:t xml:space="preserve"> </w:t>
      </w:r>
      <w:r w:rsidRPr="0036491D">
        <w:rPr>
          <w:i/>
        </w:rPr>
        <w:t xml:space="preserve">hypertension </w:t>
      </w:r>
      <w:r w:rsidR="000634DA" w:rsidRPr="0036491D">
        <w:rPr>
          <w:i/>
        </w:rPr>
        <w:t>ass</w:t>
      </w:r>
      <w:r w:rsidRPr="0036491D">
        <w:rPr>
          <w:i/>
        </w:rPr>
        <w:t>oci</w:t>
      </w:r>
      <w:r w:rsidR="000634DA" w:rsidRPr="0036491D">
        <w:rPr>
          <w:i/>
        </w:rPr>
        <w:t>a</w:t>
      </w:r>
      <w:r w:rsidRPr="0036491D">
        <w:rPr>
          <w:i/>
        </w:rPr>
        <w:t>ted with connective tissue di</w:t>
      </w:r>
      <w:r w:rsidR="000634DA" w:rsidRPr="0036491D">
        <w:rPr>
          <w:i/>
        </w:rPr>
        <w:t>s</w:t>
      </w:r>
      <w:r w:rsidRPr="0036491D">
        <w:rPr>
          <w:i/>
        </w:rPr>
        <w:t>e</w:t>
      </w:r>
      <w:r w:rsidR="000634DA" w:rsidRPr="0036491D">
        <w:rPr>
          <w:i/>
        </w:rPr>
        <w:t>a</w:t>
      </w:r>
      <w:r w:rsidRPr="0036491D">
        <w:rPr>
          <w:i/>
        </w:rPr>
        <w:t>se</w:t>
      </w:r>
    </w:p>
    <w:p w:rsidR="00994A36" w:rsidRPr="0036491D" w:rsidRDefault="00994A36" w:rsidP="0036491D">
      <w:pPr>
        <w:pStyle w:val="ListBullet"/>
        <w:rPr>
          <w:i/>
        </w:rPr>
      </w:pPr>
      <w:r w:rsidRPr="0036491D">
        <w:rPr>
          <w:i/>
        </w:rPr>
        <w:t>pulmon</w:t>
      </w:r>
      <w:r w:rsidR="000634DA" w:rsidRPr="0036491D">
        <w:rPr>
          <w:i/>
        </w:rPr>
        <w:t>ar</w:t>
      </w:r>
      <w:r w:rsidRPr="0036491D">
        <w:rPr>
          <w:i/>
        </w:rPr>
        <w:t xml:space="preserve">y </w:t>
      </w:r>
      <w:r w:rsidR="000634DA" w:rsidRPr="0036491D">
        <w:rPr>
          <w:i/>
        </w:rPr>
        <w:t>a</w:t>
      </w:r>
      <w:r w:rsidRPr="0036491D">
        <w:rPr>
          <w:i/>
        </w:rPr>
        <w:t>rteri</w:t>
      </w:r>
      <w:r w:rsidR="000634DA" w:rsidRPr="0036491D">
        <w:rPr>
          <w:i/>
        </w:rPr>
        <w:t>a</w:t>
      </w:r>
      <w:r w:rsidRPr="0036491D">
        <w:rPr>
          <w:i/>
        </w:rPr>
        <w:t>l</w:t>
      </w:r>
      <w:r w:rsidR="000634DA" w:rsidRPr="0036491D">
        <w:rPr>
          <w:i/>
        </w:rPr>
        <w:t xml:space="preserve"> </w:t>
      </w:r>
      <w:r w:rsidRPr="0036491D">
        <w:rPr>
          <w:i/>
        </w:rPr>
        <w:t xml:space="preserve">hypertension </w:t>
      </w:r>
      <w:r w:rsidR="000634DA" w:rsidRPr="0036491D">
        <w:rPr>
          <w:i/>
        </w:rPr>
        <w:t>as</w:t>
      </w:r>
      <w:r w:rsidRPr="0036491D">
        <w:rPr>
          <w:i/>
        </w:rPr>
        <w:t>soci</w:t>
      </w:r>
      <w:r w:rsidR="000634DA" w:rsidRPr="0036491D">
        <w:rPr>
          <w:i/>
        </w:rPr>
        <w:t>a</w:t>
      </w:r>
      <w:r w:rsidRPr="0036491D">
        <w:rPr>
          <w:i/>
        </w:rPr>
        <w:t>ted with congenit</w:t>
      </w:r>
      <w:r w:rsidR="000634DA" w:rsidRPr="0036491D">
        <w:rPr>
          <w:i/>
        </w:rPr>
        <w:t>a</w:t>
      </w:r>
      <w:r w:rsidRPr="0036491D">
        <w:rPr>
          <w:i/>
        </w:rPr>
        <w:t>l</w:t>
      </w:r>
      <w:r w:rsidR="000634DA" w:rsidRPr="0036491D">
        <w:rPr>
          <w:i/>
        </w:rPr>
        <w:t xml:space="preserve"> </w:t>
      </w:r>
      <w:r w:rsidRPr="0036491D">
        <w:rPr>
          <w:i/>
        </w:rPr>
        <w:t>he</w:t>
      </w:r>
      <w:r w:rsidR="000634DA" w:rsidRPr="0036491D">
        <w:rPr>
          <w:i/>
        </w:rPr>
        <w:t>a</w:t>
      </w:r>
      <w:r w:rsidRPr="0036491D">
        <w:rPr>
          <w:i/>
        </w:rPr>
        <w:t>rt dise</w:t>
      </w:r>
      <w:r w:rsidR="000634DA" w:rsidRPr="0036491D">
        <w:rPr>
          <w:i/>
        </w:rPr>
        <w:t>a</w:t>
      </w:r>
      <w:r w:rsidRPr="0036491D">
        <w:rPr>
          <w:i/>
        </w:rPr>
        <w:t>se with rep</w:t>
      </w:r>
      <w:r w:rsidR="000634DA" w:rsidRPr="0036491D">
        <w:rPr>
          <w:i/>
        </w:rPr>
        <w:t>a</w:t>
      </w:r>
      <w:r w:rsidRPr="0036491D">
        <w:rPr>
          <w:i/>
        </w:rPr>
        <w:t>ired</w:t>
      </w:r>
      <w:r w:rsidR="000634DA" w:rsidRPr="0036491D">
        <w:rPr>
          <w:i/>
        </w:rPr>
        <w:t xml:space="preserve"> </w:t>
      </w:r>
      <w:r w:rsidRPr="0036491D">
        <w:rPr>
          <w:i/>
        </w:rPr>
        <w:t>shunts</w:t>
      </w:r>
    </w:p>
    <w:p w:rsidR="00994A36" w:rsidRPr="0036491D" w:rsidRDefault="00994A36" w:rsidP="0036491D">
      <w:pPr>
        <w:ind w:left="360"/>
        <w:rPr>
          <w:i/>
        </w:rPr>
      </w:pPr>
      <w:proofErr w:type="gramStart"/>
      <w:r w:rsidRPr="0036491D">
        <w:rPr>
          <w:i/>
        </w:rPr>
        <w:t>in</w:t>
      </w:r>
      <w:proofErr w:type="gramEnd"/>
      <w:r w:rsidRPr="0036491D">
        <w:rPr>
          <w:i/>
        </w:rPr>
        <w:t xml:space="preserve"> p</w:t>
      </w:r>
      <w:r w:rsidR="000634DA" w:rsidRPr="0036491D">
        <w:rPr>
          <w:i/>
        </w:rPr>
        <w:t>a</w:t>
      </w:r>
      <w:r w:rsidRPr="0036491D">
        <w:rPr>
          <w:i/>
        </w:rPr>
        <w:t>tients with WHO Function</w:t>
      </w:r>
      <w:r w:rsidR="000634DA" w:rsidRPr="0036491D">
        <w:rPr>
          <w:i/>
        </w:rPr>
        <w:t>al</w:t>
      </w:r>
      <w:r w:rsidRPr="0036491D">
        <w:rPr>
          <w:i/>
        </w:rPr>
        <w:t xml:space="preserve"> C</w:t>
      </w:r>
      <w:r w:rsidR="000634DA" w:rsidRPr="0036491D">
        <w:rPr>
          <w:i/>
        </w:rPr>
        <w:t>la</w:t>
      </w:r>
      <w:r w:rsidRPr="0036491D">
        <w:rPr>
          <w:i/>
        </w:rPr>
        <w:t xml:space="preserve">ss </w:t>
      </w:r>
      <w:r w:rsidR="000634DA" w:rsidRPr="0036491D">
        <w:rPr>
          <w:i/>
        </w:rPr>
        <w:t>II</w:t>
      </w:r>
      <w:r w:rsidRPr="0036491D">
        <w:rPr>
          <w:i/>
        </w:rPr>
        <w:t xml:space="preserve"> </w:t>
      </w:r>
      <w:r w:rsidR="000634DA" w:rsidRPr="0036491D">
        <w:rPr>
          <w:i/>
        </w:rPr>
        <w:t>III</w:t>
      </w:r>
      <w:r w:rsidRPr="0036491D">
        <w:rPr>
          <w:i/>
        </w:rPr>
        <w:t xml:space="preserve"> or</w:t>
      </w:r>
      <w:r w:rsidR="000634DA" w:rsidRPr="0036491D">
        <w:rPr>
          <w:i/>
        </w:rPr>
        <w:t xml:space="preserve"> I</w:t>
      </w:r>
      <w:r w:rsidRPr="0036491D">
        <w:rPr>
          <w:i/>
        </w:rPr>
        <w:t>V</w:t>
      </w:r>
      <w:r w:rsidR="000634DA" w:rsidRPr="0036491D">
        <w:rPr>
          <w:i/>
        </w:rPr>
        <w:t xml:space="preserve"> s</w:t>
      </w:r>
      <w:r w:rsidRPr="0036491D">
        <w:rPr>
          <w:i/>
        </w:rPr>
        <w:t>y</w:t>
      </w:r>
      <w:r w:rsidR="000634DA" w:rsidRPr="0036491D">
        <w:rPr>
          <w:i/>
        </w:rPr>
        <w:t>m</w:t>
      </w:r>
      <w:r w:rsidRPr="0036491D">
        <w:rPr>
          <w:i/>
        </w:rPr>
        <w:t>ptoms.</w:t>
      </w:r>
    </w:p>
    <w:p w:rsidR="003B0D6F" w:rsidRPr="000634DA" w:rsidRDefault="000634DA" w:rsidP="0036491D">
      <w:pPr>
        <w:pStyle w:val="Heading4"/>
      </w:pPr>
      <w:r w:rsidRPr="000634DA">
        <w:t>Specific conditions of registration applying to these goods</w:t>
      </w:r>
    </w:p>
    <w:p w:rsidR="008E7846" w:rsidRDefault="003B0D6F" w:rsidP="0036491D">
      <w:pPr>
        <w:pStyle w:val="ListBullet"/>
      </w:pPr>
      <w:r w:rsidRPr="000634DA">
        <w:t>The Opsumit (macitentan) EU Risk Management Plan (RMP), version 3, dated 12 August 2013 (DLP 26 April 2012), with the Australian Specific Annex, version 1.0, dated 22 August 2013, and subsequent changes as agreed from the sponsor email of 29 October 2013 and Pre-ACPM Response of 19 November 2013, including the addition of the U</w:t>
      </w:r>
      <w:r w:rsidR="000634DA">
        <w:t>S</w:t>
      </w:r>
      <w:r w:rsidRPr="000634DA">
        <w:t xml:space="preserve"> registry as an additional pharmacovigilance activity in the Australian Specific Annex, included with submission PM-2012-04112-1-3, and any subsequent revisions, as agreed with the TGA wi</w:t>
      </w:r>
      <w:r w:rsidR="0036491D">
        <w:t>ll be implemented in Australia.</w:t>
      </w:r>
    </w:p>
    <w:p w:rsidR="00DC3FEE" w:rsidRPr="00DC3FEE" w:rsidRDefault="00DC3FEE" w:rsidP="0036491D">
      <w:pPr>
        <w:pStyle w:val="ListBullet"/>
      </w:pPr>
      <w:r>
        <w:t xml:space="preserve">The following studies must be submitted to the TGA, as soon as possible after </w:t>
      </w:r>
      <w:r w:rsidRPr="00DC3FEE">
        <w:t>completion:</w:t>
      </w:r>
    </w:p>
    <w:p w:rsidR="00DC3FEE" w:rsidRPr="00DC3FEE" w:rsidRDefault="00DC3FEE" w:rsidP="0036491D">
      <w:pPr>
        <w:pStyle w:val="Numberbullet2"/>
      </w:pPr>
      <w:r w:rsidRPr="00DC3FEE">
        <w:t>The final study report for the long-term prospective observational study (product</w:t>
      </w:r>
      <w:r>
        <w:t xml:space="preserve"> </w:t>
      </w:r>
      <w:r w:rsidRPr="00DC3FEE">
        <w:t>exposure registry) to evaluate potential serious hepatic adverse events related to</w:t>
      </w:r>
      <w:r>
        <w:t xml:space="preserve"> </w:t>
      </w:r>
      <w:r w:rsidRPr="00DC3FEE">
        <w:t>the use of macitentan, including an assessment and analysis of the adverse events.</w:t>
      </w:r>
    </w:p>
    <w:p w:rsidR="00DC3FEE" w:rsidRPr="00DC3FEE" w:rsidRDefault="00DC3FEE" w:rsidP="0036491D">
      <w:pPr>
        <w:pStyle w:val="Numberbullet2"/>
      </w:pPr>
      <w:r w:rsidRPr="00DC3FEE">
        <w:t>The Periodic Safety Update Reports must include a discussion of liver safety from</w:t>
      </w:r>
      <w:r>
        <w:t xml:space="preserve"> </w:t>
      </w:r>
      <w:r w:rsidRPr="00DC3FEE">
        <w:t>the above product exposure registry or alternatively annual interim reports of</w:t>
      </w:r>
      <w:r>
        <w:t xml:space="preserve"> </w:t>
      </w:r>
      <w:r w:rsidRPr="00DC3FEE">
        <w:t>results from this registry must be provided to the TGA</w:t>
      </w:r>
      <w:r w:rsidR="00DA4B61">
        <w:t>.</w:t>
      </w:r>
    </w:p>
    <w:p w:rsidR="008E7846" w:rsidRDefault="008E7846" w:rsidP="0036491D">
      <w:pPr>
        <w:pStyle w:val="Heading2"/>
      </w:pPr>
      <w:bookmarkStart w:id="300" w:name="_Toc247691533"/>
      <w:bookmarkStart w:id="301" w:name="_Toc314842517"/>
      <w:bookmarkStart w:id="302" w:name="_Toc391645308"/>
      <w:r>
        <w:t>Attachment 1</w:t>
      </w:r>
      <w:r w:rsidR="003B0D6F">
        <w:t xml:space="preserve">: </w:t>
      </w:r>
      <w:r>
        <w:t xml:space="preserve">Product </w:t>
      </w:r>
      <w:r w:rsidR="00AA0ED0" w:rsidRPr="0036491D">
        <w:t>I</w:t>
      </w:r>
      <w:r w:rsidRPr="0036491D">
        <w:t>nformation</w:t>
      </w:r>
      <w:bookmarkEnd w:id="300"/>
      <w:bookmarkEnd w:id="301"/>
      <w:bookmarkEnd w:id="302"/>
    </w:p>
    <w:p w:rsidR="00C80137" w:rsidRDefault="00C80137" w:rsidP="0036491D">
      <w:pPr>
        <w:rPr>
          <w:color w:val="000000"/>
          <w:lang w:eastAsia="en-AU"/>
        </w:rPr>
      </w:pPr>
      <w:r w:rsidRPr="0037352E">
        <w:t>The PI at the time this AusPAR was published</w:t>
      </w:r>
      <w:r>
        <w:t xml:space="preserve"> is at Attachment 1</w:t>
      </w:r>
      <w:r w:rsidRPr="0037352E">
        <w:t xml:space="preserve">. For the </w:t>
      </w:r>
      <w:r>
        <w:t>most recent</w:t>
      </w:r>
      <w:r w:rsidRPr="0037352E">
        <w:t xml:space="preserve"> P</w:t>
      </w:r>
      <w:r w:rsidR="0011222B">
        <w:t xml:space="preserve">I </w:t>
      </w:r>
      <w:r w:rsidRPr="0037352E">
        <w:t>please refer to the TGA website at</w:t>
      </w:r>
      <w:r w:rsidR="008F6943">
        <w:t xml:space="preserve"> &lt;</w:t>
      </w:r>
      <w:hyperlink r:id="rId22" w:history="1">
        <w:r w:rsidR="00722B57" w:rsidRPr="00625A6E">
          <w:rPr>
            <w:rStyle w:val="Hyperlink"/>
          </w:rPr>
          <w:t>http://www.tga.gov.au/hp/information-medicines-pi.htm</w:t>
        </w:r>
      </w:hyperlink>
      <w:hyperlink w:history="1"/>
      <w:r w:rsidR="008F6943">
        <w:rPr>
          <w:color w:val="000000"/>
          <w:lang w:eastAsia="en-AU"/>
        </w:rPr>
        <w:t>&gt;.</w:t>
      </w:r>
    </w:p>
    <w:p w:rsidR="00C80137" w:rsidRPr="0036491D" w:rsidRDefault="00C80137" w:rsidP="0036491D">
      <w:pPr>
        <w:pStyle w:val="Heading2"/>
      </w:pPr>
      <w:bookmarkStart w:id="303" w:name="_Toc391645309"/>
      <w:r>
        <w:rPr>
          <w:lang w:eastAsia="en-AU"/>
        </w:rPr>
        <w:lastRenderedPageBreak/>
        <w:t>Attachment 2</w:t>
      </w:r>
      <w:r w:rsidR="003B0D6F">
        <w:rPr>
          <w:lang w:eastAsia="en-AU"/>
        </w:rPr>
        <w:t xml:space="preserve">: </w:t>
      </w:r>
      <w:r>
        <w:rPr>
          <w:lang w:eastAsia="en-AU"/>
        </w:rPr>
        <w:t>Extract from the Clinical Evaluation Report</w:t>
      </w:r>
      <w:bookmarkEnd w:id="303"/>
    </w:p>
    <w:p w:rsidR="00291957" w:rsidRDefault="00291957" w:rsidP="00291957">
      <w:pPr>
        <w:rPr>
          <w:lang w:eastAsia="ja-JP"/>
        </w:rPr>
      </w:pPr>
    </w:p>
    <w:p w:rsidR="00C80137" w:rsidRPr="001D043B" w:rsidRDefault="00C80137" w:rsidP="003A7F6C">
      <w:pPr>
        <w:pStyle w:val="TableTitle"/>
        <w:sectPr w:rsidR="00C80137" w:rsidRPr="001D043B" w:rsidSect="00B452CE">
          <w:headerReference w:type="even" r:id="rId23"/>
          <w:headerReference w:type="default" r:id="rId24"/>
          <w:headerReference w:type="first" r:id="rId25"/>
          <w:footerReference w:type="first" r:id="rId26"/>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rsidTr="0012759D">
        <w:trPr>
          <w:trHeight w:hRule="exact" w:val="704"/>
        </w:trPr>
        <w:tc>
          <w:tcPr>
            <w:tcW w:w="9175" w:type="dxa"/>
          </w:tcPr>
          <w:p w:rsidR="001C32CD" w:rsidRPr="00487162" w:rsidRDefault="001C32CD" w:rsidP="0012759D">
            <w:pPr>
              <w:pStyle w:val="TGASignoff"/>
            </w:pPr>
            <w:r w:rsidRPr="00487162">
              <w:lastRenderedPageBreak/>
              <w:t>Therapeutic Goods Administration</w:t>
            </w:r>
          </w:p>
        </w:tc>
      </w:tr>
      <w:tr w:rsidR="001C32CD" w:rsidRPr="004C239D" w:rsidTr="0012759D">
        <w:trPr>
          <w:trHeight w:val="1221"/>
        </w:trPr>
        <w:tc>
          <w:tcPr>
            <w:tcW w:w="9175" w:type="dxa"/>
            <w:tcMar>
              <w:top w:w="28" w:type="dxa"/>
            </w:tcMar>
          </w:tcPr>
          <w:p w:rsidR="001C32CD" w:rsidRPr="00487162" w:rsidRDefault="001C32CD" w:rsidP="0012759D">
            <w:pPr>
              <w:pStyle w:val="Address"/>
            </w:pPr>
            <w:r w:rsidRPr="00487162">
              <w:t>PO Box 100 Woden ACT 2606 Australia</w:t>
            </w:r>
          </w:p>
          <w:p w:rsidR="001C32CD" w:rsidRPr="00487162" w:rsidRDefault="001C32CD" w:rsidP="0012759D">
            <w:pPr>
              <w:pStyle w:val="Address"/>
            </w:pPr>
            <w:r w:rsidRPr="00487162">
              <w:t xml:space="preserve">Email: </w:t>
            </w:r>
            <w:hyperlink r:id="rId27" w:history="1">
              <w:r w:rsidRPr="004C239D">
                <w:rPr>
                  <w:rStyle w:val="Hyperlink"/>
                </w:rPr>
                <w:t>info@tga.gov.au</w:t>
              </w:r>
            </w:hyperlink>
            <w:r w:rsidRPr="00487162">
              <w:t xml:space="preserve">  Phone: 1800 020 653  Fax: 02 6232 8605</w:t>
            </w:r>
          </w:p>
          <w:p w:rsidR="001C32CD" w:rsidRPr="004C239D" w:rsidRDefault="00D17D73" w:rsidP="0012759D">
            <w:pPr>
              <w:pStyle w:val="Address"/>
              <w:spacing w:line="260" w:lineRule="atLeast"/>
              <w:rPr>
                <w:b/>
                <w:color w:val="0000FF"/>
                <w:u w:val="single"/>
              </w:rPr>
            </w:pPr>
            <w:hyperlink r:id="rId28" w:history="1">
              <w:r w:rsidR="001C32CD" w:rsidRPr="00607888">
                <w:rPr>
                  <w:rStyle w:val="Hyperlink"/>
                  <w:b/>
                </w:rPr>
                <w:t>http://www.tga.gov.au</w:t>
              </w:r>
            </w:hyperlink>
          </w:p>
        </w:tc>
      </w:tr>
    </w:tbl>
    <w:p w:rsidR="00774E1D" w:rsidRPr="008A5E0B" w:rsidRDefault="00774E1D" w:rsidP="004C239D"/>
    <w:sectPr w:rsidR="00774E1D" w:rsidRPr="008A5E0B" w:rsidSect="001C32CD">
      <w:headerReference w:type="even" r:id="rId29"/>
      <w:headerReference w:type="default" r:id="rId30"/>
      <w:footerReference w:type="default" r:id="rId31"/>
      <w:headerReference w:type="first" r:id="rId32"/>
      <w:footerReference w:type="first" r:id="rId33"/>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D73" w:rsidRDefault="00D17D73" w:rsidP="00C40A36">
      <w:pPr>
        <w:spacing w:after="0"/>
      </w:pPr>
      <w:r>
        <w:separator/>
      </w:r>
    </w:p>
  </w:endnote>
  <w:endnote w:type="continuationSeparator" w:id="0">
    <w:p w:rsidR="00D17D73" w:rsidRDefault="00D17D73"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NewRomanPSMT">
    <w:panose1 w:val="00000000000000000000"/>
    <w:charset w:val="00"/>
    <w:family w:val="roman"/>
    <w:notTrueType/>
    <w:pitch w:val="default"/>
    <w:sig w:usb0="00000003" w:usb1="00000000" w:usb2="0000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D17D73" w:rsidRPr="00487162" w:rsidTr="00DB750B">
      <w:trPr>
        <w:trHeight w:val="269"/>
      </w:trPr>
      <w:tc>
        <w:tcPr>
          <w:tcW w:w="7371" w:type="dxa"/>
          <w:tcMar>
            <w:top w:w="142" w:type="dxa"/>
            <w:bottom w:w="0" w:type="dxa"/>
          </w:tcMar>
        </w:tcPr>
        <w:p w:rsidR="00D17D73" w:rsidRPr="00487162" w:rsidRDefault="00D17D73" w:rsidP="006250DD">
          <w:pPr>
            <w:pStyle w:val="Footer"/>
          </w:pPr>
          <w:r w:rsidRPr="00487162">
            <w:t xml:space="preserve">AusPAR </w:t>
          </w:r>
          <w:r>
            <w:t>Opsumit macitentan Acelion Pharmaceuticals Australia Pty Ltd</w:t>
          </w:r>
          <w:r>
            <w:br/>
          </w:r>
          <w:r w:rsidRPr="00487162">
            <w:t>PM-20</w:t>
          </w:r>
          <w:r>
            <w:t>12</w:t>
          </w:r>
          <w:r w:rsidRPr="00487162">
            <w:t>-</w:t>
          </w:r>
          <w:r>
            <w:t>04112</w:t>
          </w:r>
          <w:r w:rsidRPr="00487162">
            <w:t>-</w:t>
          </w:r>
          <w:r>
            <w:t>1</w:t>
          </w:r>
          <w:r w:rsidRPr="00487162">
            <w:t>-</w:t>
          </w:r>
          <w:r>
            <w:t>3 Final 28 April 2014</w:t>
          </w:r>
        </w:p>
      </w:tc>
      <w:tc>
        <w:tcPr>
          <w:tcW w:w="1490" w:type="dxa"/>
          <w:tcMar>
            <w:top w:w="142" w:type="dxa"/>
            <w:bottom w:w="0" w:type="dxa"/>
          </w:tcMar>
        </w:tcPr>
        <w:p w:rsidR="00D17D73" w:rsidRPr="00487162" w:rsidRDefault="00D17D73" w:rsidP="004A7E4B">
          <w:pPr>
            <w:pStyle w:val="Footer"/>
            <w:jc w:val="center"/>
          </w:pPr>
          <w:r w:rsidRPr="00487162">
            <w:t xml:space="preserve">Page </w:t>
          </w:r>
          <w:r>
            <w:fldChar w:fldCharType="begin"/>
          </w:r>
          <w:r>
            <w:instrText xml:space="preserve"> PAGE  \* Arabic </w:instrText>
          </w:r>
          <w:r>
            <w:fldChar w:fldCharType="separate"/>
          </w:r>
          <w:r w:rsidR="00521603">
            <w:rPr>
              <w:noProof/>
            </w:rPr>
            <w:t>2</w:t>
          </w:r>
          <w:r>
            <w:fldChar w:fldCharType="end"/>
          </w:r>
          <w:r w:rsidRPr="00487162">
            <w:t xml:space="preserve"> of </w:t>
          </w:r>
          <w:r>
            <w:fldChar w:fldCharType="begin"/>
          </w:r>
          <w:r>
            <w:instrText xml:space="preserve"> NUMPAGES  \* Arabic </w:instrText>
          </w:r>
          <w:r>
            <w:fldChar w:fldCharType="separate"/>
          </w:r>
          <w:r w:rsidR="00521603">
            <w:rPr>
              <w:noProof/>
            </w:rPr>
            <w:t>77</w:t>
          </w:r>
          <w:r>
            <w:rPr>
              <w:noProof/>
            </w:rPr>
            <w:fldChar w:fldCharType="end"/>
          </w:r>
        </w:p>
      </w:tc>
    </w:tr>
  </w:tbl>
  <w:p w:rsidR="00D17D73" w:rsidRDefault="00D17D73"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D17D73" w:rsidRPr="00487162" w:rsidTr="00E45619">
      <w:trPr>
        <w:trHeight w:val="269"/>
      </w:trPr>
      <w:tc>
        <w:tcPr>
          <w:tcW w:w="4519" w:type="dxa"/>
          <w:tcBorders>
            <w:top w:val="single" w:sz="4" w:space="0" w:color="auto"/>
          </w:tcBorders>
          <w:tcMar>
            <w:top w:w="142" w:type="dxa"/>
            <w:bottom w:w="0" w:type="dxa"/>
          </w:tcMar>
        </w:tcPr>
        <w:p w:rsidR="00D17D73" w:rsidRPr="00487162" w:rsidRDefault="00D17D73" w:rsidP="00FE1DEE">
          <w:pPr>
            <w:pStyle w:val="Footer"/>
          </w:pPr>
          <w:r w:rsidRPr="00487162">
            <w:t>Document title, Part #, Section # - Section title</w:t>
          </w:r>
        </w:p>
        <w:p w:rsidR="00D17D73" w:rsidRPr="00487162" w:rsidRDefault="00D17D73" w:rsidP="00FE1DEE">
          <w:pPr>
            <w:pStyle w:val="Footer"/>
          </w:pPr>
          <w:r w:rsidRPr="00487162">
            <w:t>V1.0 October 2010</w:t>
          </w:r>
        </w:p>
      </w:tc>
      <w:tc>
        <w:tcPr>
          <w:tcW w:w="4342" w:type="dxa"/>
          <w:tcBorders>
            <w:top w:val="single" w:sz="4" w:space="0" w:color="auto"/>
          </w:tcBorders>
          <w:tcMar>
            <w:top w:w="142" w:type="dxa"/>
            <w:bottom w:w="0" w:type="dxa"/>
          </w:tcMar>
        </w:tcPr>
        <w:p w:rsidR="00D17D73" w:rsidRPr="00487162" w:rsidRDefault="00D17D73"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fldChar w:fldCharType="begin"/>
          </w:r>
          <w:r>
            <w:instrText xml:space="preserve"> NUMPAGES  </w:instrText>
          </w:r>
          <w:r>
            <w:fldChar w:fldCharType="separate"/>
          </w:r>
          <w:r>
            <w:rPr>
              <w:noProof/>
            </w:rPr>
            <w:t>75</w:t>
          </w:r>
          <w:r>
            <w:rPr>
              <w:noProof/>
            </w:rPr>
            <w:fldChar w:fldCharType="end"/>
          </w:r>
        </w:p>
      </w:tc>
    </w:tr>
  </w:tbl>
  <w:p w:rsidR="00D17D73" w:rsidRDefault="00D17D73">
    <w:pPr>
      <w:pStyle w:val="Footer"/>
    </w:pPr>
  </w:p>
  <w:p w:rsidR="00D17D73" w:rsidRDefault="00D17D7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D73" w:rsidRPr="001C32CD" w:rsidRDefault="00D17D73"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D17D73" w:rsidTr="0010601F">
      <w:trPr>
        <w:trHeight w:val="108"/>
      </w:trPr>
      <w:tc>
        <w:tcPr>
          <w:tcW w:w="8875" w:type="dxa"/>
          <w:gridSpan w:val="2"/>
          <w:tcBorders>
            <w:bottom w:val="single" w:sz="4" w:space="0" w:color="auto"/>
          </w:tcBorders>
          <w:tcMar>
            <w:right w:w="284" w:type="dxa"/>
          </w:tcMar>
        </w:tcPr>
        <w:p w:rsidR="00D17D73" w:rsidRDefault="00D17D73" w:rsidP="006E08B3">
          <w:pPr>
            <w:pStyle w:val="Heading3"/>
          </w:pPr>
          <w:r>
            <w:t>Copyright</w:t>
          </w:r>
        </w:p>
        <w:p w:rsidR="00D17D73" w:rsidRDefault="00D17D73" w:rsidP="006E08B3">
          <w:r>
            <w:rPr>
              <w:rFonts w:cs="Arial"/>
            </w:rPr>
            <w:t>©</w:t>
          </w:r>
          <w:r>
            <w:t xml:space="preserve"> Commonwealth of Australia [add year]</w:t>
          </w:r>
        </w:p>
        <w:p w:rsidR="00D17D73" w:rsidRDefault="00D17D73" w:rsidP="006E08B3"/>
        <w:p w:rsidR="00D17D73" w:rsidRDefault="00D17D73"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D17D73" w:rsidRDefault="00D17D73" w:rsidP="006E08B3"/>
        <w:p w:rsidR="00D17D73" w:rsidRDefault="00D17D73" w:rsidP="006E08B3">
          <w:pPr>
            <w:pStyle w:val="Heading3"/>
          </w:pPr>
          <w:r>
            <w:t>Confidentiality</w:t>
          </w:r>
        </w:p>
        <w:p w:rsidR="00D17D73" w:rsidRDefault="00D17D73"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D17D73" w:rsidRDefault="00D17D73" w:rsidP="006E08B3"/>
        <w:p w:rsidR="00D17D73" w:rsidRDefault="00D17D73" w:rsidP="006E08B3">
          <w:r>
            <w:t>For submission made by individuals, all personal details, other than your name, will be removed from your submission before it is published on the TGA’s Internet site.</w:t>
          </w:r>
        </w:p>
        <w:p w:rsidR="00D17D73" w:rsidRDefault="00D17D73" w:rsidP="006E08B3"/>
        <w:p w:rsidR="00D17D73" w:rsidRDefault="00D17D73" w:rsidP="006E08B3">
          <w:r>
            <w:t>In addition, a list of parties making submissions will be published. If you do not wish to be identified with your submission you must specifically request this in the space provided ib the submission coversheet.</w:t>
          </w:r>
        </w:p>
      </w:tc>
    </w:tr>
    <w:tr w:rsidR="00D17D73" w:rsidTr="0010601F">
      <w:trPr>
        <w:trHeight w:val="417"/>
      </w:trPr>
      <w:tc>
        <w:tcPr>
          <w:tcW w:w="4519" w:type="dxa"/>
          <w:tcBorders>
            <w:top w:val="single" w:sz="4" w:space="0" w:color="auto"/>
          </w:tcBorders>
          <w:tcMar>
            <w:top w:w="142" w:type="dxa"/>
            <w:bottom w:w="0" w:type="dxa"/>
          </w:tcMar>
        </w:tcPr>
        <w:p w:rsidR="00D17D73" w:rsidRDefault="00D17D73" w:rsidP="006E08B3">
          <w:r>
            <w:t>Document title, Part #, Section # - Section title</w:t>
          </w:r>
        </w:p>
        <w:p w:rsidR="00D17D73" w:rsidRDefault="00D17D73" w:rsidP="006E08B3">
          <w:r>
            <w:t>V1.0 October 2010</w:t>
          </w:r>
        </w:p>
      </w:tc>
      <w:tc>
        <w:tcPr>
          <w:tcW w:w="4356" w:type="dxa"/>
          <w:tcBorders>
            <w:top w:val="single" w:sz="4" w:space="0" w:color="auto"/>
          </w:tcBorders>
          <w:tcMar>
            <w:top w:w="142" w:type="dxa"/>
            <w:bottom w:w="0" w:type="dxa"/>
          </w:tcMar>
        </w:tcPr>
        <w:p w:rsidR="00D17D73" w:rsidRDefault="00D17D73"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fldChar w:fldCharType="begin"/>
          </w:r>
          <w:r>
            <w:instrText xml:space="preserve"> NUMPAGES  \* Arabic </w:instrText>
          </w:r>
          <w:r>
            <w:fldChar w:fldCharType="separate"/>
          </w:r>
          <w:r>
            <w:rPr>
              <w:noProof/>
            </w:rPr>
            <w:t>75</w:t>
          </w:r>
          <w:r>
            <w:rPr>
              <w:noProof/>
            </w:rPr>
            <w:fldChar w:fldCharType="end"/>
          </w:r>
          <w:r>
            <w:t xml:space="preserve">  </w:t>
          </w:r>
        </w:p>
      </w:tc>
    </w:tr>
  </w:tbl>
  <w:p w:rsidR="00D17D73" w:rsidRDefault="00D17D7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D73" w:rsidRDefault="00D17D73" w:rsidP="00C40A36">
      <w:pPr>
        <w:spacing w:after="0"/>
      </w:pPr>
      <w:r>
        <w:separator/>
      </w:r>
    </w:p>
  </w:footnote>
  <w:footnote w:type="continuationSeparator" w:id="0">
    <w:p w:rsidR="00D17D73" w:rsidRDefault="00D17D73" w:rsidP="00C40A36">
      <w:pPr>
        <w:spacing w:after="0"/>
      </w:pPr>
      <w:r>
        <w:continuationSeparator/>
      </w:r>
    </w:p>
  </w:footnote>
  <w:footnote w:id="1">
    <w:p w:rsidR="00D17D73" w:rsidRDefault="00D17D73" w:rsidP="00956F87">
      <w:pPr>
        <w:pStyle w:val="FootnoteText"/>
      </w:pPr>
      <w:r>
        <w:rPr>
          <w:rStyle w:val="FootnoteReference"/>
        </w:rPr>
        <w:footnoteRef/>
      </w:r>
      <w:r w:rsidRPr="008F633C">
        <w:rPr>
          <w:lang w:val="de-DE"/>
        </w:rPr>
        <w:t xml:space="preserve"> Fattinger K., Funk C., </w:t>
      </w:r>
      <w:r w:rsidRPr="00956F87">
        <w:t>Pantze</w:t>
      </w:r>
      <w:r w:rsidRPr="008F633C">
        <w:rPr>
          <w:lang w:val="de-DE"/>
        </w:rPr>
        <w:t xml:space="preserve"> M., et al. 2001. </w:t>
      </w:r>
      <w:r w:rsidRPr="00733A28">
        <w:t>The endothelin antagonist bosentan inhibits the canalicular bile salt export pump: a potential mechanism for hepatic adverse reactions. Clinical Pharmacology and Therapeutics, 69: 223–231</w:t>
      </w:r>
    </w:p>
  </w:footnote>
  <w:footnote w:id="2">
    <w:p w:rsidR="00D17D73" w:rsidRDefault="00D17D73" w:rsidP="00956F87">
      <w:pPr>
        <w:pStyle w:val="FootnoteText"/>
      </w:pPr>
      <w:r>
        <w:rPr>
          <w:rStyle w:val="FootnoteReference"/>
        </w:rPr>
        <w:footnoteRef/>
      </w:r>
      <w:r>
        <w:t xml:space="preserve"> </w:t>
      </w:r>
      <w:proofErr w:type="gramStart"/>
      <w:r w:rsidRPr="00733A28">
        <w:t xml:space="preserve">Mano Y., Usui T. and </w:t>
      </w:r>
      <w:r w:rsidRPr="00956F87">
        <w:t>Kamimura</w:t>
      </w:r>
      <w:r w:rsidRPr="00733A28">
        <w:t xml:space="preserve"> H. 2007</w:t>
      </w:r>
      <w:r>
        <w:t>.</w:t>
      </w:r>
      <w:proofErr w:type="gramEnd"/>
      <w:r w:rsidRPr="00733A28">
        <w:t xml:space="preserve"> Effects of bosentan, an endothelin receptor antagonist, on bile salt export pump and multidrug resistance-associated protein 2. Biopharmaceutics and Drug Disposition, 28: 13‒18</w:t>
      </w:r>
    </w:p>
  </w:footnote>
  <w:footnote w:id="3">
    <w:p w:rsidR="00D17D73" w:rsidRPr="00F15419" w:rsidRDefault="00D17D73" w:rsidP="00BC0C01">
      <w:pPr>
        <w:pStyle w:val="FootnoteText"/>
      </w:pPr>
      <w:r>
        <w:rPr>
          <w:rStyle w:val="FootnoteReference"/>
        </w:rPr>
        <w:footnoteRef/>
      </w:r>
      <w:r>
        <w:t xml:space="preserve"> </w:t>
      </w:r>
      <w:r w:rsidRPr="00AC0446">
        <w:t>Hoeper M.M. 2009</w:t>
      </w:r>
      <w:r>
        <w:t>.</w:t>
      </w:r>
      <w:r w:rsidRPr="00AC0446">
        <w:t xml:space="preserve"> Liver toxicity: the Achilles’ heel of endothelin receptor antagonist therapy? </w:t>
      </w:r>
      <w:r w:rsidRPr="00F15419">
        <w:t>European Respiratory Journal, 34: 529–530</w:t>
      </w:r>
    </w:p>
  </w:footnote>
  <w:footnote w:id="4">
    <w:p w:rsidR="00D17D73" w:rsidRDefault="00D17D73" w:rsidP="00BC0C01">
      <w:pPr>
        <w:pStyle w:val="FootnoteText"/>
      </w:pPr>
      <w:r>
        <w:rPr>
          <w:rStyle w:val="FootnoteReference"/>
        </w:rPr>
        <w:footnoteRef/>
      </w:r>
      <w:r w:rsidRPr="00313370">
        <w:rPr>
          <w:lang w:val="it-IT"/>
        </w:rPr>
        <w:t xml:space="preserve"> </w:t>
      </w:r>
      <w:r w:rsidRPr="00313370">
        <w:rPr>
          <w:lang w:val="it-IT"/>
        </w:rPr>
        <w:t xml:space="preserve">Tripiciano A., Filippini A., Giustiniani Q. and Palombi F. 1996. </w:t>
      </w:r>
      <w:proofErr w:type="gramStart"/>
      <w:r w:rsidRPr="00AC0446">
        <w:t>Direct visualization of rat peritubular myoid cell contraction in response to endothelin.</w:t>
      </w:r>
      <w:proofErr w:type="gramEnd"/>
      <w:r w:rsidRPr="00AC0446">
        <w:t xml:space="preserve"> Biology of </w:t>
      </w:r>
      <w:r w:rsidRPr="00BC0C01">
        <w:t>Reproduction</w:t>
      </w:r>
      <w:r w:rsidRPr="00AC0446">
        <w:t>, 55: 25‒31</w:t>
      </w:r>
    </w:p>
  </w:footnote>
  <w:footnote w:id="5">
    <w:p w:rsidR="00D17D73" w:rsidRDefault="00D17D73" w:rsidP="00BC0C01">
      <w:pPr>
        <w:pStyle w:val="FootnoteText"/>
      </w:pPr>
      <w:r>
        <w:rPr>
          <w:rStyle w:val="FootnoteReference"/>
        </w:rPr>
        <w:footnoteRef/>
      </w:r>
      <w:r>
        <w:t xml:space="preserve"> </w:t>
      </w:r>
      <w:r w:rsidRPr="00014FC0">
        <w:t>Jones H.B., Macpherson A., Betton G.R., Davis A.S., Siddall R. and Greaves P. 2003</w:t>
      </w:r>
      <w:r>
        <w:t>.</w:t>
      </w:r>
      <w:r w:rsidRPr="00014FC0">
        <w:t xml:space="preserve"> </w:t>
      </w:r>
      <w:proofErr w:type="gramStart"/>
      <w:r w:rsidRPr="00014FC0">
        <w:t>Endothelin antagonist-induced coronary and systemic arteritis in the beagle dog.</w:t>
      </w:r>
      <w:proofErr w:type="gramEnd"/>
      <w:r w:rsidRPr="00014FC0">
        <w:t xml:space="preserve"> Toxicologic Pathology, 31: 263–272.</w:t>
      </w:r>
    </w:p>
  </w:footnote>
  <w:footnote w:id="6">
    <w:p w:rsidR="00D17D73" w:rsidRDefault="00D17D73" w:rsidP="00BC0C01">
      <w:pPr>
        <w:pStyle w:val="FootnoteText"/>
      </w:pPr>
      <w:r>
        <w:rPr>
          <w:rStyle w:val="FootnoteReference"/>
        </w:rPr>
        <w:footnoteRef/>
      </w:r>
      <w:r>
        <w:t xml:space="preserve"> </w:t>
      </w:r>
      <w:proofErr w:type="gramStart"/>
      <w:r w:rsidRPr="00014FC0">
        <w:t>McDuffie J.E., Yu X., Sobocinski G., Song Y., Chupka J. and Albassam M. 2006</w:t>
      </w:r>
      <w:r>
        <w:t>.</w:t>
      </w:r>
      <w:proofErr w:type="gramEnd"/>
      <w:r w:rsidRPr="00014FC0">
        <w:t xml:space="preserve"> Acute coronary artery injury in dogs following administration of CI-1034, an endothelin </w:t>
      </w:r>
      <w:proofErr w:type="gramStart"/>
      <w:r w:rsidRPr="00014FC0">
        <w:t>A</w:t>
      </w:r>
      <w:proofErr w:type="gramEnd"/>
      <w:r w:rsidRPr="00014FC0">
        <w:t xml:space="preserve"> receptor antagonist. Cardiovascular Toxicology, </w:t>
      </w:r>
      <w:r w:rsidRPr="00014FC0">
        <w:rPr>
          <w:b/>
        </w:rPr>
        <w:t>6</w:t>
      </w:r>
      <w:r w:rsidRPr="00014FC0">
        <w:t>: 25‒38.</w:t>
      </w:r>
    </w:p>
  </w:footnote>
  <w:footnote w:id="7">
    <w:p w:rsidR="00D17D73" w:rsidRDefault="00D17D73" w:rsidP="00BC0C01">
      <w:pPr>
        <w:pStyle w:val="FootnoteText"/>
      </w:pPr>
      <w:r>
        <w:rPr>
          <w:rStyle w:val="FootnoteReference"/>
        </w:rPr>
        <w:footnoteRef/>
      </w:r>
      <w:r>
        <w:t xml:space="preserve"> </w:t>
      </w:r>
      <w:proofErr w:type="gramStart"/>
      <w:r w:rsidRPr="00EC1D71">
        <w:t>Vansell N.R. and Klaassen C.D. 2001</w:t>
      </w:r>
      <w:r>
        <w:t>.</w:t>
      </w:r>
      <w:proofErr w:type="gramEnd"/>
      <w:r w:rsidRPr="00EC1D71">
        <w:t xml:space="preserve"> </w:t>
      </w:r>
      <w:proofErr w:type="gramStart"/>
      <w:r w:rsidRPr="00EC1D71">
        <w:t>Increased biliary excretion of thyroxine by microsomal enzyme inducers.</w:t>
      </w:r>
      <w:proofErr w:type="gramEnd"/>
      <w:r w:rsidRPr="00EC1D71">
        <w:t xml:space="preserve"> Toxicology and Applied Pharmacology, 176: 187–194.</w:t>
      </w:r>
    </w:p>
  </w:footnote>
  <w:footnote w:id="8">
    <w:p w:rsidR="00D17D73" w:rsidRDefault="00D17D73">
      <w:pPr>
        <w:pStyle w:val="FootnoteText"/>
      </w:pPr>
      <w:r>
        <w:rPr>
          <w:rStyle w:val="FootnoteReference"/>
        </w:rPr>
        <w:footnoteRef/>
      </w:r>
      <w:r>
        <w:t xml:space="preserve"> </w:t>
      </w:r>
      <w:proofErr w:type="gramStart"/>
      <w:r w:rsidRPr="00014FC0">
        <w:t>Hard G.C., Rodgers I.S., Baetcke K.R., Richards W.L., McGaughy R.E. and Valcovic L.R. 1993</w:t>
      </w:r>
      <w:r>
        <w:t>.</w:t>
      </w:r>
      <w:proofErr w:type="gramEnd"/>
      <w:r w:rsidRPr="00014FC0">
        <w:t xml:space="preserve"> </w:t>
      </w:r>
      <w:proofErr w:type="gramStart"/>
      <w:r w:rsidRPr="00014FC0">
        <w:t>Hazard evaluation of chemicals that cause accumulation of α</w:t>
      </w:r>
      <w:r w:rsidRPr="00014FC0">
        <w:rPr>
          <w:vertAlign w:val="subscript"/>
        </w:rPr>
        <w:t>2u</w:t>
      </w:r>
      <w:r w:rsidRPr="00014FC0">
        <w:t>-globulin, hyaline droplet nephropathy, and tubule neoplasia in the kidneys of male rats.</w:t>
      </w:r>
      <w:proofErr w:type="gramEnd"/>
      <w:r w:rsidRPr="00014FC0">
        <w:t xml:space="preserve"> Environmental Health Perspectives, 99: 313‒349.</w:t>
      </w:r>
    </w:p>
  </w:footnote>
  <w:footnote w:id="9">
    <w:p w:rsidR="00D17D73" w:rsidRDefault="00D17D73" w:rsidP="009901E6">
      <w:pPr>
        <w:pStyle w:val="FootnoteText"/>
      </w:pPr>
      <w:r>
        <w:rPr>
          <w:rStyle w:val="FootnoteReference"/>
        </w:rPr>
        <w:footnoteRef/>
      </w:r>
      <w:r>
        <w:t xml:space="preserve"> </w:t>
      </w:r>
      <w:r w:rsidRPr="00B52397">
        <w:rPr>
          <w:noProof/>
        </w:rPr>
        <w:t>Spence S., Anderson C., Cukierski M. and Patrick D. 1999</w:t>
      </w:r>
      <w:r>
        <w:rPr>
          <w:noProof/>
        </w:rPr>
        <w:t>.</w:t>
      </w:r>
      <w:r w:rsidRPr="00B52397">
        <w:rPr>
          <w:noProof/>
        </w:rPr>
        <w:t xml:space="preserve"> Teratogenic effects of the endothelin receptor antagonist L-753,037 in the rat. </w:t>
      </w:r>
      <w:r w:rsidRPr="009901E6">
        <w:t>Reproductive</w:t>
      </w:r>
      <w:r w:rsidRPr="00B52397">
        <w:rPr>
          <w:noProof/>
        </w:rPr>
        <w:t xml:space="preserve"> Toxicology, 13: 15–29</w:t>
      </w:r>
    </w:p>
  </w:footnote>
  <w:footnote w:id="10">
    <w:p w:rsidR="00D17D73" w:rsidRPr="008E1160" w:rsidRDefault="00D17D73" w:rsidP="008E1160">
      <w:pPr>
        <w:pStyle w:val="FootnoteText"/>
      </w:pPr>
      <w:r>
        <w:rPr>
          <w:rStyle w:val="FootnoteReference"/>
        </w:rPr>
        <w:footnoteRef/>
      </w:r>
      <w:r>
        <w:t xml:space="preserve"> </w:t>
      </w:r>
      <w:r w:rsidRPr="00E37CA8">
        <w:rPr>
          <w:lang w:val="en-US"/>
        </w:rPr>
        <w:t>Australian PI for Bosentan, April 2011</w:t>
      </w:r>
    </w:p>
  </w:footnote>
  <w:footnote w:id="11">
    <w:p w:rsidR="00D17D73" w:rsidRDefault="00D17D73" w:rsidP="008E1160">
      <w:pPr>
        <w:pStyle w:val="FootnoteText"/>
      </w:pPr>
      <w:r>
        <w:rPr>
          <w:rStyle w:val="FootnoteReference"/>
        </w:rPr>
        <w:footnoteRef/>
      </w:r>
      <w:r>
        <w:t xml:space="preserve"> </w:t>
      </w:r>
      <w:r w:rsidRPr="00E37CA8">
        <w:rPr>
          <w:lang w:val="en-US"/>
        </w:rPr>
        <w:t xml:space="preserve">Australian PI for Ambrisentan, October </w:t>
      </w:r>
      <w:r w:rsidRPr="008E1160">
        <w:t>2012</w:t>
      </w:r>
    </w:p>
  </w:footnote>
  <w:footnote w:id="12">
    <w:p w:rsidR="00D17D73" w:rsidRDefault="00D17D73" w:rsidP="0039319F">
      <w:pPr>
        <w:pStyle w:val="FootnoteText"/>
      </w:pPr>
      <w:r w:rsidRPr="005320F5">
        <w:rPr>
          <w:rStyle w:val="FootnoteReference"/>
        </w:rPr>
        <w:footnoteRef/>
      </w:r>
      <w:r w:rsidRPr="005320F5">
        <w:t xml:space="preserve"> In order to account for the contribution of ACT-132577 to the effect on SiDBP, a concentration parameter for the combined unbound fraction (C</w:t>
      </w:r>
      <w:r w:rsidRPr="005320F5">
        <w:rPr>
          <w:vertAlign w:val="subscript"/>
        </w:rPr>
        <w:t>free combined</w:t>
      </w:r>
      <w:r w:rsidRPr="005320F5">
        <w:t>) was derived from the C</w:t>
      </w:r>
      <w:r w:rsidRPr="005320F5">
        <w:rPr>
          <w:vertAlign w:val="subscript"/>
        </w:rPr>
        <w:t>trough</w:t>
      </w:r>
      <w:r w:rsidRPr="005320F5">
        <w:t xml:space="preserve"> concentrations of macitentan and ACT-132577 using the formula: </w:t>
      </w:r>
      <w:r w:rsidRPr="00AE45F6">
        <w:t>C</w:t>
      </w:r>
      <w:r w:rsidRPr="00AE45F6">
        <w:rPr>
          <w:vertAlign w:val="subscript"/>
        </w:rPr>
        <w:t xml:space="preserve">free combined </w:t>
      </w:r>
      <w:r w:rsidRPr="00AE45F6">
        <w:t>= (0.4/100) *C</w:t>
      </w:r>
      <w:r w:rsidRPr="00AE45F6">
        <w:rPr>
          <w:vertAlign w:val="subscript"/>
        </w:rPr>
        <w:t>trough</w:t>
      </w:r>
      <w:r w:rsidRPr="00AE45F6">
        <w:t xml:space="preserve"> macitentan + (0.5/100) *0.2 C</w:t>
      </w:r>
      <w:r w:rsidRPr="00AE45F6">
        <w:rPr>
          <w:vertAlign w:val="subscript"/>
        </w:rPr>
        <w:t>trough</w:t>
      </w:r>
      <w:r w:rsidRPr="00AE45F6">
        <w:t xml:space="preserve"> ACT-132577</w:t>
      </w:r>
      <w:r>
        <w:t xml:space="preserve">. </w:t>
      </w:r>
      <w:r w:rsidRPr="00AE45F6">
        <w:t>This formula</w:t>
      </w:r>
      <w:r w:rsidRPr="005320F5">
        <w:t xml:space="preserve"> assumed </w:t>
      </w:r>
      <w:r w:rsidRPr="005320F5">
        <w:rPr>
          <w:rFonts w:cs="Cambria"/>
        </w:rPr>
        <w:t>that the free fractions of macitentan and ACT-132577, as determined in vitro, were 0.4% and</w:t>
      </w:r>
      <w:r>
        <w:t xml:space="preserve"> 0.5%</w:t>
      </w:r>
      <w:r w:rsidRPr="005320F5">
        <w:t xml:space="preserve">, and that </w:t>
      </w:r>
      <w:r w:rsidRPr="005320F5">
        <w:rPr>
          <w:rFonts w:cs="Cambria"/>
        </w:rPr>
        <w:t xml:space="preserve">ACT-132577 was approximately </w:t>
      </w:r>
      <w:r w:rsidRPr="005320F5">
        <w:t xml:space="preserve">8-fold less potent in vitro than macitentan on </w:t>
      </w:r>
      <w:r>
        <w:t>ET</w:t>
      </w:r>
      <w:r w:rsidRPr="00980D42">
        <w:rPr>
          <w:vertAlign w:val="subscript"/>
        </w:rPr>
        <w:t>A</w:t>
      </w:r>
      <w:r w:rsidRPr="005320F5">
        <w:t xml:space="preserve"> and 2-fold less potent on</w:t>
      </w:r>
      <w:r>
        <w:t xml:space="preserve"> ET</w:t>
      </w:r>
      <w:r w:rsidRPr="00980D42">
        <w:rPr>
          <w:vertAlign w:val="subscript"/>
        </w:rPr>
        <w:t>B</w:t>
      </w:r>
    </w:p>
  </w:footnote>
  <w:footnote w:id="13">
    <w:p w:rsidR="00D17D73" w:rsidRPr="009C0117" w:rsidRDefault="00D17D73" w:rsidP="0039319F">
      <w:pPr>
        <w:pStyle w:val="FootnoteText"/>
      </w:pPr>
      <w:r>
        <w:rPr>
          <w:rStyle w:val="FootnoteReference"/>
        </w:rPr>
        <w:footnoteRef/>
      </w:r>
      <w:r>
        <w:t xml:space="preserve"> </w:t>
      </w:r>
      <w:r w:rsidRPr="009C0117">
        <w:t xml:space="preserve">For the grouping of </w:t>
      </w:r>
      <w:r>
        <w:t>‘</w:t>
      </w:r>
      <w:r w:rsidRPr="009C0117">
        <w:t>liver disorders and abnormal liver function</w:t>
      </w:r>
      <w:r>
        <w:t>’</w:t>
      </w:r>
      <w:r w:rsidRPr="009C0117">
        <w:t xml:space="preserve">, PTs from the overall AE list were included in this grouping if they appeared in the standardised MedDRA queries (SMQ) of </w:t>
      </w:r>
      <w:r>
        <w:t>‘</w:t>
      </w:r>
      <w:r w:rsidRPr="009C0117">
        <w:t>drug-related hepatic disorders</w:t>
      </w:r>
      <w:r>
        <w:t>’</w:t>
      </w:r>
      <w:r w:rsidRPr="009C0117">
        <w:t xml:space="preserve">. PTs included in this grouping were </w:t>
      </w:r>
      <w:r w:rsidRPr="009C0117">
        <w:rPr>
          <w:rFonts w:cs="Cambria"/>
        </w:rPr>
        <w:t>alanine aminotransferase (ALT) increased</w:t>
      </w:r>
      <w:r w:rsidRPr="009C0117">
        <w:t xml:space="preserve">, </w:t>
      </w:r>
      <w:r w:rsidRPr="009C0117">
        <w:rPr>
          <w:rFonts w:cs="Cambria"/>
        </w:rPr>
        <w:t>aspartate aminotransferase (AST) increased</w:t>
      </w:r>
      <w:r w:rsidRPr="009C0117">
        <w:t xml:space="preserve">, </w:t>
      </w:r>
      <w:r w:rsidRPr="009C0117">
        <w:rPr>
          <w:rFonts w:cs="Cambria"/>
        </w:rPr>
        <w:t>bilirubin conjugated increased</w:t>
      </w:r>
      <w:r w:rsidRPr="009C0117">
        <w:t xml:space="preserve">, </w:t>
      </w:r>
      <w:r w:rsidRPr="009C0117">
        <w:rPr>
          <w:rFonts w:cs="Cambria"/>
        </w:rPr>
        <w:t>blood al</w:t>
      </w:r>
      <w:r w:rsidRPr="009C0117">
        <w:t xml:space="preserve">kaline phosphatase (ALP) increased, </w:t>
      </w:r>
      <w:r w:rsidRPr="009C0117">
        <w:rPr>
          <w:rFonts w:cs="Cambria"/>
        </w:rPr>
        <w:t>blood bilirubin increased</w:t>
      </w:r>
      <w:r w:rsidRPr="009C0117">
        <w:t xml:space="preserve">, </w:t>
      </w:r>
      <w:r w:rsidRPr="009C0117">
        <w:rPr>
          <w:rFonts w:cs="Cambria"/>
        </w:rPr>
        <w:t>gamma-glutamyltransferase (GGT) increased</w:t>
      </w:r>
      <w:r w:rsidRPr="009C0117">
        <w:t xml:space="preserve">, </w:t>
      </w:r>
      <w:r w:rsidRPr="009C0117">
        <w:rPr>
          <w:rFonts w:cs="Cambria"/>
        </w:rPr>
        <w:t>hepatic cirrhosis</w:t>
      </w:r>
      <w:r w:rsidRPr="009C0117">
        <w:t xml:space="preserve">, </w:t>
      </w:r>
      <w:r w:rsidRPr="009C0117">
        <w:rPr>
          <w:rFonts w:cs="Cambria"/>
        </w:rPr>
        <w:t>hepatic enzyme increased</w:t>
      </w:r>
      <w:r w:rsidRPr="009C0117">
        <w:t xml:space="preserve">, </w:t>
      </w:r>
      <w:r w:rsidRPr="009C0117">
        <w:rPr>
          <w:rFonts w:cs="Cambria"/>
        </w:rPr>
        <w:t>hepatic function abnormal</w:t>
      </w:r>
      <w:r w:rsidRPr="009C0117">
        <w:t xml:space="preserve">, </w:t>
      </w:r>
      <w:r w:rsidRPr="009C0117">
        <w:rPr>
          <w:rFonts w:cs="Cambria"/>
        </w:rPr>
        <w:t>hepatitis</w:t>
      </w:r>
      <w:r w:rsidRPr="009C0117">
        <w:t xml:space="preserve">, </w:t>
      </w:r>
      <w:r w:rsidRPr="009C0117">
        <w:rPr>
          <w:rFonts w:cs="Cambria"/>
        </w:rPr>
        <w:t>hepatitis acute</w:t>
      </w:r>
      <w:r w:rsidRPr="009C0117">
        <w:t xml:space="preserve">, </w:t>
      </w:r>
      <w:r w:rsidRPr="009C0117">
        <w:rPr>
          <w:rFonts w:cs="Cambria"/>
        </w:rPr>
        <w:t>hyperbilirubinaemia</w:t>
      </w:r>
      <w:r w:rsidRPr="009C0117">
        <w:t xml:space="preserve">, </w:t>
      </w:r>
      <w:r w:rsidRPr="009C0117">
        <w:rPr>
          <w:rFonts w:cs="Cambria"/>
        </w:rPr>
        <w:t>ischaemic hepatitis</w:t>
      </w:r>
      <w:r w:rsidRPr="009C0117">
        <w:t xml:space="preserve">, </w:t>
      </w:r>
      <w:r w:rsidRPr="009C0117">
        <w:rPr>
          <w:rFonts w:cs="Cambria"/>
        </w:rPr>
        <w:t>jaundice</w:t>
      </w:r>
      <w:r w:rsidRPr="009C0117">
        <w:t xml:space="preserve">, </w:t>
      </w:r>
      <w:r w:rsidRPr="009C0117">
        <w:rPr>
          <w:rFonts w:cs="Cambria"/>
        </w:rPr>
        <w:t>liver function test abnormal</w:t>
      </w:r>
      <w:r w:rsidRPr="009C0117">
        <w:t xml:space="preserve">, </w:t>
      </w:r>
      <w:r w:rsidRPr="009C0117">
        <w:rPr>
          <w:rFonts w:cs="Cambria"/>
        </w:rPr>
        <w:t>liver injury</w:t>
      </w:r>
      <w:r w:rsidRPr="009C0117">
        <w:t xml:space="preserve">, and </w:t>
      </w:r>
      <w:r w:rsidRPr="009C0117">
        <w:rPr>
          <w:rFonts w:cs="Cambria"/>
        </w:rPr>
        <w:t xml:space="preserve">transaminases increased. </w:t>
      </w:r>
      <w:r w:rsidRPr="009C0117">
        <w:t xml:space="preserve">For the grouping of </w:t>
      </w:r>
      <w:r>
        <w:t>‘</w:t>
      </w:r>
      <w:r w:rsidRPr="009C0117">
        <w:t>haemoglobin decrease</w:t>
      </w:r>
      <w:r>
        <w:t>’</w:t>
      </w:r>
      <w:r w:rsidRPr="009C0117">
        <w:t xml:space="preserve">, PTs from the overall AE list were included in this grouping if they appeared in the SMQs of </w:t>
      </w:r>
      <w:r>
        <w:t>‘</w:t>
      </w:r>
      <w:r w:rsidRPr="009C0117">
        <w:t>haematopoietic erythropenia</w:t>
      </w:r>
      <w:r>
        <w:t>’</w:t>
      </w:r>
      <w:r w:rsidRPr="009C0117">
        <w:t xml:space="preserve"> and </w:t>
      </w:r>
      <w:r>
        <w:t>‘</w:t>
      </w:r>
      <w:r w:rsidRPr="009C0117">
        <w:t>haematopoietic cytopenias affecting more than one type of blood cell</w:t>
      </w:r>
      <w:r>
        <w:t>’</w:t>
      </w:r>
      <w:r w:rsidRPr="009C0117">
        <w:t xml:space="preserve">. PTs included in this grouping were </w:t>
      </w:r>
      <w:r w:rsidRPr="009C0117">
        <w:rPr>
          <w:rFonts w:cs="Cambria"/>
        </w:rPr>
        <w:t>anaemia</w:t>
      </w:r>
      <w:r w:rsidRPr="009C0117">
        <w:t xml:space="preserve">, </w:t>
      </w:r>
      <w:r w:rsidRPr="009C0117">
        <w:rPr>
          <w:rFonts w:cs="Cambria"/>
        </w:rPr>
        <w:t>anaemia haemolytic autoimmune, anaemia megaloblastic, erythropenia</w:t>
      </w:r>
      <w:r w:rsidRPr="009C0117">
        <w:t xml:space="preserve">, </w:t>
      </w:r>
      <w:r w:rsidRPr="009C0117">
        <w:rPr>
          <w:rFonts w:cs="Cambria"/>
        </w:rPr>
        <w:t>haematocrit decreased, haemoglobin decreased, haemolytic anaemia, iron deficiency anaemia, pancytopenia</w:t>
      </w:r>
      <w:r w:rsidRPr="009C0117">
        <w:t xml:space="preserve">, and </w:t>
      </w:r>
      <w:r w:rsidRPr="009C0117">
        <w:rPr>
          <w:rFonts w:cs="Cambria"/>
        </w:rPr>
        <w:t xml:space="preserve">red blood cell count decreased. </w:t>
      </w:r>
      <w:r w:rsidRPr="009C0117">
        <w:t xml:space="preserve">For the grouping of </w:t>
      </w:r>
      <w:r>
        <w:t>‘</w:t>
      </w:r>
      <w:r w:rsidRPr="009C0117">
        <w:t>oedema</w:t>
      </w:r>
      <w:r>
        <w:t>’</w:t>
      </w:r>
      <w:r w:rsidRPr="009C0117">
        <w:t xml:space="preserve">, PTs from the overall AE list were included in this grouping if they appeared in the SMQ of </w:t>
      </w:r>
      <w:r>
        <w:t>‘</w:t>
      </w:r>
      <w:r w:rsidRPr="009C0117">
        <w:t>haemodynamic oedema, effusions and fluid overload</w:t>
      </w:r>
      <w:r>
        <w:t>’</w:t>
      </w:r>
      <w:r w:rsidRPr="009C0117">
        <w:t xml:space="preserve">. PTs included in this grouping were </w:t>
      </w:r>
      <w:r w:rsidRPr="009C0117">
        <w:rPr>
          <w:rFonts w:cs="Cambria"/>
        </w:rPr>
        <w:t>eye oedema, eyelid oedema, face oedema, fluid overload</w:t>
      </w:r>
      <w:r w:rsidRPr="009C0117">
        <w:t>,</w:t>
      </w:r>
      <w:r w:rsidRPr="009C0117">
        <w:rPr>
          <w:rFonts w:cs="Cambria"/>
        </w:rPr>
        <w:t xml:space="preserve"> fluid retention</w:t>
      </w:r>
      <w:r w:rsidRPr="009C0117">
        <w:t xml:space="preserve">, </w:t>
      </w:r>
      <w:r w:rsidRPr="009C0117">
        <w:rPr>
          <w:rFonts w:cs="Cambria"/>
        </w:rPr>
        <w:t>generalised oedema</w:t>
      </w:r>
      <w:r w:rsidRPr="009C0117">
        <w:t xml:space="preserve">, </w:t>
      </w:r>
      <w:r w:rsidRPr="009C0117">
        <w:rPr>
          <w:rFonts w:cs="Cambria"/>
        </w:rPr>
        <w:t>localised oedema</w:t>
      </w:r>
      <w:r w:rsidRPr="009C0117">
        <w:t xml:space="preserve">, </w:t>
      </w:r>
      <w:r w:rsidRPr="009C0117">
        <w:rPr>
          <w:rFonts w:cs="Cambria"/>
        </w:rPr>
        <w:t>oedema</w:t>
      </w:r>
      <w:r w:rsidRPr="009C0117">
        <w:t xml:space="preserve">, </w:t>
      </w:r>
      <w:r w:rsidRPr="009C0117">
        <w:rPr>
          <w:rFonts w:cs="Cambria"/>
        </w:rPr>
        <w:t>oedema peripheral</w:t>
      </w:r>
      <w:r w:rsidRPr="009C0117">
        <w:t xml:space="preserve">, </w:t>
      </w:r>
      <w:r w:rsidRPr="009C0117">
        <w:rPr>
          <w:rFonts w:cs="Cambria"/>
        </w:rPr>
        <w:t>orbital oedema, periorbital oedema, swelling face, ascites</w:t>
      </w:r>
      <w:r w:rsidRPr="009C0117">
        <w:t xml:space="preserve">, </w:t>
      </w:r>
      <w:r w:rsidRPr="009C0117">
        <w:rPr>
          <w:rFonts w:cs="Cambria"/>
        </w:rPr>
        <w:t>hypervolaemia</w:t>
      </w:r>
      <w:r w:rsidRPr="009C0117">
        <w:t xml:space="preserve">, </w:t>
      </w:r>
      <w:r w:rsidRPr="009C0117">
        <w:rPr>
          <w:rFonts w:cs="Cambria"/>
        </w:rPr>
        <w:t>hydrothorax</w:t>
      </w:r>
      <w:r w:rsidRPr="009C0117">
        <w:t xml:space="preserve">, </w:t>
      </w:r>
      <w:r w:rsidRPr="009C0117">
        <w:rPr>
          <w:rFonts w:cs="Cambria"/>
        </w:rPr>
        <w:t>lymphoedema</w:t>
      </w:r>
      <w:r w:rsidRPr="009C0117">
        <w:t xml:space="preserve">, and </w:t>
      </w:r>
      <w:r w:rsidRPr="009C0117">
        <w:rPr>
          <w:rFonts w:cs="Cambria"/>
        </w:rPr>
        <w:t>pelvic fluid collection</w:t>
      </w:r>
      <w:r w:rsidRPr="009C0117">
        <w:t xml:space="preserve">. For the grouping of </w:t>
      </w:r>
      <w:r>
        <w:t>‘</w:t>
      </w:r>
      <w:r w:rsidRPr="009C0117">
        <w:t>hypotension</w:t>
      </w:r>
      <w:r>
        <w:t>’</w:t>
      </w:r>
      <w:r w:rsidRPr="009C0117">
        <w:t xml:space="preserve">, no SMQ for hypotension was available in MedDRA version 14.0 according to the sponsor. PTs included in this grouping were </w:t>
      </w:r>
      <w:r>
        <w:rPr>
          <w:rFonts w:cs="Cambria"/>
        </w:rPr>
        <w:t>BP</w:t>
      </w:r>
      <w:r w:rsidRPr="009C0117">
        <w:rPr>
          <w:rFonts w:cs="Cambria"/>
        </w:rPr>
        <w:t xml:space="preserve"> systolic decreased</w:t>
      </w:r>
      <w:r w:rsidRPr="009C0117">
        <w:t xml:space="preserve">, </w:t>
      </w:r>
      <w:r w:rsidRPr="009C0117">
        <w:rPr>
          <w:rFonts w:cs="Cambria"/>
        </w:rPr>
        <w:t>hypotension</w:t>
      </w:r>
      <w:r w:rsidRPr="009C0117">
        <w:t xml:space="preserve">, and </w:t>
      </w:r>
      <w:r w:rsidRPr="009C0117">
        <w:rPr>
          <w:rFonts w:cs="Cambria"/>
        </w:rPr>
        <w:t>orthostatic hypotension.</w:t>
      </w:r>
      <w:r>
        <w:rPr>
          <w:rFonts w:cs="Cambria"/>
        </w:rPr>
        <w:t xml:space="preserve"> </w:t>
      </w:r>
    </w:p>
  </w:footnote>
  <w:footnote w:id="14">
    <w:p w:rsidR="00D17D73" w:rsidRPr="003C40A0" w:rsidRDefault="00D17D73" w:rsidP="00285A33">
      <w:pPr>
        <w:pStyle w:val="FootnoteText"/>
      </w:pPr>
      <w:r>
        <w:rPr>
          <w:rStyle w:val="FootnoteReference"/>
        </w:rPr>
        <w:footnoteRef/>
      </w:r>
      <w:r>
        <w:t xml:space="preserve"> </w:t>
      </w:r>
      <w:r w:rsidRPr="003C40A0">
        <w:t>Beraprost is not currently approved for use in Australia.</w:t>
      </w:r>
      <w:r>
        <w:t xml:space="preserve"> Vardenafil is marketed in Australia, but is not currently approved for the indication of treatment of PAH.</w:t>
      </w:r>
    </w:p>
  </w:footnote>
  <w:footnote w:id="15">
    <w:p w:rsidR="00D17D73" w:rsidRPr="00420E0C" w:rsidRDefault="00D17D73" w:rsidP="0064650C">
      <w:pPr>
        <w:pStyle w:val="FootnoteText"/>
      </w:pPr>
      <w:r w:rsidRPr="00420E0C">
        <w:rPr>
          <w:rStyle w:val="FootnoteReference"/>
          <w:sz w:val="20"/>
        </w:rPr>
        <w:footnoteRef/>
      </w:r>
      <w:r w:rsidRPr="00420E0C">
        <w:rPr>
          <w:sz w:val="20"/>
        </w:rPr>
        <w:t xml:space="preserve"> </w:t>
      </w:r>
      <w:r w:rsidRPr="00420E0C">
        <w:t xml:space="preserve">Amory JK et al., </w:t>
      </w:r>
      <w:r>
        <w:t xml:space="preserve">2007. </w:t>
      </w:r>
      <w:proofErr w:type="gramStart"/>
      <w:r w:rsidRPr="00420E0C">
        <w:t>The effect of 5alpha-reductase inhibition with dutasteride and finasteride on semen parameters and serum hormones in healthy men.</w:t>
      </w:r>
      <w:proofErr w:type="gramEnd"/>
      <w:r w:rsidRPr="00420E0C">
        <w:t xml:space="preserve"> </w:t>
      </w:r>
      <w:r w:rsidRPr="00C81A95">
        <w:t>J Clin Endocrinol Metab,</w:t>
      </w:r>
      <w:r>
        <w:t xml:space="preserve"> 92:1659-65</w:t>
      </w:r>
      <w:r w:rsidRPr="00420E0C">
        <w:t>.</w:t>
      </w:r>
    </w:p>
  </w:footnote>
  <w:footnote w:id="16">
    <w:p w:rsidR="00D17D73" w:rsidRDefault="00D17D73">
      <w:pPr>
        <w:pStyle w:val="FootnoteText"/>
      </w:pPr>
      <w:r>
        <w:rPr>
          <w:rStyle w:val="FootnoteReference"/>
        </w:rPr>
        <w:footnoteRef/>
      </w:r>
      <w:r>
        <w:t xml:space="preserve"> </w:t>
      </w:r>
      <w:proofErr w:type="gramStart"/>
      <w:r w:rsidRPr="00355FBD">
        <w:t>Ferner RE, Aronson JK 2006.</w:t>
      </w:r>
      <w:proofErr w:type="gramEnd"/>
      <w:r w:rsidRPr="00355FBD">
        <w:t xml:space="preserve"> Clarification of terminology in medication errors: definitions and classification. Drug Saf 29:1011–1022.</w:t>
      </w:r>
    </w:p>
  </w:footnote>
  <w:footnote w:id="17">
    <w:p w:rsidR="00D17D73" w:rsidRDefault="00D17D73" w:rsidP="00D17D73">
      <w:pPr>
        <w:pStyle w:val="FootnoteText"/>
      </w:pPr>
      <w:r>
        <w:rPr>
          <w:rStyle w:val="FootnoteReference"/>
        </w:rPr>
        <w:footnoteRef/>
      </w:r>
      <w:r>
        <w:t xml:space="preserve"> </w:t>
      </w:r>
      <w:r w:rsidRPr="002845BF">
        <w:t xml:space="preserve">Keogh A, et al. 2011. The bosentan patient registry: long-term survival in pulmonary arterial hypertension. </w:t>
      </w:r>
      <w:r w:rsidRPr="002845BF">
        <w:rPr>
          <w:iCs/>
        </w:rPr>
        <w:t>Int Med J</w:t>
      </w:r>
      <w:r w:rsidRPr="002845BF">
        <w:t>; 41:227-234.</w:t>
      </w:r>
    </w:p>
  </w:footnote>
  <w:footnote w:id="18">
    <w:p w:rsidR="00D17D73" w:rsidRDefault="00D17D73" w:rsidP="0069585B">
      <w:pPr>
        <w:pStyle w:val="FootnoteText"/>
      </w:pPr>
      <w:r>
        <w:rPr>
          <w:rStyle w:val="FootnoteReference"/>
        </w:rPr>
        <w:footnoteRef/>
      </w:r>
      <w:r>
        <w:t xml:space="preserve"> </w:t>
      </w:r>
      <w:proofErr w:type="gramStart"/>
      <w:r>
        <w:t>Anderson JR, Cain KC, Gelber RD. 1983.</w:t>
      </w:r>
      <w:proofErr w:type="gramEnd"/>
      <w:r>
        <w:t xml:space="preserve"> </w:t>
      </w:r>
      <w:proofErr w:type="gramStart"/>
      <w:r>
        <w:t xml:space="preserve">Analysis of </w:t>
      </w:r>
      <w:r w:rsidRPr="0069585B">
        <w:t>Survival</w:t>
      </w:r>
      <w:r>
        <w:t xml:space="preserve"> by Tumor Response.</w:t>
      </w:r>
      <w:proofErr w:type="gramEnd"/>
      <w:r>
        <w:t xml:space="preserve"> JCO Nov.1:710-719.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D73" w:rsidRDefault="00D17D73"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D73" w:rsidRDefault="00D17D73">
    <w:pPr>
      <w:rPr>
        <w:noProof/>
        <w:lang w:eastAsia="en-AU"/>
      </w:rPr>
    </w:pPr>
    <w:r w:rsidRPr="00347824">
      <w:rPr>
        <w:noProof/>
        <w:lang w:eastAsia="en-AU"/>
      </w:rPr>
      <w:drawing>
        <wp:anchor distT="0" distB="0" distL="114300" distR="114300" simplePos="0" relativeHeight="251659264" behindDoc="1" locked="0" layoutInCell="1" allowOverlap="1">
          <wp:simplePos x="0" y="0"/>
          <wp:positionH relativeFrom="column">
            <wp:posOffset>-1081709</wp:posOffset>
          </wp:positionH>
          <wp:positionV relativeFrom="paragraph">
            <wp:posOffset>-585470</wp:posOffset>
          </wp:positionV>
          <wp:extent cx="7572375" cy="10706100"/>
          <wp:effectExtent l="0" t="0" r="9525" b="0"/>
          <wp:wrapNone/>
          <wp:docPr id="4"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72375" cy="10706100"/>
                  </a:xfrm>
                  <a:prstGeom prst="rect">
                    <a:avLst/>
                  </a:prstGeom>
                </pic:spPr>
              </pic:pic>
            </a:graphicData>
          </a:graphic>
        </wp:anchor>
      </w:drawing>
    </w:r>
  </w:p>
  <w:p w:rsidR="00D17D73" w:rsidRDefault="00D17D73" w:rsidP="00593AD1">
    <w:pPr>
      <w:pStyle w:val="HeaderNoLine"/>
    </w:pPr>
    <w:r>
      <w:rPr>
        <w:noProof/>
        <w:lang w:eastAsia="en-AU"/>
      </w:rPr>
      <w:drawing>
        <wp:inline distT="0" distB="0" distL="0" distR="0">
          <wp:extent cx="5400675" cy="7639050"/>
          <wp:effectExtent l="0" t="0" r="9525" b="0"/>
          <wp:docPr id="1" name="Picture 1"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D73" w:rsidRDefault="00D17D73">
    <w:pPr>
      <w:pStyle w:val="Header"/>
    </w:pPr>
  </w:p>
  <w:p w:rsidR="00D17D73" w:rsidRDefault="00D17D7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D73" w:rsidRDefault="00D17D73">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D73" w:rsidRDefault="00D17D73">
    <w:pPr>
      <w:pStyle w:val="Header"/>
    </w:pPr>
    <w:r>
      <w:t>Therapeutic Goods Administration</w:t>
    </w:r>
  </w:p>
  <w:p w:rsidR="00D17D73" w:rsidRDefault="00D17D7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D73" w:rsidRDefault="00D17D7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D73" w:rsidRDefault="00D17D73"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D73" w:rsidRDefault="00D17D73" w:rsidP="006E08B3">
    <w:r>
      <w:t>Therapeutic Goods Administration</w:t>
    </w:r>
  </w:p>
  <w:p w:rsidR="00D17D73" w:rsidRDefault="00D17D73"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8481F12"/>
    <w:lvl w:ilvl="0">
      <w:start w:val="1"/>
      <w:numFmt w:val="decimal"/>
      <w:lvlText w:val="%1."/>
      <w:lvlJc w:val="left"/>
      <w:pPr>
        <w:tabs>
          <w:tab w:val="num" w:pos="1492"/>
        </w:tabs>
        <w:ind w:left="1492" w:hanging="360"/>
      </w:pPr>
    </w:lvl>
  </w:abstractNum>
  <w:abstractNum w:abstractNumId="1">
    <w:nsid w:val="FFFFFF7D"/>
    <w:multiLevelType w:val="singleLevel"/>
    <w:tmpl w:val="5ECC1ABA"/>
    <w:lvl w:ilvl="0">
      <w:start w:val="1"/>
      <w:numFmt w:val="decimal"/>
      <w:lvlText w:val="%1."/>
      <w:lvlJc w:val="left"/>
      <w:pPr>
        <w:tabs>
          <w:tab w:val="num" w:pos="1209"/>
        </w:tabs>
        <w:ind w:left="1209" w:hanging="360"/>
      </w:pPr>
    </w:lvl>
  </w:abstractNum>
  <w:abstractNum w:abstractNumId="2">
    <w:nsid w:val="FFFFFF7E"/>
    <w:multiLevelType w:val="singleLevel"/>
    <w:tmpl w:val="9C724598"/>
    <w:lvl w:ilvl="0">
      <w:start w:val="1"/>
      <w:numFmt w:val="decimal"/>
      <w:lvlText w:val="%1."/>
      <w:lvlJc w:val="left"/>
      <w:pPr>
        <w:tabs>
          <w:tab w:val="num" w:pos="926"/>
        </w:tabs>
        <w:ind w:left="926" w:hanging="360"/>
      </w:pPr>
    </w:lvl>
  </w:abstractNum>
  <w:abstractNum w:abstractNumId="3">
    <w:nsid w:val="FFFFFF7F"/>
    <w:multiLevelType w:val="singleLevel"/>
    <w:tmpl w:val="DD2EB8F2"/>
    <w:lvl w:ilvl="0">
      <w:start w:val="1"/>
      <w:numFmt w:val="decimal"/>
      <w:lvlText w:val="%1."/>
      <w:lvlJc w:val="left"/>
      <w:pPr>
        <w:tabs>
          <w:tab w:val="num" w:pos="643"/>
        </w:tabs>
        <w:ind w:left="643" w:hanging="360"/>
      </w:pPr>
    </w:lvl>
  </w:abstractNum>
  <w:abstractNum w:abstractNumId="4">
    <w:nsid w:val="FFFFFF80"/>
    <w:multiLevelType w:val="singleLevel"/>
    <w:tmpl w:val="274026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50CDCEE"/>
    <w:lvl w:ilvl="0">
      <w:start w:val="1"/>
      <w:numFmt w:val="bullet"/>
      <w:lvlText w:val=""/>
      <w:lvlJc w:val="left"/>
      <w:pPr>
        <w:tabs>
          <w:tab w:val="num" w:pos="1209"/>
        </w:tabs>
        <w:ind w:left="1209" w:hanging="360"/>
      </w:pPr>
      <w:rPr>
        <w:rFonts w:ascii="Symbol" w:hAnsi="Symbol" w:hint="default"/>
      </w:rPr>
    </w:lvl>
  </w:abstractNum>
  <w:abstractNum w:abstractNumId="6">
    <w:nsid w:val="FFFFFF88"/>
    <w:multiLevelType w:val="singleLevel"/>
    <w:tmpl w:val="0BCA9426"/>
    <w:lvl w:ilvl="0">
      <w:start w:val="1"/>
      <w:numFmt w:val="decimal"/>
      <w:lvlText w:val="%1."/>
      <w:lvlJc w:val="left"/>
      <w:pPr>
        <w:tabs>
          <w:tab w:val="num" w:pos="360"/>
        </w:tabs>
        <w:ind w:left="360" w:hanging="360"/>
      </w:pPr>
    </w:lvl>
  </w:abstractNum>
  <w:abstractNum w:abstractNumId="7">
    <w:nsid w:val="02743E52"/>
    <w:multiLevelType w:val="hybridMultilevel"/>
    <w:tmpl w:val="14321344"/>
    <w:lvl w:ilvl="0" w:tplc="58483C12">
      <w:numFmt w:val="bullet"/>
      <w:lvlText w:val="•"/>
      <w:lvlJc w:val="left"/>
      <w:pPr>
        <w:ind w:left="720" w:hanging="360"/>
      </w:pPr>
      <w:rPr>
        <w:rFonts w:ascii="Cambria" w:eastAsia="Cambria" w:hAnsi="Cambria"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048040A8"/>
    <w:multiLevelType w:val="hybridMultilevel"/>
    <w:tmpl w:val="7C5C75F8"/>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9">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0">
    <w:nsid w:val="13711B93"/>
    <w:multiLevelType w:val="hybridMultilevel"/>
    <w:tmpl w:val="B9045C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start w:val="1"/>
      <w:numFmt w:val="bullet"/>
      <w:lvlText w:val=""/>
      <w:lvlJc w:val="left"/>
      <w:pPr>
        <w:ind w:left="2771"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68F13E9"/>
    <w:multiLevelType w:val="multilevel"/>
    <w:tmpl w:val="DA360B98"/>
    <w:styleLink w:val="ListBullets"/>
    <w:lvl w:ilvl="0">
      <w:start w:val="1"/>
      <w:numFmt w:val="bullet"/>
      <w:pStyle w:val="ListBullet"/>
      <w:lvlText w:val=""/>
      <w:lvlJc w:val="left"/>
      <w:pPr>
        <w:ind w:left="2582"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nsid w:val="16B54B8C"/>
    <w:multiLevelType w:val="hybridMultilevel"/>
    <w:tmpl w:val="62E8D244"/>
    <w:lvl w:ilvl="0" w:tplc="C4600C5E">
      <w:start w:val="1"/>
      <w:numFmt w:val="decimal"/>
      <w:lvlText w:val="%1."/>
      <w:lvlJc w:val="left"/>
      <w:pPr>
        <w:ind w:left="644" w:hanging="360"/>
      </w:pPr>
    </w:lvl>
    <w:lvl w:ilvl="1" w:tplc="E8800802">
      <w:start w:val="1"/>
      <w:numFmt w:val="lowerLetter"/>
      <w:lvlText w:val="%2."/>
      <w:lvlJc w:val="left"/>
      <w:pPr>
        <w:ind w:left="1364" w:hanging="360"/>
      </w:pPr>
    </w:lvl>
    <w:lvl w:ilvl="2" w:tplc="85605320">
      <w:start w:val="1"/>
      <w:numFmt w:val="lowerRoman"/>
      <w:lvlText w:val="%3."/>
      <w:lvlJc w:val="right"/>
      <w:pPr>
        <w:ind w:left="2084" w:hanging="180"/>
      </w:pPr>
    </w:lvl>
    <w:lvl w:ilvl="3" w:tplc="8DA2F316">
      <w:start w:val="1"/>
      <w:numFmt w:val="decimal"/>
      <w:lvlText w:val="%4."/>
      <w:lvlJc w:val="left"/>
      <w:pPr>
        <w:ind w:left="2804" w:hanging="360"/>
      </w:pPr>
    </w:lvl>
    <w:lvl w:ilvl="4" w:tplc="18468208" w:tentative="1">
      <w:start w:val="1"/>
      <w:numFmt w:val="lowerLetter"/>
      <w:lvlText w:val="%5."/>
      <w:lvlJc w:val="left"/>
      <w:pPr>
        <w:ind w:left="3524" w:hanging="360"/>
      </w:pPr>
    </w:lvl>
    <w:lvl w:ilvl="5" w:tplc="D470802A" w:tentative="1">
      <w:start w:val="1"/>
      <w:numFmt w:val="lowerRoman"/>
      <w:lvlText w:val="%6."/>
      <w:lvlJc w:val="right"/>
      <w:pPr>
        <w:ind w:left="4244" w:hanging="180"/>
      </w:pPr>
    </w:lvl>
    <w:lvl w:ilvl="6" w:tplc="518840D8" w:tentative="1">
      <w:start w:val="1"/>
      <w:numFmt w:val="decimal"/>
      <w:lvlText w:val="%7."/>
      <w:lvlJc w:val="left"/>
      <w:pPr>
        <w:ind w:left="4964" w:hanging="360"/>
      </w:pPr>
    </w:lvl>
    <w:lvl w:ilvl="7" w:tplc="F85C8670" w:tentative="1">
      <w:start w:val="1"/>
      <w:numFmt w:val="lowerLetter"/>
      <w:lvlText w:val="%8."/>
      <w:lvlJc w:val="left"/>
      <w:pPr>
        <w:ind w:left="5684" w:hanging="360"/>
      </w:pPr>
    </w:lvl>
    <w:lvl w:ilvl="8" w:tplc="1CA8AD22" w:tentative="1">
      <w:start w:val="1"/>
      <w:numFmt w:val="lowerRoman"/>
      <w:lvlText w:val="%9."/>
      <w:lvlJc w:val="right"/>
      <w:pPr>
        <w:ind w:left="6404" w:hanging="180"/>
      </w:pPr>
    </w:lvl>
  </w:abstractNum>
  <w:abstractNum w:abstractNumId="13">
    <w:nsid w:val="26FD7BAD"/>
    <w:multiLevelType w:val="hybridMultilevel"/>
    <w:tmpl w:val="F78AEC54"/>
    <w:lvl w:ilvl="0" w:tplc="C4600C5E">
      <w:start w:val="1"/>
      <w:numFmt w:val="decimal"/>
      <w:lvlText w:val="%1."/>
      <w:lvlJc w:val="left"/>
      <w:pPr>
        <w:ind w:left="644" w:hanging="360"/>
      </w:pPr>
    </w:lvl>
    <w:lvl w:ilvl="1" w:tplc="E8800802">
      <w:start w:val="1"/>
      <w:numFmt w:val="lowerLetter"/>
      <w:lvlText w:val="%2."/>
      <w:lvlJc w:val="left"/>
      <w:pPr>
        <w:ind w:left="1364" w:hanging="360"/>
      </w:pPr>
    </w:lvl>
    <w:lvl w:ilvl="2" w:tplc="85605320">
      <w:start w:val="1"/>
      <w:numFmt w:val="lowerRoman"/>
      <w:lvlText w:val="%3."/>
      <w:lvlJc w:val="right"/>
      <w:pPr>
        <w:ind w:left="2084" w:hanging="180"/>
      </w:pPr>
    </w:lvl>
    <w:lvl w:ilvl="3" w:tplc="8DA2F316">
      <w:start w:val="1"/>
      <w:numFmt w:val="decimal"/>
      <w:lvlText w:val="%4."/>
      <w:lvlJc w:val="left"/>
      <w:pPr>
        <w:ind w:left="2804" w:hanging="360"/>
      </w:pPr>
    </w:lvl>
    <w:lvl w:ilvl="4" w:tplc="18468208" w:tentative="1">
      <w:start w:val="1"/>
      <w:numFmt w:val="lowerLetter"/>
      <w:lvlText w:val="%5."/>
      <w:lvlJc w:val="left"/>
      <w:pPr>
        <w:ind w:left="3524" w:hanging="360"/>
      </w:pPr>
    </w:lvl>
    <w:lvl w:ilvl="5" w:tplc="D470802A" w:tentative="1">
      <w:start w:val="1"/>
      <w:numFmt w:val="lowerRoman"/>
      <w:lvlText w:val="%6."/>
      <w:lvlJc w:val="right"/>
      <w:pPr>
        <w:ind w:left="4244" w:hanging="180"/>
      </w:pPr>
    </w:lvl>
    <w:lvl w:ilvl="6" w:tplc="518840D8" w:tentative="1">
      <w:start w:val="1"/>
      <w:numFmt w:val="decimal"/>
      <w:lvlText w:val="%7."/>
      <w:lvlJc w:val="left"/>
      <w:pPr>
        <w:ind w:left="4964" w:hanging="360"/>
      </w:pPr>
    </w:lvl>
    <w:lvl w:ilvl="7" w:tplc="F85C8670" w:tentative="1">
      <w:start w:val="1"/>
      <w:numFmt w:val="lowerLetter"/>
      <w:lvlText w:val="%8."/>
      <w:lvlJc w:val="left"/>
      <w:pPr>
        <w:ind w:left="5684" w:hanging="360"/>
      </w:pPr>
    </w:lvl>
    <w:lvl w:ilvl="8" w:tplc="1CA8AD22" w:tentative="1">
      <w:start w:val="1"/>
      <w:numFmt w:val="lowerRoman"/>
      <w:lvlText w:val="%9."/>
      <w:lvlJc w:val="right"/>
      <w:pPr>
        <w:ind w:left="6404" w:hanging="180"/>
      </w:pPr>
    </w:lvl>
  </w:abstractNum>
  <w:abstractNum w:abstractNumId="14">
    <w:nsid w:val="2DB7780C"/>
    <w:multiLevelType w:val="hybridMultilevel"/>
    <w:tmpl w:val="522CFB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E0C305C"/>
    <w:multiLevelType w:val="hybridMultilevel"/>
    <w:tmpl w:val="89F60E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066740A"/>
    <w:multiLevelType w:val="hybridMultilevel"/>
    <w:tmpl w:val="009E11A8"/>
    <w:lvl w:ilvl="0" w:tplc="AAAE3F22">
      <w:start w:val="1"/>
      <w:numFmt w:val="bullet"/>
      <w:pStyle w:val="Bullet1"/>
      <w:lvlText w:val="•"/>
      <w:lvlJc w:val="left"/>
      <w:pPr>
        <w:tabs>
          <w:tab w:val="num" w:pos="284"/>
        </w:tabs>
        <w:ind w:left="284" w:hanging="284"/>
      </w:pPr>
      <w:rPr>
        <w:rFonts w:ascii="Times New Roman" w:hAnsi="Times New Roman" w:hint="default"/>
      </w:rPr>
    </w:lvl>
    <w:lvl w:ilvl="1" w:tplc="F0965128">
      <w:start w:val="1"/>
      <w:numFmt w:val="bullet"/>
      <w:lvlText w:val=""/>
      <w:lvlJc w:val="left"/>
      <w:pPr>
        <w:tabs>
          <w:tab w:val="num" w:pos="1724"/>
        </w:tabs>
        <w:ind w:left="1724" w:hanging="360"/>
      </w:pPr>
      <w:rPr>
        <w:rFonts w:ascii="Symbol" w:hAnsi="Symbol"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7">
    <w:nsid w:val="349D2D3C"/>
    <w:multiLevelType w:val="singleLevel"/>
    <w:tmpl w:val="B97A32F4"/>
    <w:lvl w:ilvl="0">
      <w:start w:val="1"/>
      <w:numFmt w:val="bullet"/>
      <w:pStyle w:val="TextDash"/>
      <w:lvlText w:val="–"/>
      <w:lvlJc w:val="left"/>
      <w:pPr>
        <w:tabs>
          <w:tab w:val="num" w:pos="360"/>
        </w:tabs>
        <w:ind w:left="360" w:hanging="360"/>
      </w:pPr>
      <w:rPr>
        <w:rFonts w:ascii="Times New Roman" w:hAnsi="Times New Roman" w:hint="default"/>
      </w:rPr>
    </w:lvl>
  </w:abstractNum>
  <w:abstractNum w:abstractNumId="18">
    <w:nsid w:val="45AD3394"/>
    <w:multiLevelType w:val="hybridMultilevel"/>
    <w:tmpl w:val="FEB62F9C"/>
    <w:lvl w:ilvl="0" w:tplc="04090001">
      <w:start w:val="1"/>
      <w:numFmt w:val="bullet"/>
      <w:lvlText w:val=""/>
      <w:lvlJc w:val="left"/>
      <w:pPr>
        <w:tabs>
          <w:tab w:val="num" w:pos="360"/>
        </w:tabs>
        <w:ind w:left="360" w:hanging="360"/>
      </w:pPr>
      <w:rPr>
        <w:rFonts w:ascii="Symbol" w:hAnsi="Symbol" w:hint="default"/>
        <w:color w:val="0000FF"/>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49B86379"/>
    <w:multiLevelType w:val="hybridMultilevel"/>
    <w:tmpl w:val="AA0C1CA8"/>
    <w:lvl w:ilvl="0" w:tplc="E8800802">
      <w:start w:val="1"/>
      <w:numFmt w:val="lowerLetter"/>
      <w:lvlText w:val="%1."/>
      <w:lvlJc w:val="left"/>
      <w:pPr>
        <w:ind w:left="1364"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09A719F"/>
    <w:multiLevelType w:val="hybridMultilevel"/>
    <w:tmpl w:val="9D0EA89A"/>
    <w:lvl w:ilvl="0" w:tplc="0C09000F">
      <w:start w:val="1"/>
      <w:numFmt w:val="decimal"/>
      <w:lvlText w:val="%1."/>
      <w:lvlJc w:val="left"/>
      <w:pPr>
        <w:ind w:left="36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2">
    <w:nsid w:val="600E4C4B"/>
    <w:multiLevelType w:val="hybridMultilevel"/>
    <w:tmpl w:val="2C7052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43B6F1B"/>
    <w:multiLevelType w:val="hybridMultilevel"/>
    <w:tmpl w:val="26D4D73C"/>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062"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8C6361B"/>
    <w:multiLevelType w:val="hybridMultilevel"/>
    <w:tmpl w:val="BBAA1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A7255C3"/>
    <w:multiLevelType w:val="hybridMultilevel"/>
    <w:tmpl w:val="CB7ABF8E"/>
    <w:lvl w:ilvl="0" w:tplc="5C80210C">
      <w:start w:val="1"/>
      <w:numFmt w:val="bullet"/>
      <w:lvlText w:val="•"/>
      <w:lvlJc w:val="left"/>
      <w:pPr>
        <w:tabs>
          <w:tab w:val="num" w:pos="720"/>
        </w:tabs>
        <w:ind w:left="720" w:hanging="360"/>
      </w:pPr>
      <w:rPr>
        <w:rFonts w:ascii="Arial" w:hAnsi="Arial" w:hint="default"/>
      </w:rPr>
    </w:lvl>
    <w:lvl w:ilvl="1" w:tplc="243C9B44" w:tentative="1">
      <w:start w:val="1"/>
      <w:numFmt w:val="bullet"/>
      <w:lvlText w:val="•"/>
      <w:lvlJc w:val="left"/>
      <w:pPr>
        <w:tabs>
          <w:tab w:val="num" w:pos="1440"/>
        </w:tabs>
        <w:ind w:left="1440" w:hanging="360"/>
      </w:pPr>
      <w:rPr>
        <w:rFonts w:ascii="Arial" w:hAnsi="Arial" w:hint="default"/>
      </w:rPr>
    </w:lvl>
    <w:lvl w:ilvl="2" w:tplc="27264054" w:tentative="1">
      <w:start w:val="1"/>
      <w:numFmt w:val="bullet"/>
      <w:lvlText w:val="•"/>
      <w:lvlJc w:val="left"/>
      <w:pPr>
        <w:tabs>
          <w:tab w:val="num" w:pos="2160"/>
        </w:tabs>
        <w:ind w:left="2160" w:hanging="360"/>
      </w:pPr>
      <w:rPr>
        <w:rFonts w:ascii="Arial" w:hAnsi="Arial" w:hint="default"/>
      </w:rPr>
    </w:lvl>
    <w:lvl w:ilvl="3" w:tplc="3AB828BC" w:tentative="1">
      <w:start w:val="1"/>
      <w:numFmt w:val="bullet"/>
      <w:lvlText w:val="•"/>
      <w:lvlJc w:val="left"/>
      <w:pPr>
        <w:tabs>
          <w:tab w:val="num" w:pos="2880"/>
        </w:tabs>
        <w:ind w:left="2880" w:hanging="360"/>
      </w:pPr>
      <w:rPr>
        <w:rFonts w:ascii="Arial" w:hAnsi="Arial" w:hint="default"/>
      </w:rPr>
    </w:lvl>
    <w:lvl w:ilvl="4" w:tplc="FEB052A4" w:tentative="1">
      <w:start w:val="1"/>
      <w:numFmt w:val="bullet"/>
      <w:lvlText w:val="•"/>
      <w:lvlJc w:val="left"/>
      <w:pPr>
        <w:tabs>
          <w:tab w:val="num" w:pos="3600"/>
        </w:tabs>
        <w:ind w:left="3600" w:hanging="360"/>
      </w:pPr>
      <w:rPr>
        <w:rFonts w:ascii="Arial" w:hAnsi="Arial" w:hint="default"/>
      </w:rPr>
    </w:lvl>
    <w:lvl w:ilvl="5" w:tplc="CFE41DE6" w:tentative="1">
      <w:start w:val="1"/>
      <w:numFmt w:val="bullet"/>
      <w:lvlText w:val="•"/>
      <w:lvlJc w:val="left"/>
      <w:pPr>
        <w:tabs>
          <w:tab w:val="num" w:pos="4320"/>
        </w:tabs>
        <w:ind w:left="4320" w:hanging="360"/>
      </w:pPr>
      <w:rPr>
        <w:rFonts w:ascii="Arial" w:hAnsi="Arial" w:hint="default"/>
      </w:rPr>
    </w:lvl>
    <w:lvl w:ilvl="6" w:tplc="4ADAF978" w:tentative="1">
      <w:start w:val="1"/>
      <w:numFmt w:val="bullet"/>
      <w:lvlText w:val="•"/>
      <w:lvlJc w:val="left"/>
      <w:pPr>
        <w:tabs>
          <w:tab w:val="num" w:pos="5040"/>
        </w:tabs>
        <w:ind w:left="5040" w:hanging="360"/>
      </w:pPr>
      <w:rPr>
        <w:rFonts w:ascii="Arial" w:hAnsi="Arial" w:hint="default"/>
      </w:rPr>
    </w:lvl>
    <w:lvl w:ilvl="7" w:tplc="15A6D92E" w:tentative="1">
      <w:start w:val="1"/>
      <w:numFmt w:val="bullet"/>
      <w:lvlText w:val="•"/>
      <w:lvlJc w:val="left"/>
      <w:pPr>
        <w:tabs>
          <w:tab w:val="num" w:pos="5760"/>
        </w:tabs>
        <w:ind w:left="5760" w:hanging="360"/>
      </w:pPr>
      <w:rPr>
        <w:rFonts w:ascii="Arial" w:hAnsi="Arial" w:hint="default"/>
      </w:rPr>
    </w:lvl>
    <w:lvl w:ilvl="8" w:tplc="776E403E" w:tentative="1">
      <w:start w:val="1"/>
      <w:numFmt w:val="bullet"/>
      <w:lvlText w:val="•"/>
      <w:lvlJc w:val="left"/>
      <w:pPr>
        <w:tabs>
          <w:tab w:val="num" w:pos="6480"/>
        </w:tabs>
        <w:ind w:left="6480" w:hanging="360"/>
      </w:pPr>
      <w:rPr>
        <w:rFonts w:ascii="Arial" w:hAnsi="Arial" w:hint="default"/>
      </w:rPr>
    </w:lvl>
  </w:abstractNum>
  <w:abstractNum w:abstractNumId="26">
    <w:nsid w:val="6F222F10"/>
    <w:multiLevelType w:val="hybridMultilevel"/>
    <w:tmpl w:val="ECE257F4"/>
    <w:lvl w:ilvl="0" w:tplc="C3F416FC">
      <w:start w:val="1"/>
      <w:numFmt w:val="decimal"/>
      <w:lvlText w:val="%1."/>
      <w:lvlJc w:val="left"/>
      <w:pPr>
        <w:ind w:left="4613" w:hanging="360"/>
      </w:pPr>
      <w:rPr>
        <w:rFonts w:hint="default"/>
      </w:rPr>
    </w:lvl>
    <w:lvl w:ilvl="1" w:tplc="1DCA5466">
      <w:start w:val="1"/>
      <w:numFmt w:val="decimal"/>
      <w:lvlText w:val="%2."/>
      <w:lvlJc w:val="left"/>
      <w:pPr>
        <w:ind w:left="5333" w:hanging="360"/>
      </w:pPr>
      <w:rPr>
        <w:rFonts w:hint="default"/>
      </w:rPr>
    </w:lvl>
    <w:lvl w:ilvl="2" w:tplc="0C09001B" w:tentative="1">
      <w:start w:val="1"/>
      <w:numFmt w:val="lowerRoman"/>
      <w:lvlText w:val="%3."/>
      <w:lvlJc w:val="right"/>
      <w:pPr>
        <w:ind w:left="6053" w:hanging="180"/>
      </w:pPr>
    </w:lvl>
    <w:lvl w:ilvl="3" w:tplc="0C09000F" w:tentative="1">
      <w:start w:val="1"/>
      <w:numFmt w:val="decimal"/>
      <w:lvlText w:val="%4."/>
      <w:lvlJc w:val="left"/>
      <w:pPr>
        <w:ind w:left="6773" w:hanging="360"/>
      </w:pPr>
    </w:lvl>
    <w:lvl w:ilvl="4" w:tplc="0C090019" w:tentative="1">
      <w:start w:val="1"/>
      <w:numFmt w:val="lowerLetter"/>
      <w:lvlText w:val="%5."/>
      <w:lvlJc w:val="left"/>
      <w:pPr>
        <w:ind w:left="7493" w:hanging="360"/>
      </w:pPr>
    </w:lvl>
    <w:lvl w:ilvl="5" w:tplc="0C09001B" w:tentative="1">
      <w:start w:val="1"/>
      <w:numFmt w:val="lowerRoman"/>
      <w:lvlText w:val="%6."/>
      <w:lvlJc w:val="right"/>
      <w:pPr>
        <w:ind w:left="8213" w:hanging="180"/>
      </w:pPr>
    </w:lvl>
    <w:lvl w:ilvl="6" w:tplc="0C09000F" w:tentative="1">
      <w:start w:val="1"/>
      <w:numFmt w:val="decimal"/>
      <w:lvlText w:val="%7."/>
      <w:lvlJc w:val="left"/>
      <w:pPr>
        <w:ind w:left="8933" w:hanging="360"/>
      </w:pPr>
    </w:lvl>
    <w:lvl w:ilvl="7" w:tplc="0C090019" w:tentative="1">
      <w:start w:val="1"/>
      <w:numFmt w:val="lowerLetter"/>
      <w:lvlText w:val="%8."/>
      <w:lvlJc w:val="left"/>
      <w:pPr>
        <w:ind w:left="9653" w:hanging="360"/>
      </w:pPr>
    </w:lvl>
    <w:lvl w:ilvl="8" w:tplc="0C09001B" w:tentative="1">
      <w:start w:val="1"/>
      <w:numFmt w:val="lowerRoman"/>
      <w:lvlText w:val="%9."/>
      <w:lvlJc w:val="right"/>
      <w:pPr>
        <w:ind w:left="10373" w:hanging="180"/>
      </w:pPr>
    </w:lvl>
  </w:abstractNum>
  <w:abstractNum w:abstractNumId="27">
    <w:nsid w:val="70827DA1"/>
    <w:multiLevelType w:val="hybridMultilevel"/>
    <w:tmpl w:val="96EED4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204" w:hanging="360"/>
      </w:pPr>
      <w:rPr>
        <w:rFonts w:ascii="Symbol" w:hAnsi="Symbol" w:hint="default"/>
      </w:rPr>
    </w:lvl>
    <w:lvl w:ilvl="3" w:tplc="0C090003">
      <w:start w:val="1"/>
      <w:numFmt w:val="bullet"/>
      <w:lvlText w:val="o"/>
      <w:lvlJc w:val="left"/>
      <w:pPr>
        <w:ind w:left="2880" w:hanging="360"/>
      </w:pPr>
      <w:rPr>
        <w:rFonts w:ascii="Courier New" w:hAnsi="Courier New" w:cs="Courier New"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BFF3467"/>
    <w:multiLevelType w:val="hybridMultilevel"/>
    <w:tmpl w:val="402405BE"/>
    <w:lvl w:ilvl="0" w:tplc="52EA3052">
      <w:start w:val="1"/>
      <w:numFmt w:val="bullet"/>
      <w:pStyle w:val="TextBull"/>
      <w:lvlText w:val=""/>
      <w:lvlJc w:val="left"/>
      <w:pPr>
        <w:tabs>
          <w:tab w:val="num" w:pos="360"/>
        </w:tabs>
        <w:ind w:left="36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9"/>
  </w:num>
  <w:num w:numId="3">
    <w:abstractNumId w:val="11"/>
  </w:num>
  <w:num w:numId="4">
    <w:abstractNumId w:val="9"/>
  </w:num>
  <w:num w:numId="5">
    <w:abstractNumId w:val="9"/>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6">
    <w:abstractNumId w:val="9"/>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7">
    <w:abstractNumId w:val="16"/>
  </w:num>
  <w:num w:numId="8">
    <w:abstractNumId w:val="19"/>
  </w:num>
  <w:num w:numId="9">
    <w:abstractNumId w:val="9"/>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18"/>
  </w:num>
  <w:num w:numId="13">
    <w:abstractNumId w:val="17"/>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4"/>
  </w:num>
  <w:num w:numId="19">
    <w:abstractNumId w:val="15"/>
  </w:num>
  <w:num w:numId="20">
    <w:abstractNumId w:val="22"/>
  </w:num>
  <w:num w:numId="21">
    <w:abstractNumId w:val="13"/>
  </w:num>
  <w:num w:numId="22">
    <w:abstractNumId w:val="20"/>
  </w:num>
  <w:num w:numId="23">
    <w:abstractNumId w:val="24"/>
  </w:num>
  <w:num w:numId="24">
    <w:abstractNumId w:val="7"/>
  </w:num>
  <w:num w:numId="25">
    <w:abstractNumId w:val="23"/>
  </w:num>
  <w:num w:numId="26">
    <w:abstractNumId w:val="10"/>
  </w:num>
  <w:num w:numId="27">
    <w:abstractNumId w:val="27"/>
  </w:num>
  <w:num w:numId="28">
    <w:abstractNumId w:val="25"/>
  </w:num>
  <w:num w:numId="29">
    <w:abstractNumId w:val="26"/>
  </w:num>
  <w:num w:numId="30">
    <w:abstractNumId w:val="8"/>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4"/>
  </w:num>
  <w:num w:numId="35">
    <w:abstractNumId w:val="6"/>
  </w:num>
  <w:num w:numId="36">
    <w:abstractNumId w:val="3"/>
  </w:num>
  <w:num w:numId="37">
    <w:abstractNumId w:val="2"/>
  </w:num>
  <w:num w:numId="38">
    <w:abstractNumId w:val="1"/>
  </w:num>
  <w:num w:numId="39">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489"/>
    <w:rsid w:val="00002031"/>
    <w:rsid w:val="00003407"/>
    <w:rsid w:val="00004734"/>
    <w:rsid w:val="000062AB"/>
    <w:rsid w:val="00006B22"/>
    <w:rsid w:val="0001276A"/>
    <w:rsid w:val="00014FC0"/>
    <w:rsid w:val="0002127C"/>
    <w:rsid w:val="000246AE"/>
    <w:rsid w:val="00025C67"/>
    <w:rsid w:val="000329B6"/>
    <w:rsid w:val="00041712"/>
    <w:rsid w:val="0005559E"/>
    <w:rsid w:val="000634DA"/>
    <w:rsid w:val="0007068D"/>
    <w:rsid w:val="00077775"/>
    <w:rsid w:val="000847CD"/>
    <w:rsid w:val="00090471"/>
    <w:rsid w:val="00096AA7"/>
    <w:rsid w:val="000A3AED"/>
    <w:rsid w:val="000B3532"/>
    <w:rsid w:val="000B3A75"/>
    <w:rsid w:val="000B64D3"/>
    <w:rsid w:val="000C5DD9"/>
    <w:rsid w:val="000C690F"/>
    <w:rsid w:val="000D1295"/>
    <w:rsid w:val="000D26D9"/>
    <w:rsid w:val="000D391B"/>
    <w:rsid w:val="000D3D6D"/>
    <w:rsid w:val="000D4FC7"/>
    <w:rsid w:val="000F4869"/>
    <w:rsid w:val="000F5B42"/>
    <w:rsid w:val="000F6E6F"/>
    <w:rsid w:val="00100727"/>
    <w:rsid w:val="0010601F"/>
    <w:rsid w:val="0010788A"/>
    <w:rsid w:val="00107A31"/>
    <w:rsid w:val="00110EA5"/>
    <w:rsid w:val="0011222B"/>
    <w:rsid w:val="00112F56"/>
    <w:rsid w:val="00125318"/>
    <w:rsid w:val="001255EB"/>
    <w:rsid w:val="00126C75"/>
    <w:rsid w:val="0012759D"/>
    <w:rsid w:val="001305A2"/>
    <w:rsid w:val="00133238"/>
    <w:rsid w:val="0014197B"/>
    <w:rsid w:val="001447CD"/>
    <w:rsid w:val="001516B1"/>
    <w:rsid w:val="00154EBB"/>
    <w:rsid w:val="00156316"/>
    <w:rsid w:val="00162D14"/>
    <w:rsid w:val="00165389"/>
    <w:rsid w:val="0017693F"/>
    <w:rsid w:val="0018110E"/>
    <w:rsid w:val="00181684"/>
    <w:rsid w:val="001843C6"/>
    <w:rsid w:val="001850E0"/>
    <w:rsid w:val="00185A3C"/>
    <w:rsid w:val="00185D90"/>
    <w:rsid w:val="00190CE3"/>
    <w:rsid w:val="00193B88"/>
    <w:rsid w:val="001A2158"/>
    <w:rsid w:val="001A3FF8"/>
    <w:rsid w:val="001A525F"/>
    <w:rsid w:val="001B09F9"/>
    <w:rsid w:val="001B1149"/>
    <w:rsid w:val="001B5C90"/>
    <w:rsid w:val="001B6448"/>
    <w:rsid w:val="001B7E8B"/>
    <w:rsid w:val="001C32CD"/>
    <w:rsid w:val="001D3794"/>
    <w:rsid w:val="001E07CF"/>
    <w:rsid w:val="001E59F1"/>
    <w:rsid w:val="001F49EB"/>
    <w:rsid w:val="001F6CBA"/>
    <w:rsid w:val="00201D4E"/>
    <w:rsid w:val="002076C9"/>
    <w:rsid w:val="002130C6"/>
    <w:rsid w:val="00220B8A"/>
    <w:rsid w:val="00223C49"/>
    <w:rsid w:val="00223D36"/>
    <w:rsid w:val="002257F3"/>
    <w:rsid w:val="00233456"/>
    <w:rsid w:val="002339A5"/>
    <w:rsid w:val="0024585C"/>
    <w:rsid w:val="00246834"/>
    <w:rsid w:val="00257848"/>
    <w:rsid w:val="00262098"/>
    <w:rsid w:val="0027084A"/>
    <w:rsid w:val="00275EC7"/>
    <w:rsid w:val="00284210"/>
    <w:rsid w:val="002845BF"/>
    <w:rsid w:val="00285A33"/>
    <w:rsid w:val="00286434"/>
    <w:rsid w:val="00286C59"/>
    <w:rsid w:val="00291957"/>
    <w:rsid w:val="002942D1"/>
    <w:rsid w:val="0029501A"/>
    <w:rsid w:val="002A778D"/>
    <w:rsid w:val="002B1638"/>
    <w:rsid w:val="002B5AB8"/>
    <w:rsid w:val="002C1637"/>
    <w:rsid w:val="002C320C"/>
    <w:rsid w:val="002E4C9A"/>
    <w:rsid w:val="002F11F8"/>
    <w:rsid w:val="002F3F56"/>
    <w:rsid w:val="002F44B5"/>
    <w:rsid w:val="00300B6A"/>
    <w:rsid w:val="00311AC0"/>
    <w:rsid w:val="00313370"/>
    <w:rsid w:val="0032583B"/>
    <w:rsid w:val="00327883"/>
    <w:rsid w:val="00335504"/>
    <w:rsid w:val="00340A9C"/>
    <w:rsid w:val="00343A30"/>
    <w:rsid w:val="00347824"/>
    <w:rsid w:val="00347BD2"/>
    <w:rsid w:val="00350567"/>
    <w:rsid w:val="003521E8"/>
    <w:rsid w:val="00355FBD"/>
    <w:rsid w:val="0036491D"/>
    <w:rsid w:val="0037099F"/>
    <w:rsid w:val="003728F3"/>
    <w:rsid w:val="0037496E"/>
    <w:rsid w:val="00386150"/>
    <w:rsid w:val="003874CE"/>
    <w:rsid w:val="00390900"/>
    <w:rsid w:val="0039319F"/>
    <w:rsid w:val="003A06CA"/>
    <w:rsid w:val="003A7DAF"/>
    <w:rsid w:val="003A7F6C"/>
    <w:rsid w:val="003B0D6F"/>
    <w:rsid w:val="003B4D60"/>
    <w:rsid w:val="003B7E39"/>
    <w:rsid w:val="003C58DC"/>
    <w:rsid w:val="003D0F84"/>
    <w:rsid w:val="003D1E62"/>
    <w:rsid w:val="003D72AD"/>
    <w:rsid w:val="003E2486"/>
    <w:rsid w:val="003E3208"/>
    <w:rsid w:val="003F09D6"/>
    <w:rsid w:val="003F0B04"/>
    <w:rsid w:val="0040134E"/>
    <w:rsid w:val="0040444A"/>
    <w:rsid w:val="00440A2D"/>
    <w:rsid w:val="00442579"/>
    <w:rsid w:val="0045164E"/>
    <w:rsid w:val="00451E17"/>
    <w:rsid w:val="004564A7"/>
    <w:rsid w:val="004617BF"/>
    <w:rsid w:val="00463658"/>
    <w:rsid w:val="004722CC"/>
    <w:rsid w:val="0047465C"/>
    <w:rsid w:val="0047473E"/>
    <w:rsid w:val="00477B69"/>
    <w:rsid w:val="004936E4"/>
    <w:rsid w:val="00494E60"/>
    <w:rsid w:val="00497487"/>
    <w:rsid w:val="004A1A6B"/>
    <w:rsid w:val="004A7E4B"/>
    <w:rsid w:val="004B7B76"/>
    <w:rsid w:val="004C239D"/>
    <w:rsid w:val="004C2DCA"/>
    <w:rsid w:val="004C39A9"/>
    <w:rsid w:val="004D61EA"/>
    <w:rsid w:val="004F0F38"/>
    <w:rsid w:val="00501921"/>
    <w:rsid w:val="00503210"/>
    <w:rsid w:val="00513D57"/>
    <w:rsid w:val="00521603"/>
    <w:rsid w:val="00523D87"/>
    <w:rsid w:val="00530354"/>
    <w:rsid w:val="0053625B"/>
    <w:rsid w:val="005434C6"/>
    <w:rsid w:val="00543B39"/>
    <w:rsid w:val="00550096"/>
    <w:rsid w:val="00557FF9"/>
    <w:rsid w:val="00561EF2"/>
    <w:rsid w:val="00576378"/>
    <w:rsid w:val="00577130"/>
    <w:rsid w:val="00577945"/>
    <w:rsid w:val="00577E38"/>
    <w:rsid w:val="005834EC"/>
    <w:rsid w:val="00585322"/>
    <w:rsid w:val="005857C6"/>
    <w:rsid w:val="00592F6E"/>
    <w:rsid w:val="00593AD1"/>
    <w:rsid w:val="005A1E8F"/>
    <w:rsid w:val="005A68B6"/>
    <w:rsid w:val="005B221E"/>
    <w:rsid w:val="005C5570"/>
    <w:rsid w:val="005C79A4"/>
    <w:rsid w:val="005D4226"/>
    <w:rsid w:val="005D5442"/>
    <w:rsid w:val="005F2F44"/>
    <w:rsid w:val="00603F32"/>
    <w:rsid w:val="006250DD"/>
    <w:rsid w:val="00625A6E"/>
    <w:rsid w:val="00632398"/>
    <w:rsid w:val="00634D55"/>
    <w:rsid w:val="00637E10"/>
    <w:rsid w:val="0064037F"/>
    <w:rsid w:val="00640FC3"/>
    <w:rsid w:val="00642020"/>
    <w:rsid w:val="0064650C"/>
    <w:rsid w:val="0065337B"/>
    <w:rsid w:val="0065419D"/>
    <w:rsid w:val="006604D8"/>
    <w:rsid w:val="00664A5B"/>
    <w:rsid w:val="006763D2"/>
    <w:rsid w:val="00680C08"/>
    <w:rsid w:val="006931B1"/>
    <w:rsid w:val="0069585B"/>
    <w:rsid w:val="006A15C0"/>
    <w:rsid w:val="006B1269"/>
    <w:rsid w:val="006C3E2A"/>
    <w:rsid w:val="006C642F"/>
    <w:rsid w:val="006D03E5"/>
    <w:rsid w:val="006D12D9"/>
    <w:rsid w:val="006D5D3E"/>
    <w:rsid w:val="006E08B3"/>
    <w:rsid w:val="006F17AC"/>
    <w:rsid w:val="006F358B"/>
    <w:rsid w:val="006F572E"/>
    <w:rsid w:val="007046D6"/>
    <w:rsid w:val="007050F8"/>
    <w:rsid w:val="00705DB0"/>
    <w:rsid w:val="00722B57"/>
    <w:rsid w:val="00733A28"/>
    <w:rsid w:val="0074253D"/>
    <w:rsid w:val="0074429B"/>
    <w:rsid w:val="00752F0E"/>
    <w:rsid w:val="00754215"/>
    <w:rsid w:val="00754E33"/>
    <w:rsid w:val="007615BC"/>
    <w:rsid w:val="00761C4A"/>
    <w:rsid w:val="00762F05"/>
    <w:rsid w:val="007652FF"/>
    <w:rsid w:val="00770EF1"/>
    <w:rsid w:val="00773EF7"/>
    <w:rsid w:val="00774E1D"/>
    <w:rsid w:val="0077675A"/>
    <w:rsid w:val="00780355"/>
    <w:rsid w:val="00785721"/>
    <w:rsid w:val="00793A59"/>
    <w:rsid w:val="007B6E9F"/>
    <w:rsid w:val="007C1216"/>
    <w:rsid w:val="007C1AF7"/>
    <w:rsid w:val="007D16E2"/>
    <w:rsid w:val="007E6E54"/>
    <w:rsid w:val="007E7FDA"/>
    <w:rsid w:val="00805D27"/>
    <w:rsid w:val="00821776"/>
    <w:rsid w:val="008321F5"/>
    <w:rsid w:val="00832369"/>
    <w:rsid w:val="00833DC9"/>
    <w:rsid w:val="00834660"/>
    <w:rsid w:val="00836BC2"/>
    <w:rsid w:val="0085641B"/>
    <w:rsid w:val="00857136"/>
    <w:rsid w:val="00882067"/>
    <w:rsid w:val="00885B11"/>
    <w:rsid w:val="00886D15"/>
    <w:rsid w:val="00887DD8"/>
    <w:rsid w:val="00896018"/>
    <w:rsid w:val="008960DD"/>
    <w:rsid w:val="0089635C"/>
    <w:rsid w:val="008A2B9D"/>
    <w:rsid w:val="008A5E0B"/>
    <w:rsid w:val="008A6D59"/>
    <w:rsid w:val="008B4B03"/>
    <w:rsid w:val="008B596F"/>
    <w:rsid w:val="008C159F"/>
    <w:rsid w:val="008C1623"/>
    <w:rsid w:val="008C1850"/>
    <w:rsid w:val="008C51A9"/>
    <w:rsid w:val="008D0F86"/>
    <w:rsid w:val="008E1160"/>
    <w:rsid w:val="008E7846"/>
    <w:rsid w:val="008F1CCC"/>
    <w:rsid w:val="008F2967"/>
    <w:rsid w:val="008F5398"/>
    <w:rsid w:val="008F633C"/>
    <w:rsid w:val="008F6943"/>
    <w:rsid w:val="00902A21"/>
    <w:rsid w:val="009060D1"/>
    <w:rsid w:val="00906C76"/>
    <w:rsid w:val="00920330"/>
    <w:rsid w:val="009219D7"/>
    <w:rsid w:val="00922D53"/>
    <w:rsid w:val="00923B70"/>
    <w:rsid w:val="00924482"/>
    <w:rsid w:val="00930237"/>
    <w:rsid w:val="0094362F"/>
    <w:rsid w:val="0094534F"/>
    <w:rsid w:val="00946EA5"/>
    <w:rsid w:val="00956F87"/>
    <w:rsid w:val="00963C08"/>
    <w:rsid w:val="0098062B"/>
    <w:rsid w:val="00980D42"/>
    <w:rsid w:val="0098585A"/>
    <w:rsid w:val="00987074"/>
    <w:rsid w:val="009901E6"/>
    <w:rsid w:val="00994A36"/>
    <w:rsid w:val="009A4CED"/>
    <w:rsid w:val="009A690D"/>
    <w:rsid w:val="009B1BBA"/>
    <w:rsid w:val="009B1D12"/>
    <w:rsid w:val="009B416B"/>
    <w:rsid w:val="009C3E29"/>
    <w:rsid w:val="009C4BD5"/>
    <w:rsid w:val="009D3FA3"/>
    <w:rsid w:val="009D50A3"/>
    <w:rsid w:val="009D7B77"/>
    <w:rsid w:val="009E0BB0"/>
    <w:rsid w:val="009E3FBB"/>
    <w:rsid w:val="009F5726"/>
    <w:rsid w:val="00A102E4"/>
    <w:rsid w:val="00A12C42"/>
    <w:rsid w:val="00A14DF7"/>
    <w:rsid w:val="00A3246D"/>
    <w:rsid w:val="00A329EF"/>
    <w:rsid w:val="00A333A9"/>
    <w:rsid w:val="00A36FA7"/>
    <w:rsid w:val="00A44222"/>
    <w:rsid w:val="00A475B7"/>
    <w:rsid w:val="00A47AF7"/>
    <w:rsid w:val="00A47C3E"/>
    <w:rsid w:val="00A50226"/>
    <w:rsid w:val="00A54191"/>
    <w:rsid w:val="00A60BAD"/>
    <w:rsid w:val="00A63C30"/>
    <w:rsid w:val="00A77AB6"/>
    <w:rsid w:val="00A8320D"/>
    <w:rsid w:val="00A84E36"/>
    <w:rsid w:val="00A95DEA"/>
    <w:rsid w:val="00A964D1"/>
    <w:rsid w:val="00AA0ED0"/>
    <w:rsid w:val="00AB2AB5"/>
    <w:rsid w:val="00AB6F0C"/>
    <w:rsid w:val="00AC0446"/>
    <w:rsid w:val="00AC2B40"/>
    <w:rsid w:val="00AC2BB2"/>
    <w:rsid w:val="00AC2C3C"/>
    <w:rsid w:val="00AC512D"/>
    <w:rsid w:val="00AC58FC"/>
    <w:rsid w:val="00AD0083"/>
    <w:rsid w:val="00AE45F6"/>
    <w:rsid w:val="00AE65EB"/>
    <w:rsid w:val="00AE67A7"/>
    <w:rsid w:val="00AF1D94"/>
    <w:rsid w:val="00AF60C5"/>
    <w:rsid w:val="00B009C6"/>
    <w:rsid w:val="00B01548"/>
    <w:rsid w:val="00B21D29"/>
    <w:rsid w:val="00B25034"/>
    <w:rsid w:val="00B25DAF"/>
    <w:rsid w:val="00B268B7"/>
    <w:rsid w:val="00B30489"/>
    <w:rsid w:val="00B31273"/>
    <w:rsid w:val="00B33588"/>
    <w:rsid w:val="00B33863"/>
    <w:rsid w:val="00B347CA"/>
    <w:rsid w:val="00B36767"/>
    <w:rsid w:val="00B37D17"/>
    <w:rsid w:val="00B4175E"/>
    <w:rsid w:val="00B452CE"/>
    <w:rsid w:val="00B45B28"/>
    <w:rsid w:val="00B52397"/>
    <w:rsid w:val="00B54C25"/>
    <w:rsid w:val="00B76B91"/>
    <w:rsid w:val="00B77EB1"/>
    <w:rsid w:val="00B80C4D"/>
    <w:rsid w:val="00B811C6"/>
    <w:rsid w:val="00B855B0"/>
    <w:rsid w:val="00B90382"/>
    <w:rsid w:val="00B92E08"/>
    <w:rsid w:val="00BA0C18"/>
    <w:rsid w:val="00BC0C01"/>
    <w:rsid w:val="00BC622A"/>
    <w:rsid w:val="00BD2E95"/>
    <w:rsid w:val="00BE0A78"/>
    <w:rsid w:val="00BE79F0"/>
    <w:rsid w:val="00BF046D"/>
    <w:rsid w:val="00BF1190"/>
    <w:rsid w:val="00BF5D04"/>
    <w:rsid w:val="00C1164D"/>
    <w:rsid w:val="00C13C9C"/>
    <w:rsid w:val="00C16861"/>
    <w:rsid w:val="00C17A70"/>
    <w:rsid w:val="00C20D00"/>
    <w:rsid w:val="00C22639"/>
    <w:rsid w:val="00C25820"/>
    <w:rsid w:val="00C404A6"/>
    <w:rsid w:val="00C40A36"/>
    <w:rsid w:val="00C44169"/>
    <w:rsid w:val="00C44419"/>
    <w:rsid w:val="00C45E7B"/>
    <w:rsid w:val="00C471B1"/>
    <w:rsid w:val="00C61122"/>
    <w:rsid w:val="00C6316B"/>
    <w:rsid w:val="00C634A9"/>
    <w:rsid w:val="00C64586"/>
    <w:rsid w:val="00C70D53"/>
    <w:rsid w:val="00C73D0B"/>
    <w:rsid w:val="00C772FF"/>
    <w:rsid w:val="00C80137"/>
    <w:rsid w:val="00C801AF"/>
    <w:rsid w:val="00C80256"/>
    <w:rsid w:val="00C81A95"/>
    <w:rsid w:val="00C82437"/>
    <w:rsid w:val="00C92010"/>
    <w:rsid w:val="00CB65BF"/>
    <w:rsid w:val="00CB6BC0"/>
    <w:rsid w:val="00CC1B7C"/>
    <w:rsid w:val="00CC49A0"/>
    <w:rsid w:val="00CC727F"/>
    <w:rsid w:val="00CD7070"/>
    <w:rsid w:val="00CF0887"/>
    <w:rsid w:val="00CF15C3"/>
    <w:rsid w:val="00CF2B6F"/>
    <w:rsid w:val="00CF58B6"/>
    <w:rsid w:val="00D017ED"/>
    <w:rsid w:val="00D040D3"/>
    <w:rsid w:val="00D04C65"/>
    <w:rsid w:val="00D17D73"/>
    <w:rsid w:val="00D224FE"/>
    <w:rsid w:val="00D31FB2"/>
    <w:rsid w:val="00D32A10"/>
    <w:rsid w:val="00D36A04"/>
    <w:rsid w:val="00D51E07"/>
    <w:rsid w:val="00D6493E"/>
    <w:rsid w:val="00D65360"/>
    <w:rsid w:val="00D6561D"/>
    <w:rsid w:val="00D67C70"/>
    <w:rsid w:val="00D70E8C"/>
    <w:rsid w:val="00D7195D"/>
    <w:rsid w:val="00D7301E"/>
    <w:rsid w:val="00D83AE1"/>
    <w:rsid w:val="00D855D4"/>
    <w:rsid w:val="00D93466"/>
    <w:rsid w:val="00DA1124"/>
    <w:rsid w:val="00DA21EB"/>
    <w:rsid w:val="00DA4B61"/>
    <w:rsid w:val="00DB6124"/>
    <w:rsid w:val="00DB750B"/>
    <w:rsid w:val="00DB75B7"/>
    <w:rsid w:val="00DC3685"/>
    <w:rsid w:val="00DC3FEE"/>
    <w:rsid w:val="00DC6E02"/>
    <w:rsid w:val="00DD7553"/>
    <w:rsid w:val="00DE02AE"/>
    <w:rsid w:val="00DF1D7F"/>
    <w:rsid w:val="00DF4BE4"/>
    <w:rsid w:val="00DF5758"/>
    <w:rsid w:val="00E02FB4"/>
    <w:rsid w:val="00E12556"/>
    <w:rsid w:val="00E20571"/>
    <w:rsid w:val="00E235F7"/>
    <w:rsid w:val="00E23659"/>
    <w:rsid w:val="00E239D4"/>
    <w:rsid w:val="00E26130"/>
    <w:rsid w:val="00E317A3"/>
    <w:rsid w:val="00E32A65"/>
    <w:rsid w:val="00E3579F"/>
    <w:rsid w:val="00E372F9"/>
    <w:rsid w:val="00E40B22"/>
    <w:rsid w:val="00E41600"/>
    <w:rsid w:val="00E45619"/>
    <w:rsid w:val="00E4588F"/>
    <w:rsid w:val="00E46DA3"/>
    <w:rsid w:val="00E51BB1"/>
    <w:rsid w:val="00E553B1"/>
    <w:rsid w:val="00E624A5"/>
    <w:rsid w:val="00E7344E"/>
    <w:rsid w:val="00E74CF2"/>
    <w:rsid w:val="00E83217"/>
    <w:rsid w:val="00EA4E04"/>
    <w:rsid w:val="00EB0798"/>
    <w:rsid w:val="00EB40AD"/>
    <w:rsid w:val="00EB586E"/>
    <w:rsid w:val="00EB5FC8"/>
    <w:rsid w:val="00EC1D71"/>
    <w:rsid w:val="00EC6672"/>
    <w:rsid w:val="00EC7A85"/>
    <w:rsid w:val="00ED3CAD"/>
    <w:rsid w:val="00ED5A41"/>
    <w:rsid w:val="00EE10C5"/>
    <w:rsid w:val="00EE1DE8"/>
    <w:rsid w:val="00EE38C9"/>
    <w:rsid w:val="00F01DEB"/>
    <w:rsid w:val="00F033EC"/>
    <w:rsid w:val="00F04F68"/>
    <w:rsid w:val="00F12670"/>
    <w:rsid w:val="00F140F4"/>
    <w:rsid w:val="00F14773"/>
    <w:rsid w:val="00F14B27"/>
    <w:rsid w:val="00F15419"/>
    <w:rsid w:val="00F202A5"/>
    <w:rsid w:val="00F30733"/>
    <w:rsid w:val="00F3148D"/>
    <w:rsid w:val="00F321CB"/>
    <w:rsid w:val="00F325C5"/>
    <w:rsid w:val="00F32FE0"/>
    <w:rsid w:val="00F35298"/>
    <w:rsid w:val="00F36B87"/>
    <w:rsid w:val="00F47333"/>
    <w:rsid w:val="00F47E37"/>
    <w:rsid w:val="00F53C07"/>
    <w:rsid w:val="00F54B65"/>
    <w:rsid w:val="00F55ED2"/>
    <w:rsid w:val="00F640B6"/>
    <w:rsid w:val="00F73FD3"/>
    <w:rsid w:val="00F80E40"/>
    <w:rsid w:val="00F848D9"/>
    <w:rsid w:val="00F8746F"/>
    <w:rsid w:val="00F959CE"/>
    <w:rsid w:val="00FA04C6"/>
    <w:rsid w:val="00FA1444"/>
    <w:rsid w:val="00FA5B82"/>
    <w:rsid w:val="00FA639E"/>
    <w:rsid w:val="00FB51BE"/>
    <w:rsid w:val="00FB537F"/>
    <w:rsid w:val="00FC25E4"/>
    <w:rsid w:val="00FC4EF7"/>
    <w:rsid w:val="00FE1DEE"/>
    <w:rsid w:val="00FF2126"/>
    <w:rsid w:val="00FF5755"/>
    <w:rsid w:val="00FF58F9"/>
    <w:rsid w:val="00FF69BE"/>
    <w:rsid w:val="00FF7784"/>
    <w:rsid w:val="00FF7B9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semiHidden="0" w:unhideWhenUsed="0"/>
    <w:lsdException w:name="footer" w:semiHidden="0" w:unhideWhenUsed="0"/>
    <w:lsdException w:name="caption" w:semiHidden="0" w:uiPriority="35" w:unhideWhenUsed="0"/>
    <w:lsdException w:name="footnote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56F87"/>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8960DD"/>
    <w:rPr>
      <w:rFonts w:ascii="Arial" w:eastAsia="Times New Roman" w:hAnsi="Arial" w:cs="Times New Roman"/>
      <w:b/>
      <w:bCs/>
      <w:sz w:val="32"/>
      <w:szCs w:val="26"/>
    </w:rPr>
  </w:style>
  <w:style w:type="character" w:customStyle="1" w:styleId="Heading3Char">
    <w:name w:val="Heading 3 Char"/>
    <w:basedOn w:val="DefaultParagraphFont"/>
    <w:link w:val="Heading3"/>
    <w:rsid w:val="008960DD"/>
    <w:rPr>
      <w:rFonts w:ascii="Arial" w:eastAsia="Times New Roman" w:hAnsi="Arial" w:cs="Times New Roman"/>
      <w:b/>
      <w:bCs/>
      <w:szCs w:val="21"/>
    </w:rPr>
  </w:style>
  <w:style w:type="paragraph" w:customStyle="1" w:styleId="Address">
    <w:name w:val="Address"/>
    <w:basedOn w:val="Normal"/>
    <w:qFormat/>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qFormat/>
    <w:rsid w:val="003D1E62"/>
    <w:pPr>
      <w:spacing w:after="0"/>
    </w:pPr>
    <w:rPr>
      <w:sz w:val="19"/>
    </w:rPr>
  </w:style>
  <w:style w:type="paragraph" w:customStyle="1" w:styleId="FigureTitle">
    <w:name w:val="Figure Title"/>
    <w:basedOn w:val="Normal"/>
    <w:qFormat/>
    <w:rsid w:val="001B5C90"/>
    <w:pPr>
      <w:keepNext/>
      <w:spacing w:line="220" w:lineRule="atLeast"/>
    </w:pPr>
    <w:rPr>
      <w:b/>
    </w:rPr>
  </w:style>
  <w:style w:type="character" w:customStyle="1" w:styleId="Heading4Char">
    <w:name w:val="Heading 4 Char"/>
    <w:basedOn w:val="DefaultParagraphFont"/>
    <w:link w:val="Heading4"/>
    <w:rsid w:val="00AD0083"/>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8960DD"/>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B268B7"/>
    <w:pPr>
      <w:numPr>
        <w:numId w:val="3"/>
      </w:numPr>
      <w:ind w:left="360"/>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6763D2"/>
    <w:pPr>
      <w:spacing w:before="240"/>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qFormat/>
    <w:rsid w:val="001B5C90"/>
    <w:pPr>
      <w:spacing w:before="0"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F3148D"/>
    <w:rPr>
      <w:rFonts w:ascii="Calibri" w:eastAsia="Calibri" w:hAnsi="Calibri"/>
      <w:b/>
      <w:color w:val="FFFFFF"/>
      <w:sz w:val="20"/>
    </w:rPr>
  </w:style>
  <w:style w:type="paragraph" w:customStyle="1" w:styleId="TableHeading1">
    <w:name w:val="Table Heading 1"/>
    <w:basedOn w:val="Normal"/>
    <w:qFormat/>
    <w:rsid w:val="00F3148D"/>
    <w:rPr>
      <w:b/>
      <w:color w:val="FFFFFF"/>
      <w:sz w:val="19"/>
    </w:rPr>
  </w:style>
  <w:style w:type="paragraph" w:customStyle="1" w:styleId="TableHeading2">
    <w:name w:val="Table Heading 2"/>
    <w:basedOn w:val="Normal"/>
    <w:qFormat/>
    <w:rsid w:val="00F3148D"/>
    <w:rPr>
      <w:b/>
      <w:sz w:val="19"/>
    </w:r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1B5C90"/>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770EF1"/>
    <w:pPr>
      <w:keepNext/>
    </w:pPr>
    <w:rPr>
      <w:b/>
      <w:sz w:val="20"/>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qFormat/>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956F87"/>
    <w:pPr>
      <w:spacing w:before="0" w:after="0" w:line="240" w:lineRule="auto"/>
    </w:pPr>
    <w:rPr>
      <w:sz w:val="18"/>
      <w:szCs w:val="20"/>
    </w:rPr>
  </w:style>
  <w:style w:type="character" w:customStyle="1" w:styleId="FootnoteTextChar">
    <w:name w:val="Footnote Text Char"/>
    <w:basedOn w:val="DefaultParagraphFont"/>
    <w:link w:val="FootnoteText"/>
    <w:rsid w:val="00956F87"/>
    <w:rPr>
      <w:rFonts w:ascii="Cambria" w:eastAsia="Cambria" w:hAnsi="Cambria" w:cs="Times New Roman"/>
      <w:sz w:val="18"/>
      <w:szCs w:val="20"/>
    </w:rPr>
  </w:style>
  <w:style w:type="character" w:styleId="FootnoteReference">
    <w:name w:val="footnote reference"/>
    <w:basedOn w:val="DefaultParagraphFont"/>
    <w:semiHidden/>
    <w:unhideWhenUsed/>
    <w:rsid w:val="001B5C90"/>
    <w:rPr>
      <w:vertAlign w:val="superscript"/>
    </w:rPr>
  </w:style>
  <w:style w:type="character" w:styleId="CommentReference">
    <w:name w:val="annotation reference"/>
    <w:basedOn w:val="DefaultParagraphFont"/>
    <w:uiPriority w:val="99"/>
    <w:semiHidden/>
    <w:unhideWhenUsed/>
    <w:rsid w:val="004A7E4B"/>
    <w:rPr>
      <w:sz w:val="16"/>
      <w:szCs w:val="16"/>
    </w:rPr>
  </w:style>
  <w:style w:type="paragraph" w:styleId="CommentText">
    <w:name w:val="annotation text"/>
    <w:basedOn w:val="Normal"/>
    <w:link w:val="CommentTextChar"/>
    <w:unhideWhenUsed/>
    <w:rsid w:val="004A7E4B"/>
    <w:pPr>
      <w:spacing w:line="240" w:lineRule="auto"/>
    </w:pPr>
    <w:rPr>
      <w:sz w:val="20"/>
      <w:szCs w:val="20"/>
    </w:rPr>
  </w:style>
  <w:style w:type="character" w:customStyle="1" w:styleId="CommentTextChar">
    <w:name w:val="Comment Text Char"/>
    <w:basedOn w:val="DefaultParagraphFont"/>
    <w:link w:val="CommentText"/>
    <w:rsid w:val="004A7E4B"/>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4A7E4B"/>
    <w:rPr>
      <w:b/>
      <w:bCs/>
    </w:rPr>
  </w:style>
  <w:style w:type="character" w:customStyle="1" w:styleId="CommentSubjectChar">
    <w:name w:val="Comment Subject Char"/>
    <w:basedOn w:val="CommentTextChar"/>
    <w:link w:val="CommentSubject"/>
    <w:uiPriority w:val="99"/>
    <w:semiHidden/>
    <w:rsid w:val="004A7E4B"/>
    <w:rPr>
      <w:rFonts w:ascii="Cambria" w:eastAsia="Cambria" w:hAnsi="Cambria" w:cs="Times New Roman"/>
      <w:b/>
      <w:bCs/>
      <w:sz w:val="20"/>
      <w:szCs w:val="20"/>
    </w:rPr>
  </w:style>
  <w:style w:type="character" w:customStyle="1" w:styleId="st1">
    <w:name w:val="st1"/>
    <w:rsid w:val="005834EC"/>
    <w:rPr>
      <w:color w:val="222222"/>
      <w:sz w:val="27"/>
    </w:rPr>
  </w:style>
  <w:style w:type="paragraph" w:customStyle="1" w:styleId="Bullet1">
    <w:name w:val="Bullet 1"/>
    <w:basedOn w:val="Normal"/>
    <w:rsid w:val="000847CD"/>
    <w:pPr>
      <w:numPr>
        <w:numId w:val="7"/>
      </w:numPr>
      <w:spacing w:after="0" w:line="240" w:lineRule="auto"/>
    </w:pPr>
    <w:rPr>
      <w:rFonts w:eastAsia="MS Mincho"/>
      <w:kern w:val="24"/>
      <w:szCs w:val="24"/>
      <w:lang w:eastAsia="en-AU"/>
    </w:rPr>
  </w:style>
  <w:style w:type="paragraph" w:customStyle="1" w:styleId="Standard">
    <w:name w:val="Standard"/>
    <w:basedOn w:val="Normal"/>
    <w:link w:val="StandardChar"/>
    <w:rsid w:val="00733A28"/>
    <w:pPr>
      <w:spacing w:before="0" w:after="220" w:line="252" w:lineRule="auto"/>
    </w:pPr>
    <w:rPr>
      <w:rFonts w:eastAsia="Times New Roman"/>
      <w:snapToGrid w:val="0"/>
      <w:kern w:val="16"/>
      <w:szCs w:val="24"/>
    </w:rPr>
  </w:style>
  <w:style w:type="character" w:customStyle="1" w:styleId="StandardChar">
    <w:name w:val="Standard Char"/>
    <w:basedOn w:val="DefaultParagraphFont"/>
    <w:link w:val="Standard"/>
    <w:rsid w:val="00733A28"/>
    <w:rPr>
      <w:rFonts w:ascii="Cambria" w:eastAsia="Times New Roman" w:hAnsi="Cambria" w:cs="Times New Roman"/>
      <w:snapToGrid w:val="0"/>
      <w:kern w:val="16"/>
      <w:szCs w:val="24"/>
    </w:rPr>
  </w:style>
  <w:style w:type="paragraph" w:customStyle="1" w:styleId="WhiteSpace">
    <w:name w:val="White Space"/>
    <w:basedOn w:val="Standard"/>
    <w:link w:val="WhiteSpaceChar"/>
    <w:rsid w:val="00733A28"/>
    <w:pPr>
      <w:spacing w:after="0"/>
    </w:pPr>
    <w:rPr>
      <w:sz w:val="16"/>
      <w:szCs w:val="16"/>
    </w:rPr>
  </w:style>
  <w:style w:type="paragraph" w:customStyle="1" w:styleId="AssessmentSubsection">
    <w:name w:val="Assessment Subsection"/>
    <w:basedOn w:val="Standard"/>
    <w:next w:val="Standard"/>
    <w:rsid w:val="00733A28"/>
    <w:pPr>
      <w:keepNext/>
      <w:spacing w:after="110"/>
      <w:outlineLvl w:val="2"/>
    </w:pPr>
    <w:rPr>
      <w:b/>
      <w:i/>
    </w:rPr>
  </w:style>
  <w:style w:type="character" w:customStyle="1" w:styleId="WhiteSpaceChar">
    <w:name w:val="White Space Char"/>
    <w:basedOn w:val="DefaultParagraphFont"/>
    <w:link w:val="WhiteSpace"/>
    <w:rsid w:val="00733A28"/>
    <w:rPr>
      <w:rFonts w:ascii="Cambria" w:eastAsia="Times New Roman" w:hAnsi="Cambria" w:cs="Times New Roman"/>
      <w:snapToGrid w:val="0"/>
      <w:kern w:val="16"/>
      <w:sz w:val="16"/>
      <w:szCs w:val="16"/>
    </w:rPr>
  </w:style>
  <w:style w:type="paragraph" w:customStyle="1" w:styleId="AssessmentSubsection2">
    <w:name w:val="Assessment Subsection 2"/>
    <w:basedOn w:val="AssessmentSubsection"/>
    <w:next w:val="Standard"/>
    <w:rsid w:val="00262098"/>
    <w:pPr>
      <w:outlineLvl w:val="3"/>
    </w:pPr>
    <w:rPr>
      <w:b w:val="0"/>
    </w:rPr>
  </w:style>
  <w:style w:type="character" w:customStyle="1" w:styleId="TabletextChar">
    <w:name w:val="Table text Char"/>
    <w:basedOn w:val="DefaultParagraphFont"/>
    <w:link w:val="Tabletext"/>
    <w:rsid w:val="00262098"/>
    <w:rPr>
      <w:rFonts w:ascii="Cambria" w:eastAsia="Cambria" w:hAnsi="Cambria" w:cs="Times New Roman"/>
      <w:sz w:val="19"/>
    </w:rPr>
  </w:style>
  <w:style w:type="paragraph" w:customStyle="1" w:styleId="AssessmentSection">
    <w:name w:val="Assessment Section"/>
    <w:basedOn w:val="AssessmentSubsection"/>
    <w:next w:val="Standard"/>
    <w:rsid w:val="00B52397"/>
    <w:pPr>
      <w:outlineLvl w:val="1"/>
    </w:pPr>
    <w:rPr>
      <w:i w:val="0"/>
    </w:rPr>
  </w:style>
  <w:style w:type="paragraph" w:customStyle="1" w:styleId="Bulletpoint">
    <w:name w:val="Bullet point"/>
    <w:basedOn w:val="Standard"/>
    <w:rsid w:val="00C92010"/>
    <w:pPr>
      <w:numPr>
        <w:numId w:val="8"/>
      </w:numPr>
      <w:tabs>
        <w:tab w:val="clear" w:pos="369"/>
        <w:tab w:val="left" w:pos="397"/>
        <w:tab w:val="num" w:pos="511"/>
      </w:tabs>
      <w:spacing w:after="180"/>
      <w:ind w:left="397" w:firstLine="0"/>
    </w:pPr>
  </w:style>
  <w:style w:type="paragraph" w:styleId="ListParagraph">
    <w:name w:val="List Paragraph"/>
    <w:basedOn w:val="Normal"/>
    <w:uiPriority w:val="34"/>
    <w:qFormat/>
    <w:rsid w:val="006D12D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ascii="Times New Roman" w:eastAsia="Times New Roman" w:hAnsi="Times New Roman"/>
      <w:kern w:val="16"/>
      <w:sz w:val="24"/>
      <w:szCs w:val="24"/>
      <w:lang w:eastAsia="en-AU"/>
    </w:rPr>
  </w:style>
  <w:style w:type="paragraph" w:customStyle="1" w:styleId="TextTi12">
    <w:name w:val="Text:Ti12"/>
    <w:basedOn w:val="Normal"/>
    <w:link w:val="TextTi12Char"/>
    <w:qFormat/>
    <w:rsid w:val="002C1637"/>
    <w:pPr>
      <w:spacing w:before="0" w:after="170" w:line="260" w:lineRule="atLeast"/>
      <w:jc w:val="both"/>
    </w:pPr>
    <w:rPr>
      <w:rFonts w:ascii="Times New Roman" w:eastAsia="Times New Roman" w:hAnsi="Times New Roman"/>
      <w:sz w:val="24"/>
      <w:szCs w:val="20"/>
      <w:lang w:val="x-none" w:eastAsia="x-none"/>
    </w:rPr>
  </w:style>
  <w:style w:type="character" w:customStyle="1" w:styleId="TextTi12Char">
    <w:name w:val="Text:Ti12 Char"/>
    <w:link w:val="TextTi12"/>
    <w:rsid w:val="002C1637"/>
    <w:rPr>
      <w:rFonts w:ascii="Times New Roman" w:eastAsia="Times New Roman" w:hAnsi="Times New Roman" w:cs="Times New Roman"/>
      <w:sz w:val="24"/>
      <w:szCs w:val="20"/>
      <w:lang w:val="x-none" w:eastAsia="x-none"/>
    </w:rPr>
  </w:style>
  <w:style w:type="paragraph" w:customStyle="1" w:styleId="HdTab1">
    <w:name w:val="Hd:Tab:1"/>
    <w:basedOn w:val="Normal"/>
    <w:next w:val="Normal"/>
    <w:link w:val="HdTab1Char3"/>
    <w:qFormat/>
    <w:rsid w:val="00DA21EB"/>
    <w:pPr>
      <w:keepNext/>
      <w:spacing w:after="60" w:line="240" w:lineRule="auto"/>
      <w:ind w:left="1526" w:hanging="1526"/>
    </w:pPr>
    <w:rPr>
      <w:rFonts w:ascii="Times New Roman Bold" w:eastAsia="Times New Roman" w:hAnsi="Times New Roman Bold"/>
      <w:b/>
      <w:sz w:val="24"/>
      <w:szCs w:val="20"/>
      <w:lang w:val="x-none" w:eastAsia="x-none"/>
    </w:rPr>
  </w:style>
  <w:style w:type="paragraph" w:customStyle="1" w:styleId="TextTi9">
    <w:name w:val="Text:Ti9"/>
    <w:basedOn w:val="Normal"/>
    <w:rsid w:val="00DA21EB"/>
    <w:pPr>
      <w:spacing w:before="0" w:after="0" w:line="240" w:lineRule="auto"/>
      <w:ind w:left="284" w:hanging="284"/>
    </w:pPr>
    <w:rPr>
      <w:rFonts w:ascii="Times New Roman" w:eastAsia="Times New Roman" w:hAnsi="Times New Roman"/>
      <w:sz w:val="18"/>
      <w:szCs w:val="20"/>
      <w:lang w:val="en-GB"/>
    </w:rPr>
  </w:style>
  <w:style w:type="character" w:customStyle="1" w:styleId="HdTab1Char3">
    <w:name w:val="Hd:Tab:1 Char3"/>
    <w:link w:val="HdTab1"/>
    <w:rsid w:val="00DA21EB"/>
    <w:rPr>
      <w:rFonts w:ascii="Times New Roman Bold" w:eastAsia="Times New Roman" w:hAnsi="Times New Roman Bold" w:cs="Times New Roman"/>
      <w:b/>
      <w:sz w:val="24"/>
      <w:szCs w:val="20"/>
      <w:lang w:val="x-none" w:eastAsia="x-none"/>
    </w:rPr>
  </w:style>
  <w:style w:type="paragraph" w:customStyle="1" w:styleId="TextBull">
    <w:name w:val="Text:Bull"/>
    <w:basedOn w:val="Normal"/>
    <w:link w:val="TextBullCharChar"/>
    <w:rsid w:val="00347BD2"/>
    <w:pPr>
      <w:numPr>
        <w:numId w:val="11"/>
      </w:numPr>
      <w:spacing w:before="0" w:after="0" w:line="260" w:lineRule="atLeast"/>
    </w:pPr>
    <w:rPr>
      <w:rFonts w:ascii="Times New Roman" w:eastAsia="Times New Roman" w:hAnsi="Times New Roman"/>
      <w:iCs/>
      <w:color w:val="000000"/>
      <w:sz w:val="24"/>
      <w:szCs w:val="20"/>
      <w:lang w:val="en-GB" w:eastAsia="x-none"/>
    </w:rPr>
  </w:style>
  <w:style w:type="character" w:customStyle="1" w:styleId="TextBullCharChar">
    <w:name w:val="Text:Bull Char Char"/>
    <w:link w:val="TextBull"/>
    <w:rsid w:val="00347BD2"/>
    <w:rPr>
      <w:rFonts w:ascii="Times New Roman" w:eastAsia="Times New Roman" w:hAnsi="Times New Roman" w:cs="Times New Roman"/>
      <w:iCs/>
      <w:color w:val="000000"/>
      <w:sz w:val="24"/>
      <w:szCs w:val="20"/>
      <w:lang w:val="en-GB" w:eastAsia="x-none"/>
    </w:rPr>
  </w:style>
  <w:style w:type="paragraph" w:customStyle="1" w:styleId="Table">
    <w:name w:val="Table"/>
    <w:basedOn w:val="Normal"/>
    <w:rsid w:val="009D50A3"/>
    <w:pPr>
      <w:tabs>
        <w:tab w:val="left" w:pos="360"/>
      </w:tabs>
      <w:spacing w:before="40" w:after="20" w:line="260" w:lineRule="atLeast"/>
      <w:jc w:val="center"/>
    </w:pPr>
    <w:rPr>
      <w:rFonts w:ascii="Times New Roman" w:eastAsia="Times New Roman" w:hAnsi="Times New Roman"/>
      <w:sz w:val="20"/>
      <w:szCs w:val="20"/>
      <w:lang w:val="en-GB"/>
    </w:rPr>
  </w:style>
  <w:style w:type="paragraph" w:customStyle="1" w:styleId="TextDash">
    <w:name w:val="Text:Dash"/>
    <w:basedOn w:val="Normal"/>
    <w:rsid w:val="009D50A3"/>
    <w:pPr>
      <w:numPr>
        <w:numId w:val="13"/>
      </w:numPr>
      <w:spacing w:before="0" w:after="0" w:line="260" w:lineRule="atLeast"/>
    </w:pPr>
    <w:rPr>
      <w:rFonts w:ascii="Times New Roman" w:eastAsia="Times New Roman" w:hAnsi="Times New Roman"/>
      <w:sz w:val="24"/>
      <w:szCs w:val="20"/>
      <w:lang w:val="en-GB"/>
    </w:rPr>
  </w:style>
  <w:style w:type="paragraph" w:styleId="Revision">
    <w:name w:val="Revision"/>
    <w:hidden/>
    <w:uiPriority w:val="99"/>
    <w:semiHidden/>
    <w:rsid w:val="00185A3C"/>
    <w:pPr>
      <w:spacing w:after="0" w:line="240" w:lineRule="auto"/>
    </w:pPr>
    <w:rPr>
      <w:rFonts w:ascii="Cambria" w:eastAsia="Cambria" w:hAnsi="Cambria" w:cs="Times New Roman"/>
    </w:rPr>
  </w:style>
  <w:style w:type="paragraph" w:styleId="Index6">
    <w:name w:val="index 6"/>
    <w:basedOn w:val="Normal"/>
    <w:next w:val="Normal"/>
    <w:autoRedefine/>
    <w:uiPriority w:val="99"/>
    <w:unhideWhenUsed/>
    <w:rsid w:val="0039319F"/>
    <w:pPr>
      <w:spacing w:before="0" w:after="0" w:line="240" w:lineRule="auto"/>
      <w:ind w:left="1320" w:hanging="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semiHidden="0" w:unhideWhenUsed="0"/>
    <w:lsdException w:name="footer" w:semiHidden="0" w:unhideWhenUsed="0"/>
    <w:lsdException w:name="caption" w:semiHidden="0" w:uiPriority="35" w:unhideWhenUsed="0"/>
    <w:lsdException w:name="footnote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56F87"/>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8960DD"/>
    <w:rPr>
      <w:rFonts w:ascii="Arial" w:eastAsia="Times New Roman" w:hAnsi="Arial" w:cs="Times New Roman"/>
      <w:b/>
      <w:bCs/>
      <w:sz w:val="32"/>
      <w:szCs w:val="26"/>
    </w:rPr>
  </w:style>
  <w:style w:type="character" w:customStyle="1" w:styleId="Heading3Char">
    <w:name w:val="Heading 3 Char"/>
    <w:basedOn w:val="DefaultParagraphFont"/>
    <w:link w:val="Heading3"/>
    <w:rsid w:val="008960DD"/>
    <w:rPr>
      <w:rFonts w:ascii="Arial" w:eastAsia="Times New Roman" w:hAnsi="Arial" w:cs="Times New Roman"/>
      <w:b/>
      <w:bCs/>
      <w:szCs w:val="21"/>
    </w:rPr>
  </w:style>
  <w:style w:type="paragraph" w:customStyle="1" w:styleId="Address">
    <w:name w:val="Address"/>
    <w:basedOn w:val="Normal"/>
    <w:qFormat/>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qFormat/>
    <w:rsid w:val="003D1E62"/>
    <w:pPr>
      <w:spacing w:after="0"/>
    </w:pPr>
    <w:rPr>
      <w:sz w:val="19"/>
    </w:rPr>
  </w:style>
  <w:style w:type="paragraph" w:customStyle="1" w:styleId="FigureTitle">
    <w:name w:val="Figure Title"/>
    <w:basedOn w:val="Normal"/>
    <w:qFormat/>
    <w:rsid w:val="001B5C90"/>
    <w:pPr>
      <w:keepNext/>
      <w:spacing w:line="220" w:lineRule="atLeast"/>
    </w:pPr>
    <w:rPr>
      <w:b/>
    </w:rPr>
  </w:style>
  <w:style w:type="character" w:customStyle="1" w:styleId="Heading4Char">
    <w:name w:val="Heading 4 Char"/>
    <w:basedOn w:val="DefaultParagraphFont"/>
    <w:link w:val="Heading4"/>
    <w:rsid w:val="00AD0083"/>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8960DD"/>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B268B7"/>
    <w:pPr>
      <w:numPr>
        <w:numId w:val="3"/>
      </w:numPr>
      <w:ind w:left="360"/>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6763D2"/>
    <w:pPr>
      <w:spacing w:before="240"/>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qFormat/>
    <w:rsid w:val="001B5C90"/>
    <w:pPr>
      <w:spacing w:before="0"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F3148D"/>
    <w:rPr>
      <w:rFonts w:ascii="Calibri" w:eastAsia="Calibri" w:hAnsi="Calibri"/>
      <w:b/>
      <w:color w:val="FFFFFF"/>
      <w:sz w:val="20"/>
    </w:rPr>
  </w:style>
  <w:style w:type="paragraph" w:customStyle="1" w:styleId="TableHeading1">
    <w:name w:val="Table Heading 1"/>
    <w:basedOn w:val="Normal"/>
    <w:qFormat/>
    <w:rsid w:val="00F3148D"/>
    <w:rPr>
      <w:b/>
      <w:color w:val="FFFFFF"/>
      <w:sz w:val="19"/>
    </w:rPr>
  </w:style>
  <w:style w:type="paragraph" w:customStyle="1" w:styleId="TableHeading2">
    <w:name w:val="Table Heading 2"/>
    <w:basedOn w:val="Normal"/>
    <w:qFormat/>
    <w:rsid w:val="00F3148D"/>
    <w:rPr>
      <w:b/>
      <w:sz w:val="19"/>
    </w:r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1B5C90"/>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770EF1"/>
    <w:pPr>
      <w:keepNext/>
    </w:pPr>
    <w:rPr>
      <w:b/>
      <w:sz w:val="20"/>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qFormat/>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956F87"/>
    <w:pPr>
      <w:spacing w:before="0" w:after="0" w:line="240" w:lineRule="auto"/>
    </w:pPr>
    <w:rPr>
      <w:sz w:val="18"/>
      <w:szCs w:val="20"/>
    </w:rPr>
  </w:style>
  <w:style w:type="character" w:customStyle="1" w:styleId="FootnoteTextChar">
    <w:name w:val="Footnote Text Char"/>
    <w:basedOn w:val="DefaultParagraphFont"/>
    <w:link w:val="FootnoteText"/>
    <w:rsid w:val="00956F87"/>
    <w:rPr>
      <w:rFonts w:ascii="Cambria" w:eastAsia="Cambria" w:hAnsi="Cambria" w:cs="Times New Roman"/>
      <w:sz w:val="18"/>
      <w:szCs w:val="20"/>
    </w:rPr>
  </w:style>
  <w:style w:type="character" w:styleId="FootnoteReference">
    <w:name w:val="footnote reference"/>
    <w:basedOn w:val="DefaultParagraphFont"/>
    <w:semiHidden/>
    <w:unhideWhenUsed/>
    <w:rsid w:val="001B5C90"/>
    <w:rPr>
      <w:vertAlign w:val="superscript"/>
    </w:rPr>
  </w:style>
  <w:style w:type="character" w:styleId="CommentReference">
    <w:name w:val="annotation reference"/>
    <w:basedOn w:val="DefaultParagraphFont"/>
    <w:uiPriority w:val="99"/>
    <w:semiHidden/>
    <w:unhideWhenUsed/>
    <w:rsid w:val="004A7E4B"/>
    <w:rPr>
      <w:sz w:val="16"/>
      <w:szCs w:val="16"/>
    </w:rPr>
  </w:style>
  <w:style w:type="paragraph" w:styleId="CommentText">
    <w:name w:val="annotation text"/>
    <w:basedOn w:val="Normal"/>
    <w:link w:val="CommentTextChar"/>
    <w:unhideWhenUsed/>
    <w:rsid w:val="004A7E4B"/>
    <w:pPr>
      <w:spacing w:line="240" w:lineRule="auto"/>
    </w:pPr>
    <w:rPr>
      <w:sz w:val="20"/>
      <w:szCs w:val="20"/>
    </w:rPr>
  </w:style>
  <w:style w:type="character" w:customStyle="1" w:styleId="CommentTextChar">
    <w:name w:val="Comment Text Char"/>
    <w:basedOn w:val="DefaultParagraphFont"/>
    <w:link w:val="CommentText"/>
    <w:rsid w:val="004A7E4B"/>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4A7E4B"/>
    <w:rPr>
      <w:b/>
      <w:bCs/>
    </w:rPr>
  </w:style>
  <w:style w:type="character" w:customStyle="1" w:styleId="CommentSubjectChar">
    <w:name w:val="Comment Subject Char"/>
    <w:basedOn w:val="CommentTextChar"/>
    <w:link w:val="CommentSubject"/>
    <w:uiPriority w:val="99"/>
    <w:semiHidden/>
    <w:rsid w:val="004A7E4B"/>
    <w:rPr>
      <w:rFonts w:ascii="Cambria" w:eastAsia="Cambria" w:hAnsi="Cambria" w:cs="Times New Roman"/>
      <w:b/>
      <w:bCs/>
      <w:sz w:val="20"/>
      <w:szCs w:val="20"/>
    </w:rPr>
  </w:style>
  <w:style w:type="character" w:customStyle="1" w:styleId="st1">
    <w:name w:val="st1"/>
    <w:rsid w:val="005834EC"/>
    <w:rPr>
      <w:color w:val="222222"/>
      <w:sz w:val="27"/>
    </w:rPr>
  </w:style>
  <w:style w:type="paragraph" w:customStyle="1" w:styleId="Bullet1">
    <w:name w:val="Bullet 1"/>
    <w:basedOn w:val="Normal"/>
    <w:rsid w:val="000847CD"/>
    <w:pPr>
      <w:numPr>
        <w:numId w:val="7"/>
      </w:numPr>
      <w:spacing w:after="0" w:line="240" w:lineRule="auto"/>
    </w:pPr>
    <w:rPr>
      <w:rFonts w:eastAsia="MS Mincho"/>
      <w:kern w:val="24"/>
      <w:szCs w:val="24"/>
      <w:lang w:eastAsia="en-AU"/>
    </w:rPr>
  </w:style>
  <w:style w:type="paragraph" w:customStyle="1" w:styleId="Standard">
    <w:name w:val="Standard"/>
    <w:basedOn w:val="Normal"/>
    <w:link w:val="StandardChar"/>
    <w:rsid w:val="00733A28"/>
    <w:pPr>
      <w:spacing w:before="0" w:after="220" w:line="252" w:lineRule="auto"/>
    </w:pPr>
    <w:rPr>
      <w:rFonts w:eastAsia="Times New Roman"/>
      <w:snapToGrid w:val="0"/>
      <w:kern w:val="16"/>
      <w:szCs w:val="24"/>
    </w:rPr>
  </w:style>
  <w:style w:type="character" w:customStyle="1" w:styleId="StandardChar">
    <w:name w:val="Standard Char"/>
    <w:basedOn w:val="DefaultParagraphFont"/>
    <w:link w:val="Standard"/>
    <w:rsid w:val="00733A28"/>
    <w:rPr>
      <w:rFonts w:ascii="Cambria" w:eastAsia="Times New Roman" w:hAnsi="Cambria" w:cs="Times New Roman"/>
      <w:snapToGrid w:val="0"/>
      <w:kern w:val="16"/>
      <w:szCs w:val="24"/>
    </w:rPr>
  </w:style>
  <w:style w:type="paragraph" w:customStyle="1" w:styleId="WhiteSpace">
    <w:name w:val="White Space"/>
    <w:basedOn w:val="Standard"/>
    <w:link w:val="WhiteSpaceChar"/>
    <w:rsid w:val="00733A28"/>
    <w:pPr>
      <w:spacing w:after="0"/>
    </w:pPr>
    <w:rPr>
      <w:sz w:val="16"/>
      <w:szCs w:val="16"/>
    </w:rPr>
  </w:style>
  <w:style w:type="paragraph" w:customStyle="1" w:styleId="AssessmentSubsection">
    <w:name w:val="Assessment Subsection"/>
    <w:basedOn w:val="Standard"/>
    <w:next w:val="Standard"/>
    <w:rsid w:val="00733A28"/>
    <w:pPr>
      <w:keepNext/>
      <w:spacing w:after="110"/>
      <w:outlineLvl w:val="2"/>
    </w:pPr>
    <w:rPr>
      <w:b/>
      <w:i/>
    </w:rPr>
  </w:style>
  <w:style w:type="character" w:customStyle="1" w:styleId="WhiteSpaceChar">
    <w:name w:val="White Space Char"/>
    <w:basedOn w:val="DefaultParagraphFont"/>
    <w:link w:val="WhiteSpace"/>
    <w:rsid w:val="00733A28"/>
    <w:rPr>
      <w:rFonts w:ascii="Cambria" w:eastAsia="Times New Roman" w:hAnsi="Cambria" w:cs="Times New Roman"/>
      <w:snapToGrid w:val="0"/>
      <w:kern w:val="16"/>
      <w:sz w:val="16"/>
      <w:szCs w:val="16"/>
    </w:rPr>
  </w:style>
  <w:style w:type="paragraph" w:customStyle="1" w:styleId="AssessmentSubsection2">
    <w:name w:val="Assessment Subsection 2"/>
    <w:basedOn w:val="AssessmentSubsection"/>
    <w:next w:val="Standard"/>
    <w:rsid w:val="00262098"/>
    <w:pPr>
      <w:outlineLvl w:val="3"/>
    </w:pPr>
    <w:rPr>
      <w:b w:val="0"/>
    </w:rPr>
  </w:style>
  <w:style w:type="character" w:customStyle="1" w:styleId="TabletextChar">
    <w:name w:val="Table text Char"/>
    <w:basedOn w:val="DefaultParagraphFont"/>
    <w:link w:val="Tabletext"/>
    <w:rsid w:val="00262098"/>
    <w:rPr>
      <w:rFonts w:ascii="Cambria" w:eastAsia="Cambria" w:hAnsi="Cambria" w:cs="Times New Roman"/>
      <w:sz w:val="19"/>
    </w:rPr>
  </w:style>
  <w:style w:type="paragraph" w:customStyle="1" w:styleId="AssessmentSection">
    <w:name w:val="Assessment Section"/>
    <w:basedOn w:val="AssessmentSubsection"/>
    <w:next w:val="Standard"/>
    <w:rsid w:val="00B52397"/>
    <w:pPr>
      <w:outlineLvl w:val="1"/>
    </w:pPr>
    <w:rPr>
      <w:i w:val="0"/>
    </w:rPr>
  </w:style>
  <w:style w:type="paragraph" w:customStyle="1" w:styleId="Bulletpoint">
    <w:name w:val="Bullet point"/>
    <w:basedOn w:val="Standard"/>
    <w:rsid w:val="00C92010"/>
    <w:pPr>
      <w:numPr>
        <w:numId w:val="8"/>
      </w:numPr>
      <w:tabs>
        <w:tab w:val="clear" w:pos="369"/>
        <w:tab w:val="left" w:pos="397"/>
        <w:tab w:val="num" w:pos="511"/>
      </w:tabs>
      <w:spacing w:after="180"/>
      <w:ind w:left="397" w:firstLine="0"/>
    </w:pPr>
  </w:style>
  <w:style w:type="paragraph" w:styleId="ListParagraph">
    <w:name w:val="List Paragraph"/>
    <w:basedOn w:val="Normal"/>
    <w:uiPriority w:val="34"/>
    <w:qFormat/>
    <w:rsid w:val="006D12D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ascii="Times New Roman" w:eastAsia="Times New Roman" w:hAnsi="Times New Roman"/>
      <w:kern w:val="16"/>
      <w:sz w:val="24"/>
      <w:szCs w:val="24"/>
      <w:lang w:eastAsia="en-AU"/>
    </w:rPr>
  </w:style>
  <w:style w:type="paragraph" w:customStyle="1" w:styleId="TextTi12">
    <w:name w:val="Text:Ti12"/>
    <w:basedOn w:val="Normal"/>
    <w:link w:val="TextTi12Char"/>
    <w:qFormat/>
    <w:rsid w:val="002C1637"/>
    <w:pPr>
      <w:spacing w:before="0" w:after="170" w:line="260" w:lineRule="atLeast"/>
      <w:jc w:val="both"/>
    </w:pPr>
    <w:rPr>
      <w:rFonts w:ascii="Times New Roman" w:eastAsia="Times New Roman" w:hAnsi="Times New Roman"/>
      <w:sz w:val="24"/>
      <w:szCs w:val="20"/>
      <w:lang w:val="x-none" w:eastAsia="x-none"/>
    </w:rPr>
  </w:style>
  <w:style w:type="character" w:customStyle="1" w:styleId="TextTi12Char">
    <w:name w:val="Text:Ti12 Char"/>
    <w:link w:val="TextTi12"/>
    <w:rsid w:val="002C1637"/>
    <w:rPr>
      <w:rFonts w:ascii="Times New Roman" w:eastAsia="Times New Roman" w:hAnsi="Times New Roman" w:cs="Times New Roman"/>
      <w:sz w:val="24"/>
      <w:szCs w:val="20"/>
      <w:lang w:val="x-none" w:eastAsia="x-none"/>
    </w:rPr>
  </w:style>
  <w:style w:type="paragraph" w:customStyle="1" w:styleId="HdTab1">
    <w:name w:val="Hd:Tab:1"/>
    <w:basedOn w:val="Normal"/>
    <w:next w:val="Normal"/>
    <w:link w:val="HdTab1Char3"/>
    <w:qFormat/>
    <w:rsid w:val="00DA21EB"/>
    <w:pPr>
      <w:keepNext/>
      <w:spacing w:after="60" w:line="240" w:lineRule="auto"/>
      <w:ind w:left="1526" w:hanging="1526"/>
    </w:pPr>
    <w:rPr>
      <w:rFonts w:ascii="Times New Roman Bold" w:eastAsia="Times New Roman" w:hAnsi="Times New Roman Bold"/>
      <w:b/>
      <w:sz w:val="24"/>
      <w:szCs w:val="20"/>
      <w:lang w:val="x-none" w:eastAsia="x-none"/>
    </w:rPr>
  </w:style>
  <w:style w:type="paragraph" w:customStyle="1" w:styleId="TextTi9">
    <w:name w:val="Text:Ti9"/>
    <w:basedOn w:val="Normal"/>
    <w:rsid w:val="00DA21EB"/>
    <w:pPr>
      <w:spacing w:before="0" w:after="0" w:line="240" w:lineRule="auto"/>
      <w:ind w:left="284" w:hanging="284"/>
    </w:pPr>
    <w:rPr>
      <w:rFonts w:ascii="Times New Roman" w:eastAsia="Times New Roman" w:hAnsi="Times New Roman"/>
      <w:sz w:val="18"/>
      <w:szCs w:val="20"/>
      <w:lang w:val="en-GB"/>
    </w:rPr>
  </w:style>
  <w:style w:type="character" w:customStyle="1" w:styleId="HdTab1Char3">
    <w:name w:val="Hd:Tab:1 Char3"/>
    <w:link w:val="HdTab1"/>
    <w:rsid w:val="00DA21EB"/>
    <w:rPr>
      <w:rFonts w:ascii="Times New Roman Bold" w:eastAsia="Times New Roman" w:hAnsi="Times New Roman Bold" w:cs="Times New Roman"/>
      <w:b/>
      <w:sz w:val="24"/>
      <w:szCs w:val="20"/>
      <w:lang w:val="x-none" w:eastAsia="x-none"/>
    </w:rPr>
  </w:style>
  <w:style w:type="paragraph" w:customStyle="1" w:styleId="TextBull">
    <w:name w:val="Text:Bull"/>
    <w:basedOn w:val="Normal"/>
    <w:link w:val="TextBullCharChar"/>
    <w:rsid w:val="00347BD2"/>
    <w:pPr>
      <w:numPr>
        <w:numId w:val="11"/>
      </w:numPr>
      <w:spacing w:before="0" w:after="0" w:line="260" w:lineRule="atLeast"/>
    </w:pPr>
    <w:rPr>
      <w:rFonts w:ascii="Times New Roman" w:eastAsia="Times New Roman" w:hAnsi="Times New Roman"/>
      <w:iCs/>
      <w:color w:val="000000"/>
      <w:sz w:val="24"/>
      <w:szCs w:val="20"/>
      <w:lang w:val="en-GB" w:eastAsia="x-none"/>
    </w:rPr>
  </w:style>
  <w:style w:type="character" w:customStyle="1" w:styleId="TextBullCharChar">
    <w:name w:val="Text:Bull Char Char"/>
    <w:link w:val="TextBull"/>
    <w:rsid w:val="00347BD2"/>
    <w:rPr>
      <w:rFonts w:ascii="Times New Roman" w:eastAsia="Times New Roman" w:hAnsi="Times New Roman" w:cs="Times New Roman"/>
      <w:iCs/>
      <w:color w:val="000000"/>
      <w:sz w:val="24"/>
      <w:szCs w:val="20"/>
      <w:lang w:val="en-GB" w:eastAsia="x-none"/>
    </w:rPr>
  </w:style>
  <w:style w:type="paragraph" w:customStyle="1" w:styleId="Table">
    <w:name w:val="Table"/>
    <w:basedOn w:val="Normal"/>
    <w:rsid w:val="009D50A3"/>
    <w:pPr>
      <w:tabs>
        <w:tab w:val="left" w:pos="360"/>
      </w:tabs>
      <w:spacing w:before="40" w:after="20" w:line="260" w:lineRule="atLeast"/>
      <w:jc w:val="center"/>
    </w:pPr>
    <w:rPr>
      <w:rFonts w:ascii="Times New Roman" w:eastAsia="Times New Roman" w:hAnsi="Times New Roman"/>
      <w:sz w:val="20"/>
      <w:szCs w:val="20"/>
      <w:lang w:val="en-GB"/>
    </w:rPr>
  </w:style>
  <w:style w:type="paragraph" w:customStyle="1" w:styleId="TextDash">
    <w:name w:val="Text:Dash"/>
    <w:basedOn w:val="Normal"/>
    <w:rsid w:val="009D50A3"/>
    <w:pPr>
      <w:numPr>
        <w:numId w:val="13"/>
      </w:numPr>
      <w:spacing w:before="0" w:after="0" w:line="260" w:lineRule="atLeast"/>
    </w:pPr>
    <w:rPr>
      <w:rFonts w:ascii="Times New Roman" w:eastAsia="Times New Roman" w:hAnsi="Times New Roman"/>
      <w:sz w:val="24"/>
      <w:szCs w:val="20"/>
      <w:lang w:val="en-GB"/>
    </w:rPr>
  </w:style>
  <w:style w:type="paragraph" w:styleId="Revision">
    <w:name w:val="Revision"/>
    <w:hidden/>
    <w:uiPriority w:val="99"/>
    <w:semiHidden/>
    <w:rsid w:val="00185A3C"/>
    <w:pPr>
      <w:spacing w:after="0" w:line="240" w:lineRule="auto"/>
    </w:pPr>
    <w:rPr>
      <w:rFonts w:ascii="Cambria" w:eastAsia="Cambria" w:hAnsi="Cambria" w:cs="Times New Roman"/>
    </w:rPr>
  </w:style>
  <w:style w:type="paragraph" w:styleId="Index6">
    <w:name w:val="index 6"/>
    <w:basedOn w:val="Normal"/>
    <w:next w:val="Normal"/>
    <w:autoRedefine/>
    <w:uiPriority w:val="99"/>
    <w:unhideWhenUsed/>
    <w:rsid w:val="0039319F"/>
    <w:pPr>
      <w:spacing w:before="0" w:after="0" w:line="240" w:lineRule="auto"/>
      <w:ind w:left="13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58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7.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header" Target="header5.xm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eader" Target="header3.xml"/><Relationship Id="rId28" Type="http://schemas.openxmlformats.org/officeDocument/2006/relationships/hyperlink" Target="http://www.tga.gov.au" TargetMode="External"/><Relationship Id="rId10" Type="http://schemas.openxmlformats.org/officeDocument/2006/relationships/hyperlink" Target="mailto:tga.copyright@tga.gov.au" TargetMode="External"/><Relationship Id="rId19" Type="http://schemas.openxmlformats.org/officeDocument/2006/relationships/image" Target="media/image8.png"/><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tga.gov.au" TargetMode="External"/><Relationship Id="rId14" Type="http://schemas.openxmlformats.org/officeDocument/2006/relationships/image" Target="media/image3.png"/><Relationship Id="rId22" Type="http://schemas.openxmlformats.org/officeDocument/2006/relationships/hyperlink" Target="http://www.tga.gov.au/hp/information-medicines-pi.htm" TargetMode="External"/><Relationship Id="rId27" Type="http://schemas.openxmlformats.org/officeDocument/2006/relationships/hyperlink" Target="mailto:info@tga.gov.au" TargetMode="External"/><Relationship Id="rId30" Type="http://schemas.openxmlformats.org/officeDocument/2006/relationships/header" Target="header7.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96ACB-B6B4-4BD4-BB26-D2F03F41B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77</Pages>
  <Words>29074</Words>
  <Characters>165727</Characters>
  <Application>Microsoft Office Word</Application>
  <DocSecurity>0</DocSecurity>
  <Lines>1381</Lines>
  <Paragraphs>388</Paragraphs>
  <ScaleCrop>false</ScaleCrop>
  <HeadingPairs>
    <vt:vector size="2" baseType="variant">
      <vt:variant>
        <vt:lpstr>Title</vt:lpstr>
      </vt:variant>
      <vt:variant>
        <vt:i4>1</vt:i4>
      </vt:variant>
    </vt:vector>
  </HeadingPairs>
  <TitlesOfParts>
    <vt:vector size="1" baseType="lpstr">
      <vt:lpstr>Australian public assessment for...</vt:lpstr>
    </vt:vector>
  </TitlesOfParts>
  <Company>Department of Health Therapeutic Goods Administration</Company>
  <LinksUpToDate>false</LinksUpToDate>
  <CharactersWithSpaces>194413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for macitentan</dc:title>
  <dc:subject>prescription medicine regulation</dc:subject>
  <dc:creator>Therapeutic Goods Administration</dc:creator>
  <cp:keywords>auspar, prescription, medicine, assessment, regulation, australia, macitentan, opsumit, actelion, pharmaceuticals</cp:keywords>
  <cp:lastModifiedBy>dixonj</cp:lastModifiedBy>
  <cp:revision>27</cp:revision>
  <cp:lastPrinted>2014-04-16T03:45:00Z</cp:lastPrinted>
  <dcterms:created xsi:type="dcterms:W3CDTF">2014-04-28T03:53:00Z</dcterms:created>
  <dcterms:modified xsi:type="dcterms:W3CDTF">2014-06-27T05:13:00Z</dcterms:modified>
  <cp:category>external publication</cp:category>
</cp:coreProperties>
</file>