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00" w:rsidRPr="006B0019" w:rsidRDefault="00E66B00" w:rsidP="003624FC">
      <w:pPr>
        <w:pStyle w:val="Title"/>
      </w:pPr>
      <w:r>
        <w:t>PRODUCT INFORMATION</w:t>
      </w:r>
    </w:p>
    <w:p w:rsidR="00E66B00" w:rsidRPr="006B0019" w:rsidRDefault="00E66B00" w:rsidP="00E66B00">
      <w:pPr>
        <w:pStyle w:val="Subtitle"/>
        <w:ind w:right="1134"/>
      </w:pPr>
      <w:r w:rsidRPr="006B0019">
        <w:t>CELSENTRI</w:t>
      </w:r>
      <w:r w:rsidRPr="006B0019">
        <w:rPr>
          <w:vertAlign w:val="superscript"/>
        </w:rPr>
        <w:sym w:font="Symbol" w:char="F0E2"/>
      </w:r>
      <w:r w:rsidRPr="006B0019">
        <w:t xml:space="preserve"> (maraviroc)</w:t>
      </w:r>
    </w:p>
    <w:p w:rsidR="00AC3EF2" w:rsidRPr="00564C8A" w:rsidRDefault="00AC3EF2" w:rsidP="004D6F00">
      <w:pPr>
        <w:pStyle w:val="Heading1"/>
      </w:pPr>
      <w:r w:rsidRPr="00564C8A">
        <w:t>Name Of The MEDICINE</w:t>
      </w:r>
    </w:p>
    <w:p w:rsidR="00AC3EF2" w:rsidRPr="00073AD6" w:rsidRDefault="00AC3EF2" w:rsidP="00AC3EF2">
      <w:pPr>
        <w:tabs>
          <w:tab w:val="left" w:pos="9180"/>
        </w:tabs>
        <w:spacing w:after="240"/>
        <w:jc w:val="both"/>
      </w:pPr>
      <w:proofErr w:type="gramStart"/>
      <w:r w:rsidRPr="00073AD6">
        <w:t>CELSENTRI</w:t>
      </w:r>
      <w:r w:rsidRPr="00073AD6">
        <w:rPr>
          <w:vertAlign w:val="superscript"/>
        </w:rPr>
        <w:sym w:font="Symbol" w:char="F0E2"/>
      </w:r>
      <w:r w:rsidRPr="00073AD6">
        <w:t xml:space="preserve"> 150 mg and 300 mg film-coated tablets.</w:t>
      </w:r>
      <w:proofErr w:type="gramEnd"/>
    </w:p>
    <w:p w:rsidR="00AC3EF2" w:rsidRPr="00073AD6" w:rsidRDefault="00AC3EF2" w:rsidP="00EA27A6">
      <w:pPr>
        <w:pStyle w:val="NormalBold"/>
        <w:tabs>
          <w:tab w:val="left" w:pos="9000"/>
        </w:tabs>
        <w:spacing w:after="240"/>
        <w:jc w:val="both"/>
        <w:rPr>
          <w:b w:val="0"/>
          <w:bCs/>
        </w:rPr>
      </w:pPr>
      <w:r w:rsidRPr="00073AD6">
        <w:rPr>
          <w:b w:val="0"/>
          <w:bCs/>
        </w:rPr>
        <w:t xml:space="preserve">CELSENTRI film-coated tablets contain </w:t>
      </w:r>
      <w:proofErr w:type="spellStart"/>
      <w:r w:rsidRPr="00073AD6">
        <w:rPr>
          <w:b w:val="0"/>
          <w:bCs/>
        </w:rPr>
        <w:t>maraviroc</w:t>
      </w:r>
      <w:proofErr w:type="spellEnd"/>
      <w:r w:rsidRPr="00073AD6">
        <w:rPr>
          <w:b w:val="0"/>
          <w:bCs/>
          <w:caps/>
        </w:rPr>
        <w:t xml:space="preserve"> </w:t>
      </w:r>
      <w:r w:rsidRPr="00073AD6">
        <w:rPr>
          <w:b w:val="0"/>
          <w:bCs/>
        </w:rPr>
        <w:t xml:space="preserve">which </w:t>
      </w:r>
      <w:r w:rsidRPr="00073AD6">
        <w:rPr>
          <w:b w:val="0"/>
          <w:iCs/>
        </w:rPr>
        <w:t>is a member of a therapeutic class called CCR5 antagonists</w:t>
      </w:r>
      <w:r w:rsidRPr="00073AD6">
        <w:rPr>
          <w:b w:val="0"/>
          <w:bCs/>
        </w:rPr>
        <w:t xml:space="preserve">. </w:t>
      </w:r>
      <w:proofErr w:type="spellStart"/>
      <w:r w:rsidRPr="00073AD6">
        <w:rPr>
          <w:b w:val="0"/>
          <w:bCs/>
        </w:rPr>
        <w:t>Maraviroc</w:t>
      </w:r>
      <w:proofErr w:type="spellEnd"/>
      <w:r w:rsidRPr="00073AD6">
        <w:rPr>
          <w:b w:val="0"/>
          <w:bCs/>
        </w:rPr>
        <w:t xml:space="preserve"> is chemically described as </w:t>
      </w:r>
      <w:r w:rsidRPr="00073AD6">
        <w:rPr>
          <w:b w:val="0"/>
          <w:bCs/>
          <w:noProof/>
        </w:rPr>
        <w:t>4,4-difluoro-</w:t>
      </w:r>
      <w:r w:rsidRPr="00073AD6">
        <w:rPr>
          <w:b w:val="0"/>
          <w:bCs/>
          <w:i/>
          <w:noProof/>
        </w:rPr>
        <w:t>N</w:t>
      </w:r>
      <w:r w:rsidRPr="00073AD6">
        <w:rPr>
          <w:b w:val="0"/>
          <w:bCs/>
          <w:noProof/>
        </w:rPr>
        <w:t>-{(1</w:t>
      </w:r>
      <w:r w:rsidRPr="00073AD6">
        <w:rPr>
          <w:b w:val="0"/>
          <w:bCs/>
          <w:i/>
          <w:noProof/>
        </w:rPr>
        <w:t>S</w:t>
      </w:r>
      <w:r w:rsidRPr="00073AD6">
        <w:rPr>
          <w:b w:val="0"/>
          <w:bCs/>
          <w:noProof/>
        </w:rPr>
        <w:t>)-3</w:t>
      </w:r>
      <w:r w:rsidRPr="00073AD6">
        <w:rPr>
          <w:b w:val="0"/>
          <w:bCs/>
          <w:i/>
          <w:noProof/>
        </w:rPr>
        <w:t>-</w:t>
      </w:r>
      <w:r w:rsidRPr="00073AD6">
        <w:rPr>
          <w:b w:val="0"/>
          <w:bCs/>
          <w:noProof/>
        </w:rPr>
        <w:t>[</w:t>
      </w:r>
      <w:r w:rsidRPr="00073AD6">
        <w:rPr>
          <w:b w:val="0"/>
          <w:bCs/>
          <w:i/>
          <w:noProof/>
        </w:rPr>
        <w:t>exo</w:t>
      </w:r>
      <w:r w:rsidRPr="00073AD6">
        <w:rPr>
          <w:b w:val="0"/>
          <w:bCs/>
          <w:noProof/>
        </w:rPr>
        <w:t>-3-(3-isopropyl-5-methyl-4</w:t>
      </w:r>
      <w:r w:rsidRPr="00073AD6">
        <w:rPr>
          <w:b w:val="0"/>
          <w:bCs/>
          <w:i/>
          <w:noProof/>
        </w:rPr>
        <w:t>H</w:t>
      </w:r>
      <w:r w:rsidRPr="00073AD6">
        <w:rPr>
          <w:b w:val="0"/>
          <w:bCs/>
          <w:noProof/>
        </w:rPr>
        <w:t>-1,2,4-triazol-4-yl)-8-azabicyclo[3.2.1]oct-8-yl]-1-phenylpropyl}cyclohexanecarboxamide.</w:t>
      </w:r>
    </w:p>
    <w:p w:rsidR="00AC3EF2" w:rsidRPr="00073AD6" w:rsidRDefault="00AC3EF2" w:rsidP="00EA27A6">
      <w:pPr>
        <w:tabs>
          <w:tab w:val="left" w:pos="9180"/>
        </w:tabs>
        <w:spacing w:after="240"/>
        <w:jc w:val="both"/>
      </w:pPr>
      <w:r w:rsidRPr="00073AD6">
        <w:rPr>
          <w:noProof/>
        </w:rPr>
        <w:t xml:space="preserve">The molecular formula is </w:t>
      </w:r>
      <w:r w:rsidRPr="00073AD6">
        <w:t>C</w:t>
      </w:r>
      <w:r w:rsidRPr="00073AD6">
        <w:rPr>
          <w:vertAlign w:val="subscript"/>
        </w:rPr>
        <w:t>29</w:t>
      </w:r>
      <w:r w:rsidRPr="00073AD6">
        <w:t>H</w:t>
      </w:r>
      <w:r w:rsidRPr="00073AD6">
        <w:rPr>
          <w:vertAlign w:val="subscript"/>
        </w:rPr>
        <w:t>41</w:t>
      </w:r>
      <w:r w:rsidRPr="00073AD6">
        <w:t>F</w:t>
      </w:r>
      <w:r w:rsidRPr="00073AD6">
        <w:rPr>
          <w:vertAlign w:val="subscript"/>
        </w:rPr>
        <w:t>2</w:t>
      </w:r>
      <w:r w:rsidRPr="00073AD6">
        <w:t>N</w:t>
      </w:r>
      <w:r w:rsidRPr="00073AD6">
        <w:rPr>
          <w:vertAlign w:val="subscript"/>
        </w:rPr>
        <w:t>5</w:t>
      </w:r>
      <w:r w:rsidRPr="00073AD6">
        <w:t>O and the structural formula is:</w:t>
      </w:r>
    </w:p>
    <w:p w:rsidR="00AC3EF2" w:rsidRPr="00073AD6" w:rsidRDefault="00796D9E" w:rsidP="00AC3EF2">
      <w:r w:rsidRPr="00073AD6">
        <w:rPr>
          <w:snapToGrid w:val="0"/>
        </w:rPr>
        <w:object w:dxaOrig="3399" w:dyaOrig="2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ructural formula of celsentri" style="width:206.75pt;height:128.3pt" o:ole="" fillcolor="window">
            <v:imagedata r:id="rId8" o:title=""/>
          </v:shape>
          <o:OLEObject Type="Embed" ProgID="ISISServer" ShapeID="_x0000_i1025" DrawAspect="Content" ObjectID="_1440176595" r:id="rId9"/>
        </w:object>
      </w:r>
    </w:p>
    <w:p w:rsidR="00AC3EF2" w:rsidRPr="00A8441B" w:rsidRDefault="00AC3EF2" w:rsidP="00AC3EF2">
      <w:pPr>
        <w:autoSpaceDE w:val="0"/>
        <w:autoSpaceDN w:val="0"/>
        <w:adjustRightInd w:val="0"/>
        <w:spacing w:after="240"/>
        <w:jc w:val="both"/>
      </w:pPr>
      <w:r w:rsidRPr="00073AD6">
        <w:rPr>
          <w:lang w:val="en-US"/>
        </w:rPr>
        <w:t>CAS no.:</w:t>
      </w:r>
      <w:r w:rsidRPr="00073AD6">
        <w:t xml:space="preserve"> 376348-65-1</w:t>
      </w:r>
    </w:p>
    <w:p w:rsidR="00E66B00" w:rsidRPr="00D0112E" w:rsidRDefault="00E66B00" w:rsidP="004D6F00">
      <w:pPr>
        <w:pStyle w:val="Heading1"/>
      </w:pPr>
      <w:r w:rsidRPr="00564C8A">
        <w:t>Description</w:t>
      </w:r>
    </w:p>
    <w:p w:rsidR="00C313CE" w:rsidRPr="00564C8A" w:rsidRDefault="00C313CE" w:rsidP="00C313CE">
      <w:pPr>
        <w:pStyle w:val="NormalBold"/>
        <w:tabs>
          <w:tab w:val="left" w:pos="9000"/>
        </w:tabs>
        <w:spacing w:after="240"/>
      </w:pPr>
      <w:proofErr w:type="spellStart"/>
      <w:r w:rsidRPr="00564C8A">
        <w:rPr>
          <w:b w:val="0"/>
          <w:bCs/>
        </w:rPr>
        <w:t>Maraviroc</w:t>
      </w:r>
      <w:proofErr w:type="spellEnd"/>
      <w:r w:rsidRPr="00564C8A">
        <w:rPr>
          <w:b w:val="0"/>
          <w:bCs/>
        </w:rPr>
        <w:t xml:space="preserve"> is a white to pale </w:t>
      </w:r>
      <w:proofErr w:type="spellStart"/>
      <w:r w:rsidRPr="00564C8A">
        <w:rPr>
          <w:b w:val="0"/>
          <w:bCs/>
        </w:rPr>
        <w:t>colo</w:t>
      </w:r>
      <w:r>
        <w:rPr>
          <w:b w:val="0"/>
          <w:bCs/>
        </w:rPr>
        <w:t>u</w:t>
      </w:r>
      <w:r w:rsidRPr="00564C8A">
        <w:rPr>
          <w:b w:val="0"/>
          <w:bCs/>
        </w:rPr>
        <w:t>red</w:t>
      </w:r>
      <w:proofErr w:type="spellEnd"/>
      <w:r w:rsidRPr="00564C8A">
        <w:rPr>
          <w:b w:val="0"/>
          <w:bCs/>
        </w:rPr>
        <w:t xml:space="preserve"> powder with a molecular weight of 513.67. It is highly soluble across the physiological pH range (pH 1.0 to 7.5).</w:t>
      </w:r>
    </w:p>
    <w:p w:rsidR="00C313CE" w:rsidRPr="00D0112E" w:rsidRDefault="00C313CE" w:rsidP="00C313CE">
      <w:pPr>
        <w:autoSpaceDE w:val="0"/>
        <w:autoSpaceDN w:val="0"/>
        <w:adjustRightInd w:val="0"/>
        <w:spacing w:after="240"/>
        <w:jc w:val="both"/>
      </w:pPr>
      <w:r w:rsidRPr="0078725B">
        <w:t xml:space="preserve">CELSENTRI is supplied for oral administration in two strengths: 150 and 300 mg blue, biconvex, oval film-coated tablets </w:t>
      </w:r>
      <w:proofErr w:type="spellStart"/>
      <w:r w:rsidRPr="0078725B">
        <w:t>debossed</w:t>
      </w:r>
      <w:proofErr w:type="spellEnd"/>
      <w:r w:rsidRPr="0078725B">
        <w:t xml:space="preserve"> with “MVC” followed by the tablet strength on one tablet side.</w:t>
      </w:r>
      <w:r w:rsidRPr="0078725B">
        <w:rPr>
          <w:bCs/>
        </w:rPr>
        <w:t xml:space="preserve"> Each</w:t>
      </w:r>
      <w:r w:rsidRPr="00564C8A">
        <w:t xml:space="preserve"> film-coated tablet contains either 150 or 300 mg of maraviroc and the following inactive ingredients: microcrystalline cellulose, calcium hydrogen phosphate (anhydrous), sodium starch </w:t>
      </w:r>
      <w:proofErr w:type="spellStart"/>
      <w:r w:rsidRPr="00564C8A">
        <w:t>glyco</w:t>
      </w:r>
      <w:r>
        <w:t>l</w:t>
      </w:r>
      <w:r w:rsidRPr="00564C8A">
        <w:t>late</w:t>
      </w:r>
      <w:proofErr w:type="spellEnd"/>
      <w:r w:rsidRPr="00564C8A">
        <w:t xml:space="preserve">, magnesium </w:t>
      </w:r>
      <w:proofErr w:type="spellStart"/>
      <w:r w:rsidRPr="00564C8A">
        <w:t>stearate</w:t>
      </w:r>
      <w:proofErr w:type="spellEnd"/>
      <w:r w:rsidRPr="00564C8A">
        <w:t xml:space="preserve">. The </w:t>
      </w:r>
      <w:proofErr w:type="spellStart"/>
      <w:r w:rsidRPr="00564C8A">
        <w:t>film</w:t>
      </w:r>
      <w:r w:rsidRPr="00564C8A">
        <w:noBreakHyphen/>
        <w:t>coat</w:t>
      </w:r>
      <w:proofErr w:type="spellEnd"/>
      <w:r w:rsidRPr="00564C8A">
        <w:t xml:space="preserve"> [</w:t>
      </w:r>
      <w:proofErr w:type="spellStart"/>
      <w:r w:rsidRPr="00564C8A">
        <w:rPr>
          <w:iCs/>
        </w:rPr>
        <w:t>Opadry</w:t>
      </w:r>
      <w:proofErr w:type="spellEnd"/>
      <w:r w:rsidRPr="00564C8A">
        <w:rPr>
          <w:iCs/>
        </w:rPr>
        <w:sym w:font="Symbol" w:char="F0E2"/>
      </w:r>
      <w:r w:rsidRPr="00564C8A">
        <w:rPr>
          <w:iCs/>
        </w:rPr>
        <w:t xml:space="preserve"> II Blue (85G20583)] </w:t>
      </w:r>
      <w:r w:rsidRPr="00564C8A">
        <w:t>contains</w:t>
      </w:r>
      <w:r w:rsidRPr="00C40542">
        <w:t xml:space="preserve"> </w:t>
      </w:r>
      <w:r>
        <w:t>i</w:t>
      </w:r>
      <w:r w:rsidRPr="00C40542">
        <w:t>ndigo carmine CI73015, soy</w:t>
      </w:r>
      <w:r w:rsidRPr="00564C8A">
        <w:rPr>
          <w:iCs/>
        </w:rPr>
        <w:t>a</w:t>
      </w:r>
      <w:r>
        <w:rPr>
          <w:iCs/>
        </w:rPr>
        <w:t xml:space="preserve"> lecithin, </w:t>
      </w:r>
      <w:proofErr w:type="spellStart"/>
      <w:r>
        <w:rPr>
          <w:iCs/>
        </w:rPr>
        <w:t>macrogol</w:t>
      </w:r>
      <w:proofErr w:type="spellEnd"/>
      <w:r>
        <w:rPr>
          <w:iCs/>
        </w:rPr>
        <w:t xml:space="preserve"> 3350</w:t>
      </w:r>
      <w:r w:rsidRPr="00564C8A">
        <w:rPr>
          <w:iCs/>
        </w:rPr>
        <w:t>, polyvinyl alcohol, talc and titanium dioxide.</w:t>
      </w:r>
    </w:p>
    <w:p w:rsidR="00E66B00" w:rsidRPr="008826B3" w:rsidRDefault="00E66B00" w:rsidP="004D6F00">
      <w:pPr>
        <w:pStyle w:val="Heading1"/>
      </w:pPr>
      <w:r>
        <w:t>PHARMACOLOGY</w:t>
      </w:r>
    </w:p>
    <w:p w:rsidR="00E66B00" w:rsidRPr="00D0112E" w:rsidRDefault="00E66B00" w:rsidP="003F26BC">
      <w:pPr>
        <w:pStyle w:val="Heading2"/>
        <w:rPr>
          <w:iCs/>
          <w:lang w:val="en-US"/>
        </w:rPr>
      </w:pPr>
      <w:r w:rsidRPr="00564C8A">
        <w:t>Pharmacological actions</w:t>
      </w:r>
    </w:p>
    <w:p w:rsidR="00E66B00" w:rsidRPr="00564C8A" w:rsidRDefault="00E66B00" w:rsidP="003624FC">
      <w:pPr>
        <w:spacing w:after="240"/>
        <w:jc w:val="both"/>
        <w:rPr>
          <w:iCs/>
          <w:lang w:val="en-US"/>
        </w:rPr>
      </w:pPr>
      <w:proofErr w:type="spellStart"/>
      <w:r w:rsidRPr="00564C8A">
        <w:rPr>
          <w:iCs/>
          <w:lang w:val="en-US"/>
        </w:rPr>
        <w:t>Pharmacotherapeutic</w:t>
      </w:r>
      <w:proofErr w:type="spellEnd"/>
      <w:r w:rsidRPr="00564C8A">
        <w:rPr>
          <w:iCs/>
          <w:lang w:val="en-US"/>
        </w:rPr>
        <w:t xml:space="preserve"> group: </w:t>
      </w:r>
      <w:r w:rsidR="001D2FE2">
        <w:rPr>
          <w:noProof/>
          <w:szCs w:val="22"/>
        </w:rPr>
        <w:t>Antivirals for systemic use, Other Antivirals</w:t>
      </w:r>
    </w:p>
    <w:p w:rsidR="006B7CD7" w:rsidRDefault="00E66B00" w:rsidP="00005504">
      <w:pPr>
        <w:spacing w:after="240"/>
        <w:jc w:val="both"/>
        <w:rPr>
          <w:iCs/>
          <w:u w:val="single"/>
        </w:rPr>
      </w:pPr>
      <w:r w:rsidRPr="00564C8A">
        <w:rPr>
          <w:lang w:val="en-US"/>
        </w:rPr>
        <w:t xml:space="preserve">ATC code: </w:t>
      </w:r>
      <w:r w:rsidR="001D2FE2" w:rsidRPr="00355683">
        <w:rPr>
          <w:color w:val="000000"/>
        </w:rPr>
        <w:t>J05AX09</w:t>
      </w:r>
    </w:p>
    <w:p w:rsidR="00E66B00" w:rsidRPr="00564C8A" w:rsidRDefault="00E66B00" w:rsidP="00005504">
      <w:pPr>
        <w:pStyle w:val="Heading3"/>
      </w:pPr>
      <w:r w:rsidRPr="00564C8A">
        <w:lastRenderedPageBreak/>
        <w:t>Mechanism of action:</w:t>
      </w:r>
    </w:p>
    <w:p w:rsidR="00E66B00" w:rsidRPr="00564C8A" w:rsidRDefault="00E66B00" w:rsidP="003624FC">
      <w:pPr>
        <w:pStyle w:val="Header"/>
        <w:tabs>
          <w:tab w:val="left" w:pos="7740"/>
        </w:tabs>
        <w:spacing w:after="240"/>
        <w:rPr>
          <w:iCs/>
        </w:rPr>
      </w:pPr>
      <w:proofErr w:type="spellStart"/>
      <w:r w:rsidRPr="00564C8A">
        <w:rPr>
          <w:iCs/>
        </w:rPr>
        <w:t>Maraviroc</w:t>
      </w:r>
      <w:proofErr w:type="spellEnd"/>
      <w:r w:rsidRPr="00564C8A">
        <w:rPr>
          <w:iCs/>
        </w:rPr>
        <w:t xml:space="preserve"> is a member of a therapeutic </w:t>
      </w:r>
      <w:r>
        <w:rPr>
          <w:iCs/>
        </w:rPr>
        <w:t xml:space="preserve">class called CCR5 antagonists. </w:t>
      </w:r>
      <w:proofErr w:type="spellStart"/>
      <w:r w:rsidRPr="00564C8A">
        <w:rPr>
          <w:iCs/>
        </w:rPr>
        <w:t>Maraviroc</w:t>
      </w:r>
      <w:proofErr w:type="spellEnd"/>
      <w:r w:rsidRPr="00564C8A">
        <w:rPr>
          <w:iCs/>
        </w:rPr>
        <w:t xml:space="preserve"> selectively binds to the human </w:t>
      </w:r>
      <w:proofErr w:type="spellStart"/>
      <w:r w:rsidRPr="00564C8A">
        <w:rPr>
          <w:iCs/>
        </w:rPr>
        <w:t>chemokine</w:t>
      </w:r>
      <w:proofErr w:type="spellEnd"/>
      <w:r w:rsidRPr="00564C8A">
        <w:rPr>
          <w:iCs/>
        </w:rPr>
        <w:t xml:space="preserve"> receptor CCR5, preventing CCR5-tropic HIV-1 from entering cells.</w:t>
      </w:r>
    </w:p>
    <w:p w:rsidR="00E66B00" w:rsidRPr="00564C8A" w:rsidRDefault="00E66B00" w:rsidP="00DD6C0A">
      <w:pPr>
        <w:pStyle w:val="Heading3"/>
      </w:pPr>
      <w:r w:rsidRPr="005501AD">
        <w:t xml:space="preserve">Antiviral activity in </w:t>
      </w:r>
      <w:r w:rsidR="0026455A" w:rsidRPr="005501AD">
        <w:t>cell culture</w:t>
      </w:r>
      <w:r w:rsidRPr="005501AD">
        <w:t>:</w:t>
      </w:r>
    </w:p>
    <w:p w:rsidR="00E66B00" w:rsidRDefault="00CA05C5" w:rsidP="003624FC">
      <w:pPr>
        <w:pStyle w:val="BodyText3"/>
        <w:tabs>
          <w:tab w:val="center" w:pos="4153"/>
          <w:tab w:val="left" w:pos="7740"/>
          <w:tab w:val="right" w:pos="8306"/>
        </w:tabs>
        <w:spacing w:after="240"/>
        <w:rPr>
          <w:iCs/>
          <w:sz w:val="24"/>
        </w:rPr>
      </w:pPr>
      <w:proofErr w:type="spellStart"/>
      <w:r w:rsidRPr="0026455A">
        <w:rPr>
          <w:iCs/>
          <w:sz w:val="24"/>
        </w:rPr>
        <w:t>Maraviroc</w:t>
      </w:r>
      <w:proofErr w:type="spellEnd"/>
      <w:r w:rsidRPr="0026455A">
        <w:rPr>
          <w:iCs/>
          <w:sz w:val="24"/>
        </w:rPr>
        <w:t xml:space="preserve"> inhibits the entry and </w:t>
      </w:r>
      <w:r w:rsidRPr="00CA05C5">
        <w:rPr>
          <w:iCs/>
          <w:sz w:val="24"/>
        </w:rPr>
        <w:t>replication of CCR5-tropic laboratory strains and clinical isolates of HIV-1 in models of acute T-cell infection. The in vitro IC</w:t>
      </w:r>
      <w:r w:rsidRPr="00CA05C5">
        <w:rPr>
          <w:iCs/>
          <w:sz w:val="24"/>
          <w:vertAlign w:val="subscript"/>
        </w:rPr>
        <w:t>50</w:t>
      </w:r>
      <w:r w:rsidRPr="00CA05C5">
        <w:rPr>
          <w:iCs/>
          <w:sz w:val="24"/>
        </w:rPr>
        <w:t xml:space="preserve"> (50% inhibitory concentration) for </w:t>
      </w:r>
      <w:proofErr w:type="spellStart"/>
      <w:r w:rsidRPr="00CA05C5">
        <w:rPr>
          <w:iCs/>
          <w:sz w:val="24"/>
        </w:rPr>
        <w:t>maraviroc</w:t>
      </w:r>
      <w:proofErr w:type="spellEnd"/>
      <w:r w:rsidRPr="00CA05C5">
        <w:rPr>
          <w:iCs/>
          <w:sz w:val="24"/>
        </w:rPr>
        <w:t xml:space="preserve"> against the replication of HIV-1 group M isolates (subtypes A to J</w:t>
      </w:r>
      <w:r w:rsidR="00F4299B">
        <w:rPr>
          <w:iCs/>
          <w:sz w:val="24"/>
        </w:rPr>
        <w:t xml:space="preserve"> and circulating recombinant form AE</w:t>
      </w:r>
      <w:r w:rsidRPr="00CA05C5">
        <w:rPr>
          <w:iCs/>
          <w:sz w:val="24"/>
        </w:rPr>
        <w:t xml:space="preserve">) and group O isolates ranged from 0.1 to </w:t>
      </w:r>
      <w:r w:rsidR="001622BC">
        <w:rPr>
          <w:iCs/>
          <w:sz w:val="24"/>
        </w:rPr>
        <w:t>4.5</w:t>
      </w:r>
      <w:r w:rsidRPr="00CA05C5">
        <w:rPr>
          <w:iCs/>
          <w:sz w:val="24"/>
        </w:rPr>
        <w:t xml:space="preserve"> </w:t>
      </w:r>
      <w:proofErr w:type="spellStart"/>
      <w:r w:rsidRPr="00CA05C5">
        <w:rPr>
          <w:iCs/>
          <w:sz w:val="24"/>
        </w:rPr>
        <w:t>nM</w:t>
      </w:r>
      <w:proofErr w:type="spellEnd"/>
      <w:r w:rsidRPr="00CA05C5">
        <w:rPr>
          <w:iCs/>
          <w:sz w:val="24"/>
        </w:rPr>
        <w:t xml:space="preserve"> (0.05 to </w:t>
      </w:r>
      <w:r w:rsidR="001622BC">
        <w:rPr>
          <w:iCs/>
          <w:sz w:val="24"/>
        </w:rPr>
        <w:t>2.3</w:t>
      </w:r>
      <w:r w:rsidRPr="00CA05C5">
        <w:rPr>
          <w:iCs/>
          <w:sz w:val="24"/>
        </w:rPr>
        <w:t xml:space="preserve"> </w:t>
      </w:r>
      <w:proofErr w:type="spellStart"/>
      <w:r w:rsidRPr="00CA05C5">
        <w:rPr>
          <w:iCs/>
          <w:sz w:val="24"/>
        </w:rPr>
        <w:t>n</w:t>
      </w:r>
      <w:r w:rsidR="007E3779">
        <w:rPr>
          <w:iCs/>
          <w:sz w:val="24"/>
        </w:rPr>
        <w:t>ano</w:t>
      </w:r>
      <w:r w:rsidRPr="00CA05C5">
        <w:rPr>
          <w:iCs/>
          <w:sz w:val="24"/>
        </w:rPr>
        <w:t>g</w:t>
      </w:r>
      <w:r w:rsidR="007E3779">
        <w:rPr>
          <w:iCs/>
          <w:sz w:val="24"/>
        </w:rPr>
        <w:t>ram</w:t>
      </w:r>
      <w:proofErr w:type="spellEnd"/>
      <w:r w:rsidRPr="00CA05C5">
        <w:rPr>
          <w:iCs/>
          <w:sz w:val="24"/>
        </w:rPr>
        <w:t>/</w:t>
      </w:r>
      <w:proofErr w:type="spellStart"/>
      <w:r w:rsidRPr="00CA05C5">
        <w:rPr>
          <w:iCs/>
          <w:sz w:val="24"/>
        </w:rPr>
        <w:t>mL</w:t>
      </w:r>
      <w:proofErr w:type="spellEnd"/>
      <w:r w:rsidRPr="00CA05C5">
        <w:rPr>
          <w:iCs/>
          <w:sz w:val="24"/>
        </w:rPr>
        <w:t>). HIV-1 clinical isolates resistant to nucleoside analogue reverse</w:t>
      </w:r>
      <w:r w:rsidRPr="00CA05C5">
        <w:rPr>
          <w:b/>
          <w:iCs/>
          <w:sz w:val="24"/>
        </w:rPr>
        <w:t xml:space="preserve"> </w:t>
      </w:r>
      <w:r w:rsidRPr="00CA05C5">
        <w:rPr>
          <w:iCs/>
          <w:sz w:val="24"/>
        </w:rPr>
        <w:t>transcriptase inhibitors</w:t>
      </w:r>
      <w:r w:rsidRPr="00CA05C5">
        <w:rPr>
          <w:b/>
          <w:iCs/>
          <w:sz w:val="24"/>
        </w:rPr>
        <w:t xml:space="preserve"> </w:t>
      </w:r>
      <w:r w:rsidRPr="00CA05C5">
        <w:rPr>
          <w:iCs/>
          <w:sz w:val="24"/>
        </w:rPr>
        <w:t xml:space="preserve">(NRTI), non-nucleoside analogue reverse transcriptase inhibitors (NNRTI), protease inhibitors (PI) and </w:t>
      </w:r>
      <w:proofErr w:type="spellStart"/>
      <w:r w:rsidRPr="00CA05C5">
        <w:rPr>
          <w:iCs/>
          <w:sz w:val="24"/>
        </w:rPr>
        <w:t>enfuvirtide</w:t>
      </w:r>
      <w:proofErr w:type="spellEnd"/>
      <w:r w:rsidRPr="00CA05C5">
        <w:rPr>
          <w:iCs/>
          <w:sz w:val="24"/>
        </w:rPr>
        <w:t xml:space="preserve"> were all susceptible to </w:t>
      </w:r>
      <w:proofErr w:type="spellStart"/>
      <w:r w:rsidRPr="00CA05C5">
        <w:rPr>
          <w:iCs/>
          <w:sz w:val="24"/>
        </w:rPr>
        <w:t>maraviroc</w:t>
      </w:r>
      <w:proofErr w:type="spellEnd"/>
      <w:r w:rsidRPr="00CA05C5">
        <w:rPr>
          <w:iCs/>
          <w:sz w:val="24"/>
        </w:rPr>
        <w:t xml:space="preserve"> in cell culture.</w:t>
      </w:r>
    </w:p>
    <w:p w:rsidR="009B4B15" w:rsidRDefault="00E66B00" w:rsidP="003624FC">
      <w:pPr>
        <w:pStyle w:val="Header"/>
        <w:tabs>
          <w:tab w:val="left" w:pos="7740"/>
        </w:tabs>
        <w:spacing w:after="240"/>
        <w:rPr>
          <w:iCs/>
        </w:rPr>
      </w:pPr>
      <w:r w:rsidRPr="00564C8A">
        <w:rPr>
          <w:iCs/>
        </w:rPr>
        <w:t xml:space="preserve">When used with other antiretroviral agents in vitro, the combination of </w:t>
      </w:r>
      <w:proofErr w:type="spellStart"/>
      <w:r w:rsidRPr="00564C8A">
        <w:rPr>
          <w:iCs/>
        </w:rPr>
        <w:t>maraviroc</w:t>
      </w:r>
      <w:proofErr w:type="spellEnd"/>
      <w:r w:rsidRPr="00564C8A">
        <w:rPr>
          <w:iCs/>
        </w:rPr>
        <w:t xml:space="preserve"> produced additive/synergistic antiviral effects with protease inhibitors (</w:t>
      </w:r>
      <w:proofErr w:type="spellStart"/>
      <w:r w:rsidRPr="00564C8A">
        <w:rPr>
          <w:iCs/>
        </w:rPr>
        <w:t>amprenavir</w:t>
      </w:r>
      <w:proofErr w:type="spellEnd"/>
      <w:r w:rsidRPr="00564C8A">
        <w:rPr>
          <w:iCs/>
        </w:rPr>
        <w:t xml:space="preserve">, </w:t>
      </w:r>
      <w:proofErr w:type="spellStart"/>
      <w:r w:rsidRPr="00564C8A">
        <w:rPr>
          <w:iCs/>
        </w:rPr>
        <w:t>atazanavir</w:t>
      </w:r>
      <w:proofErr w:type="spellEnd"/>
      <w:r w:rsidRPr="00564C8A">
        <w:rPr>
          <w:iCs/>
        </w:rPr>
        <w:t xml:space="preserve">, </w:t>
      </w:r>
      <w:proofErr w:type="spellStart"/>
      <w:r w:rsidRPr="00564C8A">
        <w:rPr>
          <w:iCs/>
        </w:rPr>
        <w:t>indinavir</w:t>
      </w:r>
      <w:proofErr w:type="spellEnd"/>
      <w:r w:rsidRPr="00564C8A">
        <w:rPr>
          <w:iCs/>
        </w:rPr>
        <w:t xml:space="preserve">, </w:t>
      </w:r>
      <w:proofErr w:type="spellStart"/>
      <w:r w:rsidRPr="00564C8A">
        <w:rPr>
          <w:iCs/>
        </w:rPr>
        <w:t>lopinavir</w:t>
      </w:r>
      <w:proofErr w:type="spellEnd"/>
      <w:r w:rsidRPr="00564C8A">
        <w:rPr>
          <w:iCs/>
        </w:rPr>
        <w:t xml:space="preserve">, </w:t>
      </w:r>
      <w:proofErr w:type="spellStart"/>
      <w:r w:rsidRPr="00564C8A">
        <w:rPr>
          <w:iCs/>
        </w:rPr>
        <w:t>nelfinavir</w:t>
      </w:r>
      <w:proofErr w:type="spellEnd"/>
      <w:r w:rsidRPr="00564C8A">
        <w:rPr>
          <w:iCs/>
        </w:rPr>
        <w:t xml:space="preserve">, </w:t>
      </w:r>
      <w:proofErr w:type="spellStart"/>
      <w:r w:rsidRPr="00564C8A">
        <w:rPr>
          <w:iCs/>
        </w:rPr>
        <w:t>ritonavir</w:t>
      </w:r>
      <w:proofErr w:type="spellEnd"/>
      <w:r w:rsidRPr="00564C8A">
        <w:rPr>
          <w:iCs/>
        </w:rPr>
        <w:t xml:space="preserve"> and </w:t>
      </w:r>
      <w:proofErr w:type="spellStart"/>
      <w:r w:rsidRPr="00564C8A">
        <w:rPr>
          <w:iCs/>
        </w:rPr>
        <w:t>saquinavir</w:t>
      </w:r>
      <w:proofErr w:type="spellEnd"/>
      <w:r w:rsidRPr="00564C8A">
        <w:rPr>
          <w:iCs/>
        </w:rPr>
        <w:t xml:space="preserve">) and was generally </w:t>
      </w:r>
      <w:proofErr w:type="gramStart"/>
      <w:r w:rsidRPr="00564C8A">
        <w:rPr>
          <w:iCs/>
        </w:rPr>
        <w:t>additive</w:t>
      </w:r>
      <w:proofErr w:type="gramEnd"/>
      <w:r w:rsidRPr="00564C8A">
        <w:rPr>
          <w:iCs/>
        </w:rPr>
        <w:t xml:space="preserve"> with the NRTIs (</w:t>
      </w:r>
      <w:proofErr w:type="spellStart"/>
      <w:r w:rsidRPr="00564C8A">
        <w:rPr>
          <w:iCs/>
        </w:rPr>
        <w:t>abacavir</w:t>
      </w:r>
      <w:proofErr w:type="spellEnd"/>
      <w:r w:rsidRPr="00564C8A">
        <w:rPr>
          <w:iCs/>
        </w:rPr>
        <w:t xml:space="preserve">, </w:t>
      </w:r>
      <w:proofErr w:type="spellStart"/>
      <w:r w:rsidRPr="00564C8A">
        <w:rPr>
          <w:iCs/>
        </w:rPr>
        <w:t>didanosine</w:t>
      </w:r>
      <w:proofErr w:type="spellEnd"/>
      <w:r w:rsidRPr="00564C8A">
        <w:rPr>
          <w:iCs/>
        </w:rPr>
        <w:t xml:space="preserve">, </w:t>
      </w:r>
      <w:proofErr w:type="spellStart"/>
      <w:r w:rsidRPr="00564C8A">
        <w:rPr>
          <w:iCs/>
        </w:rPr>
        <w:t>emtricitabine</w:t>
      </w:r>
      <w:proofErr w:type="spellEnd"/>
      <w:r w:rsidRPr="00564C8A">
        <w:rPr>
          <w:iCs/>
        </w:rPr>
        <w:t xml:space="preserve">, </w:t>
      </w:r>
      <w:proofErr w:type="spellStart"/>
      <w:r w:rsidRPr="00564C8A">
        <w:rPr>
          <w:iCs/>
        </w:rPr>
        <w:t>lamivudine</w:t>
      </w:r>
      <w:proofErr w:type="spellEnd"/>
      <w:r w:rsidRPr="00564C8A">
        <w:rPr>
          <w:iCs/>
        </w:rPr>
        <w:t xml:space="preserve">, </w:t>
      </w:r>
      <w:proofErr w:type="spellStart"/>
      <w:r w:rsidRPr="00564C8A">
        <w:rPr>
          <w:iCs/>
        </w:rPr>
        <w:t>stavudine</w:t>
      </w:r>
      <w:proofErr w:type="spellEnd"/>
      <w:r w:rsidRPr="00564C8A">
        <w:rPr>
          <w:iCs/>
        </w:rPr>
        <w:t xml:space="preserve">, </w:t>
      </w:r>
      <w:proofErr w:type="spellStart"/>
      <w:r w:rsidRPr="00564C8A">
        <w:rPr>
          <w:iCs/>
        </w:rPr>
        <w:t>tenofovir</w:t>
      </w:r>
      <w:proofErr w:type="spellEnd"/>
      <w:r w:rsidRPr="00564C8A">
        <w:rPr>
          <w:iCs/>
        </w:rPr>
        <w:t xml:space="preserve">, </w:t>
      </w:r>
      <w:proofErr w:type="spellStart"/>
      <w:r w:rsidRPr="00564C8A">
        <w:rPr>
          <w:iCs/>
        </w:rPr>
        <w:t>zalcitabine</w:t>
      </w:r>
      <w:proofErr w:type="spellEnd"/>
      <w:r w:rsidRPr="00564C8A">
        <w:rPr>
          <w:iCs/>
        </w:rPr>
        <w:t xml:space="preserve"> and </w:t>
      </w:r>
      <w:proofErr w:type="spellStart"/>
      <w:r w:rsidRPr="00564C8A">
        <w:rPr>
          <w:iCs/>
        </w:rPr>
        <w:t>zidovudine</w:t>
      </w:r>
      <w:proofErr w:type="spellEnd"/>
      <w:r w:rsidRPr="00564C8A">
        <w:rPr>
          <w:iCs/>
        </w:rPr>
        <w:t>) and the NNRTIs (</w:t>
      </w:r>
      <w:proofErr w:type="spellStart"/>
      <w:r w:rsidRPr="00564C8A">
        <w:rPr>
          <w:iCs/>
        </w:rPr>
        <w:t>delavirdi</w:t>
      </w:r>
      <w:r>
        <w:rPr>
          <w:iCs/>
        </w:rPr>
        <w:t>ne</w:t>
      </w:r>
      <w:proofErr w:type="spellEnd"/>
      <w:r>
        <w:rPr>
          <w:iCs/>
        </w:rPr>
        <w:t xml:space="preserve">, </w:t>
      </w:r>
      <w:proofErr w:type="spellStart"/>
      <w:r>
        <w:rPr>
          <w:iCs/>
        </w:rPr>
        <w:t>efavirenz</w:t>
      </w:r>
      <w:proofErr w:type="spellEnd"/>
      <w:r>
        <w:rPr>
          <w:iCs/>
        </w:rPr>
        <w:t xml:space="preserve"> and </w:t>
      </w:r>
      <w:proofErr w:type="spellStart"/>
      <w:r>
        <w:rPr>
          <w:iCs/>
        </w:rPr>
        <w:t>nevirapine</w:t>
      </w:r>
      <w:proofErr w:type="spellEnd"/>
      <w:r>
        <w:rPr>
          <w:iCs/>
        </w:rPr>
        <w:t>). </w:t>
      </w:r>
      <w:proofErr w:type="spellStart"/>
      <w:r w:rsidRPr="00564C8A">
        <w:rPr>
          <w:iCs/>
        </w:rPr>
        <w:t>Maraviroc</w:t>
      </w:r>
      <w:proofErr w:type="spellEnd"/>
      <w:r w:rsidRPr="00564C8A">
        <w:rPr>
          <w:iCs/>
        </w:rPr>
        <w:t xml:space="preserve"> was </w:t>
      </w:r>
      <w:proofErr w:type="gramStart"/>
      <w:r w:rsidRPr="00564C8A">
        <w:rPr>
          <w:iCs/>
        </w:rPr>
        <w:t>additive/synergistic</w:t>
      </w:r>
      <w:proofErr w:type="gramEnd"/>
      <w:r w:rsidRPr="00564C8A">
        <w:rPr>
          <w:iCs/>
        </w:rPr>
        <w:t xml:space="preserve"> with the HIV</w:t>
      </w:r>
      <w:r>
        <w:rPr>
          <w:iCs/>
        </w:rPr>
        <w:t xml:space="preserve"> fusion inhibitor </w:t>
      </w:r>
      <w:proofErr w:type="spellStart"/>
      <w:r>
        <w:rPr>
          <w:iCs/>
        </w:rPr>
        <w:t>enfuvirtide</w:t>
      </w:r>
      <w:proofErr w:type="spellEnd"/>
      <w:r>
        <w:rPr>
          <w:iCs/>
        </w:rPr>
        <w:t xml:space="preserve">. </w:t>
      </w:r>
      <w:r w:rsidRPr="00564C8A">
        <w:rPr>
          <w:iCs/>
        </w:rPr>
        <w:t xml:space="preserve">Protein binding studies have shown that the antiviral activity of </w:t>
      </w:r>
      <w:proofErr w:type="spellStart"/>
      <w:r w:rsidRPr="00564C8A">
        <w:rPr>
          <w:iCs/>
        </w:rPr>
        <w:t>maraviroc</w:t>
      </w:r>
      <w:proofErr w:type="spellEnd"/>
      <w:r w:rsidRPr="00564C8A">
        <w:rPr>
          <w:iCs/>
        </w:rPr>
        <w:t xml:space="preserve"> decreases on average 2-fold in conditions wher</w:t>
      </w:r>
      <w:r>
        <w:rPr>
          <w:iCs/>
        </w:rPr>
        <w:t>e plasma proteins are present.</w:t>
      </w:r>
    </w:p>
    <w:p w:rsidR="0026455A" w:rsidRPr="007131FA" w:rsidRDefault="00BE536E" w:rsidP="007131FA">
      <w:pPr>
        <w:pStyle w:val="EquationFootnote"/>
        <w:tabs>
          <w:tab w:val="center" w:pos="4320"/>
          <w:tab w:val="left" w:pos="7740"/>
          <w:tab w:val="right" w:pos="8640"/>
        </w:tabs>
        <w:autoSpaceDE w:val="0"/>
        <w:autoSpaceDN w:val="0"/>
        <w:adjustRightInd w:val="0"/>
        <w:spacing w:after="240"/>
        <w:jc w:val="both"/>
        <w:rPr>
          <w:szCs w:val="24"/>
        </w:rPr>
      </w:pPr>
      <w:proofErr w:type="spellStart"/>
      <w:r w:rsidRPr="005501AD">
        <w:t>Maraviroc</w:t>
      </w:r>
      <w:proofErr w:type="spellEnd"/>
      <w:r w:rsidRPr="005501AD">
        <w:t xml:space="preserve"> has no</w:t>
      </w:r>
      <w:r w:rsidR="0026455A" w:rsidRPr="005501AD">
        <w:t xml:space="preserve"> antiviral</w:t>
      </w:r>
      <w:r w:rsidRPr="005501AD">
        <w:t xml:space="preserve"> activity </w:t>
      </w:r>
      <w:r w:rsidR="0026455A" w:rsidRPr="005501AD">
        <w:t xml:space="preserve">in cell culture </w:t>
      </w:r>
      <w:r w:rsidRPr="005501AD">
        <w:t xml:space="preserve">against viruses </w:t>
      </w:r>
      <w:r w:rsidR="007E3779">
        <w:t>that</w:t>
      </w:r>
      <w:r w:rsidR="0026455A" w:rsidRPr="005501AD">
        <w:t xml:space="preserve"> can</w:t>
      </w:r>
      <w:r w:rsidRPr="005501AD">
        <w:t xml:space="preserve"> use CXCR4 as their </w:t>
      </w:r>
      <w:r w:rsidR="0026455A" w:rsidRPr="005501AD">
        <w:t xml:space="preserve">entry </w:t>
      </w:r>
      <w:r w:rsidRPr="005501AD">
        <w:t>co-receptor (</w:t>
      </w:r>
      <w:r w:rsidR="0026455A" w:rsidRPr="005501AD">
        <w:t xml:space="preserve">dual-tropic or </w:t>
      </w:r>
      <w:r w:rsidRPr="005501AD">
        <w:t>CXCR4-tropic</w:t>
      </w:r>
      <w:r w:rsidR="009411A0" w:rsidRPr="005501AD">
        <w:t xml:space="preserve"> viruses</w:t>
      </w:r>
      <w:r w:rsidRPr="005501AD">
        <w:t xml:space="preserve">, collectively termed ‘CXCR4-using’ virus below). The antiviral activity of </w:t>
      </w:r>
      <w:proofErr w:type="spellStart"/>
      <w:r w:rsidRPr="005501AD">
        <w:t>maraviroc</w:t>
      </w:r>
      <w:proofErr w:type="spellEnd"/>
      <w:r w:rsidRPr="005501AD">
        <w:t xml:space="preserve"> against HIV-2 has not been evaluated.</w:t>
      </w:r>
    </w:p>
    <w:p w:rsidR="00E66B00" w:rsidRDefault="00E66B00" w:rsidP="00DD6C0A">
      <w:pPr>
        <w:pStyle w:val="Heading3"/>
      </w:pPr>
      <w:r>
        <w:t>Resistance:</w:t>
      </w:r>
    </w:p>
    <w:p w:rsidR="00E66B00" w:rsidRPr="00564C8A" w:rsidRDefault="00E66B00" w:rsidP="003624FC">
      <w:pPr>
        <w:pStyle w:val="Header"/>
        <w:tabs>
          <w:tab w:val="left" w:pos="7740"/>
        </w:tabs>
        <w:spacing w:after="240"/>
        <w:rPr>
          <w:iCs/>
        </w:rPr>
      </w:pPr>
      <w:r w:rsidRPr="00E12077">
        <w:t xml:space="preserve">Viral escape from </w:t>
      </w:r>
      <w:proofErr w:type="spellStart"/>
      <w:r w:rsidRPr="00E12077">
        <w:t>maraviroc</w:t>
      </w:r>
      <w:proofErr w:type="spellEnd"/>
      <w:r w:rsidRPr="00E12077">
        <w:t xml:space="preserve"> can occur via </w:t>
      </w:r>
      <w:r w:rsidR="007E3779">
        <w:t>two</w:t>
      </w:r>
      <w:r w:rsidRPr="00E12077">
        <w:t xml:space="preserve"> routes: the selection of virus which can use CXCR4 as its entry co-receptor (CXCR4-using virus) or the selection of virus </w:t>
      </w:r>
      <w:proofErr w:type="gramStart"/>
      <w:r w:rsidRPr="00E12077">
        <w:t>that</w:t>
      </w:r>
      <w:proofErr w:type="gramEnd"/>
      <w:r w:rsidRPr="00E12077">
        <w:t xml:space="preserve"> continues to use exclusively CCR5 (CCR5-tropic virus).</w:t>
      </w:r>
    </w:p>
    <w:p w:rsidR="00E66B00" w:rsidRPr="005501AD" w:rsidRDefault="00E66B00" w:rsidP="00DD6C0A">
      <w:pPr>
        <w:pStyle w:val="Heading3"/>
      </w:pPr>
      <w:r w:rsidRPr="005501AD">
        <w:t xml:space="preserve">Resistance in </w:t>
      </w:r>
      <w:r w:rsidR="0017515C" w:rsidRPr="005501AD">
        <w:t>cell culture</w:t>
      </w:r>
      <w:r w:rsidRPr="005501AD">
        <w:t>:</w:t>
      </w:r>
    </w:p>
    <w:p w:rsidR="00E66B00" w:rsidRPr="00D0112E" w:rsidRDefault="00E66B00" w:rsidP="003624FC">
      <w:pPr>
        <w:pStyle w:val="Header"/>
        <w:tabs>
          <w:tab w:val="left" w:pos="7740"/>
        </w:tabs>
        <w:spacing w:after="240"/>
        <w:rPr>
          <w:iCs/>
        </w:rPr>
      </w:pPr>
      <w:r w:rsidRPr="005501AD">
        <w:rPr>
          <w:iCs/>
        </w:rPr>
        <w:t xml:space="preserve">HIV-1 variants with reduced susceptibility to </w:t>
      </w:r>
      <w:proofErr w:type="spellStart"/>
      <w:r w:rsidRPr="005501AD">
        <w:rPr>
          <w:iCs/>
        </w:rPr>
        <w:t>maraviroc</w:t>
      </w:r>
      <w:proofErr w:type="spellEnd"/>
      <w:r w:rsidRPr="005501AD">
        <w:rPr>
          <w:iCs/>
        </w:rPr>
        <w:t xml:space="preserve"> have been selected in </w:t>
      </w:r>
      <w:r w:rsidR="00082A9C" w:rsidRPr="005501AD">
        <w:rPr>
          <w:iCs/>
        </w:rPr>
        <w:t>cell culture</w:t>
      </w:r>
      <w:r w:rsidRPr="005501AD">
        <w:rPr>
          <w:iCs/>
        </w:rPr>
        <w:t>, following serial passage of two CCR5-tropic clinical viral isolates. The</w:t>
      </w:r>
      <w:r w:rsidRPr="00564C8A">
        <w:rPr>
          <w:iCs/>
        </w:rPr>
        <w:t xml:space="preserve"> </w:t>
      </w:r>
      <w:proofErr w:type="spellStart"/>
      <w:r w:rsidRPr="00564C8A">
        <w:rPr>
          <w:iCs/>
        </w:rPr>
        <w:t>maraviroc</w:t>
      </w:r>
      <w:proofErr w:type="spellEnd"/>
      <w:r w:rsidRPr="00564C8A">
        <w:rPr>
          <w:iCs/>
        </w:rPr>
        <w:t>-resistant viruses remained CCR5-tropic and there was no conversion from a CCR5-tropi</w:t>
      </w:r>
      <w:r w:rsidR="00DD6C0A">
        <w:rPr>
          <w:iCs/>
        </w:rPr>
        <w:t>c virus to a CXCR4-using virus.</w:t>
      </w:r>
    </w:p>
    <w:p w:rsidR="00E66B00" w:rsidRPr="00D0112E" w:rsidRDefault="00E66B00" w:rsidP="003624FC">
      <w:pPr>
        <w:pStyle w:val="Header"/>
        <w:tabs>
          <w:tab w:val="left" w:pos="7740"/>
        </w:tabs>
        <w:spacing w:after="240"/>
      </w:pPr>
      <w:r w:rsidRPr="005A4725">
        <w:rPr>
          <w:i/>
          <w:iCs/>
        </w:rPr>
        <w:t>Phenotypic resistance</w:t>
      </w:r>
      <w:r>
        <w:rPr>
          <w:iCs/>
        </w:rPr>
        <w:t>: c</w:t>
      </w:r>
      <w:r w:rsidRPr="00564C8A">
        <w:rPr>
          <w:iCs/>
        </w:rPr>
        <w:t xml:space="preserve">oncentration response curves for the </w:t>
      </w:r>
      <w:proofErr w:type="spellStart"/>
      <w:r w:rsidRPr="00564C8A">
        <w:rPr>
          <w:iCs/>
        </w:rPr>
        <w:t>maraviroc</w:t>
      </w:r>
      <w:proofErr w:type="spellEnd"/>
      <w:r w:rsidRPr="00564C8A">
        <w:rPr>
          <w:iCs/>
        </w:rPr>
        <w:t xml:space="preserve">-resistant viruses were characterized by curves that did not reach 100% inhibition in assays using </w:t>
      </w:r>
      <w:r>
        <w:rPr>
          <w:iCs/>
        </w:rPr>
        <w:t xml:space="preserve">serial dilutions of </w:t>
      </w:r>
      <w:proofErr w:type="spellStart"/>
      <w:r>
        <w:rPr>
          <w:iCs/>
        </w:rPr>
        <w:t>maraviroc</w:t>
      </w:r>
      <w:proofErr w:type="spellEnd"/>
      <w:r w:rsidR="00BE536E" w:rsidRPr="00FA1339">
        <w:rPr>
          <w:iCs/>
        </w:rPr>
        <w:t xml:space="preserve">, consistent with the resistant viruses being able to use CCR5 as a co-receptor for cell entry even when </w:t>
      </w:r>
      <w:proofErr w:type="spellStart"/>
      <w:r w:rsidR="00BE536E" w:rsidRPr="00FA1339">
        <w:rPr>
          <w:iCs/>
        </w:rPr>
        <w:t>maraviroc</w:t>
      </w:r>
      <w:proofErr w:type="spellEnd"/>
      <w:r w:rsidR="00BE536E" w:rsidRPr="00FA1339">
        <w:rPr>
          <w:iCs/>
        </w:rPr>
        <w:t xml:space="preserve"> is bound.</w:t>
      </w:r>
      <w:r>
        <w:rPr>
          <w:iCs/>
        </w:rPr>
        <w:t xml:space="preserve"> </w:t>
      </w:r>
      <w:r>
        <w:t xml:space="preserve">Traditional </w:t>
      </w:r>
      <w:r>
        <w:lastRenderedPageBreak/>
        <w:t>EC</w:t>
      </w:r>
      <w:r>
        <w:rPr>
          <w:vertAlign w:val="subscript"/>
        </w:rPr>
        <w:t>50</w:t>
      </w:r>
      <w:r>
        <w:t xml:space="preserve"> fold-change was not a useful parameter to measure phenotypic resistance, as those values were sometimes unchanged despite significantly reduced sensitivity.</w:t>
      </w:r>
    </w:p>
    <w:p w:rsidR="00E66B00" w:rsidRDefault="00E66B00" w:rsidP="003624FC">
      <w:pPr>
        <w:pStyle w:val="Header"/>
        <w:spacing w:after="240"/>
      </w:pPr>
      <w:r w:rsidRPr="00445381">
        <w:rPr>
          <w:i/>
        </w:rPr>
        <w:t>Genotypic resistance</w:t>
      </w:r>
      <w:r>
        <w:t xml:space="preserve">: mutations were found to accumulate in the gp120 envelope glycoprotein (the viral protein that binds to the CCR5 co-receptor). The position of these mutations was not consistent between different isolates. Hence, the relevance of these mutations to </w:t>
      </w:r>
      <w:proofErr w:type="spellStart"/>
      <w:r>
        <w:t>maraviroc</w:t>
      </w:r>
      <w:proofErr w:type="spellEnd"/>
      <w:r>
        <w:t xml:space="preserve"> susceptibility in other viruses is not known.</w:t>
      </w:r>
    </w:p>
    <w:p w:rsidR="00E66B00" w:rsidRPr="00932423" w:rsidRDefault="00F4299B" w:rsidP="003624FC">
      <w:pPr>
        <w:pStyle w:val="Header"/>
        <w:spacing w:after="240"/>
        <w:rPr>
          <w:iCs/>
          <w:color w:val="000000"/>
        </w:rPr>
      </w:pPr>
      <w:r w:rsidRPr="00A67BB8">
        <w:rPr>
          <w:iCs/>
          <w:color w:val="000000"/>
        </w:rPr>
        <w:t xml:space="preserve">Tropism switching from CCR5- to CXCR4-tropic variants occurred spontaneously in vitro in </w:t>
      </w:r>
      <w:proofErr w:type="spellStart"/>
      <w:r w:rsidRPr="00A67BB8">
        <w:rPr>
          <w:iCs/>
          <w:color w:val="000000"/>
        </w:rPr>
        <w:t>maraviroc</w:t>
      </w:r>
      <w:proofErr w:type="spellEnd"/>
      <w:r w:rsidRPr="00A67BB8">
        <w:rPr>
          <w:iCs/>
          <w:color w:val="000000"/>
        </w:rPr>
        <w:t xml:space="preserve">-treated and control cultures, and represents a theoretical mechanism for </w:t>
      </w:r>
      <w:proofErr w:type="spellStart"/>
      <w:r w:rsidRPr="00A67BB8">
        <w:rPr>
          <w:iCs/>
          <w:color w:val="000000"/>
        </w:rPr>
        <w:t>maraviroc</w:t>
      </w:r>
      <w:proofErr w:type="spellEnd"/>
      <w:r w:rsidRPr="00A67BB8">
        <w:rPr>
          <w:iCs/>
          <w:color w:val="000000"/>
        </w:rPr>
        <w:t xml:space="preserve"> resistance in vivo.</w:t>
      </w:r>
    </w:p>
    <w:p w:rsidR="00E66B00" w:rsidRPr="00564C8A" w:rsidRDefault="00E66B00" w:rsidP="00DD6C0A">
      <w:pPr>
        <w:pStyle w:val="Heading3"/>
      </w:pPr>
      <w:r w:rsidRPr="0014108C">
        <w:t>Cross-resistance</w:t>
      </w:r>
      <w:r w:rsidRPr="00564C8A">
        <w:t>:</w:t>
      </w:r>
    </w:p>
    <w:p w:rsidR="00E66B00" w:rsidRPr="00E70E9C" w:rsidRDefault="00E66B00" w:rsidP="003C11FE">
      <w:pPr>
        <w:pStyle w:val="Header"/>
        <w:spacing w:after="240"/>
        <w:rPr>
          <w:iCs/>
        </w:rPr>
      </w:pPr>
      <w:r w:rsidRPr="00B81AE8">
        <w:t xml:space="preserve">HIV-1 clinical isolates resistant to nucleoside analogue reverse transcriptase inhibitors (NRTI), non-nucleoside analogue reverse transcriptase inhibitors (NNRTI), </w:t>
      </w:r>
      <w:proofErr w:type="gramStart"/>
      <w:r w:rsidRPr="00B81AE8">
        <w:t>protease</w:t>
      </w:r>
      <w:proofErr w:type="gramEnd"/>
      <w:r w:rsidRPr="00B81AE8">
        <w:t xml:space="preserve"> inhibitors (PI) and </w:t>
      </w:r>
      <w:proofErr w:type="spellStart"/>
      <w:r w:rsidRPr="00B81AE8">
        <w:t>enfuvirtide</w:t>
      </w:r>
      <w:proofErr w:type="spellEnd"/>
      <w:r w:rsidRPr="00B81AE8">
        <w:t xml:space="preserve"> were all susceptible to </w:t>
      </w:r>
      <w:proofErr w:type="spellStart"/>
      <w:r w:rsidRPr="00B81AE8">
        <w:t>maraviroc</w:t>
      </w:r>
      <w:proofErr w:type="spellEnd"/>
      <w:r w:rsidRPr="00B81AE8">
        <w:t xml:space="preserve"> in cell </w:t>
      </w:r>
      <w:r w:rsidRPr="005501AD">
        <w:t xml:space="preserve">culture. </w:t>
      </w:r>
      <w:proofErr w:type="spellStart"/>
      <w:r w:rsidRPr="005501AD">
        <w:rPr>
          <w:iCs/>
        </w:rPr>
        <w:t>Maraviroc</w:t>
      </w:r>
      <w:proofErr w:type="spellEnd"/>
      <w:r w:rsidRPr="005501AD">
        <w:rPr>
          <w:iCs/>
        </w:rPr>
        <w:t xml:space="preserve">-resistant viruses that emerged in </w:t>
      </w:r>
      <w:r w:rsidR="00466151" w:rsidRPr="005501AD">
        <w:rPr>
          <w:iCs/>
        </w:rPr>
        <w:t xml:space="preserve">cell culture </w:t>
      </w:r>
      <w:r w:rsidRPr="005501AD">
        <w:rPr>
          <w:iCs/>
        </w:rPr>
        <w:t>remained sensitive to</w:t>
      </w:r>
      <w:r>
        <w:rPr>
          <w:iCs/>
        </w:rPr>
        <w:t xml:space="preserve"> the</w:t>
      </w:r>
      <w:r w:rsidRPr="00564C8A">
        <w:rPr>
          <w:iCs/>
        </w:rPr>
        <w:t xml:space="preserve"> fusion inhibitor </w:t>
      </w:r>
      <w:proofErr w:type="spellStart"/>
      <w:r w:rsidRPr="00564C8A">
        <w:rPr>
          <w:iCs/>
        </w:rPr>
        <w:t>enfuvirtide</w:t>
      </w:r>
      <w:proofErr w:type="spellEnd"/>
      <w:r w:rsidRPr="00564C8A">
        <w:rPr>
          <w:iCs/>
        </w:rPr>
        <w:t xml:space="preserve"> and the protease inhibitor </w:t>
      </w:r>
      <w:proofErr w:type="spellStart"/>
      <w:r w:rsidRPr="00564C8A">
        <w:rPr>
          <w:iCs/>
        </w:rPr>
        <w:t>saquinavir</w:t>
      </w:r>
      <w:proofErr w:type="spellEnd"/>
      <w:r w:rsidRPr="00564C8A">
        <w:rPr>
          <w:iCs/>
        </w:rPr>
        <w:t>.</w:t>
      </w:r>
    </w:p>
    <w:p w:rsidR="001B3A17" w:rsidRPr="00DF44B8" w:rsidRDefault="002E7583" w:rsidP="00DD6C0A">
      <w:pPr>
        <w:pStyle w:val="Heading3"/>
        <w:rPr>
          <w:i/>
        </w:rPr>
      </w:pPr>
      <w:r w:rsidRPr="002E7583">
        <w:t xml:space="preserve">Resistance </w:t>
      </w:r>
      <w:r w:rsidRPr="002E7583">
        <w:rPr>
          <w:bCs/>
        </w:rPr>
        <w:t>i</w:t>
      </w:r>
      <w:r w:rsidR="001B3A17" w:rsidRPr="002E7583">
        <w:rPr>
          <w:bCs/>
        </w:rPr>
        <w:t>n vivo</w:t>
      </w:r>
      <w:r w:rsidR="001B3A17" w:rsidRPr="002E7583">
        <w:t>:</w:t>
      </w:r>
    </w:p>
    <w:p w:rsidR="001B3A17" w:rsidRPr="00DF44B8" w:rsidRDefault="002E7583" w:rsidP="003C11FE">
      <w:pPr>
        <w:pStyle w:val="Paragraph"/>
        <w:jc w:val="both"/>
      </w:pPr>
      <w:r w:rsidRPr="001C63DD">
        <w:t xml:space="preserve">The two mechanisms of resistance observed in vivo include the unmasking of CXCR4-using virus and the selection of virus </w:t>
      </w:r>
      <w:r w:rsidRPr="00DB454F">
        <w:t>that c</w:t>
      </w:r>
      <w:r w:rsidR="00B308AA" w:rsidRPr="00DB454F">
        <w:t>o</w:t>
      </w:r>
      <w:r w:rsidRPr="00DB454F">
        <w:t>ntinues to use CCR</w:t>
      </w:r>
      <w:r w:rsidR="0076727F" w:rsidRPr="00DB454F">
        <w:t>5</w:t>
      </w:r>
      <w:r w:rsidRPr="00DB454F">
        <w:t xml:space="preserve"> but with reduced susceptibility to </w:t>
      </w:r>
      <w:proofErr w:type="spellStart"/>
      <w:r w:rsidRPr="00DB454F">
        <w:t>maraviroc</w:t>
      </w:r>
      <w:proofErr w:type="spellEnd"/>
      <w:r w:rsidRPr="00DB454F">
        <w:t>, as indicated by a maximal plateau</w:t>
      </w:r>
      <w:r w:rsidRPr="001C63DD">
        <w:t xml:space="preserve"> of inhibition of &lt; 95%. </w:t>
      </w:r>
      <w:r w:rsidR="001B3A17" w:rsidRPr="00DF44B8">
        <w:t>Both routes to resistance have been observed in clinical studies of both treatment naïve and treatment experienced patients.</w:t>
      </w:r>
    </w:p>
    <w:p w:rsidR="001B3A17" w:rsidRPr="00DF44B8" w:rsidRDefault="001B3A17" w:rsidP="003C11FE">
      <w:pPr>
        <w:pStyle w:val="Paragraph"/>
        <w:jc w:val="both"/>
      </w:pPr>
      <w:r w:rsidRPr="00DF44B8">
        <w:t xml:space="preserve">CXCR4-using virus presence at </w:t>
      </w:r>
      <w:proofErr w:type="spellStart"/>
      <w:r w:rsidRPr="00DF44B8">
        <w:t>virological</w:t>
      </w:r>
      <w:proofErr w:type="spellEnd"/>
      <w:r w:rsidRPr="00DF44B8">
        <w:t xml:space="preserve"> failure appears to originate from a pre-existing viral population</w:t>
      </w:r>
      <w:r w:rsidR="0078725B">
        <w:t>.</w:t>
      </w:r>
      <w:r w:rsidR="0014691A">
        <w:t xml:space="preserve"> </w:t>
      </w:r>
      <w:r w:rsidRPr="00DF44B8">
        <w:t>Resistance of R5-virus through the increase of EC50 does not appear to be an important mechanism of failure.</w:t>
      </w:r>
    </w:p>
    <w:p w:rsidR="002E7583" w:rsidRPr="0020320A" w:rsidRDefault="002E7583" w:rsidP="003C11FE">
      <w:pPr>
        <w:pStyle w:val="Paragraph"/>
        <w:jc w:val="both"/>
        <w:rPr>
          <w:strike/>
        </w:rPr>
      </w:pPr>
      <w:r w:rsidRPr="001C63DD">
        <w:t xml:space="preserve">Sequencing of the V3 loop of virus with reduced susceptibility to </w:t>
      </w:r>
      <w:proofErr w:type="spellStart"/>
      <w:r w:rsidRPr="001C63DD">
        <w:t>maraviroc</w:t>
      </w:r>
      <w:proofErr w:type="spellEnd"/>
      <w:r w:rsidRPr="001C63DD">
        <w:t xml:space="preserve"> has identified changes in the amino acid sequence for the majority; however, no signature mutation has been identified. Mutations within Gp160 but outside of the V3 loop, contributing to the </w:t>
      </w:r>
      <w:proofErr w:type="spellStart"/>
      <w:r w:rsidRPr="001C63DD">
        <w:t>maraviroc</w:t>
      </w:r>
      <w:proofErr w:type="spellEnd"/>
      <w:r w:rsidRPr="001C63DD">
        <w:t xml:space="preserve"> resistance phenotype have been reported but appear uncommon.</w:t>
      </w:r>
    </w:p>
    <w:p w:rsidR="002E7583" w:rsidRDefault="002E7583" w:rsidP="00DD6C0A">
      <w:pPr>
        <w:pStyle w:val="Heading3"/>
      </w:pPr>
      <w:r w:rsidRPr="0033088B">
        <w:t>Treatment-experienced patients</w:t>
      </w:r>
      <w:r>
        <w:t>:</w:t>
      </w:r>
    </w:p>
    <w:p w:rsidR="00E66B00" w:rsidRDefault="00E66B00" w:rsidP="001B3A17">
      <w:pPr>
        <w:spacing w:after="240"/>
        <w:jc w:val="both"/>
        <w:rPr>
          <w:b/>
          <w:bCs/>
          <w:iCs/>
        </w:rPr>
      </w:pPr>
      <w:r w:rsidRPr="00B81AE8">
        <w:t>In the pivotal studies (MOTIVATE 1 and MOTIVATE 2), 7.6% of patients had a change in tropism result from CCR5-tropic to CXCR4-tropic or dual/mixed-tropic between screening and baseline (a period of 4-6 weeks).</w:t>
      </w:r>
    </w:p>
    <w:p w:rsidR="008852B7" w:rsidRPr="00B81AE8" w:rsidRDefault="002E7583" w:rsidP="008852B7">
      <w:pPr>
        <w:spacing w:after="240"/>
        <w:jc w:val="both"/>
      </w:pPr>
      <w:r w:rsidRPr="00097C01">
        <w:rPr>
          <w:i/>
        </w:rPr>
        <w:t>Failure with CXCR4-using virus:</w:t>
      </w:r>
      <w:r w:rsidR="00E66B00" w:rsidRPr="002E7583">
        <w:t xml:space="preserve"> </w:t>
      </w:r>
      <w:r w:rsidR="008852B7" w:rsidRPr="00B81AE8">
        <w:t xml:space="preserve">CXCR4-using virus was detected in approximately </w:t>
      </w:r>
      <w:r w:rsidR="008852B7">
        <w:t>55</w:t>
      </w:r>
      <w:r w:rsidR="008852B7" w:rsidRPr="00B81AE8">
        <w:t>% of </w:t>
      </w:r>
      <w:r w:rsidR="00551A77">
        <w:t>patients</w:t>
      </w:r>
      <w:r w:rsidR="008852B7" w:rsidRPr="00B81AE8">
        <w:t xml:space="preserve"> who failed treatment on </w:t>
      </w:r>
      <w:r w:rsidR="008852B7">
        <w:t>maraviroc</w:t>
      </w:r>
      <w:r w:rsidR="008852B7" w:rsidRPr="00B81AE8">
        <w:t>, as compared to 6% of </w:t>
      </w:r>
      <w:r w:rsidR="00551A77">
        <w:t>patients</w:t>
      </w:r>
      <w:r w:rsidR="008852B7" w:rsidRPr="00B81AE8">
        <w:t xml:space="preserve"> who experienced treatment failure in the </w:t>
      </w:r>
      <w:r w:rsidR="008852B7">
        <w:t>Optimised Background Therapy</w:t>
      </w:r>
      <w:r w:rsidR="006512FE">
        <w:t xml:space="preserve"> </w:t>
      </w:r>
      <w:r w:rsidR="008852B7">
        <w:t>(</w:t>
      </w:r>
      <w:r w:rsidR="008852B7" w:rsidRPr="00B81AE8">
        <w:t>OBT</w:t>
      </w:r>
      <w:r w:rsidR="008852B7">
        <w:t>)</w:t>
      </w:r>
      <w:r w:rsidR="008852B7" w:rsidRPr="00B81AE8">
        <w:t xml:space="preserve"> alone arm. To investigate the likely origin of the on-treatment CXCR4-using virus, a detailed </w:t>
      </w:r>
      <w:proofErr w:type="spellStart"/>
      <w:r w:rsidR="008852B7" w:rsidRPr="00B81AE8">
        <w:t>clonal</w:t>
      </w:r>
      <w:proofErr w:type="spellEnd"/>
      <w:r w:rsidR="008852B7" w:rsidRPr="00B81AE8">
        <w:t xml:space="preserve"> analysis was conducted on virus from 20 representative </w:t>
      </w:r>
      <w:r w:rsidR="00551A77">
        <w:t>patients</w:t>
      </w:r>
      <w:r w:rsidR="008852B7" w:rsidRPr="00B81AE8">
        <w:t xml:space="preserve"> (16 </w:t>
      </w:r>
      <w:r w:rsidR="00551A77">
        <w:t>patients</w:t>
      </w:r>
      <w:r w:rsidR="008852B7" w:rsidRPr="00B81AE8">
        <w:t xml:space="preserve"> from the </w:t>
      </w:r>
      <w:r w:rsidR="008852B7">
        <w:t>maraviroc</w:t>
      </w:r>
      <w:r w:rsidR="008852B7" w:rsidRPr="00B81AE8">
        <w:t xml:space="preserve"> arms and 4 </w:t>
      </w:r>
      <w:r w:rsidR="00551A77">
        <w:t>patients</w:t>
      </w:r>
      <w:r w:rsidR="008852B7" w:rsidRPr="00B81AE8">
        <w:t xml:space="preserve"> from the OBT alone arm) in whom </w:t>
      </w:r>
      <w:r w:rsidR="008852B7" w:rsidRPr="00B81AE8">
        <w:lastRenderedPageBreak/>
        <w:t>CXCR4-using virus was detected. This analysis indicated that CXCR4-</w:t>
      </w:r>
      <w:r w:rsidR="008852B7">
        <w:t xml:space="preserve">using </w:t>
      </w:r>
      <w:r w:rsidR="008852B7" w:rsidRPr="00B81AE8">
        <w:t xml:space="preserve">virus emerged from a pre-existing CXCR4-using reservoir not detected at baseline, rather than from mutation of CCR5-tropic virus present at baseline.  An analysis of tropism following failure of </w:t>
      </w:r>
      <w:r w:rsidR="008852B7">
        <w:t xml:space="preserve">maraviroc </w:t>
      </w:r>
      <w:r w:rsidR="008852B7" w:rsidRPr="00B81AE8">
        <w:t>therapy with CXCR4-using virus</w:t>
      </w:r>
      <w:r w:rsidR="008852B7">
        <w:t xml:space="preserve"> in patients with CCR5 virus at baseline</w:t>
      </w:r>
      <w:r w:rsidR="008852B7" w:rsidRPr="00B81AE8">
        <w:t xml:space="preserve">, demonstrated that the virus population reverted back to CCR5 tropism in </w:t>
      </w:r>
      <w:r w:rsidR="008852B7">
        <w:t xml:space="preserve">33 of 36 patients with more than 35 days of follow up. </w:t>
      </w:r>
      <w:r w:rsidR="008852B7" w:rsidRPr="00B81AE8">
        <w:t xml:space="preserve">At time of failure with CXCR4-using virus, the resistance pattern to other </w:t>
      </w:r>
      <w:proofErr w:type="spellStart"/>
      <w:r w:rsidR="008852B7" w:rsidRPr="00B81AE8">
        <w:t>antiretrovirals</w:t>
      </w:r>
      <w:proofErr w:type="spellEnd"/>
      <w:r w:rsidR="008852B7" w:rsidRPr="00B81AE8">
        <w:t xml:space="preserve"> appears similar to that of the CCR5-tropic population at baseline, based on available data. Hence, in the selection of a treatment regimen, it should be assumed that viruses forming part of the previously undetected CXCR4-using population (i.e. minor viral population) harbours the same resistance pattern as the CCR5-tropic population.</w:t>
      </w:r>
    </w:p>
    <w:p w:rsidR="008852B7" w:rsidRDefault="003C3BC3" w:rsidP="0075279D">
      <w:pPr>
        <w:spacing w:after="240"/>
        <w:jc w:val="both"/>
        <w:rPr>
          <w:b/>
          <w:bCs/>
        </w:rPr>
      </w:pPr>
      <w:r w:rsidRPr="00097C01">
        <w:rPr>
          <w:i/>
        </w:rPr>
        <w:t>Failure with CCR5-tropic virus:</w:t>
      </w:r>
      <w:r>
        <w:rPr>
          <w:i/>
        </w:rPr>
        <w:t xml:space="preserve"> </w:t>
      </w:r>
      <w:r w:rsidR="008852B7" w:rsidRPr="00B81AE8">
        <w:t xml:space="preserve">Phenotypic resistance: in patients with CCR5-tropic virus at time of treatment failure with </w:t>
      </w:r>
      <w:r w:rsidR="008852B7">
        <w:t>maraviroc</w:t>
      </w:r>
      <w:r w:rsidR="008852B7" w:rsidRPr="00B81AE8">
        <w:t xml:space="preserve">, </w:t>
      </w:r>
      <w:r w:rsidR="008852B7">
        <w:t>22</w:t>
      </w:r>
      <w:r w:rsidR="008852B7" w:rsidRPr="00B81AE8">
        <w:t xml:space="preserve"> out of </w:t>
      </w:r>
      <w:r w:rsidR="008852B7">
        <w:t>58</w:t>
      </w:r>
      <w:r w:rsidR="008852B7" w:rsidRPr="00B81AE8">
        <w:t xml:space="preserve"> patients had virus with re</w:t>
      </w:r>
      <w:r w:rsidR="005F2F74">
        <w:t xml:space="preserve">duced sensitivity to maraviroc. </w:t>
      </w:r>
      <w:r w:rsidR="008852B7">
        <w:t xml:space="preserve">Additionally, CCR5-tropic virus from 2 of these treatment failure </w:t>
      </w:r>
      <w:r w:rsidR="00551A77">
        <w:t>patients</w:t>
      </w:r>
      <w:r w:rsidR="008852B7">
        <w:t xml:space="preserve"> had </w:t>
      </w:r>
      <w:r w:rsidR="008852B7">
        <w:sym w:font="Symbol" w:char="F0B3"/>
      </w:r>
      <w:r w:rsidR="008852B7">
        <w:t>3-fold shifts in EC</w:t>
      </w:r>
      <w:r w:rsidR="008852B7" w:rsidRPr="004248B5">
        <w:rPr>
          <w:vertAlign w:val="subscript"/>
        </w:rPr>
        <w:t>50</w:t>
      </w:r>
      <w:r w:rsidR="008852B7">
        <w:t xml:space="preserve"> values for maraviroc at the time of failure, but the significance of this is unclear. </w:t>
      </w:r>
      <w:r w:rsidR="008852B7" w:rsidRPr="00B81AE8">
        <w:t xml:space="preserve">In the remaining patients, there was no evidence of virus with reduced sensitivity </w:t>
      </w:r>
      <w:r w:rsidR="008852B7" w:rsidRPr="00963E3E">
        <w:t xml:space="preserve">as identified by exploratory virology analyses on a representative group. </w:t>
      </w:r>
      <w:r w:rsidR="008852B7" w:rsidRPr="00963E3E">
        <w:rPr>
          <w:szCs w:val="20"/>
        </w:rPr>
        <w:t>The latter group had markers of low exposure, in some cases associated with poor compliance</w:t>
      </w:r>
      <w:r w:rsidR="008852B7">
        <w:rPr>
          <w:szCs w:val="20"/>
        </w:rPr>
        <w:t>.</w:t>
      </w:r>
      <w:r w:rsidR="008852B7" w:rsidRPr="00963E3E" w:rsidDel="009A6C9C">
        <w:t xml:space="preserve"> </w:t>
      </w:r>
      <w:r w:rsidR="008852B7" w:rsidRPr="00B81AE8">
        <w:t>A clinically-validated cut-off value for reduced virological response has not yet been established. Therefore, continued use of maraviroc after treatment failure cannot be generally recommended regardless of the viral tropism seen.</w:t>
      </w:r>
    </w:p>
    <w:p w:rsidR="00D95A48" w:rsidRDefault="00D95A48" w:rsidP="00DD6C0A">
      <w:pPr>
        <w:pStyle w:val="Heading3"/>
      </w:pPr>
      <w:r w:rsidRPr="00DB4D0D">
        <w:t>Treatment naïve patients</w:t>
      </w:r>
    </w:p>
    <w:p w:rsidR="008852B7" w:rsidRPr="00DF44B8" w:rsidRDefault="008852B7" w:rsidP="0075279D">
      <w:pPr>
        <w:pStyle w:val="Paragraph"/>
        <w:jc w:val="both"/>
      </w:pPr>
      <w:r w:rsidRPr="00DF44B8">
        <w:t xml:space="preserve">In the pivotal study </w:t>
      </w:r>
      <w:r w:rsidR="00D95A48" w:rsidRPr="0069130D">
        <w:t xml:space="preserve">of treatment naïve patients </w:t>
      </w:r>
      <w:r w:rsidRPr="00DF44B8">
        <w:t>(MERIT</w:t>
      </w:r>
      <w:r w:rsidR="00D95A48" w:rsidRPr="00D95A48">
        <w:t xml:space="preserve"> </w:t>
      </w:r>
      <w:r w:rsidR="00D95A48" w:rsidRPr="0069130D">
        <w:t>week 96</w:t>
      </w:r>
      <w:r w:rsidRPr="00DF44B8">
        <w:t xml:space="preserve">), </w:t>
      </w:r>
      <w:r w:rsidR="00D95A48">
        <w:t>13/343 (</w:t>
      </w:r>
      <w:r w:rsidRPr="00DF44B8">
        <w:t>3.</w:t>
      </w:r>
      <w:r w:rsidR="00D95A48">
        <w:t>8</w:t>
      </w:r>
      <w:r w:rsidRPr="00DF44B8">
        <w:t>%</w:t>
      </w:r>
      <w:r w:rsidR="00D95A48">
        <w:t>)</w:t>
      </w:r>
      <w:r w:rsidR="00624A82">
        <w:t xml:space="preserve"> </w:t>
      </w:r>
      <w:r w:rsidRPr="00DF44B8">
        <w:t xml:space="preserve">had a change in tropism result from CCR5-tropic to CXCR4-tropic or dual/mixed-tropic </w:t>
      </w:r>
      <w:r w:rsidR="00D95A48">
        <w:t xml:space="preserve">in the 4 -6 week interval </w:t>
      </w:r>
      <w:r w:rsidRPr="00DF44B8">
        <w:t>between screening and baseline</w:t>
      </w:r>
      <w:r w:rsidR="00D95A48" w:rsidRPr="00D95A48">
        <w:t xml:space="preserve"> </w:t>
      </w:r>
      <w:r w:rsidR="00D95A48" w:rsidRPr="0069130D">
        <w:t>during which time no treatment was administered</w:t>
      </w:r>
      <w:r w:rsidRPr="00DF44B8">
        <w:t>.</w:t>
      </w:r>
    </w:p>
    <w:p w:rsidR="00906BE9" w:rsidRDefault="00906BE9" w:rsidP="0075279D">
      <w:pPr>
        <w:pStyle w:val="Paragraph"/>
        <w:jc w:val="both"/>
      </w:pPr>
      <w:r w:rsidRPr="00DB4D0D">
        <w:rPr>
          <w:i/>
        </w:rPr>
        <w:t>Failure with CXCR4-using virus:</w:t>
      </w:r>
      <w:r w:rsidR="005F2F74">
        <w:rPr>
          <w:i/>
        </w:rPr>
        <w:t xml:space="preserve"> </w:t>
      </w:r>
      <w:r w:rsidR="008852B7" w:rsidRPr="00DF44B8">
        <w:t xml:space="preserve">CXCR4-using virus was detected at failure in approximately </w:t>
      </w:r>
      <w:r w:rsidR="00D95A48">
        <w:t>24/86 (</w:t>
      </w:r>
      <w:r w:rsidR="008852B7" w:rsidRPr="00DF44B8">
        <w:t>28%</w:t>
      </w:r>
      <w:r w:rsidR="00D95A48">
        <w:t>)</w:t>
      </w:r>
      <w:r w:rsidR="008852B7" w:rsidRPr="00DF44B8">
        <w:t xml:space="preserve"> of </w:t>
      </w:r>
      <w:r w:rsidR="00551A77">
        <w:t>patients</w:t>
      </w:r>
      <w:r w:rsidR="008852B7" w:rsidRPr="00DF44B8">
        <w:t xml:space="preserve"> with CCR5-tropic virus at baseline and who failed treatment on </w:t>
      </w:r>
      <w:proofErr w:type="spellStart"/>
      <w:r w:rsidR="008852B7" w:rsidRPr="00DF44B8">
        <w:t>maraviroc</w:t>
      </w:r>
      <w:proofErr w:type="spellEnd"/>
      <w:r w:rsidR="008852B7" w:rsidRPr="00DF44B8">
        <w:t>, as compared to none of </w:t>
      </w:r>
      <w:r w:rsidR="00551A77">
        <w:t>patients</w:t>
      </w:r>
      <w:r w:rsidR="008852B7" w:rsidRPr="00DF44B8">
        <w:t xml:space="preserve"> who experienced treatment failure in the </w:t>
      </w:r>
      <w:proofErr w:type="spellStart"/>
      <w:r w:rsidR="008852B7" w:rsidRPr="00DF44B8">
        <w:t>efavirenz</w:t>
      </w:r>
      <w:proofErr w:type="spellEnd"/>
      <w:r w:rsidR="008852B7" w:rsidRPr="00DF44B8">
        <w:t xml:space="preserve"> arm.</w:t>
      </w:r>
    </w:p>
    <w:p w:rsidR="00906BE9" w:rsidRDefault="008852B7" w:rsidP="0075279D">
      <w:pPr>
        <w:pStyle w:val="Paragraph"/>
        <w:jc w:val="both"/>
      </w:pPr>
      <w:r w:rsidRPr="00DF44B8">
        <w:t>Based on a re-analysis using an enhanced sensitivity tropism assay</w:t>
      </w:r>
      <w:r w:rsidR="006A69C9">
        <w:t xml:space="preserve">, </w:t>
      </w:r>
      <w:r w:rsidRPr="00DF44B8">
        <w:t xml:space="preserve">when </w:t>
      </w:r>
      <w:r w:rsidR="00551A77">
        <w:t>patients</w:t>
      </w:r>
      <w:r w:rsidRPr="00DF44B8">
        <w:t xml:space="preserve"> with CXCR4-using virus at screening</w:t>
      </w:r>
      <w:r w:rsidR="00784BE8">
        <w:t xml:space="preserve"> </w:t>
      </w:r>
      <w:r w:rsidRPr="00DF44B8">
        <w:t xml:space="preserve">were censored from the analysis, of the </w:t>
      </w:r>
      <w:r w:rsidR="00551A77">
        <w:t>patients</w:t>
      </w:r>
      <w:r w:rsidRPr="00DF44B8">
        <w:t xml:space="preserve"> with CCR5-tropic virus at baseline and who failed treatment on </w:t>
      </w:r>
      <w:proofErr w:type="spellStart"/>
      <w:r w:rsidRPr="00DF44B8">
        <w:t>maraviroc</w:t>
      </w:r>
      <w:proofErr w:type="spellEnd"/>
      <w:r w:rsidRPr="00DF44B8">
        <w:t xml:space="preserve">, CXCR4-using virus was detected in </w:t>
      </w:r>
      <w:r w:rsidR="00B10276">
        <w:t>25/118 (</w:t>
      </w:r>
      <w:r w:rsidRPr="00DF44B8">
        <w:t>21%</w:t>
      </w:r>
      <w:r w:rsidR="00B10276">
        <w:t>)</w:t>
      </w:r>
      <w:r w:rsidRPr="00DF44B8">
        <w:t xml:space="preserve"> as compared to none in the </w:t>
      </w:r>
      <w:proofErr w:type="spellStart"/>
      <w:r w:rsidR="00DC0A74">
        <w:t>efavirenz</w:t>
      </w:r>
      <w:proofErr w:type="spellEnd"/>
      <w:r w:rsidRPr="00DF44B8">
        <w:t xml:space="preserve"> arm.</w:t>
      </w:r>
    </w:p>
    <w:p w:rsidR="008852B7" w:rsidRPr="00B1167A" w:rsidRDefault="008852B7" w:rsidP="0075279D">
      <w:pPr>
        <w:pStyle w:val="Paragraph"/>
        <w:jc w:val="both"/>
        <w:rPr>
          <w:rFonts w:cs="Courier New"/>
        </w:rPr>
      </w:pPr>
      <w:r w:rsidRPr="00DF44B8">
        <w:rPr>
          <w:rFonts w:cs="Courier New"/>
        </w:rPr>
        <w:t xml:space="preserve">A detailed </w:t>
      </w:r>
      <w:proofErr w:type="spellStart"/>
      <w:r w:rsidRPr="00DF44B8">
        <w:rPr>
          <w:rFonts w:cs="Courier New"/>
        </w:rPr>
        <w:t>clonal</w:t>
      </w:r>
      <w:proofErr w:type="spellEnd"/>
      <w:r w:rsidRPr="00DF44B8">
        <w:rPr>
          <w:rFonts w:cs="Courier New"/>
        </w:rPr>
        <w:t xml:space="preserve"> analysis was conducted </w:t>
      </w:r>
      <w:r w:rsidR="0023131A">
        <w:rPr>
          <w:rFonts w:cs="Courier New"/>
        </w:rPr>
        <w:t>for</w:t>
      </w:r>
      <w:r w:rsidRPr="00DF44B8">
        <w:rPr>
          <w:rFonts w:cs="Courier New"/>
        </w:rPr>
        <w:t xml:space="preserve"> two previously antiretroviral treatment-naïve </w:t>
      </w:r>
      <w:r w:rsidR="00551A77" w:rsidRPr="00B1167A">
        <w:rPr>
          <w:rFonts w:cs="Courier New"/>
        </w:rPr>
        <w:t>patients</w:t>
      </w:r>
      <w:r w:rsidRPr="00B1167A">
        <w:rPr>
          <w:rFonts w:cs="Courier New"/>
        </w:rPr>
        <w:t xml:space="preserve"> enrolled in a Phase 2a </w:t>
      </w:r>
      <w:proofErr w:type="spellStart"/>
      <w:r w:rsidRPr="00B1167A">
        <w:rPr>
          <w:rFonts w:cs="Courier New"/>
        </w:rPr>
        <w:t>monotherapy</w:t>
      </w:r>
      <w:proofErr w:type="spellEnd"/>
      <w:r w:rsidRPr="00B1167A">
        <w:rPr>
          <w:rFonts w:cs="Courier New"/>
        </w:rPr>
        <w:t xml:space="preserve"> study </w:t>
      </w:r>
      <w:r w:rsidR="0023131A" w:rsidRPr="00B1167A">
        <w:rPr>
          <w:rFonts w:cs="Courier New"/>
        </w:rPr>
        <w:t>in which</w:t>
      </w:r>
      <w:r w:rsidRPr="00B1167A">
        <w:rPr>
          <w:rFonts w:cs="Courier New"/>
        </w:rPr>
        <w:t xml:space="preserve"> CXCR4-using virus </w:t>
      </w:r>
      <w:r w:rsidR="0023131A" w:rsidRPr="00B1167A">
        <w:rPr>
          <w:rFonts w:cs="Courier New"/>
        </w:rPr>
        <w:t>was</w:t>
      </w:r>
      <w:r w:rsidR="0045491E" w:rsidRPr="00B1167A">
        <w:rPr>
          <w:rFonts w:cs="Courier New"/>
        </w:rPr>
        <w:t xml:space="preserve"> </w:t>
      </w:r>
      <w:r w:rsidRPr="00B1167A">
        <w:rPr>
          <w:rFonts w:cs="Courier New"/>
        </w:rPr>
        <w:t xml:space="preserve">observed after 10 days treatment with </w:t>
      </w:r>
      <w:proofErr w:type="spellStart"/>
      <w:r w:rsidRPr="00B1167A">
        <w:rPr>
          <w:rFonts w:cs="Courier New"/>
        </w:rPr>
        <w:t>maraviroc</w:t>
      </w:r>
      <w:proofErr w:type="spellEnd"/>
      <w:r w:rsidRPr="00B1167A">
        <w:rPr>
          <w:rFonts w:cs="Courier New"/>
        </w:rPr>
        <w:t xml:space="preserve">.  Consistent with the detailed </w:t>
      </w:r>
      <w:proofErr w:type="spellStart"/>
      <w:r w:rsidRPr="00B1167A">
        <w:rPr>
          <w:rFonts w:cs="Courier New"/>
        </w:rPr>
        <w:t>clonal</w:t>
      </w:r>
      <w:proofErr w:type="spellEnd"/>
      <w:r w:rsidRPr="00B1167A">
        <w:rPr>
          <w:rFonts w:cs="Courier New"/>
        </w:rPr>
        <w:t xml:space="preserve"> analysis conducted in </w:t>
      </w:r>
      <w:r w:rsidR="0045491E" w:rsidRPr="00B1167A">
        <w:rPr>
          <w:rFonts w:cs="Courier New"/>
        </w:rPr>
        <w:t>treatment</w:t>
      </w:r>
      <w:r w:rsidR="00122E98" w:rsidRPr="00B1167A">
        <w:rPr>
          <w:rFonts w:cs="Courier New"/>
        </w:rPr>
        <w:t>-</w:t>
      </w:r>
      <w:r w:rsidR="0045491E" w:rsidRPr="00B1167A">
        <w:rPr>
          <w:rFonts w:cs="Courier New"/>
        </w:rPr>
        <w:t>experienced</w:t>
      </w:r>
      <w:r w:rsidRPr="00B1167A">
        <w:rPr>
          <w:rFonts w:cs="Courier New"/>
        </w:rPr>
        <w:t xml:space="preserve"> </w:t>
      </w:r>
      <w:r w:rsidR="00551A77" w:rsidRPr="00B1167A">
        <w:rPr>
          <w:rFonts w:cs="Courier New"/>
        </w:rPr>
        <w:t>patients</w:t>
      </w:r>
      <w:r w:rsidRPr="00B1167A">
        <w:rPr>
          <w:rFonts w:cs="Courier New"/>
        </w:rPr>
        <w:t>, the CXCR4-using variant was found to be pre-existing prior to starting therapy.</w:t>
      </w:r>
    </w:p>
    <w:p w:rsidR="00D7269E" w:rsidRPr="00DD6C0A" w:rsidRDefault="00D7269E" w:rsidP="00DD6C0A">
      <w:pPr>
        <w:pStyle w:val="Paragraph"/>
        <w:jc w:val="both"/>
      </w:pPr>
      <w:r w:rsidRPr="00DD6C0A">
        <w:rPr>
          <w:lang w:eastAsia="en-AU"/>
        </w:rPr>
        <w:t xml:space="preserve">All but one (11/12; 92%) of the </w:t>
      </w:r>
      <w:proofErr w:type="spellStart"/>
      <w:r w:rsidRPr="00DD6C0A">
        <w:rPr>
          <w:lang w:eastAsia="en-AU"/>
        </w:rPr>
        <w:t>maraviroc</w:t>
      </w:r>
      <w:proofErr w:type="spellEnd"/>
      <w:r w:rsidRPr="00DD6C0A">
        <w:rPr>
          <w:lang w:eastAsia="en-AU"/>
        </w:rPr>
        <w:t xml:space="preserve"> failures failing with CXCR4 or dual/mixed-tropic virus also had genotypic and phenotypic resistance to the </w:t>
      </w:r>
      <w:r w:rsidRPr="00DD6C0A">
        <w:rPr>
          <w:lang w:eastAsia="en-AU"/>
        </w:rPr>
        <w:lastRenderedPageBreak/>
        <w:t xml:space="preserve">background drug </w:t>
      </w:r>
      <w:proofErr w:type="spellStart"/>
      <w:r w:rsidRPr="00DD6C0A">
        <w:rPr>
          <w:lang w:eastAsia="en-AU"/>
        </w:rPr>
        <w:t>lamivudine</w:t>
      </w:r>
      <w:proofErr w:type="spellEnd"/>
      <w:r w:rsidRPr="00DD6C0A">
        <w:rPr>
          <w:lang w:eastAsia="en-AU"/>
        </w:rPr>
        <w:t xml:space="preserve"> at failure and 33% (4 /12) developed </w:t>
      </w:r>
      <w:proofErr w:type="spellStart"/>
      <w:r w:rsidRPr="00DD6C0A">
        <w:rPr>
          <w:lang w:eastAsia="en-AU"/>
        </w:rPr>
        <w:t>zidovudine</w:t>
      </w:r>
      <w:proofErr w:type="spellEnd"/>
      <w:r w:rsidRPr="00DD6C0A">
        <w:rPr>
          <w:lang w:eastAsia="en-AU"/>
        </w:rPr>
        <w:t>-associated resistance substitutions.</w:t>
      </w:r>
    </w:p>
    <w:p w:rsidR="008852B7" w:rsidRDefault="00793E3D" w:rsidP="0075279D">
      <w:pPr>
        <w:pStyle w:val="Paragraph"/>
        <w:jc w:val="both"/>
      </w:pPr>
      <w:r w:rsidRPr="00B1167A">
        <w:rPr>
          <w:i/>
        </w:rPr>
        <w:t>Failure with CCR5-tropic virus</w:t>
      </w:r>
      <w:r w:rsidRPr="00DB4D0D">
        <w:rPr>
          <w:i/>
        </w:rPr>
        <w:t>:</w:t>
      </w:r>
      <w:r w:rsidR="005F2F74">
        <w:rPr>
          <w:i/>
        </w:rPr>
        <w:t xml:space="preserve"> </w:t>
      </w:r>
      <w:r w:rsidR="008852B7" w:rsidRPr="00DF44B8">
        <w:t xml:space="preserve">Phenotypic resistance: </w:t>
      </w:r>
      <w:r>
        <w:t>I</w:t>
      </w:r>
      <w:r w:rsidR="008852B7" w:rsidRPr="00DF44B8">
        <w:t xml:space="preserve">n patients with CCR5-tropic virus at time of treatment failure with </w:t>
      </w:r>
      <w:proofErr w:type="spellStart"/>
      <w:r w:rsidR="008852B7" w:rsidRPr="00DF44B8">
        <w:t>maraviroc</w:t>
      </w:r>
      <w:proofErr w:type="spellEnd"/>
      <w:r w:rsidR="008852B7" w:rsidRPr="00DF44B8">
        <w:t xml:space="preserve">, 6 out of 38 patients had virus with reduced sensitivity to </w:t>
      </w:r>
      <w:proofErr w:type="spellStart"/>
      <w:r w:rsidR="008852B7" w:rsidRPr="00DF44B8">
        <w:t>maraviroc</w:t>
      </w:r>
      <w:proofErr w:type="spellEnd"/>
      <w:r w:rsidR="008852B7" w:rsidRPr="00DF44B8">
        <w:t>.  In the remaining 32 patients, there was no evidence of virus with reduced sensitivity as identified by exploratory virology analyses on a representative group</w:t>
      </w:r>
      <w:r w:rsidR="005029D4">
        <w:t xml:space="preserve">. </w:t>
      </w:r>
      <w:r w:rsidR="008852B7" w:rsidRPr="00DF44B8">
        <w:t>One additional subject had a ≥3-fold shift in EC</w:t>
      </w:r>
      <w:r w:rsidR="008852B7" w:rsidRPr="00DF44B8">
        <w:rPr>
          <w:vertAlign w:val="subscript"/>
        </w:rPr>
        <w:t>50</w:t>
      </w:r>
      <w:r w:rsidR="008852B7" w:rsidRPr="00DF44B8">
        <w:t xml:space="preserve"> value for </w:t>
      </w:r>
      <w:proofErr w:type="spellStart"/>
      <w:r w:rsidR="008852B7" w:rsidRPr="00DF44B8">
        <w:t>maraviroc</w:t>
      </w:r>
      <w:proofErr w:type="spellEnd"/>
      <w:r w:rsidR="008852B7" w:rsidRPr="00DF44B8">
        <w:t xml:space="preserve"> at the time of failure.</w:t>
      </w:r>
    </w:p>
    <w:p w:rsidR="00E66B00" w:rsidRPr="00564C8A" w:rsidRDefault="00E66B00" w:rsidP="004D6F00">
      <w:pPr>
        <w:pStyle w:val="Heading1"/>
        <w:rPr>
          <w:szCs w:val="18"/>
        </w:rPr>
      </w:pPr>
      <w:r w:rsidRPr="00564C8A">
        <w:t>Pharmacokinetics</w:t>
      </w:r>
    </w:p>
    <w:p w:rsidR="00E66B00" w:rsidRPr="00564C8A" w:rsidRDefault="00E66B00" w:rsidP="003F26BC">
      <w:pPr>
        <w:pStyle w:val="Heading2"/>
      </w:pPr>
      <w:r w:rsidRPr="00564C8A">
        <w:t>Absorption</w:t>
      </w:r>
    </w:p>
    <w:p w:rsidR="00E66B00" w:rsidRPr="00564C8A" w:rsidRDefault="004E024C" w:rsidP="003624FC">
      <w:pPr>
        <w:spacing w:after="240"/>
        <w:jc w:val="both"/>
      </w:pPr>
      <w:r w:rsidRPr="005501AD">
        <w:t xml:space="preserve">The absorption of maraviroc is variable with multiple peaks. </w:t>
      </w:r>
      <w:r w:rsidR="00813090" w:rsidRPr="005501AD">
        <w:t xml:space="preserve">Median </w:t>
      </w:r>
      <w:r w:rsidR="00813090" w:rsidRPr="005501AD">
        <w:rPr>
          <w:szCs w:val="18"/>
        </w:rPr>
        <w:t>p</w:t>
      </w:r>
      <w:r w:rsidR="00E66B00" w:rsidRPr="005501AD">
        <w:rPr>
          <w:szCs w:val="18"/>
        </w:rPr>
        <w:t xml:space="preserve">eak </w:t>
      </w:r>
      <w:r w:rsidR="00E66B00" w:rsidRPr="005501AD">
        <w:t>maraviroc plasma concentrations are attained</w:t>
      </w:r>
      <w:r w:rsidR="00813090" w:rsidRPr="005501AD">
        <w:t xml:space="preserve"> at 2 hours (range</w:t>
      </w:r>
      <w:r w:rsidR="00E66B00" w:rsidRPr="005501AD">
        <w:t xml:space="preserve"> 0.5-4 hours</w:t>
      </w:r>
      <w:r w:rsidR="00813090" w:rsidRPr="005501AD">
        <w:t>)</w:t>
      </w:r>
      <w:r w:rsidR="00E66B00" w:rsidRPr="005501AD">
        <w:t xml:space="preserve"> following single oral doses of </w:t>
      </w:r>
      <w:r w:rsidR="00813090" w:rsidRPr="005501AD">
        <w:t xml:space="preserve">300 mg commercial tablet </w:t>
      </w:r>
      <w:r w:rsidR="00E66B00" w:rsidRPr="005501AD">
        <w:t xml:space="preserve">administered to </w:t>
      </w:r>
      <w:r w:rsidR="00E66B00" w:rsidRPr="005501AD">
        <w:rPr>
          <w:color w:val="000000"/>
        </w:rPr>
        <w:t>healthy vo</w:t>
      </w:r>
      <w:r w:rsidR="00E66B00" w:rsidRPr="005501AD">
        <w:t xml:space="preserve">lunteers. The pharmacokinetics of oral maraviroc </w:t>
      </w:r>
      <w:proofErr w:type="gramStart"/>
      <w:r w:rsidR="00E66B00" w:rsidRPr="005501AD">
        <w:t>are</w:t>
      </w:r>
      <w:proofErr w:type="gramEnd"/>
      <w:r w:rsidR="00E66B00" w:rsidRPr="005501AD">
        <w:t xml:space="preserve"> not dose pr</w:t>
      </w:r>
      <w:r w:rsidR="00E70E9C" w:rsidRPr="005501AD">
        <w:t>oportional over the dose range</w:t>
      </w:r>
      <w:r w:rsidR="00656C42" w:rsidRPr="005501AD">
        <w:t xml:space="preserve"> of 1-1200 mg</w:t>
      </w:r>
      <w:r w:rsidR="00E70E9C" w:rsidRPr="005501AD">
        <w:t>.</w:t>
      </w:r>
    </w:p>
    <w:p w:rsidR="00E66B00" w:rsidRPr="00E70E9C" w:rsidRDefault="00E66B00" w:rsidP="003624FC">
      <w:pPr>
        <w:pStyle w:val="Header"/>
        <w:spacing w:after="240"/>
        <w:rPr>
          <w:iCs/>
        </w:rPr>
      </w:pPr>
      <w:r w:rsidRPr="00564C8A">
        <w:t>The absolute bioavailability of a 100 mg dose is 23% and is pre</w:t>
      </w:r>
      <w:r>
        <w:t xml:space="preserve">dicted to be 33% at 300 mg. </w:t>
      </w:r>
      <w:proofErr w:type="spellStart"/>
      <w:r w:rsidRPr="00564C8A">
        <w:rPr>
          <w:iCs/>
        </w:rPr>
        <w:t>Maraviroc</w:t>
      </w:r>
      <w:proofErr w:type="spellEnd"/>
      <w:r w:rsidRPr="00564C8A">
        <w:rPr>
          <w:iCs/>
        </w:rPr>
        <w:t xml:space="preserve"> is a substrate for the efflux transporter P-glycoprotein.</w:t>
      </w:r>
    </w:p>
    <w:p w:rsidR="00E66B00" w:rsidRPr="00790202" w:rsidRDefault="00E66B00" w:rsidP="00790202">
      <w:pPr>
        <w:pStyle w:val="Heading3"/>
      </w:pPr>
      <w:r w:rsidRPr="00790202">
        <w:t>Effect of food on oral absorption</w:t>
      </w:r>
    </w:p>
    <w:p w:rsidR="00E66B00" w:rsidRPr="00F30320" w:rsidRDefault="00E66B00" w:rsidP="003624FC">
      <w:pPr>
        <w:spacing w:after="240"/>
        <w:jc w:val="both"/>
      </w:pPr>
      <w:r w:rsidRPr="00564C8A">
        <w:t xml:space="preserve">Co-administration of a 300 mg tablet with a high fat breakfast reduced </w:t>
      </w:r>
      <w:proofErr w:type="spellStart"/>
      <w:r w:rsidRPr="00564C8A">
        <w:t>maraviroc</w:t>
      </w:r>
      <w:proofErr w:type="spellEnd"/>
      <w:r w:rsidRPr="00564C8A">
        <w:t xml:space="preserve"> </w:t>
      </w:r>
      <w:proofErr w:type="spellStart"/>
      <w:r w:rsidRPr="00564C8A">
        <w:t>C</w:t>
      </w:r>
      <w:r w:rsidRPr="00564C8A">
        <w:rPr>
          <w:vertAlign w:val="subscript"/>
        </w:rPr>
        <w:t>max</w:t>
      </w:r>
      <w:proofErr w:type="spellEnd"/>
      <w:r w:rsidRPr="00564C8A">
        <w:t xml:space="preserve"> and AUC by 33% in h</w:t>
      </w:r>
      <w:r>
        <w:t xml:space="preserve">ealthy volunteers. </w:t>
      </w:r>
      <w:r w:rsidRPr="00564C8A">
        <w:t>There were no food restrictions in the studies that demonstrated the efficacy and safety of marav</w:t>
      </w:r>
      <w:r>
        <w:t>iroc (</w:t>
      </w:r>
      <w:r w:rsidRPr="007D6092">
        <w:t>see CLINICAL TRIALS</w:t>
      </w:r>
      <w:r>
        <w:t xml:space="preserve">). </w:t>
      </w:r>
      <w:r w:rsidRPr="00564C8A">
        <w:t>Therefore, maraviroc can be taken with or withou</w:t>
      </w:r>
      <w:r>
        <w:t>t food at the recommended dose</w:t>
      </w:r>
      <w:r w:rsidR="00CB496A">
        <w:t>s</w:t>
      </w:r>
      <w:r>
        <w:t xml:space="preserve"> (see DOSAGE AND ADMINISTRATION)</w:t>
      </w:r>
      <w:r w:rsidRPr="00564C8A">
        <w:t>.</w:t>
      </w:r>
    </w:p>
    <w:p w:rsidR="00E66B00" w:rsidRPr="00564C8A" w:rsidRDefault="00E66B00" w:rsidP="003F26BC">
      <w:pPr>
        <w:pStyle w:val="Heading2"/>
      </w:pPr>
      <w:r w:rsidRPr="00564C8A">
        <w:t>Distribution</w:t>
      </w:r>
    </w:p>
    <w:p w:rsidR="00E66B00" w:rsidRPr="00E70E9C" w:rsidRDefault="00E66B00" w:rsidP="003624FC">
      <w:pPr>
        <w:spacing w:after="240"/>
        <w:jc w:val="both"/>
      </w:pPr>
      <w:r w:rsidRPr="00564C8A">
        <w:t>Maraviroc is bound (approximately 76%) to human plasma proteins</w:t>
      </w:r>
      <w:r w:rsidRPr="00564C8A">
        <w:rPr>
          <w:iCs/>
        </w:rPr>
        <w:t xml:space="preserve">, and shows moderate affinity for </w:t>
      </w:r>
      <w:r w:rsidRPr="00564C8A">
        <w:t xml:space="preserve">albumin </w:t>
      </w:r>
      <w:r>
        <w:t xml:space="preserve">and alpha-1 acid glycoprotein. </w:t>
      </w:r>
      <w:r w:rsidRPr="00564C8A">
        <w:t>The volume of distribution of m</w:t>
      </w:r>
      <w:r w:rsidR="00E70E9C">
        <w:t>araviroc is approximately 194L.</w:t>
      </w:r>
    </w:p>
    <w:p w:rsidR="00FB60B3" w:rsidRPr="00564C8A" w:rsidRDefault="00D2134E" w:rsidP="003624FC">
      <w:pPr>
        <w:spacing w:after="240"/>
        <w:jc w:val="both"/>
      </w:pPr>
      <w:r w:rsidRPr="005501AD">
        <w:t>Preclinical data indicate</w:t>
      </w:r>
      <w:r w:rsidRPr="005501AD">
        <w:rPr>
          <w:color w:val="000000"/>
        </w:rPr>
        <w:t xml:space="preserve"> low ce</w:t>
      </w:r>
      <w:r w:rsidRPr="005501AD">
        <w:t>rebrospinal fluid exposure with concentrations of maraviroc in the CSF of rats approximately 10% of free plasma concentrations.</w:t>
      </w:r>
    </w:p>
    <w:p w:rsidR="00E66B00" w:rsidRPr="00564C8A" w:rsidRDefault="00E66B00" w:rsidP="003F26BC">
      <w:pPr>
        <w:pStyle w:val="Heading2"/>
      </w:pPr>
      <w:r w:rsidRPr="00564C8A">
        <w:t>Metabolism</w:t>
      </w:r>
    </w:p>
    <w:p w:rsidR="00155F43" w:rsidRPr="00564C8A" w:rsidRDefault="00155F43" w:rsidP="003624FC">
      <w:pPr>
        <w:spacing w:after="240"/>
        <w:jc w:val="both"/>
      </w:pPr>
      <w:r w:rsidRPr="00564C8A">
        <w:t xml:space="preserve">Studies in humans and </w:t>
      </w:r>
      <w:r w:rsidRPr="00564C8A">
        <w:rPr>
          <w:iCs/>
        </w:rPr>
        <w:t>in vitro</w:t>
      </w:r>
      <w:r w:rsidRPr="00564C8A">
        <w:t xml:space="preserve"> studies using human liver </w:t>
      </w:r>
      <w:proofErr w:type="spellStart"/>
      <w:r w:rsidRPr="00564C8A">
        <w:t>microsomes</w:t>
      </w:r>
      <w:proofErr w:type="spellEnd"/>
      <w:r w:rsidRPr="00564C8A">
        <w:t xml:space="preserve"> and expressed enzymes have demonstrated that </w:t>
      </w:r>
      <w:proofErr w:type="spellStart"/>
      <w:r w:rsidRPr="00564C8A">
        <w:t>ma</w:t>
      </w:r>
      <w:r>
        <w:t>raviroc</w:t>
      </w:r>
      <w:proofErr w:type="spellEnd"/>
      <w:r>
        <w:t xml:space="preserve"> is principally metabolis</w:t>
      </w:r>
      <w:r w:rsidRPr="00564C8A">
        <w:t xml:space="preserve">ed by the </w:t>
      </w:r>
      <w:proofErr w:type="spellStart"/>
      <w:r w:rsidRPr="00564C8A">
        <w:t>cytochrome</w:t>
      </w:r>
      <w:proofErr w:type="spellEnd"/>
      <w:r w:rsidRPr="00564C8A">
        <w:t xml:space="preserve"> P450 system</w:t>
      </w:r>
      <w:r>
        <w:t>,</w:t>
      </w:r>
      <w:r w:rsidRPr="00564C8A">
        <w:t xml:space="preserve"> </w:t>
      </w:r>
      <w:r>
        <w:t xml:space="preserve">with </w:t>
      </w:r>
      <w:r w:rsidRPr="00564C8A">
        <w:t xml:space="preserve">CYP3A4 </w:t>
      </w:r>
      <w:r>
        <w:t xml:space="preserve">being </w:t>
      </w:r>
      <w:r w:rsidRPr="00564C8A">
        <w:t xml:space="preserve">the major </w:t>
      </w:r>
      <w:r>
        <w:t xml:space="preserve">metabolising </w:t>
      </w:r>
      <w:r w:rsidRPr="00564C8A">
        <w:t>enzyme</w:t>
      </w:r>
      <w:r>
        <w:t>.</w:t>
      </w:r>
      <w:r w:rsidRPr="00564C8A">
        <w:t xml:space="preserve"> In vitro studies indicate that polymorphic enzymes CYP2C9, CYP2D6 and CYP2C19 do not contribute significantly to the metabolism of </w:t>
      </w:r>
      <w:proofErr w:type="spellStart"/>
      <w:r w:rsidRPr="00564C8A">
        <w:t>maraviroc</w:t>
      </w:r>
      <w:proofErr w:type="spellEnd"/>
      <w:r w:rsidRPr="00564C8A">
        <w:t>.</w:t>
      </w:r>
    </w:p>
    <w:p w:rsidR="00FB60B3" w:rsidRPr="00CE0910" w:rsidRDefault="00155F43" w:rsidP="00FB60B3">
      <w:pPr>
        <w:spacing w:after="240"/>
        <w:jc w:val="both"/>
      </w:pPr>
      <w:proofErr w:type="spellStart"/>
      <w:r w:rsidRPr="00564C8A">
        <w:rPr>
          <w:lang w:val="en-US"/>
        </w:rPr>
        <w:t>Maraviroc</w:t>
      </w:r>
      <w:proofErr w:type="spellEnd"/>
      <w:r w:rsidRPr="00564C8A">
        <w:rPr>
          <w:lang w:val="en-US"/>
        </w:rPr>
        <w:t xml:space="preserve"> is the major circulating component (</w:t>
      </w:r>
      <w:r>
        <w:rPr>
          <w:lang w:val="en-US"/>
        </w:rPr>
        <w:t xml:space="preserve">accounting for </w:t>
      </w:r>
      <w:r w:rsidRPr="00564C8A">
        <w:t>approximately</w:t>
      </w:r>
      <w:r w:rsidRPr="00564C8A">
        <w:rPr>
          <w:lang w:val="en-US"/>
        </w:rPr>
        <w:t xml:space="preserve"> 42% </w:t>
      </w:r>
      <w:r>
        <w:rPr>
          <w:lang w:val="en-US"/>
        </w:rPr>
        <w:t xml:space="preserve">of </w:t>
      </w:r>
      <w:r w:rsidRPr="00564C8A">
        <w:rPr>
          <w:lang w:val="en-US"/>
        </w:rPr>
        <w:t xml:space="preserve">drug related radioactivity) following a single oral dose of 300 </w:t>
      </w:r>
      <w:proofErr w:type="gramStart"/>
      <w:r w:rsidRPr="00564C8A">
        <w:rPr>
          <w:lang w:val="en-US"/>
        </w:rPr>
        <w:t>mg[</w:t>
      </w:r>
      <w:proofErr w:type="gramEnd"/>
      <w:r w:rsidRPr="00564C8A">
        <w:rPr>
          <w:vertAlign w:val="superscript"/>
          <w:lang w:val="en-US"/>
        </w:rPr>
        <w:t>14</w:t>
      </w:r>
      <w:r w:rsidRPr="00564C8A">
        <w:rPr>
          <w:lang w:val="en-US"/>
        </w:rPr>
        <w:t>C]-</w:t>
      </w:r>
      <w:proofErr w:type="spellStart"/>
      <w:r w:rsidRPr="00564C8A">
        <w:rPr>
          <w:lang w:val="en-US"/>
        </w:rPr>
        <w:t>maravir</w:t>
      </w:r>
      <w:r>
        <w:rPr>
          <w:lang w:val="en-US"/>
        </w:rPr>
        <w:t>oc</w:t>
      </w:r>
      <w:proofErr w:type="spellEnd"/>
      <w:r>
        <w:rPr>
          <w:lang w:val="en-US"/>
        </w:rPr>
        <w:t>.</w:t>
      </w:r>
      <w:r w:rsidRPr="00564C8A">
        <w:rPr>
          <w:lang w:val="en-US"/>
        </w:rPr>
        <w:t xml:space="preserve"> </w:t>
      </w:r>
      <w:r w:rsidRPr="00564C8A">
        <w:rPr>
          <w:lang w:val="en-US"/>
        </w:rPr>
        <w:lastRenderedPageBreak/>
        <w:t>The most significant circulating metabolite in humans is a secondary amine (</w:t>
      </w:r>
      <w:r w:rsidRPr="00564C8A">
        <w:t>approximately</w:t>
      </w:r>
      <w:r w:rsidRPr="00564C8A">
        <w:rPr>
          <w:lang w:val="en-US"/>
        </w:rPr>
        <w:t xml:space="preserve"> 22% </w:t>
      </w:r>
      <w:r>
        <w:rPr>
          <w:lang w:val="en-US"/>
        </w:rPr>
        <w:t xml:space="preserve">of plasma </w:t>
      </w:r>
      <w:r w:rsidRPr="00564C8A">
        <w:rPr>
          <w:lang w:val="en-US"/>
        </w:rPr>
        <w:t>radioacti</w:t>
      </w:r>
      <w:r>
        <w:rPr>
          <w:lang w:val="en-US"/>
        </w:rPr>
        <w:t>vity) formed by N-</w:t>
      </w:r>
      <w:proofErr w:type="spellStart"/>
      <w:r>
        <w:rPr>
          <w:lang w:val="en-US"/>
        </w:rPr>
        <w:t>dealkylation</w:t>
      </w:r>
      <w:proofErr w:type="spellEnd"/>
      <w:r>
        <w:rPr>
          <w:lang w:val="en-US"/>
        </w:rPr>
        <w:t>.</w:t>
      </w:r>
      <w:r w:rsidRPr="00564C8A">
        <w:rPr>
          <w:lang w:val="en-US"/>
        </w:rPr>
        <w:t xml:space="preserve"> This polar metabolite has no signif</w:t>
      </w:r>
      <w:r>
        <w:rPr>
          <w:lang w:val="en-US"/>
        </w:rPr>
        <w:t>icant pharmacological activity.</w:t>
      </w:r>
      <w:r w:rsidRPr="00564C8A">
        <w:rPr>
          <w:lang w:val="en-US"/>
        </w:rPr>
        <w:t xml:space="preserve"> Other metabolites are products of mono-oxidation and are only minor components of plasma drug related </w:t>
      </w:r>
      <w:r w:rsidRPr="00CE0910">
        <w:rPr>
          <w:lang w:val="en-US"/>
        </w:rPr>
        <w:t>radioactivity.</w:t>
      </w:r>
    </w:p>
    <w:p w:rsidR="00E66B00" w:rsidRPr="00CE0910" w:rsidRDefault="00E66B00" w:rsidP="003F26BC">
      <w:pPr>
        <w:pStyle w:val="Heading2"/>
      </w:pPr>
      <w:r w:rsidRPr="00CE0910">
        <w:t>E</w:t>
      </w:r>
      <w:r w:rsidR="003A3B1A" w:rsidRPr="00CE0910">
        <w:t>xcretion</w:t>
      </w:r>
    </w:p>
    <w:p w:rsidR="00E66B00" w:rsidRPr="00564C8A" w:rsidRDefault="00E66B00" w:rsidP="003624FC">
      <w:pPr>
        <w:spacing w:after="240"/>
        <w:jc w:val="both"/>
      </w:pPr>
      <w:r w:rsidRPr="00CE0910">
        <w:t>A mass balance</w:t>
      </w:r>
      <w:r w:rsidRPr="00564C8A">
        <w:t>/excretion study was conducted using a single 300</w:t>
      </w:r>
      <w:r w:rsidR="000737E5">
        <w:t xml:space="preserve"> </w:t>
      </w:r>
      <w:r w:rsidRPr="00564C8A">
        <w:t xml:space="preserve">mg dose of </w:t>
      </w:r>
      <w:r w:rsidRPr="00564C8A">
        <w:rPr>
          <w:vertAlign w:val="superscript"/>
        </w:rPr>
        <w:t>14</w:t>
      </w:r>
      <w:r w:rsidRPr="00564C8A">
        <w:t xml:space="preserve">C-labeled </w:t>
      </w:r>
      <w:proofErr w:type="spellStart"/>
      <w:r w:rsidRPr="00564C8A">
        <w:t>maraviroc</w:t>
      </w:r>
      <w:proofErr w:type="spellEnd"/>
      <w:r w:rsidRPr="00564C8A">
        <w:t xml:space="preserve">. Approximately 20% of the radiolabel was recovered in the urine and 76% was recovered in the faeces over 168 hours. </w:t>
      </w:r>
      <w:proofErr w:type="spellStart"/>
      <w:r w:rsidRPr="00564C8A">
        <w:t>Maraviroc</w:t>
      </w:r>
      <w:proofErr w:type="spellEnd"/>
      <w:r w:rsidRPr="00564C8A">
        <w:t xml:space="preserve"> was the major component present in urine (mean of 8% dose) and faeces (mean of 2</w:t>
      </w:r>
      <w:r w:rsidR="006B3FCB">
        <w:t>5</w:t>
      </w:r>
      <w:r w:rsidRPr="00564C8A">
        <w:t xml:space="preserve">% dose). The </w:t>
      </w:r>
      <w:r w:rsidRPr="005501AD">
        <w:t>remainder was excreted as metabolites.</w:t>
      </w:r>
      <w:r w:rsidR="006B3FCB" w:rsidRPr="005501AD">
        <w:t xml:space="preserve"> After intravenous administration (30 mg), the half-life of </w:t>
      </w:r>
      <w:proofErr w:type="spellStart"/>
      <w:r w:rsidR="006B3FCB" w:rsidRPr="005501AD">
        <w:t>maraviroc</w:t>
      </w:r>
      <w:proofErr w:type="spellEnd"/>
      <w:r w:rsidR="006B3FCB" w:rsidRPr="005501AD">
        <w:t xml:space="preserve"> was 13.2 h</w:t>
      </w:r>
      <w:r w:rsidR="007E3779">
        <w:t>ours</w:t>
      </w:r>
      <w:r w:rsidR="006B3FCB" w:rsidRPr="005501AD">
        <w:t>, 22% of the dose was excreted unchanged in the urine and the values of total clearance and renal c</w:t>
      </w:r>
      <w:r w:rsidR="00EB11B7" w:rsidRPr="005501AD">
        <w:t>learance were 44.0 L/h</w:t>
      </w:r>
      <w:r w:rsidR="007E3779">
        <w:t>our</w:t>
      </w:r>
      <w:r w:rsidR="00EB11B7" w:rsidRPr="005501AD">
        <w:t xml:space="preserve"> and 10.2</w:t>
      </w:r>
      <w:r w:rsidR="006B3FCB" w:rsidRPr="005501AD">
        <w:t xml:space="preserve"> L/h</w:t>
      </w:r>
      <w:r w:rsidR="007E3779">
        <w:t>our</w:t>
      </w:r>
      <w:r w:rsidR="006B3FCB" w:rsidRPr="005501AD">
        <w:t xml:space="preserve"> respectively.</w:t>
      </w:r>
    </w:p>
    <w:p w:rsidR="00E66B00" w:rsidRPr="00564C8A" w:rsidRDefault="00790202" w:rsidP="00790202">
      <w:pPr>
        <w:pStyle w:val="Heading3"/>
      </w:pPr>
      <w:r>
        <w:t>Paediatric</w:t>
      </w:r>
    </w:p>
    <w:p w:rsidR="00E66B00" w:rsidRDefault="00E66B00" w:rsidP="003624FC">
      <w:pPr>
        <w:spacing w:after="240"/>
        <w:jc w:val="both"/>
      </w:pPr>
      <w:r w:rsidRPr="00564C8A">
        <w:t>T</w:t>
      </w:r>
      <w:r w:rsidRPr="00564C8A">
        <w:rPr>
          <w:iCs/>
          <w:szCs w:val="18"/>
        </w:rPr>
        <w:t xml:space="preserve">he pharmacokinetics of </w:t>
      </w:r>
      <w:r w:rsidRPr="00564C8A">
        <w:t xml:space="preserve">maraviroc </w:t>
      </w:r>
      <w:r w:rsidRPr="00564C8A">
        <w:rPr>
          <w:iCs/>
          <w:szCs w:val="18"/>
        </w:rPr>
        <w:t xml:space="preserve">in </w:t>
      </w:r>
      <w:r w:rsidR="007E3779">
        <w:rPr>
          <w:iCs/>
          <w:szCs w:val="18"/>
        </w:rPr>
        <w:t>children below 16 years of age</w:t>
      </w:r>
      <w:r w:rsidRPr="00564C8A">
        <w:rPr>
          <w:iCs/>
          <w:szCs w:val="18"/>
        </w:rPr>
        <w:t xml:space="preserve"> </w:t>
      </w:r>
      <w:proofErr w:type="gramStart"/>
      <w:r w:rsidRPr="00564C8A">
        <w:rPr>
          <w:iCs/>
          <w:szCs w:val="18"/>
        </w:rPr>
        <w:t>have</w:t>
      </w:r>
      <w:proofErr w:type="gramEnd"/>
      <w:r w:rsidRPr="00564C8A">
        <w:rPr>
          <w:iCs/>
          <w:szCs w:val="18"/>
        </w:rPr>
        <w:t xml:space="preserve"> not been established </w:t>
      </w:r>
      <w:r>
        <w:rPr>
          <w:iCs/>
          <w:szCs w:val="18"/>
        </w:rPr>
        <w:t xml:space="preserve">(see </w:t>
      </w:r>
      <w:r>
        <w:t>DOSAGE AND ADMINISTRATION and PRECAUTIONS).</w:t>
      </w:r>
    </w:p>
    <w:p w:rsidR="00E66B00" w:rsidRPr="00564C8A" w:rsidRDefault="00E70E9C" w:rsidP="00790202">
      <w:pPr>
        <w:pStyle w:val="Heading3"/>
      </w:pPr>
      <w:r>
        <w:t>Elderly</w:t>
      </w:r>
    </w:p>
    <w:p w:rsidR="00E66B00" w:rsidRPr="00E70E9C" w:rsidRDefault="00E66B00" w:rsidP="003624FC">
      <w:pPr>
        <w:spacing w:after="240"/>
        <w:jc w:val="both"/>
        <w:rPr>
          <w:iCs/>
          <w:szCs w:val="18"/>
          <w:highlight w:val="green"/>
        </w:rPr>
      </w:pPr>
      <w:r w:rsidRPr="005501AD">
        <w:t xml:space="preserve">The pharmacokinetics of maraviroc </w:t>
      </w:r>
      <w:proofErr w:type="gramStart"/>
      <w:r w:rsidRPr="005501AD">
        <w:t>have</w:t>
      </w:r>
      <w:proofErr w:type="gramEnd"/>
      <w:r w:rsidRPr="005501AD">
        <w:t xml:space="preserve"> not been formally studied in elderly patients over 65 years of age </w:t>
      </w:r>
      <w:r w:rsidRPr="005501AD">
        <w:rPr>
          <w:iCs/>
          <w:szCs w:val="18"/>
        </w:rPr>
        <w:t xml:space="preserve">(see </w:t>
      </w:r>
      <w:r w:rsidRPr="005501AD">
        <w:t>DOSAGE AND ADMINISTRATION and</w:t>
      </w:r>
      <w:r>
        <w:t xml:space="preserve"> PRECAUTIONS).</w:t>
      </w:r>
    </w:p>
    <w:p w:rsidR="00E66B00" w:rsidRPr="00564C8A" w:rsidRDefault="00790202" w:rsidP="00790202">
      <w:pPr>
        <w:pStyle w:val="Heading3"/>
      </w:pPr>
      <w:r>
        <w:t>Renal impairment</w:t>
      </w:r>
    </w:p>
    <w:p w:rsidR="00C80E07" w:rsidRDefault="00C80E07" w:rsidP="00345456">
      <w:pPr>
        <w:pStyle w:val="Paragraph"/>
        <w:jc w:val="both"/>
        <w:rPr>
          <w:color w:val="000000"/>
        </w:rPr>
      </w:pPr>
      <w:r w:rsidRPr="00C80E07">
        <w:rPr>
          <w:color w:val="000000"/>
        </w:rPr>
        <w:t xml:space="preserve">A study compared the pharmacokinetics of a single 300 mg dose of </w:t>
      </w:r>
      <w:r>
        <w:rPr>
          <w:color w:val="000000"/>
        </w:rPr>
        <w:t>CELSENTRI</w:t>
      </w:r>
      <w:r w:rsidRPr="00C80E07">
        <w:rPr>
          <w:color w:val="000000"/>
        </w:rPr>
        <w:t xml:space="preserve"> in </w:t>
      </w:r>
      <w:r w:rsidR="00306C28">
        <w:rPr>
          <w:color w:val="000000"/>
        </w:rPr>
        <w:t>patients</w:t>
      </w:r>
      <w:r w:rsidRPr="00C80E07">
        <w:rPr>
          <w:color w:val="000000"/>
        </w:rPr>
        <w:t xml:space="preserve"> with severe renal impairment (</w:t>
      </w:r>
      <w:proofErr w:type="spellStart"/>
      <w:r w:rsidR="007E3779">
        <w:rPr>
          <w:color w:val="000000"/>
        </w:rPr>
        <w:t>creatinine</w:t>
      </w:r>
      <w:proofErr w:type="spellEnd"/>
      <w:r w:rsidR="007E3779">
        <w:rPr>
          <w:color w:val="000000"/>
        </w:rPr>
        <w:t xml:space="preserve"> clearance</w:t>
      </w:r>
      <w:r w:rsidRPr="00C80E07">
        <w:rPr>
          <w:color w:val="000000"/>
        </w:rPr>
        <w:t xml:space="preserve"> &lt; 30 </w:t>
      </w:r>
      <w:proofErr w:type="spellStart"/>
      <w:r w:rsidRPr="00C80E07">
        <w:rPr>
          <w:color w:val="000000"/>
        </w:rPr>
        <w:t>mL</w:t>
      </w:r>
      <w:proofErr w:type="spellEnd"/>
      <w:r w:rsidRPr="00C80E07">
        <w:rPr>
          <w:color w:val="000000"/>
        </w:rPr>
        <w:t xml:space="preserve">/min, n=6) and end-stage renal disease (ESRD) (n=6) to healthy volunteers (n=6). Geometric mean ratios for </w:t>
      </w:r>
      <w:proofErr w:type="spellStart"/>
      <w:r w:rsidRPr="00C80E07">
        <w:rPr>
          <w:color w:val="000000"/>
        </w:rPr>
        <w:t>maraviroc</w:t>
      </w:r>
      <w:proofErr w:type="spellEnd"/>
      <w:r w:rsidRPr="00C80E07">
        <w:rPr>
          <w:color w:val="000000"/>
        </w:rPr>
        <w:t xml:space="preserve"> </w:t>
      </w:r>
      <w:proofErr w:type="spellStart"/>
      <w:r w:rsidRPr="00C80E07">
        <w:rPr>
          <w:color w:val="000000"/>
        </w:rPr>
        <w:t>C</w:t>
      </w:r>
      <w:r w:rsidRPr="00C80E07">
        <w:rPr>
          <w:color w:val="000000"/>
          <w:vertAlign w:val="subscript"/>
        </w:rPr>
        <w:t>max</w:t>
      </w:r>
      <w:proofErr w:type="spellEnd"/>
      <w:r w:rsidRPr="00C80E07">
        <w:rPr>
          <w:color w:val="000000"/>
        </w:rPr>
        <w:t xml:space="preserve"> and </w:t>
      </w:r>
      <w:proofErr w:type="spellStart"/>
      <w:r w:rsidRPr="00C80E07">
        <w:rPr>
          <w:color w:val="000000"/>
        </w:rPr>
        <w:t>AUC</w:t>
      </w:r>
      <w:r w:rsidRPr="00C80E07">
        <w:rPr>
          <w:color w:val="000000"/>
          <w:vertAlign w:val="subscript"/>
        </w:rPr>
        <w:t>inf</w:t>
      </w:r>
      <w:proofErr w:type="spellEnd"/>
      <w:r w:rsidRPr="00C80E07">
        <w:rPr>
          <w:color w:val="000000"/>
        </w:rPr>
        <w:t xml:space="preserve"> were 2.4-fold and 3.2-fold higher respectively for </w:t>
      </w:r>
      <w:r w:rsidR="00306C28">
        <w:rPr>
          <w:color w:val="000000"/>
        </w:rPr>
        <w:t>patients</w:t>
      </w:r>
      <w:r w:rsidRPr="00C80E07">
        <w:rPr>
          <w:color w:val="000000"/>
        </w:rPr>
        <w:t xml:space="preserve"> with severe renal impairment, and 1.7-fold and 2.0-fold higher respectively for </w:t>
      </w:r>
      <w:r w:rsidR="00306C28">
        <w:rPr>
          <w:color w:val="000000"/>
        </w:rPr>
        <w:t>patients</w:t>
      </w:r>
      <w:r w:rsidRPr="00C80E07">
        <w:rPr>
          <w:color w:val="000000"/>
        </w:rPr>
        <w:t xml:space="preserve"> with ESRD as compared to </w:t>
      </w:r>
      <w:r w:rsidR="00306C28">
        <w:rPr>
          <w:color w:val="000000"/>
        </w:rPr>
        <w:t>patients</w:t>
      </w:r>
      <w:r w:rsidRPr="00C80E07">
        <w:rPr>
          <w:color w:val="000000"/>
        </w:rPr>
        <w:t xml:space="preserve"> with normal renal function in this study. </w:t>
      </w:r>
      <w:proofErr w:type="spellStart"/>
      <w:r w:rsidRPr="00C80E07">
        <w:rPr>
          <w:color w:val="000000"/>
        </w:rPr>
        <w:t>H</w:t>
      </w:r>
      <w:r w:rsidR="002B0D9C">
        <w:rPr>
          <w:color w:val="000000"/>
        </w:rPr>
        <w:t>a</w:t>
      </w:r>
      <w:r w:rsidRPr="00C80E07">
        <w:rPr>
          <w:color w:val="000000"/>
        </w:rPr>
        <w:t>emodialysis</w:t>
      </w:r>
      <w:proofErr w:type="spellEnd"/>
      <w:r w:rsidRPr="00C80E07">
        <w:rPr>
          <w:color w:val="000000"/>
        </w:rPr>
        <w:t xml:space="preserve"> had a minimal effect on </w:t>
      </w:r>
      <w:proofErr w:type="spellStart"/>
      <w:r w:rsidRPr="00C80E07">
        <w:rPr>
          <w:color w:val="000000"/>
        </w:rPr>
        <w:t>maraviroc</w:t>
      </w:r>
      <w:proofErr w:type="spellEnd"/>
      <w:r w:rsidRPr="00C80E07">
        <w:rPr>
          <w:color w:val="000000"/>
        </w:rPr>
        <w:t xml:space="preserve"> clearance and exposure in </w:t>
      </w:r>
      <w:r w:rsidR="00306C28">
        <w:rPr>
          <w:color w:val="000000"/>
        </w:rPr>
        <w:t>patients</w:t>
      </w:r>
      <w:r w:rsidRPr="00C80E07">
        <w:rPr>
          <w:color w:val="000000"/>
        </w:rPr>
        <w:t xml:space="preserve"> with ESRD. Exposures observed in </w:t>
      </w:r>
      <w:r w:rsidR="00306C28">
        <w:rPr>
          <w:color w:val="000000"/>
        </w:rPr>
        <w:t>patients</w:t>
      </w:r>
      <w:r w:rsidRPr="00C80E07">
        <w:rPr>
          <w:color w:val="000000"/>
        </w:rPr>
        <w:t xml:space="preserve"> with severe renal impairment and ESRD were within the range observed in previous </w:t>
      </w:r>
      <w:r w:rsidR="002B0D9C">
        <w:rPr>
          <w:color w:val="000000"/>
        </w:rPr>
        <w:t>CELSENTRI</w:t>
      </w:r>
      <w:r w:rsidRPr="00C80E07">
        <w:rPr>
          <w:color w:val="000000"/>
        </w:rPr>
        <w:t xml:space="preserve"> 300 mg single-dose studies in healthy volunteers with normal renal function. However, </w:t>
      </w:r>
      <w:proofErr w:type="spellStart"/>
      <w:r w:rsidRPr="00C80E07">
        <w:rPr>
          <w:color w:val="000000"/>
        </w:rPr>
        <w:t>maraviroc</w:t>
      </w:r>
      <w:proofErr w:type="spellEnd"/>
      <w:r w:rsidRPr="00C80E07">
        <w:rPr>
          <w:color w:val="000000"/>
        </w:rPr>
        <w:t xml:space="preserve"> exposures in the </w:t>
      </w:r>
      <w:r w:rsidR="00306C28">
        <w:rPr>
          <w:color w:val="000000"/>
        </w:rPr>
        <w:t>patients</w:t>
      </w:r>
      <w:r w:rsidRPr="00C80E07">
        <w:rPr>
          <w:color w:val="000000"/>
        </w:rPr>
        <w:t xml:space="preserve"> with normal renal function in this study were 50% lower than that observed in previous studies. Based on the results of this study, no dose adjustment is recommended for patients with renal impairment receiving </w:t>
      </w:r>
      <w:r w:rsidR="002B0D9C">
        <w:rPr>
          <w:color w:val="000000"/>
        </w:rPr>
        <w:t>CELSENTRI</w:t>
      </w:r>
      <w:r w:rsidRPr="00C80E07">
        <w:rPr>
          <w:color w:val="000000"/>
        </w:rPr>
        <w:t xml:space="preserve"> without a potent CYP3A inhibitor or inducer. However, if patients with severe renal impairment or ESRD experience any symptoms of postural hypotension while taking </w:t>
      </w:r>
      <w:r w:rsidR="002B0D9C">
        <w:rPr>
          <w:color w:val="000000"/>
        </w:rPr>
        <w:t>CELSENTRI</w:t>
      </w:r>
      <w:r w:rsidRPr="00C80E07">
        <w:rPr>
          <w:color w:val="000000"/>
        </w:rPr>
        <w:t xml:space="preserve"> 300 mg twice daily, their dose should be reduced to 150 mg twice daily [see </w:t>
      </w:r>
      <w:r w:rsidR="002B0D9C">
        <w:rPr>
          <w:i/>
          <w:iCs/>
          <w:color w:val="000000"/>
        </w:rPr>
        <w:t>PRECAUTIONS, Renal Impairment and DOSAGE AND ADMINISTRATION</w:t>
      </w:r>
      <w:r w:rsidRPr="00C80E07">
        <w:rPr>
          <w:color w:val="000000"/>
        </w:rPr>
        <w:t>].</w:t>
      </w:r>
    </w:p>
    <w:p w:rsidR="002B0D9C" w:rsidRPr="002B0D9C" w:rsidRDefault="002B0D9C" w:rsidP="00345456">
      <w:pPr>
        <w:pStyle w:val="Paragraph"/>
        <w:jc w:val="both"/>
      </w:pPr>
      <w:r w:rsidRPr="002B0D9C">
        <w:rPr>
          <w:color w:val="000000"/>
        </w:rPr>
        <w:lastRenderedPageBreak/>
        <w:t xml:space="preserve">In addition, the study compared the pharmacokinetics of multiple dose </w:t>
      </w:r>
      <w:r>
        <w:rPr>
          <w:color w:val="000000"/>
        </w:rPr>
        <w:t>CELSENTRI</w:t>
      </w:r>
      <w:r w:rsidRPr="002B0D9C">
        <w:rPr>
          <w:color w:val="000000"/>
        </w:rPr>
        <w:t xml:space="preserve"> in combination with </w:t>
      </w:r>
      <w:proofErr w:type="spellStart"/>
      <w:r w:rsidRPr="002B0D9C">
        <w:rPr>
          <w:color w:val="000000"/>
        </w:rPr>
        <w:t>saquinavir</w:t>
      </w:r>
      <w:proofErr w:type="spellEnd"/>
      <w:r w:rsidRPr="002B0D9C">
        <w:rPr>
          <w:color w:val="000000"/>
        </w:rPr>
        <w:t>/</w:t>
      </w:r>
      <w:proofErr w:type="spellStart"/>
      <w:r w:rsidRPr="002B0D9C">
        <w:rPr>
          <w:color w:val="000000"/>
        </w:rPr>
        <w:t>ritonavir</w:t>
      </w:r>
      <w:proofErr w:type="spellEnd"/>
      <w:r w:rsidRPr="002B0D9C">
        <w:rPr>
          <w:color w:val="000000"/>
        </w:rPr>
        <w:t xml:space="preserve"> 1000/100 mg twice daily (a potent CYP3A inhibitor combination) for </w:t>
      </w:r>
      <w:r w:rsidR="007E3779">
        <w:rPr>
          <w:color w:val="000000"/>
        </w:rPr>
        <w:t>seven</w:t>
      </w:r>
      <w:r w:rsidRPr="002B0D9C">
        <w:rPr>
          <w:color w:val="000000"/>
        </w:rPr>
        <w:t xml:space="preserve"> days in </w:t>
      </w:r>
      <w:r w:rsidR="00306C28">
        <w:rPr>
          <w:color w:val="000000"/>
        </w:rPr>
        <w:t>patients</w:t>
      </w:r>
      <w:r w:rsidRPr="002B0D9C">
        <w:rPr>
          <w:color w:val="000000"/>
        </w:rPr>
        <w:t xml:space="preserve"> with mild renal impairment (</w:t>
      </w:r>
      <w:proofErr w:type="spellStart"/>
      <w:r w:rsidR="007E3779">
        <w:rPr>
          <w:color w:val="000000"/>
        </w:rPr>
        <w:t>creatinine</w:t>
      </w:r>
      <w:proofErr w:type="spellEnd"/>
      <w:r w:rsidR="007E3779">
        <w:rPr>
          <w:color w:val="000000"/>
        </w:rPr>
        <w:t xml:space="preserve"> clearance</w:t>
      </w:r>
      <w:r w:rsidRPr="002B0D9C">
        <w:rPr>
          <w:color w:val="000000"/>
        </w:rPr>
        <w:t xml:space="preserve"> &gt;50 and ≤80 </w:t>
      </w:r>
      <w:proofErr w:type="spellStart"/>
      <w:r w:rsidRPr="002B0D9C">
        <w:rPr>
          <w:color w:val="000000"/>
        </w:rPr>
        <w:t>mL</w:t>
      </w:r>
      <w:proofErr w:type="spellEnd"/>
      <w:r w:rsidRPr="002B0D9C">
        <w:rPr>
          <w:color w:val="000000"/>
        </w:rPr>
        <w:t>/min, n=6) and moderate renal impairment (</w:t>
      </w:r>
      <w:proofErr w:type="spellStart"/>
      <w:r w:rsidR="007E3779">
        <w:rPr>
          <w:color w:val="000000"/>
        </w:rPr>
        <w:t>creatinine</w:t>
      </w:r>
      <w:proofErr w:type="spellEnd"/>
      <w:r w:rsidR="007E3779">
        <w:rPr>
          <w:color w:val="000000"/>
        </w:rPr>
        <w:t xml:space="preserve"> clearance</w:t>
      </w:r>
      <w:r w:rsidRPr="002B0D9C">
        <w:rPr>
          <w:color w:val="000000"/>
        </w:rPr>
        <w:t xml:space="preserve"> ≥30 and ≤50 </w:t>
      </w:r>
      <w:proofErr w:type="spellStart"/>
      <w:r w:rsidRPr="002B0D9C">
        <w:rPr>
          <w:color w:val="000000"/>
        </w:rPr>
        <w:t>mL</w:t>
      </w:r>
      <w:proofErr w:type="spellEnd"/>
      <w:r w:rsidRPr="002B0D9C">
        <w:rPr>
          <w:color w:val="000000"/>
        </w:rPr>
        <w:t xml:space="preserve">/min, n=6) to healthy volunteers with normal renal function (n=6). </w:t>
      </w:r>
      <w:r w:rsidR="00306C28">
        <w:rPr>
          <w:color w:val="000000"/>
        </w:rPr>
        <w:t>Patients</w:t>
      </w:r>
      <w:r w:rsidRPr="002B0D9C">
        <w:rPr>
          <w:color w:val="000000"/>
        </w:rPr>
        <w:t xml:space="preserve"> received 150 mg of </w:t>
      </w:r>
      <w:r>
        <w:rPr>
          <w:color w:val="000000"/>
        </w:rPr>
        <w:t>CELSENTRI</w:t>
      </w:r>
      <w:r w:rsidRPr="002B0D9C">
        <w:rPr>
          <w:color w:val="000000"/>
        </w:rPr>
        <w:t xml:space="preserve"> at different dose frequencies (healthy volunteers – every 12 hours; mild renal impairment – every 24 hours; moderate renal impairment – every 48 hours). Compared to healthy volunteers (dosed every 12 hours), geometric mean ratios for </w:t>
      </w:r>
      <w:proofErr w:type="spellStart"/>
      <w:r w:rsidRPr="002B0D9C">
        <w:rPr>
          <w:color w:val="000000"/>
        </w:rPr>
        <w:t>maraviroc</w:t>
      </w:r>
      <w:proofErr w:type="spellEnd"/>
      <w:r w:rsidRPr="002B0D9C">
        <w:rPr>
          <w:color w:val="000000"/>
        </w:rPr>
        <w:t xml:space="preserve"> </w:t>
      </w:r>
      <w:proofErr w:type="spellStart"/>
      <w:r w:rsidRPr="002B0D9C">
        <w:rPr>
          <w:color w:val="000000"/>
        </w:rPr>
        <w:t>AUC</w:t>
      </w:r>
      <w:r w:rsidRPr="002B0D9C">
        <w:rPr>
          <w:color w:val="000000"/>
          <w:vertAlign w:val="subscript"/>
        </w:rPr>
        <w:t>tau</w:t>
      </w:r>
      <w:proofErr w:type="spellEnd"/>
      <w:r w:rsidRPr="002B0D9C">
        <w:rPr>
          <w:color w:val="000000"/>
        </w:rPr>
        <w:t xml:space="preserve">, </w:t>
      </w:r>
      <w:proofErr w:type="spellStart"/>
      <w:r w:rsidRPr="002B0D9C">
        <w:rPr>
          <w:color w:val="000000"/>
        </w:rPr>
        <w:t>C</w:t>
      </w:r>
      <w:r w:rsidRPr="002B0D9C">
        <w:rPr>
          <w:color w:val="000000"/>
          <w:vertAlign w:val="subscript"/>
        </w:rPr>
        <w:t>max</w:t>
      </w:r>
      <w:proofErr w:type="spellEnd"/>
      <w:r w:rsidRPr="002B0D9C">
        <w:rPr>
          <w:color w:val="000000"/>
        </w:rPr>
        <w:t xml:space="preserve"> and </w:t>
      </w:r>
      <w:proofErr w:type="spellStart"/>
      <w:r w:rsidRPr="002B0D9C">
        <w:rPr>
          <w:color w:val="000000"/>
        </w:rPr>
        <w:t>C</w:t>
      </w:r>
      <w:r w:rsidRPr="002B0D9C">
        <w:rPr>
          <w:color w:val="000000"/>
          <w:vertAlign w:val="subscript"/>
        </w:rPr>
        <w:t>min</w:t>
      </w:r>
      <w:proofErr w:type="spellEnd"/>
      <w:r w:rsidRPr="002B0D9C">
        <w:rPr>
          <w:color w:val="000000"/>
        </w:rPr>
        <w:t xml:space="preserve"> were 50% higher, 20% higher and 43% lower, respectively for </w:t>
      </w:r>
      <w:r w:rsidR="00306C28">
        <w:rPr>
          <w:color w:val="000000"/>
        </w:rPr>
        <w:t>patients</w:t>
      </w:r>
      <w:r w:rsidRPr="002B0D9C">
        <w:rPr>
          <w:color w:val="000000"/>
        </w:rPr>
        <w:t xml:space="preserve"> with mild renal impairment (dosed every 24 hours). Geometric mean ratios for </w:t>
      </w:r>
      <w:proofErr w:type="spellStart"/>
      <w:r w:rsidRPr="002B0D9C">
        <w:rPr>
          <w:color w:val="000000"/>
        </w:rPr>
        <w:t>maraviroc</w:t>
      </w:r>
      <w:proofErr w:type="spellEnd"/>
      <w:r w:rsidRPr="002B0D9C">
        <w:rPr>
          <w:color w:val="000000"/>
        </w:rPr>
        <w:t xml:space="preserve"> </w:t>
      </w:r>
      <w:proofErr w:type="spellStart"/>
      <w:r w:rsidRPr="002B0D9C">
        <w:rPr>
          <w:color w:val="000000"/>
        </w:rPr>
        <w:t>AUC</w:t>
      </w:r>
      <w:r w:rsidRPr="002B0D9C">
        <w:rPr>
          <w:color w:val="000000"/>
          <w:vertAlign w:val="subscript"/>
        </w:rPr>
        <w:t>tau</w:t>
      </w:r>
      <w:proofErr w:type="spellEnd"/>
      <w:r w:rsidRPr="002B0D9C">
        <w:rPr>
          <w:color w:val="000000"/>
        </w:rPr>
        <w:t xml:space="preserve">, </w:t>
      </w:r>
      <w:proofErr w:type="spellStart"/>
      <w:r w:rsidRPr="002B0D9C">
        <w:rPr>
          <w:color w:val="000000"/>
        </w:rPr>
        <w:t>C</w:t>
      </w:r>
      <w:r w:rsidRPr="002B0D9C">
        <w:rPr>
          <w:color w:val="000000"/>
          <w:vertAlign w:val="subscript"/>
        </w:rPr>
        <w:t>max</w:t>
      </w:r>
      <w:proofErr w:type="spellEnd"/>
      <w:r w:rsidRPr="002B0D9C">
        <w:rPr>
          <w:color w:val="000000"/>
        </w:rPr>
        <w:t xml:space="preserve"> and </w:t>
      </w:r>
      <w:proofErr w:type="spellStart"/>
      <w:r w:rsidRPr="002B0D9C">
        <w:rPr>
          <w:color w:val="000000"/>
        </w:rPr>
        <w:t>C</w:t>
      </w:r>
      <w:r w:rsidRPr="002B0D9C">
        <w:rPr>
          <w:color w:val="000000"/>
          <w:vertAlign w:val="subscript"/>
        </w:rPr>
        <w:t>min</w:t>
      </w:r>
      <w:proofErr w:type="spellEnd"/>
      <w:r w:rsidRPr="002B0D9C">
        <w:rPr>
          <w:color w:val="000000"/>
        </w:rPr>
        <w:t xml:space="preserve"> were 16% higher, 29% lower and 85% lower, respectively for </w:t>
      </w:r>
      <w:r w:rsidR="00306C28">
        <w:rPr>
          <w:color w:val="000000"/>
        </w:rPr>
        <w:t>patients</w:t>
      </w:r>
      <w:r w:rsidRPr="002B0D9C">
        <w:rPr>
          <w:color w:val="000000"/>
        </w:rPr>
        <w:t xml:space="preserve"> with moderate renal impairment (dosed every 48 hours) compared to healthy volunteers (dosed every 12 hours). Based on the data from this study, no adjustment in dose is recommended for patients with mild or moderate renal impairment </w:t>
      </w:r>
      <w:r>
        <w:rPr>
          <w:color w:val="000000"/>
        </w:rPr>
        <w:t>(see DOSAGE AND ADMINISTRATION)</w:t>
      </w:r>
      <w:r w:rsidRPr="002B0D9C">
        <w:rPr>
          <w:color w:val="000000"/>
        </w:rPr>
        <w:t>.</w:t>
      </w:r>
    </w:p>
    <w:p w:rsidR="00E66B00" w:rsidRPr="00564C8A" w:rsidRDefault="00E70E9C" w:rsidP="00F52F95">
      <w:pPr>
        <w:pStyle w:val="Heading3"/>
      </w:pPr>
      <w:r>
        <w:t>Hepatic impairment</w:t>
      </w:r>
    </w:p>
    <w:p w:rsidR="00E66B00" w:rsidRPr="005501AD" w:rsidRDefault="0098180F" w:rsidP="00FC790D">
      <w:pPr>
        <w:autoSpaceDE w:val="0"/>
        <w:autoSpaceDN w:val="0"/>
        <w:adjustRightInd w:val="0"/>
        <w:spacing w:after="240"/>
        <w:jc w:val="both"/>
      </w:pPr>
      <w:r>
        <w:t>CELSENTRI</w:t>
      </w:r>
      <w:r w:rsidR="00420895" w:rsidRPr="005501AD">
        <w:t xml:space="preserve"> is primarily metabolized and eliminated by the liver. A study compared the pharmacokinetics of a single 300 mg dose of maraviroc in patients with mild (Child-Pugh Class A, n=8), and moderate (Child-Pugh Class B, n=8) hepatic impairment compared to healthy </w:t>
      </w:r>
      <w:r w:rsidR="00306C28">
        <w:t>individuals</w:t>
      </w:r>
      <w:r w:rsidR="00420895" w:rsidRPr="005501AD">
        <w:t xml:space="preserve"> (n=8). Geometric mean ratios for </w:t>
      </w:r>
      <w:proofErr w:type="spellStart"/>
      <w:r w:rsidR="00420895" w:rsidRPr="005501AD">
        <w:t>C</w:t>
      </w:r>
      <w:r w:rsidR="00420895" w:rsidRPr="005501AD">
        <w:rPr>
          <w:vertAlign w:val="subscript"/>
        </w:rPr>
        <w:t>max</w:t>
      </w:r>
      <w:proofErr w:type="spellEnd"/>
      <w:r w:rsidR="00420895" w:rsidRPr="005501AD">
        <w:t xml:space="preserve"> and </w:t>
      </w:r>
      <w:proofErr w:type="spellStart"/>
      <w:r w:rsidR="00420895" w:rsidRPr="005501AD">
        <w:t>AUC</w:t>
      </w:r>
      <w:r w:rsidR="00420895" w:rsidRPr="005501AD">
        <w:rPr>
          <w:vertAlign w:val="subscript"/>
        </w:rPr>
        <w:t>last</w:t>
      </w:r>
      <w:proofErr w:type="spellEnd"/>
      <w:r w:rsidR="00420895" w:rsidRPr="005501AD">
        <w:t xml:space="preserve"> were 11% and 25% higher respectively for </w:t>
      </w:r>
      <w:r w:rsidR="00306C28">
        <w:t>patients</w:t>
      </w:r>
      <w:r w:rsidR="00420895" w:rsidRPr="005501AD">
        <w:t xml:space="preserve"> with mild hepatic impairment, and 32% and 46% higher respectively for </w:t>
      </w:r>
      <w:r w:rsidR="00306C28">
        <w:t>patients</w:t>
      </w:r>
      <w:r w:rsidR="00420895" w:rsidRPr="005501AD">
        <w:t xml:space="preserve"> with moderate hepatic impairment compared to </w:t>
      </w:r>
      <w:r w:rsidR="00306C28">
        <w:t>individuals</w:t>
      </w:r>
      <w:r w:rsidR="00420895" w:rsidRPr="005501AD">
        <w:t xml:space="preserve"> with normal hepatic function.</w:t>
      </w:r>
      <w:r w:rsidR="00EB11B7" w:rsidRPr="005501AD">
        <w:t xml:space="preserve"> </w:t>
      </w:r>
      <w:r w:rsidR="00EB11B7" w:rsidRPr="005501AD">
        <w:rPr>
          <w:rFonts w:eastAsia="Times New Roman"/>
          <w:lang w:eastAsia="en-AU"/>
        </w:rPr>
        <w:t xml:space="preserve">The effects of moderate </w:t>
      </w:r>
      <w:r w:rsidR="00190478" w:rsidRPr="005501AD">
        <w:rPr>
          <w:rFonts w:eastAsia="Times New Roman"/>
          <w:lang w:eastAsia="en-AU"/>
        </w:rPr>
        <w:t xml:space="preserve">hepatic </w:t>
      </w:r>
      <w:r w:rsidR="00EB11B7" w:rsidRPr="005501AD">
        <w:rPr>
          <w:rFonts w:eastAsia="Times New Roman"/>
          <w:lang w:eastAsia="en-AU"/>
        </w:rPr>
        <w:t xml:space="preserve">impairment may be underestimated due to limited data in patients with decreased metabolic capacity and higher renal clearance in these </w:t>
      </w:r>
      <w:r w:rsidR="00306C28">
        <w:rPr>
          <w:rFonts w:eastAsia="Times New Roman"/>
          <w:lang w:eastAsia="en-AU"/>
        </w:rPr>
        <w:t>patients</w:t>
      </w:r>
      <w:r w:rsidR="00EB11B7" w:rsidRPr="005501AD">
        <w:rPr>
          <w:rFonts w:eastAsia="Times New Roman"/>
          <w:lang w:eastAsia="en-AU"/>
        </w:rPr>
        <w:t>. The results should therefore be interpreted with caution.</w:t>
      </w:r>
      <w:r w:rsidR="00420895" w:rsidRPr="005501AD">
        <w:t xml:space="preserve"> The pharmacokinetics of maraviroc </w:t>
      </w:r>
      <w:proofErr w:type="gramStart"/>
      <w:r w:rsidR="00EF519E" w:rsidRPr="005501AD">
        <w:t>have</w:t>
      </w:r>
      <w:proofErr w:type="gramEnd"/>
      <w:r w:rsidR="00420895" w:rsidRPr="005501AD">
        <w:t xml:space="preserve"> not been studied in </w:t>
      </w:r>
      <w:r w:rsidR="00306C28">
        <w:t>patients</w:t>
      </w:r>
      <w:r w:rsidR="00420895" w:rsidRPr="005501AD">
        <w:t xml:space="preserve"> with severe hepatic impairment</w:t>
      </w:r>
      <w:r w:rsidR="00E66B00" w:rsidRPr="005501AD">
        <w:rPr>
          <w:bCs/>
        </w:rPr>
        <w:t xml:space="preserve"> </w:t>
      </w:r>
      <w:r w:rsidR="00E66B00" w:rsidRPr="005501AD">
        <w:rPr>
          <w:iCs/>
          <w:szCs w:val="18"/>
        </w:rPr>
        <w:t xml:space="preserve">(see </w:t>
      </w:r>
      <w:r w:rsidR="00E66B00" w:rsidRPr="005501AD">
        <w:t>DOSAGE AND ADMINISTRATION and PRECAUTIONS).</w:t>
      </w:r>
    </w:p>
    <w:p w:rsidR="00E66B00" w:rsidRPr="00564C8A" w:rsidRDefault="00E70E9C" w:rsidP="00F52F95">
      <w:pPr>
        <w:pStyle w:val="Heading3"/>
      </w:pPr>
      <w:r>
        <w:t>Race</w:t>
      </w:r>
    </w:p>
    <w:p w:rsidR="00E66B00" w:rsidRPr="00E70E9C" w:rsidRDefault="00E66B00" w:rsidP="003624FC">
      <w:pPr>
        <w:spacing w:after="240"/>
        <w:jc w:val="both"/>
        <w:rPr>
          <w:bCs/>
        </w:rPr>
      </w:pPr>
      <w:r w:rsidRPr="00564C8A">
        <w:rPr>
          <w:bCs/>
        </w:rPr>
        <w:t>No dosage adjustment is necessary on the basis of race.</w:t>
      </w:r>
    </w:p>
    <w:p w:rsidR="00E66B00" w:rsidRPr="00B215CF" w:rsidRDefault="00E66B00" w:rsidP="00F52F95">
      <w:pPr>
        <w:pStyle w:val="Heading3"/>
      </w:pPr>
      <w:r w:rsidRPr="00564C8A">
        <w:t>Gender</w:t>
      </w:r>
    </w:p>
    <w:p w:rsidR="00E66B00" w:rsidRPr="00E70E9C" w:rsidRDefault="00E66B00" w:rsidP="003624FC">
      <w:pPr>
        <w:spacing w:after="240"/>
        <w:jc w:val="both"/>
        <w:rPr>
          <w:iCs/>
        </w:rPr>
      </w:pPr>
      <w:r w:rsidRPr="00564C8A">
        <w:rPr>
          <w:iCs/>
        </w:rPr>
        <w:t>No dosage adjustment is necessary on the basis of gender.</w:t>
      </w:r>
    </w:p>
    <w:p w:rsidR="00E66B00" w:rsidRPr="00564C8A" w:rsidRDefault="00E66B00" w:rsidP="004D6F00">
      <w:pPr>
        <w:pStyle w:val="Heading1"/>
      </w:pPr>
      <w:r w:rsidRPr="00564C8A">
        <w:t>CLINICAL TRIALS</w:t>
      </w:r>
    </w:p>
    <w:p w:rsidR="008852B7" w:rsidRPr="007131FA" w:rsidRDefault="008852B7" w:rsidP="003624FC">
      <w:pPr>
        <w:spacing w:after="240"/>
        <w:jc w:val="both"/>
        <w:rPr>
          <w:szCs w:val="22"/>
        </w:rPr>
      </w:pPr>
      <w:r w:rsidRPr="003327B7">
        <w:rPr>
          <w:szCs w:val="22"/>
        </w:rPr>
        <w:t xml:space="preserve">The clinical efficacy and safety of CELSENTRI is derived from analyses of data from three ongoing studies in adult </w:t>
      </w:r>
      <w:r w:rsidR="00551A77">
        <w:rPr>
          <w:szCs w:val="22"/>
        </w:rPr>
        <w:t>patients</w:t>
      </w:r>
      <w:r w:rsidRPr="003327B7">
        <w:rPr>
          <w:szCs w:val="22"/>
        </w:rPr>
        <w:t xml:space="preserve"> infected with CCR5-tropic HIV-1: MOTIVATE-1 A4001027 and MOTIVATE-2 A4001028, in antiretroviral treatment-experienced adult </w:t>
      </w:r>
      <w:r w:rsidR="00551A77">
        <w:rPr>
          <w:szCs w:val="22"/>
        </w:rPr>
        <w:t>patients</w:t>
      </w:r>
      <w:r w:rsidRPr="003327B7">
        <w:rPr>
          <w:szCs w:val="22"/>
        </w:rPr>
        <w:t xml:space="preserve"> and MERIT A4001026 in treatment-naive </w:t>
      </w:r>
      <w:r w:rsidR="00551A77">
        <w:rPr>
          <w:szCs w:val="22"/>
        </w:rPr>
        <w:t>patients</w:t>
      </w:r>
      <w:r w:rsidRPr="003327B7">
        <w:rPr>
          <w:szCs w:val="22"/>
        </w:rPr>
        <w:t xml:space="preserve">. These studies are supported by a 48-week study in antiretroviral treatment-experienced adult </w:t>
      </w:r>
      <w:r w:rsidR="00551A77">
        <w:rPr>
          <w:szCs w:val="22"/>
        </w:rPr>
        <w:t>patients</w:t>
      </w:r>
      <w:r w:rsidRPr="003327B7">
        <w:rPr>
          <w:szCs w:val="22"/>
        </w:rPr>
        <w:t xml:space="preserve"> infected with dual/mixed tropic HIV-1, A4001029.</w:t>
      </w:r>
    </w:p>
    <w:p w:rsidR="00E66B00" w:rsidRPr="00564C8A" w:rsidRDefault="00E66B00" w:rsidP="003F26BC">
      <w:pPr>
        <w:pStyle w:val="Heading2"/>
      </w:pPr>
      <w:r w:rsidRPr="00564C8A">
        <w:lastRenderedPageBreak/>
        <w:t xml:space="preserve">Studies in CCR5-tropic Treatment-Experienced Patients: </w:t>
      </w:r>
    </w:p>
    <w:p w:rsidR="009A4790" w:rsidRPr="00F52F95" w:rsidRDefault="009A4790" w:rsidP="002E31AD">
      <w:pPr>
        <w:spacing w:after="240"/>
        <w:jc w:val="both"/>
        <w:rPr>
          <w:lang w:eastAsia="en-AU"/>
        </w:rPr>
      </w:pPr>
      <w:r w:rsidRPr="00564C8A">
        <w:rPr>
          <w:szCs w:val="22"/>
        </w:rPr>
        <w:t>The clinical efficacy of CELSENTRI (in combination with other antiretroviral medicinal products) on plasma HIV RNA lev</w:t>
      </w:r>
      <w:r>
        <w:rPr>
          <w:szCs w:val="22"/>
        </w:rPr>
        <w:t xml:space="preserve">els and CD4+ cell counts </w:t>
      </w:r>
      <w:r w:rsidRPr="00564C8A">
        <w:rPr>
          <w:szCs w:val="22"/>
        </w:rPr>
        <w:t>have been investigated in two</w:t>
      </w:r>
      <w:r>
        <w:rPr>
          <w:szCs w:val="22"/>
        </w:rPr>
        <w:t xml:space="preserve"> pivotal</w:t>
      </w:r>
      <w:r w:rsidRPr="00564C8A">
        <w:rPr>
          <w:szCs w:val="22"/>
        </w:rPr>
        <w:t xml:space="preserve"> ongoing, </w:t>
      </w:r>
      <w:r>
        <w:t>randomised</w:t>
      </w:r>
      <w:r w:rsidRPr="00564C8A">
        <w:t xml:space="preserve">, double blind, multicentre </w:t>
      </w:r>
      <w:r w:rsidRPr="00564C8A">
        <w:rPr>
          <w:szCs w:val="22"/>
        </w:rPr>
        <w:t xml:space="preserve">studies (MOTIVATE-1 and </w:t>
      </w:r>
      <w:r>
        <w:rPr>
          <w:szCs w:val="22"/>
        </w:rPr>
        <w:t>MOTIVATE</w:t>
      </w:r>
      <w:r w:rsidRPr="00564C8A">
        <w:rPr>
          <w:szCs w:val="22"/>
        </w:rPr>
        <w:t>-2</w:t>
      </w:r>
      <w:r>
        <w:rPr>
          <w:szCs w:val="22"/>
        </w:rPr>
        <w:t>, n=1076</w:t>
      </w:r>
      <w:r w:rsidRPr="00564C8A">
        <w:rPr>
          <w:szCs w:val="22"/>
        </w:rPr>
        <w:t>) in patients infected with CCR5 tropic HIV-1</w:t>
      </w:r>
      <w:r>
        <w:rPr>
          <w:szCs w:val="22"/>
        </w:rPr>
        <w:t>.</w:t>
      </w:r>
      <w:r w:rsidR="00036E1E" w:rsidRPr="00036E1E">
        <w:rPr>
          <w:szCs w:val="22"/>
        </w:rPr>
        <w:t xml:space="preserve"> </w:t>
      </w:r>
      <w:r w:rsidR="00036E1E" w:rsidRPr="00C3027B">
        <w:rPr>
          <w:szCs w:val="22"/>
        </w:rPr>
        <w:t>The primary objective of these studies was to assess whether CELSENTRI added to OBT provided an additional reduction in plasma HIV-1 RNA level compared with OBT alone, based on the mean changes from baseline in plasma HIV-1 RNA level</w:t>
      </w:r>
      <w:r w:rsidR="00036E1E" w:rsidRPr="00763D2C">
        <w:rPr>
          <w:szCs w:val="22"/>
        </w:rPr>
        <w:t xml:space="preserve"> at Week 48.</w:t>
      </w:r>
      <w:r w:rsidR="00036E1E">
        <w:rPr>
          <w:szCs w:val="22"/>
        </w:rPr>
        <w:t xml:space="preserve"> </w:t>
      </w:r>
      <w:r w:rsidR="00036E1E" w:rsidRPr="00F52F95">
        <w:rPr>
          <w:lang w:eastAsia="en-AU"/>
        </w:rPr>
        <w:t xml:space="preserve">Efficacy analyses were performed on the full analysis set and per protocol populations.  Patients were analysed as both </w:t>
      </w:r>
      <w:r w:rsidR="00036E1E" w:rsidRPr="00F52F95">
        <w:rPr>
          <w:i/>
          <w:iCs/>
          <w:lang w:eastAsia="en-AU"/>
        </w:rPr>
        <w:t xml:space="preserve">As Treated </w:t>
      </w:r>
      <w:r w:rsidR="00036E1E" w:rsidRPr="00F52F95">
        <w:rPr>
          <w:lang w:eastAsia="en-AU"/>
        </w:rPr>
        <w:t xml:space="preserve">and </w:t>
      </w:r>
      <w:r w:rsidR="00036E1E" w:rsidRPr="00F52F95">
        <w:rPr>
          <w:i/>
          <w:iCs/>
          <w:lang w:eastAsia="en-AU"/>
        </w:rPr>
        <w:t xml:space="preserve">As Randomised </w:t>
      </w:r>
      <w:r w:rsidR="00036E1E" w:rsidRPr="00F52F95">
        <w:rPr>
          <w:lang w:eastAsia="en-AU"/>
        </w:rPr>
        <w:t>to assess the effect on the results of subjects receiving treatments other than those to which they were randomised.</w:t>
      </w:r>
    </w:p>
    <w:p w:rsidR="009A4790" w:rsidRDefault="009A4790" w:rsidP="009A4790">
      <w:pPr>
        <w:spacing w:after="240"/>
        <w:jc w:val="both"/>
        <w:rPr>
          <w:color w:val="000000"/>
        </w:rPr>
      </w:pPr>
      <w:r w:rsidRPr="00564C8A">
        <w:rPr>
          <w:color w:val="000000"/>
        </w:rPr>
        <w:t xml:space="preserve">Patients </w:t>
      </w:r>
      <w:r>
        <w:t>who were eligible for these studies had prior exposure to at least 3</w:t>
      </w:r>
      <w:r w:rsidRPr="00564C8A">
        <w:rPr>
          <w:color w:val="000000"/>
        </w:rPr>
        <w:t xml:space="preserve"> antiretroviral medicinal product classes [≥1 nucleoside reverse transcriptase inhibitors (NRTI), ≥1 non-nucleoside reverse transcriptase inhibitors (NNRTI), ≥2 protea</w:t>
      </w:r>
      <w:r>
        <w:rPr>
          <w:color w:val="000000"/>
        </w:rPr>
        <w:t xml:space="preserve">se inhibitors (PI), and/or </w:t>
      </w:r>
      <w:proofErr w:type="spellStart"/>
      <w:r>
        <w:rPr>
          <w:color w:val="000000"/>
        </w:rPr>
        <w:t>enfu</w:t>
      </w:r>
      <w:r w:rsidRPr="00564C8A">
        <w:rPr>
          <w:color w:val="000000"/>
        </w:rPr>
        <w:t>virtide</w:t>
      </w:r>
      <w:proofErr w:type="spellEnd"/>
      <w:r w:rsidRPr="00564C8A">
        <w:rPr>
          <w:color w:val="000000"/>
        </w:rPr>
        <w:t>] or documented resistance</w:t>
      </w:r>
      <w:r>
        <w:rPr>
          <w:color w:val="000000"/>
        </w:rPr>
        <w:t xml:space="preserve"> </w:t>
      </w:r>
      <w:r w:rsidRPr="00564C8A">
        <w:rPr>
          <w:color w:val="000000"/>
        </w:rPr>
        <w:t>to at least one member of each class.</w:t>
      </w:r>
      <w:r>
        <w:rPr>
          <w:color w:val="000000"/>
        </w:rPr>
        <w:t xml:space="preserve"> </w:t>
      </w:r>
      <w:r>
        <w:rPr>
          <w:szCs w:val="22"/>
        </w:rPr>
        <w:t xml:space="preserve">Patients were randomised in a 2:2:1 ratio to maraviroc 300 mg (dose equivalent) once daily, </w:t>
      </w:r>
      <w:r w:rsidR="00347691">
        <w:rPr>
          <w:szCs w:val="22"/>
        </w:rPr>
        <w:t xml:space="preserve">maraviroc 300 mg </w:t>
      </w:r>
      <w:r>
        <w:rPr>
          <w:szCs w:val="22"/>
        </w:rPr>
        <w:t>twice daily or placebo in combination with an OBT</w:t>
      </w:r>
      <w:r w:rsidRPr="00564C8A">
        <w:rPr>
          <w:color w:val="000000"/>
        </w:rPr>
        <w:t xml:space="preserve"> consisting of 3 to 6 antiretroviral medicinal products (excluding low-dose ritonavir)</w:t>
      </w:r>
      <w:r>
        <w:rPr>
          <w:color w:val="000000"/>
        </w:rPr>
        <w:t>. The OBT was</w:t>
      </w:r>
      <w:r w:rsidRPr="00564C8A">
        <w:rPr>
          <w:color w:val="000000"/>
        </w:rPr>
        <w:t xml:space="preserve"> selected on the basis of the </w:t>
      </w:r>
      <w:r w:rsidR="00347691">
        <w:rPr>
          <w:color w:val="000000"/>
        </w:rPr>
        <w:t>patient’s</w:t>
      </w:r>
      <w:r w:rsidRPr="00564C8A">
        <w:rPr>
          <w:color w:val="000000"/>
        </w:rPr>
        <w:t xml:space="preserve"> prior treatment history and baseline genotypic and phenotypic viral resistance measurements.</w:t>
      </w:r>
    </w:p>
    <w:p w:rsidR="009A4790" w:rsidRPr="00E70E9C" w:rsidRDefault="009A4790" w:rsidP="009A4790">
      <w:pPr>
        <w:spacing w:after="240"/>
        <w:jc w:val="both"/>
        <w:rPr>
          <w:color w:val="000000"/>
          <w:highlight w:val="green"/>
        </w:rPr>
      </w:pPr>
      <w:r>
        <w:rPr>
          <w:color w:val="000000"/>
        </w:rPr>
        <w:t>Table 1 illustrates the demographic and baseline characteristics of patients from the pooled analysis from the MOTIVATE-1 and MOTIVATE-2 studies.</w:t>
      </w:r>
    </w:p>
    <w:p w:rsidR="009A4790" w:rsidRDefault="009A4790" w:rsidP="009A4790">
      <w:pPr>
        <w:ind w:left="-180"/>
        <w:rPr>
          <w:b/>
          <w:bCs/>
          <w:color w:val="000000"/>
        </w:rPr>
      </w:pPr>
      <w:r w:rsidRPr="00822D4F">
        <w:rPr>
          <w:b/>
          <w:bCs/>
          <w:color w:val="000000"/>
        </w:rPr>
        <w:t xml:space="preserve">Table </w:t>
      </w:r>
      <w:r>
        <w:rPr>
          <w:b/>
          <w:bCs/>
          <w:color w:val="000000"/>
        </w:rPr>
        <w:t>1</w:t>
      </w:r>
      <w:r w:rsidRPr="00564C8A">
        <w:rPr>
          <w:b/>
          <w:bCs/>
          <w:color w:val="000000"/>
        </w:rPr>
        <w:t>:  Demographic</w:t>
      </w:r>
      <w:r>
        <w:rPr>
          <w:b/>
          <w:bCs/>
          <w:color w:val="000000"/>
        </w:rPr>
        <w:t xml:space="preserve"> and baseline</w:t>
      </w:r>
      <w:r w:rsidRPr="00564C8A">
        <w:rPr>
          <w:b/>
          <w:bCs/>
          <w:color w:val="000000"/>
        </w:rPr>
        <w:t xml:space="preserve"> </w:t>
      </w:r>
      <w:r>
        <w:rPr>
          <w:b/>
          <w:bCs/>
          <w:color w:val="000000"/>
        </w:rPr>
        <w:t>c</w:t>
      </w:r>
      <w:r w:rsidRPr="00564C8A">
        <w:rPr>
          <w:b/>
          <w:bCs/>
          <w:color w:val="000000"/>
        </w:rPr>
        <w:t xml:space="preserve">haracteristics of </w:t>
      </w:r>
      <w:r>
        <w:rPr>
          <w:b/>
          <w:bCs/>
          <w:color w:val="000000"/>
        </w:rPr>
        <w:t>p</w:t>
      </w:r>
      <w:r w:rsidRPr="00564C8A">
        <w:rPr>
          <w:b/>
          <w:bCs/>
          <w:color w:val="000000"/>
        </w:rPr>
        <w:t xml:space="preserve">atients in </w:t>
      </w:r>
      <w:r>
        <w:rPr>
          <w:b/>
          <w:bCs/>
          <w:color w:val="000000"/>
        </w:rPr>
        <w:t>s</w:t>
      </w:r>
      <w:r w:rsidRPr="00564C8A">
        <w:rPr>
          <w:b/>
          <w:bCs/>
          <w:color w:val="000000"/>
        </w:rPr>
        <w:t>tudies MOTIVATE-1 and MOTIVATE -2 (</w:t>
      </w:r>
      <w:r w:rsidR="008C6C6D">
        <w:rPr>
          <w:b/>
          <w:bCs/>
          <w:color w:val="000000"/>
        </w:rPr>
        <w:t xml:space="preserve">week 48 </w:t>
      </w:r>
      <w:r>
        <w:rPr>
          <w:b/>
          <w:bCs/>
          <w:color w:val="000000"/>
        </w:rPr>
        <w:t>p</w:t>
      </w:r>
      <w:r w:rsidRPr="00564C8A">
        <w:rPr>
          <w:b/>
          <w:bCs/>
          <w:color w:val="000000"/>
        </w:rPr>
        <w:t xml:space="preserve">ooled </w:t>
      </w:r>
      <w:r>
        <w:rPr>
          <w:b/>
          <w:bCs/>
          <w:color w:val="000000"/>
        </w:rPr>
        <w:t>a</w:t>
      </w:r>
      <w:r w:rsidRPr="00564C8A">
        <w:rPr>
          <w:b/>
          <w:bCs/>
          <w:color w:val="000000"/>
        </w:rPr>
        <w:t>nalysis)</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2520"/>
        <w:gridCol w:w="2340"/>
      </w:tblGrid>
      <w:tr w:rsidR="009A4790" w:rsidRPr="00C44FC7" w:rsidTr="009C54F6">
        <w:tc>
          <w:tcPr>
            <w:tcW w:w="4860" w:type="dxa"/>
          </w:tcPr>
          <w:p w:rsidR="009A4790" w:rsidRPr="00C44FC7" w:rsidRDefault="009A4790" w:rsidP="009C54F6">
            <w:pPr>
              <w:jc w:val="center"/>
              <w:rPr>
                <w:b/>
                <w:bCs/>
                <w:color w:val="000000"/>
              </w:rPr>
            </w:pPr>
          </w:p>
          <w:p w:rsidR="009A4790" w:rsidRPr="00C44FC7" w:rsidRDefault="009A4790" w:rsidP="009C54F6">
            <w:pPr>
              <w:jc w:val="center"/>
              <w:rPr>
                <w:b/>
                <w:bCs/>
                <w:color w:val="000000"/>
              </w:rPr>
            </w:pPr>
            <w:r w:rsidRPr="00C44FC7">
              <w:rPr>
                <w:b/>
                <w:bCs/>
                <w:color w:val="000000"/>
              </w:rPr>
              <w:t>Demographic and Baseline Characteristics</w:t>
            </w:r>
          </w:p>
        </w:tc>
        <w:tc>
          <w:tcPr>
            <w:tcW w:w="2520" w:type="dxa"/>
          </w:tcPr>
          <w:p w:rsidR="009A4790" w:rsidRPr="00C44FC7" w:rsidRDefault="009A4790" w:rsidP="009C54F6">
            <w:pPr>
              <w:jc w:val="center"/>
              <w:rPr>
                <w:b/>
                <w:bCs/>
                <w:color w:val="000000"/>
              </w:rPr>
            </w:pPr>
            <w:r w:rsidRPr="00C44FC7">
              <w:rPr>
                <w:b/>
                <w:bCs/>
                <w:color w:val="000000"/>
              </w:rPr>
              <w:t>CELSENTRI</w:t>
            </w:r>
          </w:p>
          <w:p w:rsidR="009A4790" w:rsidRPr="00C44FC7" w:rsidRDefault="009A4790" w:rsidP="009C54F6">
            <w:pPr>
              <w:jc w:val="center"/>
              <w:rPr>
                <w:b/>
                <w:bCs/>
                <w:color w:val="000000"/>
              </w:rPr>
            </w:pPr>
            <w:r w:rsidRPr="00C44FC7">
              <w:rPr>
                <w:b/>
                <w:bCs/>
                <w:color w:val="000000"/>
              </w:rPr>
              <w:t>300 mg twice daily</w:t>
            </w:r>
          </w:p>
          <w:p w:rsidR="009A4790" w:rsidRPr="00C44FC7" w:rsidRDefault="009A4790" w:rsidP="009C54F6">
            <w:pPr>
              <w:jc w:val="center"/>
              <w:rPr>
                <w:b/>
                <w:bCs/>
                <w:color w:val="000000"/>
              </w:rPr>
            </w:pPr>
            <w:r w:rsidRPr="00C44FC7">
              <w:rPr>
                <w:b/>
                <w:bCs/>
                <w:color w:val="000000"/>
              </w:rPr>
              <w:t>+ OBT</w:t>
            </w:r>
          </w:p>
          <w:p w:rsidR="009A4790" w:rsidRPr="00C44FC7" w:rsidRDefault="009A4790" w:rsidP="009C54F6">
            <w:pPr>
              <w:jc w:val="center"/>
              <w:rPr>
                <w:b/>
                <w:bCs/>
                <w:color w:val="000000"/>
              </w:rPr>
            </w:pPr>
            <w:r w:rsidRPr="00C44FC7">
              <w:rPr>
                <w:b/>
                <w:bCs/>
                <w:color w:val="000000"/>
              </w:rPr>
              <w:t>N = 426</w:t>
            </w:r>
          </w:p>
        </w:tc>
        <w:tc>
          <w:tcPr>
            <w:tcW w:w="2340" w:type="dxa"/>
          </w:tcPr>
          <w:p w:rsidR="009A4790" w:rsidRPr="00C44FC7" w:rsidRDefault="009A4790" w:rsidP="009C54F6">
            <w:pPr>
              <w:jc w:val="center"/>
              <w:rPr>
                <w:b/>
                <w:bCs/>
                <w:color w:val="000000"/>
              </w:rPr>
            </w:pPr>
            <w:r w:rsidRPr="00C44FC7">
              <w:rPr>
                <w:b/>
                <w:bCs/>
                <w:color w:val="000000"/>
              </w:rPr>
              <w:t xml:space="preserve">OBT </w:t>
            </w:r>
          </w:p>
          <w:p w:rsidR="009A4790" w:rsidRPr="00C44FC7" w:rsidRDefault="009A4790" w:rsidP="009C54F6">
            <w:pPr>
              <w:jc w:val="center"/>
              <w:rPr>
                <w:b/>
                <w:bCs/>
                <w:color w:val="000000"/>
              </w:rPr>
            </w:pPr>
            <w:r w:rsidRPr="00C44FC7">
              <w:rPr>
                <w:b/>
                <w:bCs/>
                <w:color w:val="000000"/>
              </w:rPr>
              <w:t>alone</w:t>
            </w:r>
          </w:p>
          <w:p w:rsidR="009A4790" w:rsidRPr="00C44FC7" w:rsidRDefault="009A4790" w:rsidP="009C54F6">
            <w:pPr>
              <w:jc w:val="center"/>
              <w:rPr>
                <w:b/>
                <w:bCs/>
                <w:color w:val="000000"/>
              </w:rPr>
            </w:pPr>
          </w:p>
          <w:p w:rsidR="009A4790" w:rsidRPr="00C44FC7" w:rsidRDefault="009A4790" w:rsidP="009C54F6">
            <w:pPr>
              <w:jc w:val="center"/>
              <w:rPr>
                <w:b/>
                <w:bCs/>
                <w:color w:val="000000"/>
              </w:rPr>
            </w:pPr>
            <w:r w:rsidRPr="00C44FC7">
              <w:rPr>
                <w:b/>
                <w:bCs/>
                <w:color w:val="000000"/>
              </w:rPr>
              <w:t>N = 209</w:t>
            </w:r>
          </w:p>
        </w:tc>
      </w:tr>
      <w:tr w:rsidR="009A4790" w:rsidRPr="00C44FC7" w:rsidTr="009C54F6">
        <w:tc>
          <w:tcPr>
            <w:tcW w:w="4860" w:type="dxa"/>
          </w:tcPr>
          <w:p w:rsidR="009A4790" w:rsidRPr="00C44FC7" w:rsidRDefault="009A4790" w:rsidP="009C54F6">
            <w:pPr>
              <w:rPr>
                <w:bCs/>
                <w:color w:val="000000"/>
              </w:rPr>
            </w:pPr>
            <w:r w:rsidRPr="00C44FC7">
              <w:rPr>
                <w:bCs/>
                <w:color w:val="000000"/>
              </w:rPr>
              <w:t>Age (years)</w:t>
            </w:r>
          </w:p>
          <w:p w:rsidR="009A4790" w:rsidRPr="00C44FC7" w:rsidRDefault="009A4790" w:rsidP="009C54F6">
            <w:pPr>
              <w:rPr>
                <w:bCs/>
                <w:color w:val="000000"/>
              </w:rPr>
            </w:pPr>
            <w:r w:rsidRPr="00C44FC7">
              <w:rPr>
                <w:bCs/>
                <w:color w:val="000000"/>
              </w:rPr>
              <w:t>(Range, years)</w:t>
            </w:r>
          </w:p>
        </w:tc>
        <w:tc>
          <w:tcPr>
            <w:tcW w:w="2520" w:type="dxa"/>
          </w:tcPr>
          <w:p w:rsidR="009A4790" w:rsidRPr="00C44FC7" w:rsidRDefault="009A4790" w:rsidP="009C54F6">
            <w:pPr>
              <w:jc w:val="center"/>
              <w:rPr>
                <w:bCs/>
                <w:color w:val="000000"/>
              </w:rPr>
            </w:pPr>
            <w:r w:rsidRPr="00C44FC7">
              <w:rPr>
                <w:bCs/>
                <w:color w:val="000000"/>
              </w:rPr>
              <w:t>46.3</w:t>
            </w:r>
          </w:p>
          <w:p w:rsidR="009A4790" w:rsidRPr="00C44FC7" w:rsidRDefault="009A4790" w:rsidP="00BE526A">
            <w:pPr>
              <w:jc w:val="center"/>
              <w:rPr>
                <w:bCs/>
                <w:color w:val="000000"/>
              </w:rPr>
            </w:pPr>
            <w:r w:rsidRPr="00C44FC7">
              <w:rPr>
                <w:bCs/>
                <w:color w:val="000000"/>
              </w:rPr>
              <w:t>21-73</w:t>
            </w:r>
          </w:p>
        </w:tc>
        <w:tc>
          <w:tcPr>
            <w:tcW w:w="2340" w:type="dxa"/>
          </w:tcPr>
          <w:p w:rsidR="009A4790" w:rsidRPr="00C44FC7" w:rsidRDefault="009A4790" w:rsidP="009C54F6">
            <w:pPr>
              <w:jc w:val="center"/>
              <w:rPr>
                <w:bCs/>
                <w:color w:val="000000"/>
              </w:rPr>
            </w:pPr>
            <w:r w:rsidRPr="00C44FC7">
              <w:rPr>
                <w:bCs/>
                <w:color w:val="000000"/>
              </w:rPr>
              <w:t>45.7</w:t>
            </w:r>
          </w:p>
          <w:p w:rsidR="009A4790" w:rsidRPr="00C44FC7" w:rsidRDefault="009A4790" w:rsidP="009C54F6">
            <w:pPr>
              <w:jc w:val="center"/>
              <w:rPr>
                <w:bCs/>
                <w:color w:val="000000"/>
              </w:rPr>
            </w:pPr>
            <w:r w:rsidRPr="00C44FC7">
              <w:rPr>
                <w:bCs/>
                <w:color w:val="000000"/>
              </w:rPr>
              <w:t>29-72</w:t>
            </w:r>
          </w:p>
        </w:tc>
      </w:tr>
      <w:tr w:rsidR="009A4790" w:rsidRPr="00C44FC7" w:rsidTr="009C54F6">
        <w:tc>
          <w:tcPr>
            <w:tcW w:w="4860" w:type="dxa"/>
          </w:tcPr>
          <w:p w:rsidR="009A4790" w:rsidRPr="00C44FC7" w:rsidRDefault="009A4790" w:rsidP="009C54F6">
            <w:pPr>
              <w:rPr>
                <w:bCs/>
                <w:color w:val="000000"/>
              </w:rPr>
            </w:pPr>
            <w:r w:rsidRPr="00C44FC7">
              <w:rPr>
                <w:bCs/>
                <w:color w:val="000000"/>
              </w:rPr>
              <w:t>Male Sex</w:t>
            </w:r>
          </w:p>
        </w:tc>
        <w:tc>
          <w:tcPr>
            <w:tcW w:w="2520" w:type="dxa"/>
          </w:tcPr>
          <w:p w:rsidR="009A4790" w:rsidRPr="00C44FC7" w:rsidRDefault="008C6C6D" w:rsidP="00BE526A">
            <w:pPr>
              <w:jc w:val="center"/>
              <w:rPr>
                <w:bCs/>
                <w:color w:val="000000"/>
              </w:rPr>
            </w:pPr>
            <w:r>
              <w:rPr>
                <w:bCs/>
                <w:color w:val="000000"/>
              </w:rPr>
              <w:t>382 (</w:t>
            </w:r>
            <w:r w:rsidR="009A4790" w:rsidRPr="00C44FC7">
              <w:rPr>
                <w:bCs/>
                <w:color w:val="000000"/>
              </w:rPr>
              <w:t>89.7%</w:t>
            </w:r>
            <w:r>
              <w:rPr>
                <w:bCs/>
                <w:color w:val="000000"/>
              </w:rPr>
              <w:t>)</w:t>
            </w:r>
          </w:p>
        </w:tc>
        <w:tc>
          <w:tcPr>
            <w:tcW w:w="2340" w:type="dxa"/>
          </w:tcPr>
          <w:p w:rsidR="009A4790" w:rsidRPr="00C44FC7" w:rsidRDefault="008C6C6D" w:rsidP="009C54F6">
            <w:pPr>
              <w:jc w:val="center"/>
              <w:rPr>
                <w:bCs/>
                <w:color w:val="000000"/>
              </w:rPr>
            </w:pPr>
            <w:r>
              <w:rPr>
                <w:bCs/>
                <w:color w:val="000000"/>
              </w:rPr>
              <w:t>185 (</w:t>
            </w:r>
            <w:r w:rsidR="009A4790" w:rsidRPr="00C44FC7">
              <w:rPr>
                <w:bCs/>
                <w:color w:val="000000"/>
              </w:rPr>
              <w:t>88.5%</w:t>
            </w:r>
            <w:r>
              <w:rPr>
                <w:bCs/>
                <w:color w:val="000000"/>
              </w:rPr>
              <w:t>)</w:t>
            </w:r>
          </w:p>
        </w:tc>
      </w:tr>
      <w:tr w:rsidR="009A4790" w:rsidRPr="00C44FC7" w:rsidTr="009C54F6">
        <w:tc>
          <w:tcPr>
            <w:tcW w:w="4860" w:type="dxa"/>
          </w:tcPr>
          <w:p w:rsidR="009A4790" w:rsidRPr="00C44FC7" w:rsidRDefault="009A4790" w:rsidP="009C54F6">
            <w:pPr>
              <w:rPr>
                <w:bCs/>
                <w:color w:val="000000"/>
              </w:rPr>
            </w:pPr>
            <w:r w:rsidRPr="00C44FC7">
              <w:rPr>
                <w:bCs/>
                <w:color w:val="000000"/>
              </w:rPr>
              <w:t>Race (White/Black/Other)</w:t>
            </w:r>
          </w:p>
        </w:tc>
        <w:tc>
          <w:tcPr>
            <w:tcW w:w="2520" w:type="dxa"/>
          </w:tcPr>
          <w:p w:rsidR="009A4790" w:rsidRPr="00C44FC7" w:rsidRDefault="009A4790" w:rsidP="00BE526A">
            <w:pPr>
              <w:jc w:val="center"/>
              <w:rPr>
                <w:bCs/>
                <w:color w:val="000000"/>
              </w:rPr>
            </w:pPr>
            <w:r w:rsidRPr="00C44FC7">
              <w:rPr>
                <w:bCs/>
                <w:color w:val="000000"/>
              </w:rPr>
              <w:t>85.2% / 12% / 2.8%</w:t>
            </w:r>
          </w:p>
        </w:tc>
        <w:tc>
          <w:tcPr>
            <w:tcW w:w="2340" w:type="dxa"/>
          </w:tcPr>
          <w:p w:rsidR="009A4790" w:rsidRPr="00C44FC7" w:rsidRDefault="009A4790" w:rsidP="009C54F6">
            <w:pPr>
              <w:jc w:val="center"/>
              <w:rPr>
                <w:bCs/>
                <w:color w:val="000000"/>
              </w:rPr>
            </w:pPr>
            <w:r w:rsidRPr="00C44FC7">
              <w:rPr>
                <w:bCs/>
                <w:color w:val="000000"/>
              </w:rPr>
              <w:t>85.2% / 12.4% / 2.4%</w:t>
            </w:r>
          </w:p>
        </w:tc>
      </w:tr>
      <w:tr w:rsidR="009A4790" w:rsidRPr="00C44FC7" w:rsidTr="009C54F6">
        <w:tc>
          <w:tcPr>
            <w:tcW w:w="4860" w:type="dxa"/>
          </w:tcPr>
          <w:p w:rsidR="009A4790" w:rsidRPr="00C44FC7" w:rsidRDefault="00551A77" w:rsidP="00BE526A">
            <w:pPr>
              <w:autoSpaceDE w:val="0"/>
              <w:autoSpaceDN w:val="0"/>
              <w:adjustRightInd w:val="0"/>
              <w:rPr>
                <w:bCs/>
                <w:color w:val="000000"/>
                <w:lang w:val="es-ES_tradnl"/>
              </w:rPr>
            </w:pPr>
            <w:r>
              <w:rPr>
                <w:rFonts w:eastAsia="Times New Roman"/>
                <w:lang w:eastAsia="en-AU"/>
              </w:rPr>
              <w:t>Patients</w:t>
            </w:r>
            <w:r w:rsidR="009A4790" w:rsidRPr="00C44FC7">
              <w:rPr>
                <w:rFonts w:eastAsia="Times New Roman"/>
                <w:lang w:eastAsia="en-AU"/>
              </w:rPr>
              <w:t xml:space="preserve"> with Previous </w:t>
            </w:r>
            <w:proofErr w:type="spellStart"/>
            <w:r w:rsidR="009A4790" w:rsidRPr="00C44FC7">
              <w:rPr>
                <w:rFonts w:eastAsia="Times New Roman"/>
                <w:lang w:eastAsia="en-AU"/>
              </w:rPr>
              <w:t>Enfuvirtide</w:t>
            </w:r>
            <w:proofErr w:type="spellEnd"/>
            <w:r w:rsidR="009A4790" w:rsidRPr="00C44FC7">
              <w:rPr>
                <w:rFonts w:eastAsia="Times New Roman"/>
                <w:lang w:eastAsia="en-AU"/>
              </w:rPr>
              <w:t xml:space="preserve"> Use</w:t>
            </w:r>
          </w:p>
        </w:tc>
        <w:tc>
          <w:tcPr>
            <w:tcW w:w="2520" w:type="dxa"/>
          </w:tcPr>
          <w:p w:rsidR="009A4790" w:rsidRPr="00C44FC7" w:rsidRDefault="008C6C6D" w:rsidP="00BE526A">
            <w:pPr>
              <w:autoSpaceDE w:val="0"/>
              <w:autoSpaceDN w:val="0"/>
              <w:adjustRightInd w:val="0"/>
              <w:jc w:val="center"/>
              <w:rPr>
                <w:bCs/>
                <w:color w:val="000000"/>
              </w:rPr>
            </w:pPr>
            <w:r>
              <w:rPr>
                <w:bCs/>
                <w:color w:val="000000"/>
              </w:rPr>
              <w:t>143 (33.6)</w:t>
            </w:r>
          </w:p>
        </w:tc>
        <w:tc>
          <w:tcPr>
            <w:tcW w:w="2340" w:type="dxa"/>
          </w:tcPr>
          <w:p w:rsidR="009A4790" w:rsidRPr="00C44FC7" w:rsidRDefault="008C6C6D" w:rsidP="00BE526A">
            <w:pPr>
              <w:autoSpaceDE w:val="0"/>
              <w:autoSpaceDN w:val="0"/>
              <w:adjustRightInd w:val="0"/>
              <w:jc w:val="center"/>
              <w:rPr>
                <w:bCs/>
                <w:color w:val="000000"/>
              </w:rPr>
            </w:pPr>
            <w:r>
              <w:rPr>
                <w:bCs/>
                <w:color w:val="000000"/>
              </w:rPr>
              <w:t>(28.7%)</w:t>
            </w:r>
          </w:p>
        </w:tc>
      </w:tr>
      <w:tr w:rsidR="009A4790" w:rsidRPr="00C44FC7" w:rsidTr="009C54F6">
        <w:tc>
          <w:tcPr>
            <w:tcW w:w="4860" w:type="dxa"/>
          </w:tcPr>
          <w:p w:rsidR="009A4790" w:rsidRPr="00C44FC7" w:rsidRDefault="00551A77" w:rsidP="00BE526A">
            <w:pPr>
              <w:autoSpaceDE w:val="0"/>
              <w:autoSpaceDN w:val="0"/>
              <w:adjustRightInd w:val="0"/>
              <w:rPr>
                <w:bCs/>
                <w:color w:val="000000"/>
                <w:lang w:val="es-ES_tradnl"/>
              </w:rPr>
            </w:pPr>
            <w:r>
              <w:rPr>
                <w:rFonts w:eastAsia="Times New Roman"/>
                <w:lang w:eastAsia="en-AU"/>
              </w:rPr>
              <w:t>Patients</w:t>
            </w:r>
            <w:r w:rsidR="009A4790" w:rsidRPr="00C44FC7">
              <w:rPr>
                <w:rFonts w:eastAsia="Times New Roman"/>
                <w:lang w:eastAsia="en-AU"/>
              </w:rPr>
              <w:t xml:space="preserve"> with </w:t>
            </w:r>
            <w:proofErr w:type="spellStart"/>
            <w:r w:rsidR="009A4790" w:rsidRPr="00C44FC7">
              <w:rPr>
                <w:rFonts w:eastAsia="Times New Roman"/>
                <w:lang w:eastAsia="en-AU"/>
              </w:rPr>
              <w:t>Enfuvirtide</w:t>
            </w:r>
            <w:proofErr w:type="spellEnd"/>
            <w:r w:rsidR="009A4790" w:rsidRPr="00C44FC7">
              <w:rPr>
                <w:rFonts w:eastAsia="Times New Roman"/>
                <w:lang w:eastAsia="en-AU"/>
              </w:rPr>
              <w:t xml:space="preserve"> as Part of OBT</w:t>
            </w:r>
          </w:p>
        </w:tc>
        <w:tc>
          <w:tcPr>
            <w:tcW w:w="2520" w:type="dxa"/>
          </w:tcPr>
          <w:p w:rsidR="009A4790" w:rsidRPr="00C44FC7" w:rsidRDefault="009A4790" w:rsidP="00BE526A">
            <w:pPr>
              <w:autoSpaceDE w:val="0"/>
              <w:autoSpaceDN w:val="0"/>
              <w:adjustRightInd w:val="0"/>
              <w:jc w:val="center"/>
              <w:rPr>
                <w:bCs/>
                <w:color w:val="000000"/>
              </w:rPr>
            </w:pPr>
            <w:r w:rsidRPr="00C44FC7">
              <w:rPr>
                <w:bCs/>
                <w:color w:val="000000"/>
              </w:rPr>
              <w:t>182 (42.7%)</w:t>
            </w:r>
          </w:p>
        </w:tc>
        <w:tc>
          <w:tcPr>
            <w:tcW w:w="2340" w:type="dxa"/>
          </w:tcPr>
          <w:p w:rsidR="009A4790" w:rsidRPr="00C44FC7" w:rsidRDefault="007223A6" w:rsidP="00BE526A">
            <w:pPr>
              <w:autoSpaceDE w:val="0"/>
              <w:autoSpaceDN w:val="0"/>
              <w:adjustRightInd w:val="0"/>
              <w:jc w:val="center"/>
              <w:rPr>
                <w:bCs/>
                <w:color w:val="000000"/>
              </w:rPr>
            </w:pPr>
            <w:r>
              <w:rPr>
                <w:bCs/>
                <w:color w:val="000000"/>
              </w:rPr>
              <w:t>90</w:t>
            </w:r>
            <w:r w:rsidR="009A4790" w:rsidRPr="00C44FC7">
              <w:rPr>
                <w:bCs/>
                <w:color w:val="000000"/>
              </w:rPr>
              <w:t xml:space="preserve"> (43.</w:t>
            </w:r>
            <w:r w:rsidR="000F3E60">
              <w:rPr>
                <w:bCs/>
                <w:color w:val="000000"/>
              </w:rPr>
              <w:t xml:space="preserve"> </w:t>
            </w:r>
            <w:r>
              <w:rPr>
                <w:bCs/>
                <w:color w:val="000000"/>
              </w:rPr>
              <w:t>1</w:t>
            </w:r>
            <w:r w:rsidR="009A4790" w:rsidRPr="00C44FC7">
              <w:rPr>
                <w:bCs/>
                <w:color w:val="000000"/>
              </w:rPr>
              <w:t>%)</w:t>
            </w:r>
          </w:p>
        </w:tc>
      </w:tr>
      <w:tr w:rsidR="009A4790" w:rsidRPr="00C44FC7" w:rsidTr="009C54F6">
        <w:tc>
          <w:tcPr>
            <w:tcW w:w="4860" w:type="dxa"/>
          </w:tcPr>
          <w:p w:rsidR="009A4790" w:rsidRPr="00C44FC7" w:rsidRDefault="009A4790" w:rsidP="009C54F6">
            <w:pPr>
              <w:rPr>
                <w:bCs/>
                <w:color w:val="000000"/>
                <w:lang w:val="es-ES_tradnl"/>
              </w:rPr>
            </w:pPr>
            <w:r w:rsidRPr="00C44FC7">
              <w:rPr>
                <w:bCs/>
                <w:color w:val="000000"/>
                <w:lang w:val="es-ES_tradnl"/>
              </w:rPr>
              <w:t>Mean Baseline HIV-1 RNA (log</w:t>
            </w:r>
            <w:r w:rsidRPr="00C44FC7">
              <w:rPr>
                <w:bCs/>
                <w:color w:val="000000"/>
                <w:vertAlign w:val="subscript"/>
                <w:lang w:val="es-ES_tradnl"/>
              </w:rPr>
              <w:t>10</w:t>
            </w:r>
            <w:r w:rsidRPr="00C44FC7">
              <w:rPr>
                <w:bCs/>
                <w:color w:val="000000"/>
                <w:lang w:val="es-ES_tradnl"/>
              </w:rPr>
              <w:t xml:space="preserve"> copies/mL)</w:t>
            </w:r>
          </w:p>
        </w:tc>
        <w:tc>
          <w:tcPr>
            <w:tcW w:w="2520" w:type="dxa"/>
          </w:tcPr>
          <w:p w:rsidR="009A4790" w:rsidRPr="00C44FC7" w:rsidRDefault="009A4790" w:rsidP="008C6C6D">
            <w:pPr>
              <w:jc w:val="center"/>
              <w:rPr>
                <w:bCs/>
                <w:color w:val="000000"/>
              </w:rPr>
            </w:pPr>
            <w:r w:rsidRPr="00C44FC7">
              <w:rPr>
                <w:bCs/>
                <w:color w:val="000000"/>
              </w:rPr>
              <w:t>4.</w:t>
            </w:r>
            <w:r w:rsidR="008C6C6D">
              <w:rPr>
                <w:bCs/>
                <w:color w:val="000000"/>
              </w:rPr>
              <w:t>9</w:t>
            </w:r>
          </w:p>
        </w:tc>
        <w:tc>
          <w:tcPr>
            <w:tcW w:w="2340" w:type="dxa"/>
          </w:tcPr>
          <w:p w:rsidR="009A4790" w:rsidRPr="00C44FC7" w:rsidRDefault="009A4790" w:rsidP="008C6C6D">
            <w:pPr>
              <w:jc w:val="center"/>
              <w:rPr>
                <w:bCs/>
                <w:color w:val="000000"/>
              </w:rPr>
            </w:pPr>
            <w:r w:rsidRPr="00C44FC7">
              <w:rPr>
                <w:bCs/>
                <w:color w:val="000000"/>
              </w:rPr>
              <w:t>4.</w:t>
            </w:r>
            <w:r w:rsidR="008C6C6D">
              <w:rPr>
                <w:bCs/>
                <w:color w:val="000000"/>
              </w:rPr>
              <w:t>9</w:t>
            </w:r>
          </w:p>
        </w:tc>
      </w:tr>
      <w:tr w:rsidR="009A4790" w:rsidRPr="00C44FC7" w:rsidTr="009C54F6">
        <w:tc>
          <w:tcPr>
            <w:tcW w:w="4860" w:type="dxa"/>
          </w:tcPr>
          <w:p w:rsidR="009A4790" w:rsidRPr="00C44FC7" w:rsidRDefault="009A4790" w:rsidP="009C54F6">
            <w:pPr>
              <w:rPr>
                <w:bCs/>
                <w:color w:val="000000"/>
              </w:rPr>
            </w:pPr>
            <w:r w:rsidRPr="00C44FC7">
              <w:rPr>
                <w:bCs/>
                <w:color w:val="000000"/>
              </w:rPr>
              <w:t>Median Baseline CD4+ Cell Count (cells/mm</w:t>
            </w:r>
            <w:r w:rsidRPr="00C44FC7">
              <w:rPr>
                <w:bCs/>
                <w:color w:val="000000"/>
                <w:vertAlign w:val="superscript"/>
              </w:rPr>
              <w:t>3</w:t>
            </w:r>
            <w:r w:rsidR="00BE526A">
              <w:rPr>
                <w:bCs/>
                <w:color w:val="000000"/>
              </w:rPr>
              <w:t>)</w:t>
            </w:r>
          </w:p>
          <w:p w:rsidR="009A4790" w:rsidRPr="00C44FC7" w:rsidRDefault="009A4790" w:rsidP="009C54F6">
            <w:pPr>
              <w:rPr>
                <w:bCs/>
                <w:color w:val="000000"/>
              </w:rPr>
            </w:pPr>
            <w:r w:rsidRPr="00C44FC7">
              <w:rPr>
                <w:bCs/>
                <w:color w:val="000000"/>
              </w:rPr>
              <w:t>(range, cells/mm</w:t>
            </w:r>
            <w:r w:rsidRPr="00C44FC7">
              <w:rPr>
                <w:bCs/>
                <w:color w:val="000000"/>
                <w:vertAlign w:val="superscript"/>
              </w:rPr>
              <w:t>3</w:t>
            </w:r>
            <w:r w:rsidRPr="00C44FC7">
              <w:rPr>
                <w:bCs/>
                <w:color w:val="000000"/>
              </w:rPr>
              <w:t>)</w:t>
            </w:r>
          </w:p>
        </w:tc>
        <w:tc>
          <w:tcPr>
            <w:tcW w:w="2520" w:type="dxa"/>
          </w:tcPr>
          <w:p w:rsidR="009A4790" w:rsidRPr="00C44FC7" w:rsidRDefault="009A4790" w:rsidP="009C54F6">
            <w:pPr>
              <w:jc w:val="center"/>
              <w:rPr>
                <w:bCs/>
                <w:color w:val="000000"/>
                <w:szCs w:val="22"/>
              </w:rPr>
            </w:pPr>
            <w:r w:rsidRPr="00C44FC7">
              <w:rPr>
                <w:bCs/>
                <w:color w:val="000000"/>
                <w:szCs w:val="22"/>
              </w:rPr>
              <w:t>166.8</w:t>
            </w:r>
          </w:p>
          <w:p w:rsidR="009A4790" w:rsidRDefault="009A4790" w:rsidP="00BE526A">
            <w:pPr>
              <w:jc w:val="center"/>
              <w:rPr>
                <w:bCs/>
                <w:color w:val="000000"/>
                <w:szCs w:val="22"/>
              </w:rPr>
            </w:pPr>
            <w:r w:rsidRPr="00C44FC7">
              <w:rPr>
                <w:bCs/>
                <w:color w:val="000000"/>
                <w:szCs w:val="22"/>
              </w:rPr>
              <w:t>(2.0-820.0)</w:t>
            </w:r>
          </w:p>
          <w:p w:rsidR="00BE526A" w:rsidRPr="00C44FC7" w:rsidRDefault="00BE526A" w:rsidP="00BE526A">
            <w:pPr>
              <w:jc w:val="center"/>
              <w:rPr>
                <w:bCs/>
                <w:color w:val="000000"/>
                <w:szCs w:val="22"/>
              </w:rPr>
            </w:pPr>
          </w:p>
        </w:tc>
        <w:tc>
          <w:tcPr>
            <w:tcW w:w="2340" w:type="dxa"/>
          </w:tcPr>
          <w:p w:rsidR="009A4790" w:rsidRPr="00C44FC7" w:rsidRDefault="009A4790" w:rsidP="009C54F6">
            <w:pPr>
              <w:jc w:val="center"/>
              <w:rPr>
                <w:bCs/>
                <w:color w:val="000000"/>
                <w:szCs w:val="22"/>
              </w:rPr>
            </w:pPr>
            <w:r w:rsidRPr="00C44FC7">
              <w:rPr>
                <w:bCs/>
                <w:color w:val="000000"/>
                <w:szCs w:val="22"/>
              </w:rPr>
              <w:t>171.3</w:t>
            </w:r>
          </w:p>
          <w:p w:rsidR="009A4790" w:rsidRPr="00C44FC7" w:rsidRDefault="009A4790" w:rsidP="009C54F6">
            <w:pPr>
              <w:jc w:val="center"/>
              <w:rPr>
                <w:bCs/>
                <w:color w:val="000000"/>
                <w:szCs w:val="22"/>
              </w:rPr>
            </w:pPr>
            <w:r w:rsidRPr="00C44FC7">
              <w:rPr>
                <w:bCs/>
                <w:color w:val="000000"/>
                <w:szCs w:val="22"/>
              </w:rPr>
              <w:t>(1.0-675.0)</w:t>
            </w:r>
          </w:p>
        </w:tc>
      </w:tr>
      <w:tr w:rsidR="009A4790" w:rsidRPr="00C44FC7" w:rsidTr="009C54F6">
        <w:tc>
          <w:tcPr>
            <w:tcW w:w="4860" w:type="dxa"/>
          </w:tcPr>
          <w:p w:rsidR="009A4790" w:rsidRPr="00C44FC7" w:rsidRDefault="009A4790" w:rsidP="009C54F6">
            <w:pPr>
              <w:rPr>
                <w:bCs/>
                <w:color w:val="000000"/>
              </w:rPr>
            </w:pPr>
            <w:r w:rsidRPr="00C44FC7">
              <w:rPr>
                <w:bCs/>
                <w:color w:val="000000"/>
              </w:rPr>
              <w:t>Screening</w:t>
            </w:r>
          </w:p>
          <w:p w:rsidR="009A4790" w:rsidRPr="00C44FC7" w:rsidRDefault="009A4790" w:rsidP="009C54F6">
            <w:pPr>
              <w:rPr>
                <w:bCs/>
                <w:color w:val="000000"/>
              </w:rPr>
            </w:pPr>
            <w:r w:rsidRPr="00C44FC7">
              <w:rPr>
                <w:bCs/>
                <w:color w:val="000000"/>
              </w:rPr>
              <w:t xml:space="preserve">Viral Load </w:t>
            </w:r>
            <w:r w:rsidRPr="00C44FC7">
              <w:rPr>
                <w:bCs/>
                <w:color w:val="000000"/>
                <w:u w:val="single"/>
              </w:rPr>
              <w:t>&gt;</w:t>
            </w:r>
            <w:r w:rsidRPr="00C44FC7">
              <w:rPr>
                <w:bCs/>
                <w:color w:val="000000"/>
              </w:rPr>
              <w:t>100,000 copies/mL</w:t>
            </w:r>
          </w:p>
        </w:tc>
        <w:tc>
          <w:tcPr>
            <w:tcW w:w="2520" w:type="dxa"/>
          </w:tcPr>
          <w:p w:rsidR="009A4790" w:rsidRPr="00C44FC7" w:rsidRDefault="009A4790" w:rsidP="009C54F6">
            <w:pPr>
              <w:jc w:val="center"/>
              <w:rPr>
                <w:bCs/>
                <w:color w:val="000000"/>
              </w:rPr>
            </w:pPr>
          </w:p>
          <w:p w:rsidR="009A4790" w:rsidRDefault="009A4790" w:rsidP="009C54F6">
            <w:pPr>
              <w:jc w:val="center"/>
              <w:rPr>
                <w:bCs/>
                <w:color w:val="000000"/>
              </w:rPr>
            </w:pPr>
            <w:r w:rsidRPr="00C44FC7">
              <w:rPr>
                <w:bCs/>
                <w:color w:val="000000"/>
              </w:rPr>
              <w:t>179 (42.0%)</w:t>
            </w:r>
          </w:p>
          <w:p w:rsidR="00BE526A" w:rsidRPr="00C44FC7" w:rsidRDefault="00BE526A" w:rsidP="009C54F6">
            <w:pPr>
              <w:jc w:val="center"/>
              <w:rPr>
                <w:bCs/>
                <w:color w:val="000000"/>
              </w:rPr>
            </w:pPr>
          </w:p>
        </w:tc>
        <w:tc>
          <w:tcPr>
            <w:tcW w:w="2340" w:type="dxa"/>
          </w:tcPr>
          <w:p w:rsidR="009A4790" w:rsidRPr="00C44FC7" w:rsidRDefault="009A4790" w:rsidP="009C54F6">
            <w:pPr>
              <w:jc w:val="center"/>
              <w:rPr>
                <w:bCs/>
                <w:color w:val="000000"/>
              </w:rPr>
            </w:pPr>
          </w:p>
          <w:p w:rsidR="009A4790" w:rsidRPr="00C44FC7" w:rsidRDefault="009A4790" w:rsidP="009C54F6">
            <w:pPr>
              <w:jc w:val="center"/>
              <w:rPr>
                <w:bCs/>
                <w:color w:val="000000"/>
              </w:rPr>
            </w:pPr>
            <w:r w:rsidRPr="00C44FC7">
              <w:rPr>
                <w:bCs/>
                <w:color w:val="000000"/>
              </w:rPr>
              <w:t>84 (40.2%)</w:t>
            </w:r>
          </w:p>
        </w:tc>
      </w:tr>
      <w:tr w:rsidR="009A4790" w:rsidRPr="00C44FC7" w:rsidTr="009C54F6">
        <w:tc>
          <w:tcPr>
            <w:tcW w:w="4860" w:type="dxa"/>
          </w:tcPr>
          <w:p w:rsidR="009A4790" w:rsidRPr="00C44FC7" w:rsidRDefault="009A4790" w:rsidP="009C54F6">
            <w:pPr>
              <w:rPr>
                <w:bCs/>
                <w:color w:val="000000"/>
              </w:rPr>
            </w:pPr>
            <w:r w:rsidRPr="00C44FC7">
              <w:rPr>
                <w:bCs/>
                <w:color w:val="000000"/>
              </w:rPr>
              <w:t xml:space="preserve">Baseline </w:t>
            </w:r>
          </w:p>
          <w:p w:rsidR="009A4790" w:rsidRPr="00C44FC7" w:rsidRDefault="009A4790" w:rsidP="009C54F6">
            <w:pPr>
              <w:rPr>
                <w:bCs/>
                <w:color w:val="000000"/>
              </w:rPr>
            </w:pPr>
            <w:r w:rsidRPr="00C44FC7">
              <w:rPr>
                <w:bCs/>
                <w:color w:val="000000"/>
              </w:rPr>
              <w:t>CD4+ Cell Count  ≤200 cells/mm</w:t>
            </w:r>
            <w:r w:rsidRPr="00C44FC7">
              <w:rPr>
                <w:bCs/>
                <w:color w:val="000000"/>
                <w:vertAlign w:val="superscript"/>
              </w:rPr>
              <w:t>3</w:t>
            </w:r>
          </w:p>
        </w:tc>
        <w:tc>
          <w:tcPr>
            <w:tcW w:w="2520" w:type="dxa"/>
          </w:tcPr>
          <w:p w:rsidR="009A4790" w:rsidRPr="00C44FC7" w:rsidRDefault="009A4790" w:rsidP="009C54F6">
            <w:pPr>
              <w:jc w:val="center"/>
              <w:rPr>
                <w:bCs/>
                <w:color w:val="000000"/>
              </w:rPr>
            </w:pPr>
          </w:p>
          <w:p w:rsidR="009A4790" w:rsidRDefault="009A4790" w:rsidP="009C54F6">
            <w:pPr>
              <w:jc w:val="center"/>
              <w:rPr>
                <w:bCs/>
                <w:color w:val="000000"/>
              </w:rPr>
            </w:pPr>
            <w:r w:rsidRPr="00C44FC7">
              <w:rPr>
                <w:bCs/>
                <w:color w:val="000000"/>
              </w:rPr>
              <w:t>250 (58.7%)</w:t>
            </w:r>
          </w:p>
          <w:p w:rsidR="00BE526A" w:rsidRPr="00C44FC7" w:rsidRDefault="00BE526A" w:rsidP="009C54F6">
            <w:pPr>
              <w:jc w:val="center"/>
              <w:rPr>
                <w:bCs/>
                <w:color w:val="000000"/>
              </w:rPr>
            </w:pPr>
          </w:p>
        </w:tc>
        <w:tc>
          <w:tcPr>
            <w:tcW w:w="2340" w:type="dxa"/>
          </w:tcPr>
          <w:p w:rsidR="009A4790" w:rsidRPr="00C44FC7" w:rsidRDefault="009A4790" w:rsidP="009C54F6">
            <w:pPr>
              <w:jc w:val="center"/>
              <w:rPr>
                <w:bCs/>
                <w:color w:val="000000"/>
              </w:rPr>
            </w:pPr>
          </w:p>
          <w:p w:rsidR="009A4790" w:rsidRPr="00C44FC7" w:rsidRDefault="009A4790" w:rsidP="009C54F6">
            <w:pPr>
              <w:jc w:val="center"/>
              <w:rPr>
                <w:bCs/>
                <w:color w:val="000000"/>
              </w:rPr>
            </w:pPr>
            <w:r w:rsidRPr="00C44FC7">
              <w:rPr>
                <w:bCs/>
                <w:color w:val="000000"/>
              </w:rPr>
              <w:t>118 (56.5%)</w:t>
            </w:r>
          </w:p>
        </w:tc>
      </w:tr>
      <w:tr w:rsidR="009A4790" w:rsidRPr="00C44FC7" w:rsidTr="009C54F6">
        <w:tc>
          <w:tcPr>
            <w:tcW w:w="4860" w:type="dxa"/>
          </w:tcPr>
          <w:p w:rsidR="009A4790" w:rsidRPr="00C44FC7" w:rsidRDefault="00551A77" w:rsidP="009C54F6">
            <w:pPr>
              <w:rPr>
                <w:bCs/>
                <w:color w:val="000000"/>
                <w:vertAlign w:val="superscript"/>
              </w:rPr>
            </w:pPr>
            <w:r>
              <w:rPr>
                <w:bCs/>
                <w:color w:val="000000"/>
              </w:rPr>
              <w:lastRenderedPageBreak/>
              <w:t>Patients</w:t>
            </w:r>
            <w:r w:rsidR="009A4790" w:rsidRPr="00C44FC7">
              <w:rPr>
                <w:bCs/>
                <w:color w:val="000000"/>
              </w:rPr>
              <w:t xml:space="preserve"> with Overall Susceptibility Score (OSS):</w:t>
            </w:r>
            <w:r w:rsidR="009A4790" w:rsidRPr="00C44FC7">
              <w:rPr>
                <w:bCs/>
                <w:color w:val="000000"/>
                <w:vertAlign w:val="superscript"/>
              </w:rPr>
              <w:t>a</w:t>
            </w:r>
          </w:p>
          <w:p w:rsidR="009A4790" w:rsidRPr="00C44FC7" w:rsidRDefault="009A4790" w:rsidP="009C54F6">
            <w:pPr>
              <w:rPr>
                <w:bCs/>
                <w:color w:val="000000"/>
                <w:vertAlign w:val="superscript"/>
              </w:rPr>
            </w:pPr>
          </w:p>
          <w:p w:rsidR="009A4790" w:rsidRPr="00C44FC7" w:rsidRDefault="009A4790" w:rsidP="009C54F6">
            <w:pPr>
              <w:rPr>
                <w:bCs/>
                <w:color w:val="000000"/>
              </w:rPr>
            </w:pPr>
            <w:r w:rsidRPr="00C44FC7">
              <w:rPr>
                <w:bCs/>
                <w:color w:val="000000"/>
              </w:rPr>
              <w:tab/>
            </w:r>
            <w:r w:rsidRPr="00C44FC7">
              <w:rPr>
                <w:bCs/>
                <w:color w:val="000000"/>
              </w:rPr>
              <w:tab/>
              <w:t>0</w:t>
            </w:r>
          </w:p>
          <w:p w:rsidR="009A4790" w:rsidRPr="00C44FC7" w:rsidRDefault="009A4790" w:rsidP="009C54F6">
            <w:pPr>
              <w:rPr>
                <w:bCs/>
                <w:color w:val="000000"/>
              </w:rPr>
            </w:pPr>
            <w:r w:rsidRPr="00C44FC7">
              <w:rPr>
                <w:bCs/>
                <w:color w:val="000000"/>
              </w:rPr>
              <w:tab/>
            </w:r>
            <w:r w:rsidRPr="00C44FC7">
              <w:rPr>
                <w:bCs/>
                <w:color w:val="000000"/>
              </w:rPr>
              <w:tab/>
              <w:t>1</w:t>
            </w:r>
          </w:p>
          <w:p w:rsidR="009A4790" w:rsidRPr="00C44FC7" w:rsidRDefault="009A4790" w:rsidP="009C54F6">
            <w:pPr>
              <w:rPr>
                <w:bCs/>
                <w:color w:val="000000"/>
              </w:rPr>
            </w:pPr>
            <w:r w:rsidRPr="00C44FC7">
              <w:rPr>
                <w:bCs/>
                <w:color w:val="000000"/>
              </w:rPr>
              <w:tab/>
            </w:r>
            <w:r w:rsidRPr="00C44FC7">
              <w:rPr>
                <w:bCs/>
                <w:color w:val="000000"/>
              </w:rPr>
              <w:tab/>
              <w:t>2</w:t>
            </w:r>
          </w:p>
          <w:p w:rsidR="009A4790" w:rsidRPr="00C44FC7" w:rsidDel="00D35748" w:rsidRDefault="009A4790" w:rsidP="009C54F6">
            <w:pPr>
              <w:rPr>
                <w:bCs/>
                <w:color w:val="000000"/>
                <w:u w:val="single"/>
              </w:rPr>
            </w:pPr>
            <w:r w:rsidRPr="00C44FC7">
              <w:rPr>
                <w:bCs/>
                <w:color w:val="000000"/>
              </w:rPr>
              <w:tab/>
            </w:r>
            <w:r w:rsidRPr="00C44FC7">
              <w:rPr>
                <w:bCs/>
                <w:color w:val="000000"/>
              </w:rPr>
              <w:tab/>
            </w:r>
            <w:r w:rsidRPr="00C44FC7">
              <w:rPr>
                <w:bCs/>
                <w:color w:val="000000"/>
                <w:u w:val="single"/>
              </w:rPr>
              <w:t>&gt;</w:t>
            </w:r>
            <w:r w:rsidRPr="00C44FC7">
              <w:rPr>
                <w:bCs/>
                <w:color w:val="000000"/>
              </w:rPr>
              <w:t>3</w:t>
            </w:r>
          </w:p>
        </w:tc>
        <w:tc>
          <w:tcPr>
            <w:tcW w:w="2520" w:type="dxa"/>
          </w:tcPr>
          <w:p w:rsidR="009A4790" w:rsidRPr="00C44FC7" w:rsidRDefault="009A4790" w:rsidP="009C54F6">
            <w:pPr>
              <w:jc w:val="center"/>
              <w:rPr>
                <w:bCs/>
                <w:color w:val="000000"/>
              </w:rPr>
            </w:pPr>
          </w:p>
          <w:p w:rsidR="009A4790" w:rsidRPr="00C44FC7" w:rsidRDefault="009A4790" w:rsidP="009C54F6">
            <w:pPr>
              <w:jc w:val="center"/>
              <w:rPr>
                <w:bCs/>
                <w:color w:val="000000"/>
              </w:rPr>
            </w:pPr>
          </w:p>
          <w:p w:rsidR="009A4790" w:rsidRPr="00C44FC7" w:rsidRDefault="009A4790" w:rsidP="009C54F6">
            <w:pPr>
              <w:jc w:val="center"/>
              <w:rPr>
                <w:bCs/>
                <w:color w:val="000000"/>
              </w:rPr>
            </w:pPr>
          </w:p>
          <w:p w:rsidR="009A4790" w:rsidRPr="00C44FC7" w:rsidRDefault="009A4790" w:rsidP="009C54F6">
            <w:pPr>
              <w:jc w:val="center"/>
              <w:rPr>
                <w:bCs/>
                <w:color w:val="000000"/>
              </w:rPr>
            </w:pPr>
            <w:r w:rsidRPr="00C44FC7">
              <w:rPr>
                <w:bCs/>
                <w:color w:val="000000"/>
              </w:rPr>
              <w:t>57 (13.4%)</w:t>
            </w:r>
          </w:p>
          <w:p w:rsidR="009A4790" w:rsidRPr="00C44FC7" w:rsidRDefault="009A4790" w:rsidP="009C54F6">
            <w:pPr>
              <w:jc w:val="center"/>
              <w:rPr>
                <w:bCs/>
                <w:color w:val="000000"/>
              </w:rPr>
            </w:pPr>
            <w:r w:rsidRPr="00C44FC7">
              <w:rPr>
                <w:bCs/>
                <w:color w:val="000000"/>
              </w:rPr>
              <w:t>136 (31.9%)</w:t>
            </w:r>
          </w:p>
          <w:p w:rsidR="009A4790" w:rsidRPr="00C44FC7" w:rsidRDefault="009A4790" w:rsidP="009C54F6">
            <w:pPr>
              <w:jc w:val="center"/>
              <w:rPr>
                <w:bCs/>
                <w:color w:val="000000"/>
              </w:rPr>
            </w:pPr>
            <w:r w:rsidRPr="00C44FC7">
              <w:rPr>
                <w:bCs/>
                <w:color w:val="000000"/>
              </w:rPr>
              <w:t>104 (24.4%)</w:t>
            </w:r>
          </w:p>
          <w:p w:rsidR="009A4790" w:rsidRPr="00C44FC7" w:rsidRDefault="009A4790" w:rsidP="00942E2E">
            <w:pPr>
              <w:jc w:val="center"/>
              <w:rPr>
                <w:bCs/>
                <w:color w:val="000000"/>
              </w:rPr>
            </w:pPr>
            <w:r w:rsidRPr="00C44FC7">
              <w:rPr>
                <w:bCs/>
                <w:color w:val="000000"/>
              </w:rPr>
              <w:t>125 (29.3%)</w:t>
            </w:r>
          </w:p>
        </w:tc>
        <w:tc>
          <w:tcPr>
            <w:tcW w:w="2340" w:type="dxa"/>
          </w:tcPr>
          <w:p w:rsidR="009A4790" w:rsidRPr="00C44FC7" w:rsidRDefault="009A4790" w:rsidP="009C54F6">
            <w:pPr>
              <w:jc w:val="center"/>
              <w:rPr>
                <w:bCs/>
                <w:color w:val="000000"/>
              </w:rPr>
            </w:pPr>
          </w:p>
          <w:p w:rsidR="009A4790" w:rsidRPr="00C44FC7" w:rsidRDefault="009A4790" w:rsidP="009C54F6">
            <w:pPr>
              <w:jc w:val="center"/>
              <w:rPr>
                <w:bCs/>
                <w:color w:val="000000"/>
              </w:rPr>
            </w:pPr>
          </w:p>
          <w:p w:rsidR="009A4790" w:rsidRPr="00C44FC7" w:rsidRDefault="009A4790" w:rsidP="009C54F6">
            <w:pPr>
              <w:jc w:val="center"/>
              <w:rPr>
                <w:bCs/>
                <w:color w:val="000000"/>
              </w:rPr>
            </w:pPr>
          </w:p>
          <w:p w:rsidR="009A4790" w:rsidRPr="00C44FC7" w:rsidRDefault="009A4790" w:rsidP="009C54F6">
            <w:pPr>
              <w:jc w:val="center"/>
              <w:rPr>
                <w:bCs/>
                <w:color w:val="000000"/>
              </w:rPr>
            </w:pPr>
            <w:r w:rsidRPr="00C44FC7">
              <w:rPr>
                <w:bCs/>
                <w:color w:val="000000"/>
              </w:rPr>
              <w:t>35 (16.7%)</w:t>
            </w:r>
          </w:p>
          <w:p w:rsidR="009A4790" w:rsidRPr="00C44FC7" w:rsidRDefault="009A4790" w:rsidP="009C54F6">
            <w:pPr>
              <w:jc w:val="center"/>
              <w:rPr>
                <w:bCs/>
                <w:color w:val="000000"/>
              </w:rPr>
            </w:pPr>
            <w:r w:rsidRPr="00C44FC7">
              <w:rPr>
                <w:bCs/>
                <w:color w:val="000000"/>
              </w:rPr>
              <w:t>44 (21.1%)</w:t>
            </w:r>
          </w:p>
          <w:p w:rsidR="009A4790" w:rsidRPr="00C44FC7" w:rsidRDefault="009A4790" w:rsidP="009C54F6">
            <w:pPr>
              <w:jc w:val="center"/>
              <w:rPr>
                <w:bCs/>
                <w:color w:val="000000"/>
              </w:rPr>
            </w:pPr>
            <w:r w:rsidRPr="00C44FC7">
              <w:rPr>
                <w:bCs/>
                <w:color w:val="000000"/>
              </w:rPr>
              <w:t>59 (28.2%)</w:t>
            </w:r>
          </w:p>
          <w:p w:rsidR="009A4790" w:rsidRPr="00C44FC7" w:rsidRDefault="009A4790" w:rsidP="009C54F6">
            <w:pPr>
              <w:jc w:val="center"/>
              <w:rPr>
                <w:bCs/>
                <w:color w:val="000000"/>
              </w:rPr>
            </w:pPr>
            <w:r w:rsidRPr="00C44FC7">
              <w:rPr>
                <w:bCs/>
                <w:color w:val="000000"/>
              </w:rPr>
              <w:t>66 (31.6%)</w:t>
            </w:r>
          </w:p>
        </w:tc>
      </w:tr>
      <w:tr w:rsidR="009A4790" w:rsidRPr="00C44FC7" w:rsidTr="009C54F6">
        <w:tc>
          <w:tcPr>
            <w:tcW w:w="4860" w:type="dxa"/>
          </w:tcPr>
          <w:p w:rsidR="009A4790" w:rsidRPr="00C44FC7" w:rsidDel="00D35748" w:rsidRDefault="00551A77" w:rsidP="009C54F6">
            <w:pPr>
              <w:rPr>
                <w:bCs/>
                <w:color w:val="000000"/>
              </w:rPr>
            </w:pPr>
            <w:r>
              <w:rPr>
                <w:bCs/>
                <w:color w:val="000000"/>
              </w:rPr>
              <w:t>Patients</w:t>
            </w:r>
            <w:r w:rsidR="009A4790" w:rsidRPr="00C44FC7">
              <w:rPr>
                <w:bCs/>
                <w:color w:val="000000"/>
              </w:rPr>
              <w:t xml:space="preserve"> with </w:t>
            </w:r>
            <w:proofErr w:type="spellStart"/>
            <w:r w:rsidR="009A4790" w:rsidRPr="00C44FC7">
              <w:rPr>
                <w:bCs/>
                <w:color w:val="000000"/>
              </w:rPr>
              <w:t>enfuvirtide</w:t>
            </w:r>
            <w:proofErr w:type="spellEnd"/>
            <w:r w:rsidR="009A4790" w:rsidRPr="00C44FC7">
              <w:rPr>
                <w:bCs/>
                <w:color w:val="000000"/>
              </w:rPr>
              <w:t xml:space="preserve"> resistance mutations</w:t>
            </w:r>
          </w:p>
        </w:tc>
        <w:tc>
          <w:tcPr>
            <w:tcW w:w="2520" w:type="dxa"/>
          </w:tcPr>
          <w:p w:rsidR="009A4790" w:rsidRPr="00C44FC7" w:rsidRDefault="009A4790" w:rsidP="009C54F6">
            <w:pPr>
              <w:jc w:val="center"/>
              <w:rPr>
                <w:bCs/>
                <w:color w:val="000000"/>
              </w:rPr>
            </w:pPr>
            <w:r w:rsidRPr="00C44FC7">
              <w:rPr>
                <w:bCs/>
                <w:color w:val="000000"/>
              </w:rPr>
              <w:t>90 (21.2%)</w:t>
            </w:r>
          </w:p>
        </w:tc>
        <w:tc>
          <w:tcPr>
            <w:tcW w:w="2340" w:type="dxa"/>
          </w:tcPr>
          <w:p w:rsidR="009A4790" w:rsidRPr="00C44FC7" w:rsidRDefault="009B1DEB" w:rsidP="009B1DEB">
            <w:pPr>
              <w:jc w:val="center"/>
              <w:rPr>
                <w:bCs/>
                <w:color w:val="000000"/>
              </w:rPr>
            </w:pPr>
            <w:r>
              <w:rPr>
                <w:bCs/>
                <w:color w:val="000000"/>
              </w:rPr>
              <w:t>44</w:t>
            </w:r>
            <w:r w:rsidR="009A4790" w:rsidRPr="00C44FC7">
              <w:rPr>
                <w:bCs/>
                <w:color w:val="000000"/>
              </w:rPr>
              <w:t xml:space="preserve"> (21.</w:t>
            </w:r>
            <w:r>
              <w:rPr>
                <w:bCs/>
                <w:color w:val="000000"/>
              </w:rPr>
              <w:t>2</w:t>
            </w:r>
            <w:r w:rsidR="009A4790" w:rsidRPr="00C44FC7">
              <w:rPr>
                <w:bCs/>
                <w:color w:val="000000"/>
              </w:rPr>
              <w:t>%)</w:t>
            </w:r>
          </w:p>
        </w:tc>
      </w:tr>
      <w:tr w:rsidR="009A4790" w:rsidRPr="00541C2C" w:rsidTr="009C54F6">
        <w:tc>
          <w:tcPr>
            <w:tcW w:w="4860" w:type="dxa"/>
          </w:tcPr>
          <w:p w:rsidR="009A4790" w:rsidRPr="00541C2C" w:rsidRDefault="009A4790" w:rsidP="009C54F6">
            <w:pPr>
              <w:rPr>
                <w:bCs/>
                <w:color w:val="000000" w:themeColor="text1"/>
                <w:vertAlign w:val="superscript"/>
              </w:rPr>
            </w:pPr>
            <w:r w:rsidRPr="00541C2C">
              <w:rPr>
                <w:bCs/>
                <w:color w:val="000000" w:themeColor="text1"/>
              </w:rPr>
              <w:t>Median Number of Resistance-</w:t>
            </w:r>
            <w:proofErr w:type="spellStart"/>
            <w:r w:rsidRPr="00541C2C">
              <w:rPr>
                <w:bCs/>
                <w:color w:val="000000" w:themeColor="text1"/>
              </w:rPr>
              <w:t>Associated:</w:t>
            </w:r>
            <w:r w:rsidRPr="00541C2C">
              <w:rPr>
                <w:bCs/>
                <w:color w:val="000000" w:themeColor="text1"/>
                <w:vertAlign w:val="superscript"/>
              </w:rPr>
              <w:t>b</w:t>
            </w:r>
            <w:proofErr w:type="spellEnd"/>
          </w:p>
          <w:p w:rsidR="009A4790" w:rsidRPr="00541C2C" w:rsidRDefault="009A4790" w:rsidP="009C54F6">
            <w:pPr>
              <w:rPr>
                <w:bCs/>
                <w:color w:val="000000" w:themeColor="text1"/>
                <w:vertAlign w:val="superscript"/>
              </w:rPr>
            </w:pPr>
          </w:p>
          <w:p w:rsidR="009A4790" w:rsidRPr="00541C2C" w:rsidRDefault="009A4790" w:rsidP="009C54F6">
            <w:pPr>
              <w:rPr>
                <w:bCs/>
                <w:color w:val="000000" w:themeColor="text1"/>
                <w:lang w:val="fr-FR"/>
              </w:rPr>
            </w:pPr>
            <w:r w:rsidRPr="00541C2C">
              <w:rPr>
                <w:bCs/>
                <w:color w:val="000000" w:themeColor="text1"/>
              </w:rPr>
              <w:tab/>
            </w:r>
            <w:r w:rsidRPr="00541C2C">
              <w:rPr>
                <w:bCs/>
                <w:color w:val="000000" w:themeColor="text1"/>
              </w:rPr>
              <w:tab/>
            </w:r>
            <w:r w:rsidRPr="00541C2C">
              <w:rPr>
                <w:bCs/>
                <w:color w:val="000000" w:themeColor="text1"/>
                <w:lang w:val="fr-FR"/>
              </w:rPr>
              <w:t>PI mutations</w:t>
            </w:r>
          </w:p>
          <w:p w:rsidR="009A4790" w:rsidRPr="00541C2C" w:rsidRDefault="009A4790" w:rsidP="009C54F6">
            <w:pPr>
              <w:rPr>
                <w:bCs/>
                <w:color w:val="000000" w:themeColor="text1"/>
                <w:lang w:val="fr-FR"/>
              </w:rPr>
            </w:pPr>
            <w:r w:rsidRPr="00541C2C">
              <w:rPr>
                <w:bCs/>
                <w:color w:val="000000" w:themeColor="text1"/>
                <w:lang w:val="fr-FR"/>
              </w:rPr>
              <w:tab/>
            </w:r>
            <w:r w:rsidRPr="00541C2C">
              <w:rPr>
                <w:bCs/>
                <w:color w:val="000000" w:themeColor="text1"/>
                <w:lang w:val="fr-FR"/>
              </w:rPr>
              <w:tab/>
              <w:t>NNRTI mutations</w:t>
            </w:r>
          </w:p>
          <w:p w:rsidR="009A4790" w:rsidRPr="00541C2C" w:rsidDel="00D35748" w:rsidRDefault="009A4790" w:rsidP="009C54F6">
            <w:pPr>
              <w:rPr>
                <w:bCs/>
                <w:color w:val="000000" w:themeColor="text1"/>
                <w:lang w:val="fr-FR"/>
              </w:rPr>
            </w:pPr>
            <w:r w:rsidRPr="00541C2C">
              <w:rPr>
                <w:bCs/>
                <w:color w:val="000000" w:themeColor="text1"/>
                <w:lang w:val="fr-FR"/>
              </w:rPr>
              <w:tab/>
            </w:r>
            <w:r w:rsidRPr="00541C2C">
              <w:rPr>
                <w:bCs/>
                <w:color w:val="000000" w:themeColor="text1"/>
                <w:lang w:val="fr-FR"/>
              </w:rPr>
              <w:tab/>
              <w:t>NRTI mutations</w:t>
            </w:r>
          </w:p>
        </w:tc>
        <w:tc>
          <w:tcPr>
            <w:tcW w:w="2520" w:type="dxa"/>
          </w:tcPr>
          <w:p w:rsidR="009A4790" w:rsidRPr="00541C2C" w:rsidRDefault="009A4790" w:rsidP="009C54F6">
            <w:pPr>
              <w:jc w:val="center"/>
              <w:rPr>
                <w:bCs/>
                <w:color w:val="000000" w:themeColor="text1"/>
                <w:lang w:val="fr-FR"/>
              </w:rPr>
            </w:pPr>
          </w:p>
          <w:p w:rsidR="009A4790" w:rsidRPr="00541C2C" w:rsidRDefault="009A4790" w:rsidP="009C54F6">
            <w:pPr>
              <w:jc w:val="center"/>
              <w:rPr>
                <w:bCs/>
                <w:color w:val="000000" w:themeColor="text1"/>
                <w:lang w:val="fr-FR"/>
              </w:rPr>
            </w:pPr>
          </w:p>
          <w:p w:rsidR="009A4790" w:rsidRPr="00541C2C" w:rsidRDefault="009A4790" w:rsidP="009C54F6">
            <w:pPr>
              <w:jc w:val="center"/>
              <w:rPr>
                <w:bCs/>
                <w:color w:val="000000" w:themeColor="text1"/>
              </w:rPr>
            </w:pPr>
            <w:r w:rsidRPr="00541C2C">
              <w:rPr>
                <w:bCs/>
                <w:color w:val="000000" w:themeColor="text1"/>
              </w:rPr>
              <w:t>10</w:t>
            </w:r>
          </w:p>
          <w:p w:rsidR="009A4790" w:rsidRPr="00541C2C" w:rsidRDefault="009A4790" w:rsidP="009C54F6">
            <w:pPr>
              <w:jc w:val="center"/>
              <w:rPr>
                <w:bCs/>
                <w:color w:val="000000" w:themeColor="text1"/>
              </w:rPr>
            </w:pPr>
            <w:r w:rsidRPr="00541C2C">
              <w:rPr>
                <w:bCs/>
                <w:color w:val="000000" w:themeColor="text1"/>
              </w:rPr>
              <w:t>1</w:t>
            </w:r>
          </w:p>
          <w:p w:rsidR="009A4790" w:rsidRPr="00541C2C" w:rsidRDefault="009A4790" w:rsidP="00E64068">
            <w:pPr>
              <w:jc w:val="center"/>
              <w:rPr>
                <w:bCs/>
                <w:color w:val="000000" w:themeColor="text1"/>
              </w:rPr>
            </w:pPr>
            <w:r w:rsidRPr="00541C2C">
              <w:rPr>
                <w:bCs/>
                <w:color w:val="000000" w:themeColor="text1"/>
              </w:rPr>
              <w:t>6</w:t>
            </w:r>
          </w:p>
        </w:tc>
        <w:tc>
          <w:tcPr>
            <w:tcW w:w="2340" w:type="dxa"/>
          </w:tcPr>
          <w:p w:rsidR="009A4790" w:rsidRPr="00541C2C" w:rsidRDefault="009A4790" w:rsidP="009C54F6">
            <w:pPr>
              <w:jc w:val="center"/>
              <w:rPr>
                <w:bCs/>
                <w:color w:val="000000" w:themeColor="text1"/>
              </w:rPr>
            </w:pPr>
          </w:p>
          <w:p w:rsidR="009A4790" w:rsidRPr="00541C2C" w:rsidRDefault="009A4790" w:rsidP="009C54F6">
            <w:pPr>
              <w:jc w:val="center"/>
              <w:rPr>
                <w:bCs/>
                <w:color w:val="000000" w:themeColor="text1"/>
              </w:rPr>
            </w:pPr>
          </w:p>
          <w:p w:rsidR="009A4790" w:rsidRPr="00541C2C" w:rsidRDefault="009A4790" w:rsidP="009C54F6">
            <w:pPr>
              <w:jc w:val="center"/>
              <w:rPr>
                <w:bCs/>
                <w:color w:val="000000" w:themeColor="text1"/>
              </w:rPr>
            </w:pPr>
            <w:r w:rsidRPr="00541C2C">
              <w:rPr>
                <w:bCs/>
                <w:color w:val="000000" w:themeColor="text1"/>
              </w:rPr>
              <w:t>10</w:t>
            </w:r>
          </w:p>
          <w:p w:rsidR="009A4790" w:rsidRPr="00541C2C" w:rsidRDefault="009A4790" w:rsidP="009C54F6">
            <w:pPr>
              <w:jc w:val="center"/>
              <w:rPr>
                <w:bCs/>
                <w:color w:val="000000" w:themeColor="text1"/>
              </w:rPr>
            </w:pPr>
            <w:r w:rsidRPr="00541C2C">
              <w:rPr>
                <w:bCs/>
                <w:color w:val="000000" w:themeColor="text1"/>
              </w:rPr>
              <w:t>1</w:t>
            </w:r>
          </w:p>
          <w:p w:rsidR="009A4790" w:rsidRPr="00541C2C" w:rsidRDefault="009A4790" w:rsidP="009C54F6">
            <w:pPr>
              <w:jc w:val="center"/>
              <w:rPr>
                <w:bCs/>
                <w:color w:val="000000" w:themeColor="text1"/>
              </w:rPr>
            </w:pPr>
            <w:r w:rsidRPr="00541C2C">
              <w:rPr>
                <w:bCs/>
                <w:color w:val="000000" w:themeColor="text1"/>
              </w:rPr>
              <w:t>6</w:t>
            </w:r>
          </w:p>
        </w:tc>
      </w:tr>
    </w:tbl>
    <w:p w:rsidR="009A4790" w:rsidRPr="00541C2C" w:rsidRDefault="009A4790" w:rsidP="009A4790">
      <w:pPr>
        <w:rPr>
          <w:color w:val="000000" w:themeColor="text1"/>
          <w:sz w:val="20"/>
          <w:szCs w:val="20"/>
        </w:rPr>
      </w:pPr>
      <w:proofErr w:type="gramStart"/>
      <w:r w:rsidRPr="00541C2C">
        <w:rPr>
          <w:color w:val="000000" w:themeColor="text1"/>
          <w:sz w:val="20"/>
          <w:szCs w:val="20"/>
          <w:vertAlign w:val="superscript"/>
        </w:rPr>
        <w:t>a</w:t>
      </w:r>
      <w:proofErr w:type="gramEnd"/>
      <w:r w:rsidRPr="00541C2C">
        <w:rPr>
          <w:color w:val="000000" w:themeColor="text1"/>
          <w:sz w:val="20"/>
          <w:szCs w:val="20"/>
        </w:rPr>
        <w:t xml:space="preserve"> OSS – Sum of active drugs in OBT based on combined information from genotypic and phenotypic testing.</w:t>
      </w:r>
    </w:p>
    <w:p w:rsidR="009A4790" w:rsidRPr="00541C2C" w:rsidRDefault="009A4790" w:rsidP="009A4790">
      <w:pPr>
        <w:rPr>
          <w:color w:val="000000" w:themeColor="text1"/>
        </w:rPr>
      </w:pPr>
      <w:proofErr w:type="gramStart"/>
      <w:r w:rsidRPr="00541C2C">
        <w:rPr>
          <w:color w:val="000000" w:themeColor="text1"/>
          <w:sz w:val="20"/>
          <w:szCs w:val="20"/>
          <w:vertAlign w:val="superscript"/>
        </w:rPr>
        <w:t>b</w:t>
      </w:r>
      <w:proofErr w:type="gramEnd"/>
      <w:r w:rsidRPr="00541C2C">
        <w:rPr>
          <w:color w:val="000000" w:themeColor="text1"/>
          <w:sz w:val="20"/>
          <w:szCs w:val="20"/>
        </w:rPr>
        <w:t xml:space="preserve"> Resistance mutations based on International Aids Society guidelines</w:t>
      </w:r>
    </w:p>
    <w:p w:rsidR="009A4790" w:rsidRPr="00D1382C" w:rsidRDefault="009A4790" w:rsidP="003F26BC">
      <w:pPr>
        <w:spacing w:before="120" w:after="120"/>
        <w:jc w:val="both"/>
        <w:rPr>
          <w:bCs/>
          <w:color w:val="000000"/>
        </w:rPr>
      </w:pPr>
      <w:r w:rsidRPr="00541C2C">
        <w:rPr>
          <w:bCs/>
          <w:color w:val="000000" w:themeColor="text1"/>
        </w:rPr>
        <w:t>Limited numbers of patients from races other than Caucasian were included in the pivotal clinical</w:t>
      </w:r>
      <w:r w:rsidR="0016624A" w:rsidRPr="00541C2C">
        <w:rPr>
          <w:bCs/>
          <w:color w:val="000000" w:themeColor="text1"/>
        </w:rPr>
        <w:t xml:space="preserve"> </w:t>
      </w:r>
      <w:r w:rsidR="0014691A" w:rsidRPr="00541C2C">
        <w:rPr>
          <w:bCs/>
          <w:color w:val="000000" w:themeColor="text1"/>
        </w:rPr>
        <w:t>studies</w:t>
      </w:r>
      <w:r w:rsidR="0014691A">
        <w:rPr>
          <w:bCs/>
          <w:color w:val="000000"/>
        </w:rPr>
        <w:t>;</w:t>
      </w:r>
      <w:r>
        <w:rPr>
          <w:bCs/>
          <w:color w:val="000000"/>
        </w:rPr>
        <w:t xml:space="preserve"> therefore very limited data are available in these patient populations.</w:t>
      </w:r>
    </w:p>
    <w:p w:rsidR="009A4790" w:rsidRPr="00371803" w:rsidRDefault="009A4790" w:rsidP="009A4790">
      <w:pPr>
        <w:tabs>
          <w:tab w:val="left" w:pos="9000"/>
        </w:tabs>
        <w:spacing w:after="240"/>
        <w:jc w:val="both"/>
      </w:pPr>
      <w:r w:rsidRPr="00371803">
        <w:t>After 24 weeks of therapy, the mean change in plasma HIV-1 RNA from baseline to week 24 was -1.96 log</w:t>
      </w:r>
      <w:r w:rsidRPr="00371803">
        <w:rPr>
          <w:vertAlign w:val="subscript"/>
        </w:rPr>
        <w:t>10</w:t>
      </w:r>
      <w:r w:rsidRPr="00371803">
        <w:t> copies/mL for patients receiving CELSENTRI 300 mg twice daily + OBT compared to -0.99 log</w:t>
      </w:r>
      <w:r w:rsidRPr="00371803">
        <w:rPr>
          <w:vertAlign w:val="subscript"/>
        </w:rPr>
        <w:t>10</w:t>
      </w:r>
      <w:r w:rsidRPr="00371803">
        <w:t> copies/mL for patients receiving OBT alone. The mean increase in CD4+ counts was higher on CELSENTRI 300 mg twice daily + OBT (106.34 cells/mm</w:t>
      </w:r>
      <w:r w:rsidRPr="00371803">
        <w:rPr>
          <w:vertAlign w:val="superscript"/>
        </w:rPr>
        <w:t>3</w:t>
      </w:r>
      <w:r w:rsidRPr="00371803">
        <w:t>) than on OBT alone (57.37 cells/mm</w:t>
      </w:r>
      <w:r w:rsidRPr="00371803">
        <w:rPr>
          <w:vertAlign w:val="superscript"/>
        </w:rPr>
        <w:t>3</w:t>
      </w:r>
      <w:r w:rsidRPr="00371803">
        <w:t>). The proportion of subjects with HIV-1 RNA &lt;400/&lt;50 copies/mL was 60.8%/45.3% for patients receiving CELSENTRI 300 mg twice daily + OBT, compared to 27.8%/23% for patients receiving OBT alone.</w:t>
      </w:r>
    </w:p>
    <w:p w:rsidR="009A4790" w:rsidRPr="00564C8A" w:rsidRDefault="009A4790" w:rsidP="009A4790">
      <w:pPr>
        <w:ind w:left="-180"/>
      </w:pPr>
      <w:r w:rsidRPr="00822D4F">
        <w:rPr>
          <w:b/>
          <w:bCs/>
          <w:color w:val="000000"/>
        </w:rPr>
        <w:t xml:space="preserve">Table </w:t>
      </w:r>
      <w:r>
        <w:rPr>
          <w:b/>
          <w:bCs/>
          <w:color w:val="000000"/>
        </w:rPr>
        <w:t>2</w:t>
      </w:r>
      <w:r w:rsidRPr="00822D4F">
        <w:rPr>
          <w:b/>
          <w:bCs/>
          <w:color w:val="000000"/>
        </w:rPr>
        <w:t>:</w:t>
      </w:r>
      <w:r>
        <w:rPr>
          <w:b/>
          <w:bCs/>
          <w:color w:val="000000"/>
        </w:rPr>
        <w:t xml:space="preserve"> </w:t>
      </w:r>
      <w:r w:rsidRPr="00564C8A">
        <w:rPr>
          <w:b/>
          <w:bCs/>
          <w:color w:val="000000"/>
        </w:rPr>
        <w:t xml:space="preserve"> Outcomes of </w:t>
      </w:r>
      <w:r>
        <w:rPr>
          <w:b/>
          <w:bCs/>
          <w:color w:val="000000"/>
        </w:rPr>
        <w:t>r</w:t>
      </w:r>
      <w:r w:rsidRPr="00564C8A">
        <w:rPr>
          <w:b/>
          <w:bCs/>
          <w:color w:val="000000"/>
        </w:rPr>
        <w:t xml:space="preserve">andomised </w:t>
      </w:r>
      <w:r>
        <w:rPr>
          <w:b/>
          <w:bCs/>
          <w:color w:val="000000"/>
        </w:rPr>
        <w:t>t</w:t>
      </w:r>
      <w:r w:rsidRPr="00564C8A">
        <w:rPr>
          <w:b/>
          <w:bCs/>
          <w:color w:val="000000"/>
        </w:rPr>
        <w:t>reatment at Week 4</w:t>
      </w:r>
      <w:r>
        <w:rPr>
          <w:b/>
          <w:bCs/>
          <w:color w:val="000000"/>
        </w:rPr>
        <w:t>8</w:t>
      </w:r>
      <w:r w:rsidRPr="00564C8A">
        <w:rPr>
          <w:b/>
          <w:bCs/>
          <w:color w:val="000000"/>
        </w:rPr>
        <w:t xml:space="preserve"> (</w:t>
      </w:r>
      <w:r>
        <w:rPr>
          <w:b/>
          <w:bCs/>
          <w:color w:val="000000"/>
        </w:rPr>
        <w:t>p</w:t>
      </w:r>
      <w:r w:rsidRPr="00564C8A">
        <w:rPr>
          <w:b/>
          <w:bCs/>
          <w:color w:val="000000"/>
        </w:rPr>
        <w:t xml:space="preserve">ooled </w:t>
      </w:r>
      <w:proofErr w:type="gramStart"/>
      <w:r>
        <w:rPr>
          <w:b/>
          <w:bCs/>
          <w:color w:val="000000"/>
        </w:rPr>
        <w:t>s</w:t>
      </w:r>
      <w:r w:rsidRPr="00564C8A">
        <w:rPr>
          <w:b/>
          <w:bCs/>
          <w:color w:val="000000"/>
        </w:rPr>
        <w:t>tudies  MOTIVATE</w:t>
      </w:r>
      <w:proofErr w:type="gramEnd"/>
      <w:r w:rsidRPr="00564C8A">
        <w:rPr>
          <w:b/>
          <w:bCs/>
          <w:color w:val="000000"/>
        </w:rPr>
        <w:t xml:space="preserve">-1 and </w:t>
      </w:r>
      <w:r w:rsidR="00E64068">
        <w:rPr>
          <w:b/>
          <w:bCs/>
          <w:color w:val="000000"/>
        </w:rPr>
        <w:t>MOTIVATE</w:t>
      </w:r>
      <w:r w:rsidRPr="00564C8A">
        <w:rPr>
          <w:b/>
          <w:bCs/>
          <w:color w:val="000000"/>
        </w:rPr>
        <w:t>-2)</w:t>
      </w:r>
    </w:p>
    <w:tbl>
      <w:tblP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378"/>
        <w:gridCol w:w="1934"/>
      </w:tblGrid>
      <w:tr w:rsidR="009A4790" w:rsidRPr="00C44FC7" w:rsidTr="003F26BC">
        <w:trPr>
          <w:tblHeader/>
        </w:trPr>
        <w:tc>
          <w:tcPr>
            <w:tcW w:w="2628" w:type="dxa"/>
            <w:vAlign w:val="center"/>
          </w:tcPr>
          <w:p w:rsidR="009A4790" w:rsidRPr="00C44FC7" w:rsidRDefault="009A4790" w:rsidP="003F26BC">
            <w:pPr>
              <w:rPr>
                <w:b/>
                <w:color w:val="000000"/>
                <w:szCs w:val="22"/>
              </w:rPr>
            </w:pPr>
            <w:r w:rsidRPr="00C44FC7">
              <w:rPr>
                <w:b/>
                <w:color w:val="000000"/>
                <w:szCs w:val="22"/>
              </w:rPr>
              <w:t>Outcomes</w:t>
            </w:r>
          </w:p>
        </w:tc>
        <w:tc>
          <w:tcPr>
            <w:tcW w:w="1620" w:type="dxa"/>
          </w:tcPr>
          <w:p w:rsidR="009A4790" w:rsidRPr="00C44FC7" w:rsidRDefault="009A4790" w:rsidP="009C54F6">
            <w:pPr>
              <w:jc w:val="center"/>
              <w:rPr>
                <w:b/>
                <w:color w:val="000000"/>
                <w:szCs w:val="22"/>
              </w:rPr>
            </w:pPr>
            <w:r w:rsidRPr="00C44FC7">
              <w:rPr>
                <w:b/>
                <w:color w:val="000000"/>
                <w:szCs w:val="22"/>
              </w:rPr>
              <w:t>CELSENTRI 300 mg</w:t>
            </w:r>
          </w:p>
          <w:p w:rsidR="009A4790" w:rsidRPr="00C44FC7" w:rsidRDefault="009A4790" w:rsidP="009C54F6">
            <w:pPr>
              <w:jc w:val="center"/>
              <w:rPr>
                <w:b/>
                <w:color w:val="000000"/>
                <w:szCs w:val="22"/>
              </w:rPr>
            </w:pPr>
            <w:r w:rsidRPr="00C44FC7">
              <w:rPr>
                <w:b/>
                <w:color w:val="000000"/>
                <w:szCs w:val="22"/>
              </w:rPr>
              <w:t>twice daily</w:t>
            </w:r>
          </w:p>
          <w:p w:rsidR="009A4790" w:rsidRPr="00C44FC7" w:rsidRDefault="009A4790" w:rsidP="009C54F6">
            <w:pPr>
              <w:jc w:val="center"/>
              <w:rPr>
                <w:b/>
                <w:color w:val="000000"/>
                <w:szCs w:val="22"/>
              </w:rPr>
            </w:pPr>
            <w:r w:rsidRPr="00C44FC7">
              <w:rPr>
                <w:b/>
                <w:color w:val="000000"/>
                <w:szCs w:val="22"/>
              </w:rPr>
              <w:t>+ OBT</w:t>
            </w:r>
            <w:r w:rsidRPr="00C44FC7">
              <w:rPr>
                <w:b/>
                <w:color w:val="000000"/>
                <w:szCs w:val="22"/>
              </w:rPr>
              <w:br/>
              <w:t xml:space="preserve">     N=426</w:t>
            </w:r>
          </w:p>
        </w:tc>
        <w:tc>
          <w:tcPr>
            <w:tcW w:w="1378" w:type="dxa"/>
          </w:tcPr>
          <w:p w:rsidR="009A4790" w:rsidRPr="00C44FC7" w:rsidRDefault="009A4790" w:rsidP="009C54F6">
            <w:pPr>
              <w:jc w:val="center"/>
              <w:rPr>
                <w:b/>
                <w:color w:val="000000"/>
                <w:szCs w:val="22"/>
              </w:rPr>
            </w:pPr>
            <w:r w:rsidRPr="00C44FC7">
              <w:rPr>
                <w:b/>
                <w:color w:val="000000"/>
                <w:szCs w:val="22"/>
              </w:rPr>
              <w:t xml:space="preserve">OBT </w:t>
            </w:r>
          </w:p>
          <w:p w:rsidR="009A4790" w:rsidRPr="00C44FC7" w:rsidRDefault="009A4790" w:rsidP="009C54F6">
            <w:pPr>
              <w:jc w:val="center"/>
              <w:rPr>
                <w:b/>
                <w:color w:val="000000"/>
                <w:szCs w:val="22"/>
              </w:rPr>
            </w:pPr>
            <w:r w:rsidRPr="00C44FC7">
              <w:rPr>
                <w:b/>
                <w:color w:val="000000"/>
                <w:szCs w:val="22"/>
              </w:rPr>
              <w:t>alone</w:t>
            </w:r>
            <w:r w:rsidRPr="00C44FC7">
              <w:rPr>
                <w:b/>
                <w:color w:val="000000"/>
                <w:szCs w:val="22"/>
              </w:rPr>
              <w:br/>
            </w:r>
          </w:p>
          <w:p w:rsidR="009A4790" w:rsidRPr="00C44FC7" w:rsidRDefault="009A4790" w:rsidP="009C54F6">
            <w:pPr>
              <w:jc w:val="center"/>
              <w:rPr>
                <w:b/>
                <w:color w:val="000000"/>
                <w:szCs w:val="22"/>
              </w:rPr>
            </w:pPr>
          </w:p>
          <w:p w:rsidR="009A4790" w:rsidRPr="00C44FC7" w:rsidRDefault="009A4790" w:rsidP="009C54F6">
            <w:pPr>
              <w:jc w:val="center"/>
              <w:rPr>
                <w:b/>
                <w:color w:val="000000"/>
                <w:szCs w:val="22"/>
              </w:rPr>
            </w:pPr>
            <w:r w:rsidRPr="00C44FC7">
              <w:rPr>
                <w:b/>
                <w:color w:val="000000"/>
                <w:szCs w:val="22"/>
              </w:rPr>
              <w:t>N=209</w:t>
            </w:r>
          </w:p>
        </w:tc>
        <w:tc>
          <w:tcPr>
            <w:tcW w:w="1934" w:type="dxa"/>
          </w:tcPr>
          <w:p w:rsidR="009A4790" w:rsidRPr="00C44FC7" w:rsidRDefault="009A4790" w:rsidP="009C54F6">
            <w:pPr>
              <w:jc w:val="center"/>
              <w:rPr>
                <w:b/>
                <w:color w:val="000000"/>
                <w:szCs w:val="22"/>
                <w:vertAlign w:val="superscript"/>
              </w:rPr>
            </w:pPr>
            <w:r w:rsidRPr="00C44FC7">
              <w:rPr>
                <w:b/>
                <w:color w:val="000000"/>
                <w:szCs w:val="22"/>
              </w:rPr>
              <w:t>Treatment Difference</w:t>
            </w:r>
            <w:r w:rsidRPr="00C44FC7">
              <w:rPr>
                <w:b/>
                <w:color w:val="000000"/>
                <w:szCs w:val="22"/>
                <w:vertAlign w:val="superscript"/>
              </w:rPr>
              <w:t>1</w:t>
            </w:r>
          </w:p>
          <w:p w:rsidR="009A4790" w:rsidRPr="00C44FC7" w:rsidRDefault="009A4790" w:rsidP="009C54F6">
            <w:pPr>
              <w:jc w:val="center"/>
              <w:rPr>
                <w:b/>
                <w:color w:val="000000"/>
                <w:szCs w:val="22"/>
              </w:rPr>
            </w:pPr>
            <w:r w:rsidRPr="00C44FC7">
              <w:rPr>
                <w:b/>
                <w:color w:val="000000"/>
                <w:szCs w:val="22"/>
              </w:rPr>
              <w:t>(Confidence Interval</w:t>
            </w:r>
            <w:r w:rsidRPr="00C44FC7">
              <w:rPr>
                <w:b/>
                <w:color w:val="000000"/>
                <w:szCs w:val="22"/>
                <w:vertAlign w:val="superscript"/>
              </w:rPr>
              <w:t>2</w:t>
            </w:r>
            <w:r w:rsidRPr="00C44FC7">
              <w:rPr>
                <w:b/>
                <w:color w:val="000000"/>
                <w:szCs w:val="22"/>
              </w:rPr>
              <w:t xml:space="preserve">) </w:t>
            </w:r>
          </w:p>
        </w:tc>
      </w:tr>
      <w:tr w:rsidR="009A4790" w:rsidRPr="00C44FC7" w:rsidTr="005B6E35">
        <w:trPr>
          <w:trHeight w:val="687"/>
        </w:trPr>
        <w:tc>
          <w:tcPr>
            <w:tcW w:w="2628" w:type="dxa"/>
          </w:tcPr>
          <w:p w:rsidR="009A4790" w:rsidRPr="00C44FC7" w:rsidRDefault="009A4790" w:rsidP="009C54F6">
            <w:pPr>
              <w:autoSpaceDE w:val="0"/>
              <w:autoSpaceDN w:val="0"/>
              <w:adjustRightInd w:val="0"/>
              <w:rPr>
                <w:color w:val="000000"/>
                <w:szCs w:val="22"/>
              </w:rPr>
            </w:pPr>
            <w:r w:rsidRPr="00C44FC7">
              <w:rPr>
                <w:color w:val="000000"/>
                <w:szCs w:val="22"/>
              </w:rPr>
              <w:t>HIV-1 RNA</w:t>
            </w:r>
          </w:p>
          <w:p w:rsidR="009A4790" w:rsidRPr="00C44FC7" w:rsidRDefault="009A4790" w:rsidP="009C54F6">
            <w:pPr>
              <w:rPr>
                <w:color w:val="000000"/>
                <w:szCs w:val="22"/>
              </w:rPr>
            </w:pPr>
            <w:r w:rsidRPr="00C44FC7">
              <w:rPr>
                <w:color w:val="000000"/>
                <w:szCs w:val="22"/>
              </w:rPr>
              <w:t>Change from baseline</w:t>
            </w:r>
          </w:p>
          <w:p w:rsidR="009A4790" w:rsidRPr="00C44FC7" w:rsidRDefault="009A4790" w:rsidP="003F26BC">
            <w:pPr>
              <w:rPr>
                <w:color w:val="000000"/>
                <w:szCs w:val="22"/>
              </w:rPr>
            </w:pPr>
            <w:r w:rsidRPr="00C44FC7">
              <w:rPr>
                <w:color w:val="000000"/>
                <w:szCs w:val="22"/>
              </w:rPr>
              <w:t>(log</w:t>
            </w:r>
            <w:r w:rsidRPr="00C44FC7">
              <w:rPr>
                <w:color w:val="000000"/>
                <w:szCs w:val="22"/>
                <w:vertAlign w:val="subscript"/>
              </w:rPr>
              <w:t>10</w:t>
            </w:r>
            <w:r w:rsidRPr="00C44FC7">
              <w:rPr>
                <w:color w:val="000000"/>
                <w:szCs w:val="22"/>
              </w:rPr>
              <w:t xml:space="preserve"> copies/mL)</w:t>
            </w:r>
          </w:p>
        </w:tc>
        <w:tc>
          <w:tcPr>
            <w:tcW w:w="1620" w:type="dxa"/>
          </w:tcPr>
          <w:p w:rsidR="009A4790" w:rsidRPr="00C44FC7" w:rsidRDefault="009A4790" w:rsidP="009C54F6">
            <w:pPr>
              <w:jc w:val="center"/>
              <w:rPr>
                <w:color w:val="000000"/>
              </w:rPr>
            </w:pPr>
          </w:p>
          <w:p w:rsidR="009A4790" w:rsidRPr="00C44FC7" w:rsidRDefault="009A4790" w:rsidP="009C54F6">
            <w:pPr>
              <w:jc w:val="center"/>
              <w:rPr>
                <w:color w:val="000000"/>
              </w:rPr>
            </w:pPr>
            <w:r w:rsidRPr="00C44FC7">
              <w:rPr>
                <w:color w:val="000000"/>
              </w:rPr>
              <w:t>-1.84</w:t>
            </w:r>
          </w:p>
          <w:p w:rsidR="009A4790" w:rsidRPr="00C44FC7" w:rsidRDefault="009A4790" w:rsidP="009C54F6">
            <w:pPr>
              <w:jc w:val="center"/>
              <w:rPr>
                <w:color w:val="000000"/>
              </w:rPr>
            </w:pPr>
          </w:p>
        </w:tc>
        <w:tc>
          <w:tcPr>
            <w:tcW w:w="1378" w:type="dxa"/>
          </w:tcPr>
          <w:p w:rsidR="009A4790" w:rsidRPr="00C44FC7" w:rsidRDefault="009A4790" w:rsidP="009C54F6">
            <w:pPr>
              <w:jc w:val="center"/>
              <w:rPr>
                <w:color w:val="000000"/>
              </w:rPr>
            </w:pPr>
          </w:p>
          <w:p w:rsidR="009A4790" w:rsidRPr="00C44FC7" w:rsidRDefault="009A4790" w:rsidP="009C54F6">
            <w:pPr>
              <w:jc w:val="center"/>
              <w:rPr>
                <w:color w:val="000000"/>
              </w:rPr>
            </w:pPr>
            <w:r w:rsidRPr="00C44FC7">
              <w:rPr>
                <w:color w:val="000000"/>
              </w:rPr>
              <w:t>-0.78</w:t>
            </w:r>
          </w:p>
        </w:tc>
        <w:tc>
          <w:tcPr>
            <w:tcW w:w="1934" w:type="dxa"/>
          </w:tcPr>
          <w:p w:rsidR="009A4790" w:rsidRPr="00C44FC7" w:rsidRDefault="009A4790" w:rsidP="009C54F6">
            <w:pPr>
              <w:jc w:val="center"/>
              <w:rPr>
                <w:color w:val="000000"/>
              </w:rPr>
            </w:pPr>
            <w:r w:rsidRPr="00C44FC7">
              <w:rPr>
                <w:color w:val="000000"/>
              </w:rPr>
              <w:t>-1.0</w:t>
            </w:r>
            <w:r w:rsidR="00CB2914">
              <w:rPr>
                <w:color w:val="000000"/>
              </w:rPr>
              <w:t>6</w:t>
            </w:r>
          </w:p>
          <w:p w:rsidR="009A4790" w:rsidRPr="00C44FC7" w:rsidRDefault="009A4790" w:rsidP="009C54F6">
            <w:pPr>
              <w:jc w:val="center"/>
              <w:rPr>
                <w:color w:val="000000"/>
              </w:rPr>
            </w:pPr>
            <w:r w:rsidRPr="00C44FC7">
              <w:rPr>
                <w:color w:val="000000"/>
              </w:rPr>
              <w:t>(-1.33, -0.78)</w:t>
            </w:r>
          </w:p>
          <w:p w:rsidR="009A4790" w:rsidRPr="00C44FC7" w:rsidRDefault="009A4790" w:rsidP="009C54F6">
            <w:pPr>
              <w:jc w:val="center"/>
              <w:rPr>
                <w:color w:val="000000"/>
              </w:rPr>
            </w:pPr>
          </w:p>
        </w:tc>
      </w:tr>
      <w:tr w:rsidR="009A4790" w:rsidRPr="00C44FC7" w:rsidTr="005B6E35">
        <w:tc>
          <w:tcPr>
            <w:tcW w:w="2628" w:type="dxa"/>
          </w:tcPr>
          <w:p w:rsidR="009A4790" w:rsidRPr="00C44FC7" w:rsidRDefault="009A4790" w:rsidP="003F26BC">
            <w:pPr>
              <w:rPr>
                <w:color w:val="000000"/>
                <w:szCs w:val="22"/>
              </w:rPr>
            </w:pPr>
            <w:r w:rsidRPr="00C44FC7">
              <w:rPr>
                <w:color w:val="000000"/>
                <w:szCs w:val="22"/>
              </w:rPr>
              <w:t>Proportion of patients with HIV RNA &lt;400 copies/</w:t>
            </w:r>
            <w:proofErr w:type="spellStart"/>
            <w:r w:rsidRPr="00C44FC7">
              <w:rPr>
                <w:color w:val="000000"/>
                <w:szCs w:val="22"/>
              </w:rPr>
              <w:t>mL</w:t>
            </w:r>
            <w:proofErr w:type="spellEnd"/>
          </w:p>
        </w:tc>
        <w:tc>
          <w:tcPr>
            <w:tcW w:w="1620" w:type="dxa"/>
          </w:tcPr>
          <w:p w:rsidR="009A4790" w:rsidRPr="00C44FC7" w:rsidRDefault="009A4790" w:rsidP="009C54F6">
            <w:pPr>
              <w:jc w:val="center"/>
              <w:rPr>
                <w:color w:val="000000"/>
              </w:rPr>
            </w:pPr>
          </w:p>
          <w:p w:rsidR="009A4790" w:rsidRPr="00C44FC7" w:rsidRDefault="009A4790" w:rsidP="009C54F6">
            <w:pPr>
              <w:jc w:val="center"/>
              <w:rPr>
                <w:color w:val="000000"/>
              </w:rPr>
            </w:pPr>
            <w:r w:rsidRPr="00C44FC7">
              <w:rPr>
                <w:color w:val="000000"/>
              </w:rPr>
              <w:t>56.1%</w:t>
            </w:r>
          </w:p>
          <w:p w:rsidR="009A4790" w:rsidRPr="00C44FC7" w:rsidRDefault="009A4790" w:rsidP="009C54F6">
            <w:pPr>
              <w:jc w:val="center"/>
              <w:rPr>
                <w:color w:val="000000"/>
              </w:rPr>
            </w:pPr>
          </w:p>
        </w:tc>
        <w:tc>
          <w:tcPr>
            <w:tcW w:w="1378" w:type="dxa"/>
          </w:tcPr>
          <w:p w:rsidR="009A4790" w:rsidRPr="00C44FC7" w:rsidRDefault="009A4790" w:rsidP="009C54F6">
            <w:pPr>
              <w:jc w:val="center"/>
              <w:rPr>
                <w:color w:val="000000"/>
              </w:rPr>
            </w:pPr>
          </w:p>
          <w:p w:rsidR="009A4790" w:rsidRPr="00C44FC7" w:rsidRDefault="009A4790" w:rsidP="009C54F6">
            <w:pPr>
              <w:jc w:val="center"/>
              <w:rPr>
                <w:color w:val="000000"/>
              </w:rPr>
            </w:pPr>
            <w:r w:rsidRPr="00C44FC7">
              <w:rPr>
                <w:color w:val="000000"/>
              </w:rPr>
              <w:t>22.5%</w:t>
            </w:r>
          </w:p>
          <w:p w:rsidR="009A4790" w:rsidRPr="00C44FC7" w:rsidRDefault="009A4790" w:rsidP="009C54F6">
            <w:pPr>
              <w:jc w:val="center"/>
              <w:rPr>
                <w:color w:val="000000"/>
              </w:rPr>
            </w:pPr>
          </w:p>
        </w:tc>
        <w:tc>
          <w:tcPr>
            <w:tcW w:w="1934" w:type="dxa"/>
          </w:tcPr>
          <w:p w:rsidR="009A4790" w:rsidRPr="00C44FC7" w:rsidRDefault="009A4790" w:rsidP="009C54F6">
            <w:pPr>
              <w:jc w:val="center"/>
              <w:rPr>
                <w:color w:val="000000"/>
              </w:rPr>
            </w:pPr>
          </w:p>
          <w:p w:rsidR="009A4790" w:rsidRPr="00C44FC7" w:rsidRDefault="009A4790" w:rsidP="009C54F6">
            <w:pPr>
              <w:jc w:val="center"/>
              <w:rPr>
                <w:color w:val="000000"/>
              </w:rPr>
            </w:pPr>
            <w:r w:rsidRPr="00C44FC7">
              <w:rPr>
                <w:color w:val="000000"/>
              </w:rPr>
              <w:t>Odds ratio: 4.76 (3.24, 7.00)</w:t>
            </w:r>
          </w:p>
        </w:tc>
      </w:tr>
      <w:tr w:rsidR="009A4790" w:rsidRPr="00C44FC7" w:rsidTr="005B6E35">
        <w:tc>
          <w:tcPr>
            <w:tcW w:w="2628" w:type="dxa"/>
          </w:tcPr>
          <w:p w:rsidR="009A4790" w:rsidRPr="00C44FC7" w:rsidRDefault="009A4790" w:rsidP="003F26BC">
            <w:pPr>
              <w:rPr>
                <w:color w:val="000000"/>
                <w:szCs w:val="22"/>
              </w:rPr>
            </w:pPr>
            <w:r w:rsidRPr="00C44FC7">
              <w:rPr>
                <w:color w:val="000000"/>
                <w:szCs w:val="22"/>
              </w:rPr>
              <w:t>Proportion of patients with HIV RNA &lt;50 copies/</w:t>
            </w:r>
            <w:proofErr w:type="spellStart"/>
            <w:r w:rsidRPr="00C44FC7">
              <w:rPr>
                <w:color w:val="000000"/>
                <w:szCs w:val="22"/>
              </w:rPr>
              <w:t>mL</w:t>
            </w:r>
            <w:proofErr w:type="spellEnd"/>
          </w:p>
        </w:tc>
        <w:tc>
          <w:tcPr>
            <w:tcW w:w="1620" w:type="dxa"/>
          </w:tcPr>
          <w:p w:rsidR="009A4790" w:rsidRPr="00C44FC7" w:rsidRDefault="009A4790" w:rsidP="009C54F6">
            <w:pPr>
              <w:jc w:val="center"/>
              <w:rPr>
                <w:color w:val="000000"/>
              </w:rPr>
            </w:pPr>
          </w:p>
          <w:p w:rsidR="009A4790" w:rsidRPr="00C44FC7" w:rsidRDefault="009A4790" w:rsidP="009C54F6">
            <w:pPr>
              <w:jc w:val="center"/>
              <w:rPr>
                <w:color w:val="000000"/>
              </w:rPr>
            </w:pPr>
            <w:r w:rsidRPr="00C44FC7">
              <w:rPr>
                <w:color w:val="000000"/>
              </w:rPr>
              <w:t>45.5%</w:t>
            </w:r>
          </w:p>
          <w:p w:rsidR="009A4790" w:rsidRPr="00C44FC7" w:rsidRDefault="009A4790" w:rsidP="009C54F6">
            <w:pPr>
              <w:jc w:val="center"/>
              <w:rPr>
                <w:color w:val="000000"/>
              </w:rPr>
            </w:pPr>
          </w:p>
        </w:tc>
        <w:tc>
          <w:tcPr>
            <w:tcW w:w="1378" w:type="dxa"/>
          </w:tcPr>
          <w:p w:rsidR="009A4790" w:rsidRPr="00C44FC7" w:rsidRDefault="009A4790" w:rsidP="009C54F6">
            <w:pPr>
              <w:jc w:val="center"/>
              <w:rPr>
                <w:color w:val="000000"/>
              </w:rPr>
            </w:pPr>
          </w:p>
          <w:p w:rsidR="009A4790" w:rsidRPr="00C44FC7" w:rsidRDefault="009A4790" w:rsidP="009C54F6">
            <w:pPr>
              <w:jc w:val="center"/>
              <w:rPr>
                <w:color w:val="000000"/>
              </w:rPr>
            </w:pPr>
            <w:r w:rsidRPr="00C44FC7">
              <w:rPr>
                <w:color w:val="000000"/>
              </w:rPr>
              <w:t>16.7%</w:t>
            </w:r>
          </w:p>
          <w:p w:rsidR="009A4790" w:rsidRPr="00C44FC7" w:rsidRDefault="009A4790" w:rsidP="009C54F6">
            <w:pPr>
              <w:jc w:val="center"/>
              <w:rPr>
                <w:color w:val="000000"/>
              </w:rPr>
            </w:pPr>
          </w:p>
        </w:tc>
        <w:tc>
          <w:tcPr>
            <w:tcW w:w="1934" w:type="dxa"/>
          </w:tcPr>
          <w:p w:rsidR="009A4790" w:rsidRPr="00C44FC7" w:rsidRDefault="009A4790" w:rsidP="009C54F6">
            <w:pPr>
              <w:jc w:val="center"/>
              <w:rPr>
                <w:color w:val="000000"/>
              </w:rPr>
            </w:pPr>
          </w:p>
          <w:p w:rsidR="009A4790" w:rsidRPr="00C44FC7" w:rsidRDefault="009A4790" w:rsidP="009C54F6">
            <w:pPr>
              <w:jc w:val="center"/>
              <w:rPr>
                <w:color w:val="000000"/>
              </w:rPr>
            </w:pPr>
            <w:r w:rsidRPr="00C44FC7">
              <w:rPr>
                <w:color w:val="000000"/>
              </w:rPr>
              <w:t>Odds ratio: 4.49 (2.96, 6.83)</w:t>
            </w:r>
          </w:p>
        </w:tc>
      </w:tr>
      <w:tr w:rsidR="009A4790" w:rsidRPr="00C44FC7" w:rsidTr="005B6E35">
        <w:tc>
          <w:tcPr>
            <w:tcW w:w="2628" w:type="dxa"/>
          </w:tcPr>
          <w:p w:rsidR="009A4790" w:rsidRPr="00C44FC7" w:rsidRDefault="009A4790" w:rsidP="009C54F6">
            <w:pPr>
              <w:rPr>
                <w:color w:val="000000"/>
                <w:szCs w:val="22"/>
              </w:rPr>
            </w:pPr>
            <w:r w:rsidRPr="00C44FC7">
              <w:rPr>
                <w:color w:val="000000"/>
                <w:szCs w:val="22"/>
              </w:rPr>
              <w:t>CD4+ cell count</w:t>
            </w:r>
          </w:p>
          <w:p w:rsidR="009A4790" w:rsidRPr="00C44FC7" w:rsidDel="00641CAC" w:rsidRDefault="009A4790" w:rsidP="003F26BC">
            <w:pPr>
              <w:rPr>
                <w:color w:val="000000"/>
                <w:szCs w:val="22"/>
              </w:rPr>
            </w:pPr>
            <w:r w:rsidRPr="00C44FC7">
              <w:rPr>
                <w:color w:val="000000"/>
                <w:szCs w:val="22"/>
              </w:rPr>
              <w:t>Change from baseline (cells/mm</w:t>
            </w:r>
            <w:r w:rsidRPr="00C44FC7">
              <w:rPr>
                <w:color w:val="000000"/>
                <w:szCs w:val="22"/>
                <w:vertAlign w:val="superscript"/>
              </w:rPr>
              <w:t>3</w:t>
            </w:r>
            <w:r w:rsidRPr="00C44FC7">
              <w:rPr>
                <w:color w:val="000000"/>
                <w:szCs w:val="22"/>
              </w:rPr>
              <w:t xml:space="preserve"> )</w:t>
            </w:r>
          </w:p>
        </w:tc>
        <w:tc>
          <w:tcPr>
            <w:tcW w:w="1620" w:type="dxa"/>
          </w:tcPr>
          <w:p w:rsidR="009A4790" w:rsidRPr="00C44FC7" w:rsidRDefault="009A4790" w:rsidP="009C54F6">
            <w:pPr>
              <w:jc w:val="center"/>
              <w:rPr>
                <w:color w:val="000000"/>
              </w:rPr>
            </w:pPr>
          </w:p>
          <w:p w:rsidR="009A4790" w:rsidRPr="00C44FC7" w:rsidRDefault="009A4790" w:rsidP="009C54F6">
            <w:pPr>
              <w:jc w:val="center"/>
              <w:rPr>
                <w:color w:val="000000"/>
              </w:rPr>
            </w:pPr>
            <w:r w:rsidRPr="00C44FC7">
              <w:rPr>
                <w:color w:val="000000"/>
              </w:rPr>
              <w:t>124.07</w:t>
            </w:r>
          </w:p>
        </w:tc>
        <w:tc>
          <w:tcPr>
            <w:tcW w:w="1378" w:type="dxa"/>
          </w:tcPr>
          <w:p w:rsidR="009A4790" w:rsidRPr="00C44FC7" w:rsidRDefault="009A4790" w:rsidP="009C54F6">
            <w:pPr>
              <w:jc w:val="center"/>
              <w:rPr>
                <w:color w:val="000000"/>
              </w:rPr>
            </w:pPr>
          </w:p>
          <w:p w:rsidR="009A4790" w:rsidRPr="00C44FC7" w:rsidRDefault="009A4790" w:rsidP="009C54F6">
            <w:pPr>
              <w:jc w:val="center"/>
              <w:rPr>
                <w:color w:val="000000"/>
              </w:rPr>
            </w:pPr>
            <w:r w:rsidRPr="00C44FC7">
              <w:rPr>
                <w:color w:val="000000"/>
              </w:rPr>
              <w:t>60.93</w:t>
            </w:r>
          </w:p>
        </w:tc>
        <w:tc>
          <w:tcPr>
            <w:tcW w:w="1934" w:type="dxa"/>
          </w:tcPr>
          <w:p w:rsidR="009A4790" w:rsidRPr="00C44FC7" w:rsidRDefault="009A4790" w:rsidP="009C54F6">
            <w:pPr>
              <w:jc w:val="center"/>
              <w:rPr>
                <w:color w:val="000000"/>
              </w:rPr>
            </w:pPr>
          </w:p>
          <w:p w:rsidR="009A4790" w:rsidRPr="00C44FC7" w:rsidRDefault="009A4790" w:rsidP="009C54F6">
            <w:pPr>
              <w:jc w:val="center"/>
              <w:rPr>
                <w:color w:val="000000"/>
              </w:rPr>
            </w:pPr>
            <w:r w:rsidRPr="00C44FC7">
              <w:rPr>
                <w:color w:val="000000"/>
              </w:rPr>
              <w:t xml:space="preserve">63.13 </w:t>
            </w:r>
          </w:p>
          <w:p w:rsidR="009A4790" w:rsidRPr="00C44FC7" w:rsidRDefault="009A4790" w:rsidP="009C54F6">
            <w:pPr>
              <w:jc w:val="center"/>
              <w:rPr>
                <w:color w:val="000000"/>
              </w:rPr>
            </w:pPr>
            <w:r w:rsidRPr="00C44FC7">
              <w:rPr>
                <w:color w:val="000000"/>
              </w:rPr>
              <w:t>(44.28, 81.99)</w:t>
            </w:r>
          </w:p>
        </w:tc>
      </w:tr>
    </w:tbl>
    <w:p w:rsidR="009A4790" w:rsidRDefault="009A4790" w:rsidP="009A4790">
      <w:pPr>
        <w:rPr>
          <w:sz w:val="20"/>
          <w:szCs w:val="20"/>
        </w:rPr>
      </w:pPr>
      <w:r w:rsidRPr="00641CAC">
        <w:rPr>
          <w:sz w:val="20"/>
          <w:szCs w:val="20"/>
          <w:vertAlign w:val="superscript"/>
        </w:rPr>
        <w:t>1</w:t>
      </w:r>
      <w:r>
        <w:rPr>
          <w:sz w:val="20"/>
          <w:szCs w:val="20"/>
        </w:rPr>
        <w:t xml:space="preserve"> p-values&lt;0.0001 </w:t>
      </w:r>
    </w:p>
    <w:p w:rsidR="009A4790" w:rsidRDefault="009A4790" w:rsidP="009A4790">
      <w:pPr>
        <w:rPr>
          <w:sz w:val="20"/>
          <w:szCs w:val="20"/>
        </w:rPr>
      </w:pPr>
      <w:r w:rsidRPr="00641CAC">
        <w:rPr>
          <w:sz w:val="20"/>
          <w:szCs w:val="20"/>
          <w:vertAlign w:val="superscript"/>
        </w:rPr>
        <w:lastRenderedPageBreak/>
        <w:t>2</w:t>
      </w:r>
      <w:r>
        <w:rPr>
          <w:sz w:val="20"/>
          <w:szCs w:val="20"/>
        </w:rPr>
        <w:t xml:space="preserve"> </w:t>
      </w:r>
      <w:r w:rsidRPr="00564C8A">
        <w:rPr>
          <w:sz w:val="20"/>
          <w:szCs w:val="20"/>
        </w:rPr>
        <w:t>For all efficacy endpoints the confidence intervals were 95%, except for HIV-1 RNA Change from baseline which was 97.5%</w:t>
      </w:r>
    </w:p>
    <w:p w:rsidR="009A4790" w:rsidRPr="00564C8A" w:rsidRDefault="009A4790" w:rsidP="003F26BC">
      <w:pPr>
        <w:pStyle w:val="Heading2"/>
        <w:rPr>
          <w:szCs w:val="22"/>
        </w:rPr>
      </w:pPr>
      <w:r w:rsidRPr="00564C8A">
        <w:t xml:space="preserve">Studies in Non-CCR5-tropic </w:t>
      </w:r>
      <w:r w:rsidR="003F26BC">
        <w:t>Treatment-Experienced Patients:</w:t>
      </w:r>
    </w:p>
    <w:p w:rsidR="009A4790" w:rsidRPr="00E70E9C" w:rsidRDefault="009A4790" w:rsidP="009A4790">
      <w:pPr>
        <w:spacing w:after="240"/>
        <w:jc w:val="both"/>
        <w:rPr>
          <w:color w:val="000000"/>
          <w:highlight w:val="green"/>
        </w:rPr>
      </w:pPr>
      <w:r w:rsidRPr="00564C8A">
        <w:t xml:space="preserve">Study A4001029 </w:t>
      </w:r>
      <w:r w:rsidRPr="00564C8A">
        <w:rPr>
          <w:color w:val="000000"/>
        </w:rPr>
        <w:t>was an exploratory, rand</w:t>
      </w:r>
      <w:r>
        <w:rPr>
          <w:color w:val="000000"/>
        </w:rPr>
        <w:t>omised, double blind, multicent</w:t>
      </w:r>
      <w:r w:rsidRPr="00564C8A">
        <w:rPr>
          <w:color w:val="000000"/>
        </w:rPr>
        <w:t>r</w:t>
      </w:r>
      <w:r>
        <w:rPr>
          <w:color w:val="000000"/>
        </w:rPr>
        <w:t>e</w:t>
      </w:r>
      <w:r w:rsidRPr="00564C8A">
        <w:rPr>
          <w:color w:val="000000"/>
        </w:rPr>
        <w:t xml:space="preserve"> trial to determine the safety and efficacy of CELSENTRI in patients infected with dual/mixed</w:t>
      </w:r>
      <w:r>
        <w:rPr>
          <w:color w:val="000000"/>
        </w:rPr>
        <w:t xml:space="preserve"> or CXCR4</w:t>
      </w:r>
      <w:r w:rsidRPr="00564C8A">
        <w:rPr>
          <w:color w:val="000000"/>
        </w:rPr>
        <w:t xml:space="preserve"> tropic HIV-1. The inclusion/exclusion criteria were similar to those for </w:t>
      </w:r>
      <w:r w:rsidRPr="00564C8A">
        <w:rPr>
          <w:szCs w:val="22"/>
        </w:rPr>
        <w:t xml:space="preserve">MOTIVATE-1 and MOTIVATE-2 </w:t>
      </w:r>
      <w:r w:rsidRPr="00564C8A">
        <w:rPr>
          <w:color w:val="000000"/>
        </w:rPr>
        <w:t xml:space="preserve">above and the patients were </w:t>
      </w:r>
      <w:r>
        <w:rPr>
          <w:color w:val="000000"/>
        </w:rPr>
        <w:t>randomised</w:t>
      </w:r>
      <w:r w:rsidRPr="00564C8A">
        <w:rPr>
          <w:color w:val="000000"/>
        </w:rPr>
        <w:t xml:space="preserve"> in a 1:1:1 ratio to CELSENTRI once daily, CELSENTRI twice daily or OBT alone</w:t>
      </w:r>
      <w:r w:rsidR="00735B1A">
        <w:rPr>
          <w:color w:val="000000"/>
        </w:rPr>
        <w:t xml:space="preserve">. </w:t>
      </w:r>
      <w:r w:rsidRPr="00564C8A">
        <w:rPr>
          <w:color w:val="000000"/>
        </w:rPr>
        <w:t xml:space="preserve">The mean changes in viral load and CD4+ counts are shown in </w:t>
      </w:r>
      <w:r w:rsidRPr="00822D4F">
        <w:rPr>
          <w:color w:val="000000"/>
        </w:rPr>
        <w:t xml:space="preserve">Table </w:t>
      </w:r>
      <w:r w:rsidR="00BC6545">
        <w:rPr>
          <w:color w:val="000000"/>
        </w:rPr>
        <w:t>3</w:t>
      </w:r>
      <w:r w:rsidRPr="00564C8A">
        <w:rPr>
          <w:color w:val="000000"/>
        </w:rPr>
        <w:t>.</w:t>
      </w:r>
    </w:p>
    <w:p w:rsidR="009A4790" w:rsidRDefault="009A4790" w:rsidP="009A4790">
      <w:pPr>
        <w:ind w:left="-180"/>
        <w:rPr>
          <w:b/>
          <w:bCs/>
          <w:color w:val="000000"/>
        </w:rPr>
      </w:pPr>
      <w:r w:rsidRPr="00822D4F">
        <w:rPr>
          <w:b/>
          <w:bCs/>
          <w:color w:val="000000"/>
        </w:rPr>
        <w:t xml:space="preserve">Table </w:t>
      </w:r>
      <w:r w:rsidR="00BC6545">
        <w:rPr>
          <w:b/>
          <w:bCs/>
          <w:color w:val="000000"/>
        </w:rPr>
        <w:t>3</w:t>
      </w:r>
      <w:r w:rsidRPr="00564C8A">
        <w:rPr>
          <w:b/>
          <w:bCs/>
          <w:color w:val="000000"/>
        </w:rPr>
        <w:t xml:space="preserve">:  Outcomes of </w:t>
      </w:r>
      <w:r>
        <w:rPr>
          <w:b/>
          <w:bCs/>
          <w:color w:val="000000"/>
        </w:rPr>
        <w:t>Randomised</w:t>
      </w:r>
      <w:r w:rsidRPr="00564C8A">
        <w:rPr>
          <w:b/>
          <w:bCs/>
          <w:color w:val="000000"/>
        </w:rPr>
        <w:t xml:space="preserve"> Treatment at Week 24 in Dual/Mixed-tropic Patients (Study A4001029)</w:t>
      </w: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2250"/>
        <w:gridCol w:w="1537"/>
      </w:tblGrid>
      <w:tr w:rsidR="009A4790" w:rsidRPr="00C44FC7" w:rsidTr="005B6E35">
        <w:tc>
          <w:tcPr>
            <w:tcW w:w="5400" w:type="dxa"/>
          </w:tcPr>
          <w:p w:rsidR="009A4790" w:rsidRPr="00C44FC7" w:rsidRDefault="009A4790" w:rsidP="009C54F6">
            <w:pPr>
              <w:numPr>
                <w:ilvl w:val="12"/>
                <w:numId w:val="0"/>
              </w:numPr>
              <w:ind w:right="-2"/>
              <w:rPr>
                <w:rFonts w:eastAsia="Arial Unicode MS" w:cs="Arial Unicode MS"/>
                <w:b/>
                <w:szCs w:val="22"/>
              </w:rPr>
            </w:pPr>
            <w:r w:rsidRPr="00C44FC7">
              <w:rPr>
                <w:rFonts w:eastAsia="Arial Unicode MS" w:cs="Arial Unicode MS"/>
                <w:b/>
                <w:szCs w:val="22"/>
              </w:rPr>
              <w:t>Outcome</w:t>
            </w:r>
          </w:p>
        </w:tc>
        <w:tc>
          <w:tcPr>
            <w:tcW w:w="2250" w:type="dxa"/>
          </w:tcPr>
          <w:p w:rsidR="009A4790" w:rsidRPr="00C44FC7" w:rsidRDefault="009A4790" w:rsidP="009C54F6">
            <w:pPr>
              <w:jc w:val="center"/>
              <w:rPr>
                <w:rFonts w:eastAsia="Arial Unicode MS" w:cs="Arial Unicode MS"/>
                <w:b/>
                <w:szCs w:val="22"/>
              </w:rPr>
            </w:pPr>
            <w:r w:rsidRPr="00C44FC7">
              <w:rPr>
                <w:rFonts w:eastAsia="Arial Unicode MS" w:cs="Arial Unicode MS"/>
                <w:b/>
                <w:szCs w:val="22"/>
              </w:rPr>
              <w:t>CELSENTRI</w:t>
            </w:r>
          </w:p>
          <w:p w:rsidR="009A4790" w:rsidRPr="00C44FC7" w:rsidRDefault="009A4790" w:rsidP="009C54F6">
            <w:pPr>
              <w:jc w:val="center"/>
              <w:rPr>
                <w:rFonts w:eastAsia="Arial Unicode MS" w:cs="Arial Unicode MS"/>
                <w:b/>
                <w:szCs w:val="22"/>
              </w:rPr>
            </w:pPr>
            <w:r w:rsidRPr="00C44FC7">
              <w:rPr>
                <w:rFonts w:eastAsia="Arial Unicode MS" w:cs="Arial Unicode MS"/>
                <w:b/>
                <w:szCs w:val="22"/>
              </w:rPr>
              <w:t>300 mg twice daily</w:t>
            </w:r>
          </w:p>
          <w:p w:rsidR="009A4790" w:rsidRPr="00C44FC7" w:rsidRDefault="009A4790" w:rsidP="009C54F6">
            <w:pPr>
              <w:jc w:val="center"/>
              <w:rPr>
                <w:rFonts w:eastAsia="Arial Unicode MS" w:cs="Arial Unicode MS"/>
                <w:b/>
                <w:szCs w:val="22"/>
              </w:rPr>
            </w:pPr>
            <w:r w:rsidRPr="00C44FC7">
              <w:rPr>
                <w:rFonts w:eastAsia="Arial Unicode MS" w:cs="Arial Unicode MS"/>
                <w:b/>
                <w:szCs w:val="22"/>
              </w:rPr>
              <w:t>+ OBT</w:t>
            </w:r>
          </w:p>
          <w:p w:rsidR="009A4790" w:rsidRPr="00C44FC7" w:rsidRDefault="009A4790" w:rsidP="009C54F6">
            <w:pPr>
              <w:numPr>
                <w:ilvl w:val="12"/>
                <w:numId w:val="0"/>
              </w:numPr>
              <w:ind w:right="-2"/>
              <w:jc w:val="center"/>
              <w:rPr>
                <w:rFonts w:eastAsia="Arial Unicode MS" w:cs="Arial Unicode MS"/>
                <w:b/>
                <w:szCs w:val="22"/>
              </w:rPr>
            </w:pPr>
            <w:r w:rsidRPr="00C44FC7">
              <w:rPr>
                <w:rFonts w:eastAsia="Arial Unicode MS" w:cs="Arial Unicode MS"/>
                <w:b/>
                <w:szCs w:val="22"/>
              </w:rPr>
              <w:t>N = 52</w:t>
            </w:r>
          </w:p>
        </w:tc>
        <w:tc>
          <w:tcPr>
            <w:tcW w:w="1537" w:type="dxa"/>
          </w:tcPr>
          <w:p w:rsidR="009A4790" w:rsidRPr="00C44FC7" w:rsidRDefault="009A4790" w:rsidP="009C54F6">
            <w:pPr>
              <w:numPr>
                <w:ilvl w:val="12"/>
                <w:numId w:val="0"/>
              </w:numPr>
              <w:ind w:right="-2"/>
              <w:jc w:val="center"/>
              <w:rPr>
                <w:rFonts w:eastAsia="Arial Unicode MS" w:cs="Arial Unicode MS"/>
                <w:b/>
                <w:szCs w:val="22"/>
              </w:rPr>
            </w:pPr>
            <w:r w:rsidRPr="00C44FC7">
              <w:rPr>
                <w:rFonts w:eastAsia="Arial Unicode MS" w:cs="Arial Unicode MS"/>
                <w:b/>
                <w:szCs w:val="22"/>
              </w:rPr>
              <w:t xml:space="preserve">OBT </w:t>
            </w:r>
          </w:p>
          <w:p w:rsidR="009A4790" w:rsidRPr="00C44FC7" w:rsidRDefault="009A4790" w:rsidP="009C54F6">
            <w:pPr>
              <w:numPr>
                <w:ilvl w:val="12"/>
                <w:numId w:val="0"/>
              </w:numPr>
              <w:ind w:right="-2"/>
              <w:jc w:val="center"/>
              <w:rPr>
                <w:rFonts w:eastAsia="Arial Unicode MS" w:cs="Arial Unicode MS"/>
                <w:b/>
                <w:szCs w:val="22"/>
              </w:rPr>
            </w:pPr>
            <w:r w:rsidRPr="00C44FC7">
              <w:rPr>
                <w:rFonts w:eastAsia="Arial Unicode MS" w:cs="Arial Unicode MS"/>
                <w:b/>
                <w:szCs w:val="22"/>
              </w:rPr>
              <w:t>alone</w:t>
            </w:r>
          </w:p>
          <w:p w:rsidR="009A4790" w:rsidRPr="00C44FC7" w:rsidRDefault="009A4790" w:rsidP="009C54F6">
            <w:pPr>
              <w:numPr>
                <w:ilvl w:val="12"/>
                <w:numId w:val="0"/>
              </w:numPr>
              <w:ind w:right="-2"/>
              <w:jc w:val="center"/>
              <w:rPr>
                <w:rFonts w:eastAsia="Arial Unicode MS" w:cs="Arial Unicode MS"/>
                <w:b/>
                <w:szCs w:val="22"/>
              </w:rPr>
            </w:pPr>
            <w:r w:rsidRPr="00C44FC7">
              <w:rPr>
                <w:rFonts w:eastAsia="Arial Unicode MS" w:cs="Arial Unicode MS"/>
                <w:b/>
                <w:szCs w:val="22"/>
              </w:rPr>
              <w:br/>
              <w:t>N= 58</w:t>
            </w:r>
          </w:p>
        </w:tc>
      </w:tr>
      <w:tr w:rsidR="009A4790" w:rsidRPr="00C44FC7" w:rsidTr="005B6E35">
        <w:tc>
          <w:tcPr>
            <w:tcW w:w="5400" w:type="dxa"/>
          </w:tcPr>
          <w:p w:rsidR="009A4790" w:rsidRPr="00C44FC7" w:rsidRDefault="009A4790" w:rsidP="009C54F6">
            <w:pPr>
              <w:rPr>
                <w:rFonts w:eastAsia="Arial Unicode MS" w:cs="Arial Unicode MS"/>
                <w:szCs w:val="22"/>
              </w:rPr>
            </w:pPr>
            <w:r w:rsidRPr="00C44FC7">
              <w:rPr>
                <w:rFonts w:eastAsia="Arial Unicode MS" w:cs="Arial Unicode MS"/>
                <w:szCs w:val="22"/>
              </w:rPr>
              <w:t>Baseline characteristics:</w:t>
            </w:r>
          </w:p>
          <w:p w:rsidR="009A4790" w:rsidRPr="00C44FC7" w:rsidRDefault="009A4790" w:rsidP="009C54F6">
            <w:pPr>
              <w:rPr>
                <w:rFonts w:eastAsia="Arial Unicode MS" w:cs="Arial Unicode MS"/>
                <w:szCs w:val="22"/>
              </w:rPr>
            </w:pPr>
            <w:r w:rsidRPr="00C44FC7">
              <w:rPr>
                <w:rFonts w:eastAsia="Arial Unicode MS" w:cs="Arial Unicode MS"/>
                <w:szCs w:val="22"/>
              </w:rPr>
              <w:t>- Mean HIV-1 RNA (log</w:t>
            </w:r>
            <w:r w:rsidRPr="00C44FC7">
              <w:rPr>
                <w:rFonts w:eastAsia="Arial Unicode MS" w:cs="Arial Unicode MS"/>
                <w:szCs w:val="22"/>
                <w:vertAlign w:val="subscript"/>
              </w:rPr>
              <w:t>10</w:t>
            </w:r>
            <w:r w:rsidRPr="00C44FC7">
              <w:rPr>
                <w:rFonts w:eastAsia="Arial Unicode MS" w:cs="Arial Unicode MS"/>
                <w:szCs w:val="22"/>
              </w:rPr>
              <w:t xml:space="preserve"> copies/mL)</w:t>
            </w:r>
          </w:p>
          <w:p w:rsidR="009A4790" w:rsidRPr="00C44FC7" w:rsidRDefault="009A4790" w:rsidP="009C54F6">
            <w:pPr>
              <w:numPr>
                <w:ilvl w:val="12"/>
                <w:numId w:val="0"/>
              </w:numPr>
              <w:ind w:right="-2"/>
              <w:rPr>
                <w:rFonts w:eastAsia="Arial Unicode MS" w:cs="Arial Unicode MS"/>
                <w:szCs w:val="22"/>
              </w:rPr>
            </w:pPr>
            <w:r w:rsidRPr="00C44FC7">
              <w:rPr>
                <w:rFonts w:eastAsia="Arial Unicode MS" w:cs="Arial Unicode MS"/>
                <w:szCs w:val="22"/>
              </w:rPr>
              <w:t>- Median CD4 cell count (cells/</w:t>
            </w:r>
            <w:proofErr w:type="spellStart"/>
            <w:r w:rsidRPr="00C44FC7">
              <w:rPr>
                <w:rFonts w:eastAsia="Arial Unicode MS" w:cs="Arial Unicode MS"/>
                <w:szCs w:val="22"/>
              </w:rPr>
              <w:t>μL</w:t>
            </w:r>
            <w:proofErr w:type="spellEnd"/>
            <w:r w:rsidRPr="00C44FC7">
              <w:rPr>
                <w:rFonts w:eastAsia="Arial Unicode MS" w:cs="Arial Unicode MS"/>
                <w:szCs w:val="22"/>
              </w:rPr>
              <w:t>)</w:t>
            </w:r>
          </w:p>
        </w:tc>
        <w:tc>
          <w:tcPr>
            <w:tcW w:w="2250" w:type="dxa"/>
          </w:tcPr>
          <w:p w:rsidR="009A4790" w:rsidRPr="00C44FC7" w:rsidRDefault="009A4790" w:rsidP="009C54F6">
            <w:pPr>
              <w:numPr>
                <w:ilvl w:val="12"/>
                <w:numId w:val="0"/>
              </w:numPr>
              <w:ind w:right="-2"/>
              <w:jc w:val="center"/>
              <w:rPr>
                <w:rFonts w:eastAsia="Arial Unicode MS" w:cs="Arial Unicode MS"/>
                <w:szCs w:val="22"/>
              </w:rPr>
            </w:pPr>
          </w:p>
          <w:p w:rsidR="009A4790" w:rsidRPr="00C44FC7" w:rsidRDefault="009A4790" w:rsidP="009C54F6">
            <w:pPr>
              <w:numPr>
                <w:ilvl w:val="12"/>
                <w:numId w:val="0"/>
              </w:numPr>
              <w:ind w:right="-2"/>
              <w:jc w:val="center"/>
              <w:rPr>
                <w:rFonts w:eastAsia="Arial Unicode MS" w:cs="Arial Unicode MS"/>
                <w:szCs w:val="22"/>
              </w:rPr>
            </w:pPr>
            <w:r w:rsidRPr="00C44FC7">
              <w:rPr>
                <w:rFonts w:eastAsia="Arial Unicode MS" w:cs="Arial Unicode MS"/>
                <w:szCs w:val="22"/>
              </w:rPr>
              <w:t>5.10</w:t>
            </w:r>
          </w:p>
          <w:p w:rsidR="009A4790" w:rsidRPr="00C44FC7" w:rsidRDefault="009A4790" w:rsidP="009C54F6">
            <w:pPr>
              <w:numPr>
                <w:ilvl w:val="12"/>
                <w:numId w:val="0"/>
              </w:numPr>
              <w:ind w:right="-2"/>
              <w:jc w:val="center"/>
              <w:rPr>
                <w:rFonts w:eastAsia="Arial Unicode MS" w:cs="Arial Unicode MS"/>
                <w:szCs w:val="22"/>
              </w:rPr>
            </w:pPr>
            <w:r w:rsidRPr="00C44FC7">
              <w:rPr>
                <w:rFonts w:eastAsia="Arial Unicode MS" w:cs="Arial Unicode MS"/>
                <w:szCs w:val="22"/>
              </w:rPr>
              <w:t>43.1</w:t>
            </w:r>
          </w:p>
        </w:tc>
        <w:tc>
          <w:tcPr>
            <w:tcW w:w="1537" w:type="dxa"/>
          </w:tcPr>
          <w:p w:rsidR="009A4790" w:rsidRPr="00C44FC7" w:rsidRDefault="009A4790" w:rsidP="009C54F6">
            <w:pPr>
              <w:numPr>
                <w:ilvl w:val="12"/>
                <w:numId w:val="0"/>
              </w:numPr>
              <w:ind w:right="-2"/>
              <w:jc w:val="center"/>
              <w:rPr>
                <w:rFonts w:eastAsia="Arial Unicode MS" w:cs="Arial Unicode MS"/>
                <w:szCs w:val="22"/>
              </w:rPr>
            </w:pPr>
          </w:p>
          <w:p w:rsidR="009A4790" w:rsidRPr="00C44FC7" w:rsidRDefault="009A4790" w:rsidP="009C54F6">
            <w:pPr>
              <w:numPr>
                <w:ilvl w:val="12"/>
                <w:numId w:val="0"/>
              </w:numPr>
              <w:ind w:right="-2"/>
              <w:jc w:val="center"/>
              <w:rPr>
                <w:rFonts w:eastAsia="Arial Unicode MS" w:cs="Arial Unicode MS"/>
                <w:szCs w:val="22"/>
              </w:rPr>
            </w:pPr>
            <w:r w:rsidRPr="00C44FC7">
              <w:rPr>
                <w:rFonts w:eastAsia="Arial Unicode MS" w:cs="Arial Unicode MS"/>
                <w:szCs w:val="22"/>
              </w:rPr>
              <w:t>5.0</w:t>
            </w:r>
          </w:p>
          <w:p w:rsidR="009A4790" w:rsidRPr="00C44FC7" w:rsidRDefault="009A4790" w:rsidP="009C54F6">
            <w:pPr>
              <w:numPr>
                <w:ilvl w:val="12"/>
                <w:numId w:val="0"/>
              </w:numPr>
              <w:ind w:right="-2"/>
              <w:jc w:val="center"/>
              <w:rPr>
                <w:rFonts w:eastAsia="Arial Unicode MS" w:cs="Arial Unicode MS"/>
                <w:szCs w:val="22"/>
              </w:rPr>
            </w:pPr>
            <w:r w:rsidRPr="00C44FC7">
              <w:rPr>
                <w:rFonts w:eastAsia="Arial Unicode MS" w:cs="Arial Unicode MS"/>
                <w:szCs w:val="22"/>
              </w:rPr>
              <w:t>41.4</w:t>
            </w:r>
          </w:p>
        </w:tc>
      </w:tr>
      <w:tr w:rsidR="009A4790" w:rsidRPr="00C44FC7" w:rsidTr="005B6E35">
        <w:tc>
          <w:tcPr>
            <w:tcW w:w="5400" w:type="dxa"/>
          </w:tcPr>
          <w:p w:rsidR="009A4790" w:rsidRPr="00C44FC7" w:rsidRDefault="009A4790" w:rsidP="009C54F6">
            <w:pPr>
              <w:numPr>
                <w:ilvl w:val="12"/>
                <w:numId w:val="0"/>
              </w:numPr>
              <w:ind w:right="-2"/>
              <w:rPr>
                <w:rFonts w:eastAsia="Arial Unicode MS" w:cs="Arial Unicode MS"/>
                <w:szCs w:val="22"/>
              </w:rPr>
            </w:pPr>
            <w:r w:rsidRPr="00C44FC7">
              <w:rPr>
                <w:rFonts w:eastAsia="Arial Unicode MS" w:cs="Arial Unicode MS"/>
                <w:szCs w:val="22"/>
              </w:rPr>
              <w:t>Mean change from baseline HIV-1 RNA to week 24</w:t>
            </w:r>
          </w:p>
        </w:tc>
        <w:tc>
          <w:tcPr>
            <w:tcW w:w="2250" w:type="dxa"/>
          </w:tcPr>
          <w:p w:rsidR="009A4790" w:rsidRPr="00C44FC7" w:rsidRDefault="009A4790" w:rsidP="009C54F6">
            <w:pPr>
              <w:numPr>
                <w:ilvl w:val="12"/>
                <w:numId w:val="0"/>
              </w:numPr>
              <w:ind w:right="-2"/>
              <w:jc w:val="center"/>
              <w:rPr>
                <w:rFonts w:eastAsia="Arial Unicode MS" w:cs="Arial Unicode MS"/>
                <w:szCs w:val="22"/>
              </w:rPr>
            </w:pPr>
            <w:r w:rsidRPr="00C44FC7">
              <w:rPr>
                <w:rFonts w:eastAsia="Arial Unicode MS" w:cs="Arial Unicode MS"/>
                <w:szCs w:val="22"/>
              </w:rPr>
              <w:t>-1.2</w:t>
            </w:r>
          </w:p>
        </w:tc>
        <w:tc>
          <w:tcPr>
            <w:tcW w:w="1537" w:type="dxa"/>
          </w:tcPr>
          <w:p w:rsidR="009A4790" w:rsidRPr="00C44FC7" w:rsidRDefault="009A4790" w:rsidP="009C54F6">
            <w:pPr>
              <w:numPr>
                <w:ilvl w:val="12"/>
                <w:numId w:val="0"/>
              </w:numPr>
              <w:ind w:right="-2"/>
              <w:jc w:val="center"/>
              <w:rPr>
                <w:rFonts w:eastAsia="Arial Unicode MS" w:cs="Arial Unicode MS"/>
                <w:szCs w:val="22"/>
              </w:rPr>
            </w:pPr>
            <w:r w:rsidRPr="00C44FC7">
              <w:rPr>
                <w:rFonts w:eastAsia="Arial Unicode MS" w:cs="Arial Unicode MS"/>
                <w:szCs w:val="22"/>
              </w:rPr>
              <w:t>-0.96</w:t>
            </w:r>
          </w:p>
        </w:tc>
      </w:tr>
      <w:tr w:rsidR="009A4790" w:rsidRPr="00C44FC7" w:rsidTr="005B6E35">
        <w:tc>
          <w:tcPr>
            <w:tcW w:w="5400" w:type="dxa"/>
          </w:tcPr>
          <w:p w:rsidR="009A4790" w:rsidRPr="00C44FC7" w:rsidRDefault="009A4790" w:rsidP="009C54F6">
            <w:pPr>
              <w:numPr>
                <w:ilvl w:val="12"/>
                <w:numId w:val="0"/>
              </w:numPr>
              <w:ind w:right="-2"/>
              <w:rPr>
                <w:rFonts w:eastAsia="Arial Unicode MS" w:cs="Arial Unicode MS"/>
                <w:szCs w:val="22"/>
              </w:rPr>
            </w:pPr>
            <w:r w:rsidRPr="00C44FC7">
              <w:rPr>
                <w:rFonts w:eastAsia="Arial Unicode MS" w:cs="Arial Unicode MS"/>
                <w:szCs w:val="22"/>
              </w:rPr>
              <w:t>Percentage of patients &lt;400 copies/mL at week 24</w:t>
            </w:r>
          </w:p>
        </w:tc>
        <w:tc>
          <w:tcPr>
            <w:tcW w:w="2250" w:type="dxa"/>
          </w:tcPr>
          <w:p w:rsidR="009A4790" w:rsidRPr="00C44FC7" w:rsidRDefault="009A4790" w:rsidP="009C54F6">
            <w:pPr>
              <w:numPr>
                <w:ilvl w:val="12"/>
                <w:numId w:val="0"/>
              </w:numPr>
              <w:ind w:right="-2"/>
              <w:jc w:val="center"/>
              <w:rPr>
                <w:rFonts w:eastAsia="Arial Unicode MS" w:cs="Arial Unicode MS"/>
                <w:szCs w:val="22"/>
              </w:rPr>
            </w:pPr>
            <w:r w:rsidRPr="00C44FC7">
              <w:rPr>
                <w:rFonts w:eastAsia="Arial Unicode MS" w:cs="Arial Unicode MS"/>
                <w:szCs w:val="22"/>
              </w:rPr>
              <w:t>30.8</w:t>
            </w:r>
          </w:p>
        </w:tc>
        <w:tc>
          <w:tcPr>
            <w:tcW w:w="1537" w:type="dxa"/>
          </w:tcPr>
          <w:p w:rsidR="009A4790" w:rsidRPr="00C44FC7" w:rsidRDefault="009A4790" w:rsidP="009C54F6">
            <w:pPr>
              <w:numPr>
                <w:ilvl w:val="12"/>
                <w:numId w:val="0"/>
              </w:numPr>
              <w:ind w:right="-2"/>
              <w:jc w:val="center"/>
              <w:rPr>
                <w:rFonts w:eastAsia="Arial Unicode MS" w:cs="Arial Unicode MS"/>
                <w:szCs w:val="22"/>
              </w:rPr>
            </w:pPr>
            <w:r w:rsidRPr="00C44FC7">
              <w:rPr>
                <w:rFonts w:eastAsia="Arial Unicode MS" w:cs="Arial Unicode MS"/>
                <w:szCs w:val="22"/>
              </w:rPr>
              <w:t>24.1</w:t>
            </w:r>
          </w:p>
        </w:tc>
      </w:tr>
      <w:tr w:rsidR="009A4790" w:rsidRPr="00C44FC7" w:rsidTr="005B6E35">
        <w:tc>
          <w:tcPr>
            <w:tcW w:w="5400" w:type="dxa"/>
          </w:tcPr>
          <w:p w:rsidR="009A4790" w:rsidRPr="00C44FC7" w:rsidRDefault="009A4790" w:rsidP="009C54F6">
            <w:pPr>
              <w:numPr>
                <w:ilvl w:val="12"/>
                <w:numId w:val="0"/>
              </w:numPr>
              <w:ind w:right="-2"/>
              <w:rPr>
                <w:rFonts w:eastAsia="Arial Unicode MS" w:cs="Arial Unicode MS"/>
                <w:szCs w:val="22"/>
              </w:rPr>
            </w:pPr>
            <w:r w:rsidRPr="00C44FC7">
              <w:rPr>
                <w:rFonts w:eastAsia="Arial Unicode MS" w:cs="Arial Unicode MS"/>
                <w:szCs w:val="22"/>
              </w:rPr>
              <w:t>Percentage of patients &lt;50 copies/mL at week 24</w:t>
            </w:r>
          </w:p>
        </w:tc>
        <w:tc>
          <w:tcPr>
            <w:tcW w:w="2250" w:type="dxa"/>
          </w:tcPr>
          <w:p w:rsidR="009A4790" w:rsidRPr="00C44FC7" w:rsidRDefault="009A4790" w:rsidP="009C54F6">
            <w:pPr>
              <w:numPr>
                <w:ilvl w:val="12"/>
                <w:numId w:val="0"/>
              </w:numPr>
              <w:ind w:right="-2"/>
              <w:jc w:val="center"/>
              <w:rPr>
                <w:rFonts w:eastAsia="Arial Unicode MS" w:cs="Arial Unicode MS"/>
                <w:szCs w:val="22"/>
              </w:rPr>
            </w:pPr>
            <w:r w:rsidRPr="00C44FC7">
              <w:rPr>
                <w:rFonts w:eastAsia="Arial Unicode MS" w:cs="Arial Unicode MS"/>
                <w:szCs w:val="22"/>
              </w:rPr>
              <w:t>26.9</w:t>
            </w:r>
          </w:p>
        </w:tc>
        <w:tc>
          <w:tcPr>
            <w:tcW w:w="1537" w:type="dxa"/>
          </w:tcPr>
          <w:p w:rsidR="009A4790" w:rsidRPr="00C44FC7" w:rsidRDefault="009A4790" w:rsidP="009C54F6">
            <w:pPr>
              <w:numPr>
                <w:ilvl w:val="12"/>
                <w:numId w:val="0"/>
              </w:numPr>
              <w:ind w:right="-2"/>
              <w:jc w:val="center"/>
              <w:rPr>
                <w:rFonts w:eastAsia="Arial Unicode MS" w:cs="Arial Unicode MS"/>
                <w:szCs w:val="22"/>
              </w:rPr>
            </w:pPr>
            <w:r w:rsidRPr="00C44FC7">
              <w:rPr>
                <w:rFonts w:eastAsia="Arial Unicode MS" w:cs="Arial Unicode MS"/>
                <w:szCs w:val="22"/>
              </w:rPr>
              <w:t>15.5</w:t>
            </w:r>
          </w:p>
        </w:tc>
      </w:tr>
      <w:tr w:rsidR="009A4790" w:rsidRPr="00C44FC7" w:rsidTr="005B6E35">
        <w:tc>
          <w:tcPr>
            <w:tcW w:w="5400" w:type="dxa"/>
          </w:tcPr>
          <w:p w:rsidR="009A4790" w:rsidRPr="00C44FC7" w:rsidRDefault="009A4790" w:rsidP="009C54F6">
            <w:pPr>
              <w:rPr>
                <w:rFonts w:eastAsia="Arial Unicode MS" w:cs="Arial Unicode MS"/>
                <w:szCs w:val="22"/>
              </w:rPr>
            </w:pPr>
            <w:r w:rsidRPr="00C44FC7">
              <w:rPr>
                <w:rFonts w:eastAsia="Arial Unicode MS" w:cs="Arial Unicode MS"/>
                <w:szCs w:val="22"/>
              </w:rPr>
              <w:t>Change from baseline absolute CD4 counts</w:t>
            </w:r>
          </w:p>
        </w:tc>
        <w:tc>
          <w:tcPr>
            <w:tcW w:w="2250" w:type="dxa"/>
          </w:tcPr>
          <w:p w:rsidR="009A4790" w:rsidRPr="00C44FC7" w:rsidRDefault="009A4790" w:rsidP="009C54F6">
            <w:pPr>
              <w:numPr>
                <w:ilvl w:val="12"/>
                <w:numId w:val="0"/>
              </w:numPr>
              <w:ind w:right="-2"/>
              <w:jc w:val="center"/>
              <w:rPr>
                <w:rFonts w:eastAsia="Arial Unicode MS" w:cs="Arial Unicode MS"/>
                <w:szCs w:val="22"/>
              </w:rPr>
            </w:pPr>
            <w:r w:rsidRPr="00C44FC7">
              <w:rPr>
                <w:rFonts w:eastAsia="Arial Unicode MS" w:cs="Arial Unicode MS"/>
                <w:szCs w:val="22"/>
              </w:rPr>
              <w:t>+62</w:t>
            </w:r>
          </w:p>
        </w:tc>
        <w:tc>
          <w:tcPr>
            <w:tcW w:w="1537" w:type="dxa"/>
          </w:tcPr>
          <w:p w:rsidR="009A4790" w:rsidRPr="00C44FC7" w:rsidRDefault="009A4790" w:rsidP="009C54F6">
            <w:pPr>
              <w:numPr>
                <w:ilvl w:val="12"/>
                <w:numId w:val="0"/>
              </w:numPr>
              <w:ind w:right="-2"/>
              <w:jc w:val="center"/>
              <w:rPr>
                <w:rFonts w:eastAsia="Arial Unicode MS" w:cs="Arial Unicode MS"/>
                <w:szCs w:val="22"/>
              </w:rPr>
            </w:pPr>
            <w:r w:rsidRPr="00C44FC7">
              <w:rPr>
                <w:rFonts w:eastAsia="Arial Unicode MS" w:cs="Arial Unicode MS"/>
                <w:szCs w:val="22"/>
              </w:rPr>
              <w:t>+36</w:t>
            </w:r>
          </w:p>
        </w:tc>
      </w:tr>
    </w:tbl>
    <w:p w:rsidR="009A4790" w:rsidRPr="00564C8A" w:rsidRDefault="009A4790" w:rsidP="003F26BC">
      <w:pPr>
        <w:pStyle w:val="Heading2"/>
      </w:pPr>
      <w:r>
        <w:t>Study in Treatment-Naive</w:t>
      </w:r>
      <w:r w:rsidR="003F26BC">
        <w:t xml:space="preserve"> Patients:</w:t>
      </w:r>
    </w:p>
    <w:p w:rsidR="009A4790" w:rsidRPr="00452D0B" w:rsidRDefault="009A4790" w:rsidP="002E31AD">
      <w:pPr>
        <w:jc w:val="both"/>
        <w:rPr>
          <w:color w:val="000000"/>
        </w:rPr>
      </w:pPr>
      <w:r w:rsidRPr="00AA3B3F">
        <w:rPr>
          <w:color w:val="000000"/>
        </w:rPr>
        <w:t xml:space="preserve">Study A4001026 is an ongoing, randomized, double-blind, multicenter study in </w:t>
      </w:r>
      <w:r w:rsidR="00551A77" w:rsidRPr="00AA3B3F">
        <w:rPr>
          <w:color w:val="000000"/>
        </w:rPr>
        <w:t>patients</w:t>
      </w:r>
      <w:r w:rsidRPr="00AA3B3F">
        <w:rPr>
          <w:color w:val="000000"/>
        </w:rPr>
        <w:t xml:space="preserve"> infected with CCR5-tropic HIV-1 classified by the original </w:t>
      </w:r>
      <w:proofErr w:type="spellStart"/>
      <w:r w:rsidRPr="00AA3B3F">
        <w:rPr>
          <w:color w:val="000000"/>
        </w:rPr>
        <w:t>Trofile</w:t>
      </w:r>
      <w:proofErr w:type="spellEnd"/>
      <w:r w:rsidRPr="00AA3B3F">
        <w:rPr>
          <w:color w:val="000000"/>
          <w:position w:val="7"/>
          <w:vertAlign w:val="superscript"/>
        </w:rPr>
        <w:t xml:space="preserve"> </w:t>
      </w:r>
      <w:r w:rsidRPr="00AA3B3F">
        <w:rPr>
          <w:color w:val="000000"/>
        </w:rPr>
        <w:t xml:space="preserve">tropism assay. </w:t>
      </w:r>
      <w:r w:rsidR="00FE4961" w:rsidRPr="00AA3B3F">
        <w:rPr>
          <w:szCs w:val="22"/>
        </w:rPr>
        <w:t xml:space="preserve">The primary objective was to assess whether antiviral activity (plasma viral load &lt;400/50 copies/ml at Week 48) of CELSENTRI in combination zidovudine/lamivudine was non-inferior to a reference regimen of efavirenz plus zidovudine/lamivudine. </w:t>
      </w:r>
      <w:r w:rsidR="00551A77" w:rsidRPr="00AA3B3F">
        <w:rPr>
          <w:color w:val="000000"/>
        </w:rPr>
        <w:t>Patients</w:t>
      </w:r>
      <w:r w:rsidRPr="00AA3B3F">
        <w:rPr>
          <w:color w:val="000000"/>
        </w:rPr>
        <w:t xml:space="preserve"> were required to have plasma HIV-1 RNA ≥2000 copies/mL and could not have: 1) previously received any antiretroviral therapy for &gt;14 days, 2) an active or recent opportunistic infection or a suspected primary HIV-1 infection, or 3) phenotypic or genotypic resistance to zidovudine, lamivudine, or efavirenz. </w:t>
      </w:r>
      <w:r w:rsidR="00551A77" w:rsidRPr="00AA3B3F">
        <w:rPr>
          <w:color w:val="000000"/>
        </w:rPr>
        <w:t>Patients</w:t>
      </w:r>
      <w:r w:rsidRPr="00AA3B3F">
        <w:rPr>
          <w:color w:val="000000"/>
        </w:rPr>
        <w:t xml:space="preserve"> were randomized in a 1:1:1 ratio to </w:t>
      </w:r>
      <w:r w:rsidR="003426EE" w:rsidRPr="00AA3B3F">
        <w:rPr>
          <w:color w:val="000000"/>
        </w:rPr>
        <w:t>CELSENTRI</w:t>
      </w:r>
      <w:r w:rsidRPr="00AA3B3F">
        <w:rPr>
          <w:color w:val="000000"/>
        </w:rPr>
        <w:t xml:space="preserve"> 300 mg once daily, </w:t>
      </w:r>
      <w:r w:rsidR="003426EE" w:rsidRPr="00AA3B3F">
        <w:rPr>
          <w:color w:val="000000"/>
        </w:rPr>
        <w:t>CELSENTRI</w:t>
      </w:r>
      <w:r w:rsidRPr="00AA3B3F">
        <w:rPr>
          <w:color w:val="000000"/>
        </w:rPr>
        <w:t xml:space="preserve"> 300 mg twice daily, or efavirenz 600 mg once daily, each in </w:t>
      </w:r>
      <w:r w:rsidRPr="005B6E35">
        <w:rPr>
          <w:color w:val="000000"/>
        </w:rPr>
        <w:t xml:space="preserve">combination with zidovudine/lamivudine. The efficacy and safety of CELSENTRI are based on the comparison of CELSENTRI twice daily versus efavirenz. </w:t>
      </w:r>
      <w:r w:rsidR="00AA3B3F" w:rsidRPr="005B6E35">
        <w:t>A one-sided 97.5% confidence interval (CI) was constructed based on the normal approximation to the binomial distribution for the treatment difference in percentages stratified by the randomisation strata (screening viral load and geographic region). A step down procedure was used to control for multiple comparisons (</w:t>
      </w:r>
      <w:proofErr w:type="spellStart"/>
      <w:r w:rsidR="00AA3B3F" w:rsidRPr="005B6E35">
        <w:t>ie</w:t>
      </w:r>
      <w:proofErr w:type="spellEnd"/>
      <w:r w:rsidR="00AA3B3F" w:rsidRPr="005B6E35">
        <w:t xml:space="preserve">. &lt;400 and &lt;50). Non-inferiority was to be concluded if the lower bound of the one-sided 97.5% CI was &gt; -10%. </w:t>
      </w:r>
      <w:r w:rsidRPr="005B6E35">
        <w:rPr>
          <w:color w:val="000000"/>
        </w:rPr>
        <w:t xml:space="preserve">In a pre-planned interim analysis at 16 weeks, the </w:t>
      </w:r>
      <w:r w:rsidR="003426EE" w:rsidRPr="005B6E35">
        <w:rPr>
          <w:color w:val="000000"/>
        </w:rPr>
        <w:t>CELSENTRI</w:t>
      </w:r>
      <w:r w:rsidRPr="005B6E35">
        <w:rPr>
          <w:color w:val="000000"/>
        </w:rPr>
        <w:t xml:space="preserve"> 300mg once per day treatment</w:t>
      </w:r>
      <w:r w:rsidRPr="00AA3B3F">
        <w:rPr>
          <w:color w:val="000000"/>
        </w:rPr>
        <w:t xml:space="preserve"> arm failed to meet the pre-specified criteria for demonstrating non-inferiority and was discontinued.</w:t>
      </w:r>
    </w:p>
    <w:p w:rsidR="009A4790" w:rsidRPr="00452D0B" w:rsidRDefault="009A4790" w:rsidP="002E31AD">
      <w:pPr>
        <w:spacing w:after="240"/>
        <w:jc w:val="both"/>
        <w:rPr>
          <w:color w:val="000000"/>
        </w:rPr>
      </w:pPr>
      <w:r w:rsidRPr="00452D0B">
        <w:rPr>
          <w:color w:val="000000"/>
        </w:rPr>
        <w:lastRenderedPageBreak/>
        <w:t xml:space="preserve">The demographic and baseline characteristics of the </w:t>
      </w:r>
      <w:r w:rsidR="003426EE">
        <w:rPr>
          <w:color w:val="000000"/>
        </w:rPr>
        <w:t>CELSENTRI</w:t>
      </w:r>
      <w:r w:rsidRPr="00452D0B">
        <w:rPr>
          <w:color w:val="000000"/>
        </w:rPr>
        <w:t xml:space="preserve"> and efavirenz treatment groups were comparable (Table </w:t>
      </w:r>
      <w:r>
        <w:rPr>
          <w:color w:val="000000"/>
        </w:rPr>
        <w:t>4</w:t>
      </w:r>
      <w:r w:rsidRPr="00452D0B">
        <w:rPr>
          <w:color w:val="000000"/>
        </w:rPr>
        <w:t xml:space="preserve">). </w:t>
      </w:r>
      <w:r w:rsidR="00551A77">
        <w:rPr>
          <w:color w:val="000000"/>
        </w:rPr>
        <w:t>Patients</w:t>
      </w:r>
      <w:r w:rsidRPr="00452D0B">
        <w:rPr>
          <w:color w:val="000000"/>
        </w:rPr>
        <w:t xml:space="preserve"> were stratified by screening HIV-1 RNA levels and by geographic region. The median CD4 cell counts and mean HIV-1 RNA at baseline were similar for both treatment groups.</w:t>
      </w:r>
    </w:p>
    <w:p w:rsidR="009A4790" w:rsidRPr="002C6EF7" w:rsidRDefault="009A4790" w:rsidP="009A4790">
      <w:pPr>
        <w:autoSpaceDE w:val="0"/>
        <w:autoSpaceDN w:val="0"/>
        <w:adjustRightInd w:val="0"/>
        <w:rPr>
          <w:b/>
          <w:bCs/>
          <w:sz w:val="22"/>
          <w:szCs w:val="22"/>
          <w:lang w:eastAsia="en-AU"/>
        </w:rPr>
      </w:pPr>
      <w:r w:rsidRPr="002C6EF7">
        <w:rPr>
          <w:b/>
          <w:bCs/>
          <w:sz w:val="22"/>
          <w:szCs w:val="22"/>
          <w:lang w:eastAsia="en-AU"/>
        </w:rPr>
        <w:t xml:space="preserve">Table 4: Demographic and Baseline Characteristics of </w:t>
      </w:r>
      <w:r w:rsidR="00551A77" w:rsidRPr="002C6EF7">
        <w:rPr>
          <w:b/>
          <w:bCs/>
          <w:sz w:val="22"/>
          <w:szCs w:val="22"/>
          <w:lang w:eastAsia="en-AU"/>
        </w:rPr>
        <w:t>Patients</w:t>
      </w:r>
      <w:r w:rsidRPr="002C6EF7">
        <w:rPr>
          <w:b/>
          <w:bCs/>
          <w:sz w:val="22"/>
          <w:szCs w:val="22"/>
          <w:lang w:eastAsia="en-AU"/>
        </w:rPr>
        <w:t xml:space="preserve"> in the Treatment-Naïve Study* (MERIT)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6"/>
        <w:gridCol w:w="2855"/>
        <w:gridCol w:w="2815"/>
      </w:tblGrid>
      <w:tr w:rsidR="009A4790" w:rsidTr="00CF0831">
        <w:tc>
          <w:tcPr>
            <w:tcW w:w="2826" w:type="dxa"/>
            <w:tcBorders>
              <w:right w:val="nil"/>
            </w:tcBorders>
          </w:tcPr>
          <w:p w:rsidR="009A4790" w:rsidRPr="00844859" w:rsidRDefault="009A4790" w:rsidP="009C54F6">
            <w:pPr>
              <w:rPr>
                <w:b/>
              </w:rPr>
            </w:pPr>
          </w:p>
        </w:tc>
        <w:tc>
          <w:tcPr>
            <w:tcW w:w="2855" w:type="dxa"/>
            <w:tcBorders>
              <w:left w:val="nil"/>
              <w:right w:val="nil"/>
            </w:tcBorders>
          </w:tcPr>
          <w:p w:rsidR="009A4790" w:rsidRPr="002C6EF7" w:rsidRDefault="009A4790" w:rsidP="009C54F6">
            <w:pPr>
              <w:autoSpaceDE w:val="0"/>
              <w:autoSpaceDN w:val="0"/>
              <w:adjustRightInd w:val="0"/>
              <w:jc w:val="center"/>
              <w:rPr>
                <w:b/>
                <w:bCs/>
                <w:sz w:val="20"/>
                <w:szCs w:val="20"/>
              </w:rPr>
            </w:pPr>
            <w:r w:rsidRPr="002C6EF7">
              <w:rPr>
                <w:b/>
                <w:bCs/>
                <w:sz w:val="20"/>
                <w:szCs w:val="20"/>
              </w:rPr>
              <w:t>CELSENTRI 300 mg BID</w:t>
            </w:r>
          </w:p>
          <w:p w:rsidR="009A4790" w:rsidRPr="002C6EF7" w:rsidRDefault="009A4790" w:rsidP="009C54F6">
            <w:pPr>
              <w:autoSpaceDE w:val="0"/>
              <w:autoSpaceDN w:val="0"/>
              <w:adjustRightInd w:val="0"/>
              <w:jc w:val="center"/>
              <w:rPr>
                <w:b/>
                <w:bCs/>
                <w:sz w:val="20"/>
                <w:szCs w:val="20"/>
              </w:rPr>
            </w:pPr>
            <w:r w:rsidRPr="002C6EF7">
              <w:rPr>
                <w:b/>
                <w:bCs/>
                <w:sz w:val="20"/>
                <w:szCs w:val="20"/>
              </w:rPr>
              <w:t>+ ZDV/</w:t>
            </w:r>
            <w:r w:rsidR="00F81F88" w:rsidRPr="002C6EF7">
              <w:rPr>
                <w:b/>
                <w:bCs/>
                <w:sz w:val="20"/>
                <w:szCs w:val="20"/>
              </w:rPr>
              <w:t>3TC</w:t>
            </w:r>
          </w:p>
          <w:p w:rsidR="009A4790" w:rsidRPr="002C6EF7" w:rsidRDefault="009A4790" w:rsidP="009C54F6">
            <w:pPr>
              <w:jc w:val="center"/>
            </w:pPr>
            <w:r w:rsidRPr="002C6EF7">
              <w:rPr>
                <w:b/>
                <w:bCs/>
                <w:sz w:val="20"/>
                <w:szCs w:val="20"/>
              </w:rPr>
              <w:t>(N=360)</w:t>
            </w:r>
          </w:p>
        </w:tc>
        <w:tc>
          <w:tcPr>
            <w:tcW w:w="2815" w:type="dxa"/>
            <w:tcBorders>
              <w:left w:val="nil"/>
            </w:tcBorders>
          </w:tcPr>
          <w:p w:rsidR="009A4790" w:rsidRPr="002C6EF7" w:rsidRDefault="009A4790" w:rsidP="009C54F6">
            <w:pPr>
              <w:autoSpaceDE w:val="0"/>
              <w:autoSpaceDN w:val="0"/>
              <w:adjustRightInd w:val="0"/>
              <w:jc w:val="center"/>
              <w:rPr>
                <w:b/>
                <w:bCs/>
                <w:sz w:val="20"/>
                <w:szCs w:val="20"/>
              </w:rPr>
            </w:pPr>
            <w:r w:rsidRPr="002C6EF7">
              <w:rPr>
                <w:b/>
                <w:bCs/>
                <w:sz w:val="20"/>
                <w:szCs w:val="20"/>
              </w:rPr>
              <w:t>Efavirenz 600 mg QD</w:t>
            </w:r>
          </w:p>
          <w:p w:rsidR="009A4790" w:rsidRPr="002C6EF7" w:rsidRDefault="009A4790" w:rsidP="009C54F6">
            <w:pPr>
              <w:autoSpaceDE w:val="0"/>
              <w:autoSpaceDN w:val="0"/>
              <w:adjustRightInd w:val="0"/>
              <w:jc w:val="center"/>
              <w:rPr>
                <w:b/>
                <w:bCs/>
                <w:sz w:val="20"/>
                <w:szCs w:val="20"/>
              </w:rPr>
            </w:pPr>
            <w:r w:rsidRPr="002C6EF7">
              <w:rPr>
                <w:b/>
                <w:bCs/>
                <w:sz w:val="20"/>
                <w:szCs w:val="20"/>
              </w:rPr>
              <w:t>+ ZDV/</w:t>
            </w:r>
            <w:r w:rsidR="00F81F88" w:rsidRPr="002C6EF7">
              <w:rPr>
                <w:b/>
                <w:bCs/>
                <w:sz w:val="20"/>
                <w:szCs w:val="20"/>
              </w:rPr>
              <w:t>3TC</w:t>
            </w:r>
          </w:p>
          <w:p w:rsidR="009A4790" w:rsidRPr="002C6EF7" w:rsidRDefault="009A4790" w:rsidP="009C54F6">
            <w:pPr>
              <w:jc w:val="center"/>
            </w:pPr>
            <w:r w:rsidRPr="002C6EF7">
              <w:rPr>
                <w:b/>
                <w:bCs/>
                <w:sz w:val="20"/>
                <w:szCs w:val="20"/>
              </w:rPr>
              <w:t>(N=361)</w:t>
            </w:r>
          </w:p>
        </w:tc>
      </w:tr>
      <w:tr w:rsidR="009A4790" w:rsidTr="00CF0831">
        <w:tc>
          <w:tcPr>
            <w:tcW w:w="2826" w:type="dxa"/>
          </w:tcPr>
          <w:p w:rsidR="009A4790" w:rsidRPr="003F4E09" w:rsidRDefault="009A4790" w:rsidP="009C54F6">
            <w:pPr>
              <w:autoSpaceDE w:val="0"/>
              <w:autoSpaceDN w:val="0"/>
              <w:adjustRightInd w:val="0"/>
              <w:rPr>
                <w:b/>
                <w:bCs/>
                <w:sz w:val="20"/>
                <w:szCs w:val="20"/>
              </w:rPr>
            </w:pPr>
            <w:r w:rsidRPr="003F4E09">
              <w:rPr>
                <w:b/>
                <w:bCs/>
                <w:sz w:val="20"/>
                <w:szCs w:val="20"/>
              </w:rPr>
              <w:t>Age (years)</w:t>
            </w:r>
          </w:p>
          <w:p w:rsidR="009A4790" w:rsidRPr="003F4E09" w:rsidRDefault="009A4790" w:rsidP="009C54F6">
            <w:pPr>
              <w:rPr>
                <w:b/>
                <w:sz w:val="20"/>
                <w:szCs w:val="20"/>
              </w:rPr>
            </w:pPr>
            <w:r w:rsidRPr="003F4E09">
              <w:rPr>
                <w:b/>
                <w:sz w:val="20"/>
                <w:szCs w:val="20"/>
              </w:rPr>
              <w:t>Mean (SD)</w:t>
            </w:r>
          </w:p>
          <w:p w:rsidR="009A4790" w:rsidRPr="003F4E09" w:rsidRDefault="009A4790" w:rsidP="002C6EF7">
            <w:pPr>
              <w:rPr>
                <w:b/>
              </w:rPr>
            </w:pPr>
            <w:r w:rsidRPr="003F4E09">
              <w:rPr>
                <w:b/>
                <w:sz w:val="20"/>
                <w:szCs w:val="20"/>
              </w:rPr>
              <w:t>Range</w:t>
            </w:r>
          </w:p>
        </w:tc>
        <w:tc>
          <w:tcPr>
            <w:tcW w:w="2855" w:type="dxa"/>
          </w:tcPr>
          <w:p w:rsidR="009A4790" w:rsidRPr="003F4E09" w:rsidRDefault="009A4790" w:rsidP="009C54F6">
            <w:pPr>
              <w:jc w:val="center"/>
            </w:pPr>
          </w:p>
          <w:p w:rsidR="009A4790" w:rsidRPr="003F4E09" w:rsidRDefault="002C6EF7" w:rsidP="009C54F6">
            <w:pPr>
              <w:jc w:val="center"/>
              <w:rPr>
                <w:sz w:val="20"/>
                <w:szCs w:val="20"/>
              </w:rPr>
            </w:pPr>
            <w:r>
              <w:rPr>
                <w:sz w:val="20"/>
                <w:szCs w:val="20"/>
              </w:rPr>
              <w:t>36.7 (9.4)</w:t>
            </w:r>
          </w:p>
          <w:p w:rsidR="009A4790" w:rsidRPr="003F4E09" w:rsidRDefault="009A4790" w:rsidP="009C54F6">
            <w:pPr>
              <w:jc w:val="center"/>
            </w:pPr>
            <w:r w:rsidRPr="003F4E09">
              <w:rPr>
                <w:sz w:val="20"/>
                <w:szCs w:val="20"/>
              </w:rPr>
              <w:t>20-69</w:t>
            </w:r>
          </w:p>
        </w:tc>
        <w:tc>
          <w:tcPr>
            <w:tcW w:w="2815" w:type="dxa"/>
          </w:tcPr>
          <w:p w:rsidR="009A4790" w:rsidRPr="003F4E09" w:rsidRDefault="009A4790" w:rsidP="009C54F6">
            <w:pPr>
              <w:jc w:val="center"/>
            </w:pPr>
          </w:p>
          <w:p w:rsidR="009A4790" w:rsidRPr="003F4E09" w:rsidRDefault="009A4790" w:rsidP="009C54F6">
            <w:pPr>
              <w:jc w:val="center"/>
              <w:rPr>
                <w:sz w:val="20"/>
                <w:szCs w:val="20"/>
              </w:rPr>
            </w:pPr>
            <w:r w:rsidRPr="003F4E09">
              <w:rPr>
                <w:sz w:val="20"/>
                <w:szCs w:val="20"/>
              </w:rPr>
              <w:t>37.4 (9.8)</w:t>
            </w:r>
          </w:p>
          <w:p w:rsidR="009A4790" w:rsidRPr="003F4E09" w:rsidRDefault="009A4790" w:rsidP="009C54F6">
            <w:pPr>
              <w:jc w:val="center"/>
            </w:pPr>
            <w:r w:rsidRPr="003F4E09">
              <w:rPr>
                <w:sz w:val="20"/>
                <w:szCs w:val="20"/>
              </w:rPr>
              <w:t>18-77</w:t>
            </w:r>
          </w:p>
        </w:tc>
      </w:tr>
      <w:tr w:rsidR="009A4790" w:rsidTr="00CF0831">
        <w:tc>
          <w:tcPr>
            <w:tcW w:w="2826" w:type="dxa"/>
          </w:tcPr>
          <w:p w:rsidR="009A4790" w:rsidRPr="003F4E09" w:rsidRDefault="009A4790" w:rsidP="009C54F6">
            <w:pPr>
              <w:autoSpaceDE w:val="0"/>
              <w:autoSpaceDN w:val="0"/>
              <w:adjustRightInd w:val="0"/>
              <w:rPr>
                <w:b/>
                <w:bCs/>
                <w:sz w:val="20"/>
                <w:szCs w:val="20"/>
              </w:rPr>
            </w:pPr>
            <w:r w:rsidRPr="003F4E09">
              <w:rPr>
                <w:b/>
                <w:bCs/>
                <w:sz w:val="20"/>
                <w:szCs w:val="20"/>
              </w:rPr>
              <w:t>Gender n (%)</w:t>
            </w:r>
          </w:p>
          <w:p w:rsidR="009A4790" w:rsidRPr="003F4E09" w:rsidRDefault="009A4790" w:rsidP="009C54F6">
            <w:pPr>
              <w:autoSpaceDE w:val="0"/>
              <w:autoSpaceDN w:val="0"/>
              <w:adjustRightInd w:val="0"/>
              <w:rPr>
                <w:b/>
                <w:bCs/>
                <w:sz w:val="20"/>
                <w:szCs w:val="20"/>
              </w:rPr>
            </w:pPr>
            <w:r w:rsidRPr="003F4E09">
              <w:rPr>
                <w:b/>
                <w:bCs/>
                <w:sz w:val="20"/>
                <w:szCs w:val="20"/>
              </w:rPr>
              <w:t>Male</w:t>
            </w:r>
          </w:p>
          <w:p w:rsidR="009A4790" w:rsidRPr="003F4E09" w:rsidRDefault="009A4790" w:rsidP="002C6EF7">
            <w:pPr>
              <w:rPr>
                <w:b/>
              </w:rPr>
            </w:pPr>
            <w:r w:rsidRPr="003F4E09">
              <w:rPr>
                <w:b/>
                <w:bCs/>
                <w:sz w:val="20"/>
                <w:szCs w:val="20"/>
              </w:rPr>
              <w:t>Female</w:t>
            </w:r>
          </w:p>
        </w:tc>
        <w:tc>
          <w:tcPr>
            <w:tcW w:w="2855" w:type="dxa"/>
          </w:tcPr>
          <w:p w:rsidR="009A4790" w:rsidRPr="003F4E09" w:rsidRDefault="009A4790" w:rsidP="009C54F6">
            <w:pPr>
              <w:jc w:val="center"/>
            </w:pPr>
          </w:p>
          <w:p w:rsidR="009A4790" w:rsidRPr="003F4E09" w:rsidRDefault="009A4790" w:rsidP="009C54F6">
            <w:pPr>
              <w:autoSpaceDE w:val="0"/>
              <w:autoSpaceDN w:val="0"/>
              <w:adjustRightInd w:val="0"/>
              <w:jc w:val="center"/>
              <w:rPr>
                <w:sz w:val="20"/>
                <w:szCs w:val="20"/>
              </w:rPr>
            </w:pPr>
            <w:r w:rsidRPr="003F4E09">
              <w:rPr>
                <w:sz w:val="20"/>
                <w:szCs w:val="20"/>
              </w:rPr>
              <w:t>256 (71.1)</w:t>
            </w:r>
          </w:p>
          <w:p w:rsidR="009A4790" w:rsidRPr="003F4E09" w:rsidRDefault="009A4790" w:rsidP="009C54F6">
            <w:pPr>
              <w:jc w:val="center"/>
            </w:pPr>
            <w:r w:rsidRPr="003F4E09">
              <w:rPr>
                <w:sz w:val="20"/>
                <w:szCs w:val="20"/>
              </w:rPr>
              <w:t>104 (28.9)</w:t>
            </w:r>
          </w:p>
        </w:tc>
        <w:tc>
          <w:tcPr>
            <w:tcW w:w="2815" w:type="dxa"/>
          </w:tcPr>
          <w:p w:rsidR="009A4790" w:rsidRPr="003F4E09" w:rsidRDefault="009A4790" w:rsidP="009C54F6">
            <w:pPr>
              <w:jc w:val="center"/>
            </w:pPr>
          </w:p>
          <w:p w:rsidR="009A4790" w:rsidRPr="003F4E09" w:rsidRDefault="009A4790" w:rsidP="009C54F6">
            <w:pPr>
              <w:autoSpaceDE w:val="0"/>
              <w:autoSpaceDN w:val="0"/>
              <w:adjustRightInd w:val="0"/>
              <w:jc w:val="center"/>
              <w:rPr>
                <w:sz w:val="20"/>
                <w:szCs w:val="20"/>
              </w:rPr>
            </w:pPr>
            <w:r w:rsidRPr="003F4E09">
              <w:rPr>
                <w:sz w:val="20"/>
                <w:szCs w:val="20"/>
              </w:rPr>
              <w:t>259 (71.7)</w:t>
            </w:r>
          </w:p>
          <w:p w:rsidR="009A4790" w:rsidRPr="003F4E09" w:rsidRDefault="009A4790" w:rsidP="009C54F6">
            <w:pPr>
              <w:jc w:val="center"/>
            </w:pPr>
            <w:r w:rsidRPr="003F4E09">
              <w:rPr>
                <w:sz w:val="20"/>
                <w:szCs w:val="20"/>
              </w:rPr>
              <w:t>102 (28.3)</w:t>
            </w:r>
          </w:p>
        </w:tc>
      </w:tr>
      <w:tr w:rsidR="009A4790" w:rsidTr="00CF0831">
        <w:tc>
          <w:tcPr>
            <w:tcW w:w="2826" w:type="dxa"/>
          </w:tcPr>
          <w:p w:rsidR="009A4790" w:rsidRPr="003F4E09" w:rsidRDefault="009A4790" w:rsidP="009C54F6">
            <w:pPr>
              <w:autoSpaceDE w:val="0"/>
              <w:autoSpaceDN w:val="0"/>
              <w:adjustRightInd w:val="0"/>
              <w:rPr>
                <w:b/>
                <w:bCs/>
                <w:sz w:val="20"/>
                <w:szCs w:val="20"/>
              </w:rPr>
            </w:pPr>
            <w:r w:rsidRPr="003F4E09">
              <w:rPr>
                <w:b/>
                <w:bCs/>
                <w:sz w:val="20"/>
                <w:szCs w:val="20"/>
              </w:rPr>
              <w:t>Race, n (%)</w:t>
            </w:r>
          </w:p>
          <w:p w:rsidR="009A4790" w:rsidRPr="003F4E09" w:rsidRDefault="009A4790" w:rsidP="009C54F6">
            <w:pPr>
              <w:autoSpaceDE w:val="0"/>
              <w:autoSpaceDN w:val="0"/>
              <w:adjustRightInd w:val="0"/>
              <w:rPr>
                <w:b/>
                <w:sz w:val="20"/>
                <w:szCs w:val="20"/>
              </w:rPr>
            </w:pPr>
            <w:r w:rsidRPr="003F4E09">
              <w:rPr>
                <w:b/>
                <w:sz w:val="20"/>
                <w:szCs w:val="20"/>
              </w:rPr>
              <w:t xml:space="preserve">White </w:t>
            </w:r>
          </w:p>
          <w:p w:rsidR="009A4790" w:rsidRPr="003F4E09" w:rsidRDefault="009A4790" w:rsidP="009C54F6">
            <w:pPr>
              <w:autoSpaceDE w:val="0"/>
              <w:autoSpaceDN w:val="0"/>
              <w:adjustRightInd w:val="0"/>
              <w:rPr>
                <w:b/>
                <w:sz w:val="20"/>
                <w:szCs w:val="20"/>
              </w:rPr>
            </w:pPr>
            <w:r w:rsidRPr="003F4E09">
              <w:rPr>
                <w:b/>
                <w:sz w:val="20"/>
                <w:szCs w:val="20"/>
              </w:rPr>
              <w:t xml:space="preserve">Black </w:t>
            </w:r>
          </w:p>
          <w:p w:rsidR="009A4790" w:rsidRPr="003F4E09" w:rsidRDefault="009A4790" w:rsidP="009C54F6">
            <w:pPr>
              <w:autoSpaceDE w:val="0"/>
              <w:autoSpaceDN w:val="0"/>
              <w:adjustRightInd w:val="0"/>
              <w:rPr>
                <w:b/>
                <w:sz w:val="20"/>
                <w:szCs w:val="20"/>
              </w:rPr>
            </w:pPr>
            <w:r w:rsidRPr="003F4E09">
              <w:rPr>
                <w:b/>
                <w:sz w:val="20"/>
                <w:szCs w:val="20"/>
              </w:rPr>
              <w:t xml:space="preserve">Asian </w:t>
            </w:r>
          </w:p>
          <w:p w:rsidR="009A4790" w:rsidRPr="003F4E09" w:rsidRDefault="009A4790" w:rsidP="002C6EF7">
            <w:pPr>
              <w:autoSpaceDE w:val="0"/>
              <w:autoSpaceDN w:val="0"/>
              <w:adjustRightInd w:val="0"/>
              <w:rPr>
                <w:b/>
                <w:sz w:val="20"/>
                <w:szCs w:val="20"/>
              </w:rPr>
            </w:pPr>
            <w:r w:rsidRPr="003F4E09">
              <w:rPr>
                <w:b/>
                <w:sz w:val="20"/>
                <w:szCs w:val="20"/>
              </w:rPr>
              <w:t>Other</w:t>
            </w:r>
          </w:p>
        </w:tc>
        <w:tc>
          <w:tcPr>
            <w:tcW w:w="2855" w:type="dxa"/>
          </w:tcPr>
          <w:p w:rsidR="009A4790" w:rsidRPr="003F4E09" w:rsidRDefault="009A4790" w:rsidP="009C54F6">
            <w:pPr>
              <w:jc w:val="center"/>
            </w:pPr>
          </w:p>
          <w:p w:rsidR="009A4790" w:rsidRPr="003F4E09" w:rsidRDefault="009A4790" w:rsidP="009C54F6">
            <w:pPr>
              <w:jc w:val="center"/>
              <w:rPr>
                <w:sz w:val="20"/>
                <w:szCs w:val="20"/>
              </w:rPr>
            </w:pPr>
            <w:r w:rsidRPr="003F4E09">
              <w:rPr>
                <w:sz w:val="20"/>
                <w:szCs w:val="20"/>
              </w:rPr>
              <w:t>204 (56.7)</w:t>
            </w:r>
          </w:p>
          <w:p w:rsidR="009A4790" w:rsidRPr="003F4E09" w:rsidRDefault="009A4790" w:rsidP="009C54F6">
            <w:pPr>
              <w:jc w:val="center"/>
              <w:rPr>
                <w:sz w:val="20"/>
                <w:szCs w:val="20"/>
              </w:rPr>
            </w:pPr>
            <w:r w:rsidRPr="003F4E09">
              <w:rPr>
                <w:sz w:val="20"/>
                <w:szCs w:val="20"/>
              </w:rPr>
              <w:t>123 (34.2)</w:t>
            </w:r>
          </w:p>
          <w:p w:rsidR="009A4790" w:rsidRPr="003F4E09" w:rsidRDefault="009A4790" w:rsidP="009C54F6">
            <w:pPr>
              <w:jc w:val="center"/>
              <w:rPr>
                <w:sz w:val="20"/>
                <w:szCs w:val="20"/>
              </w:rPr>
            </w:pPr>
            <w:r w:rsidRPr="003F4E09">
              <w:rPr>
                <w:sz w:val="20"/>
                <w:szCs w:val="20"/>
              </w:rPr>
              <w:t>6 (1.7)</w:t>
            </w:r>
          </w:p>
          <w:p w:rsidR="009A4790" w:rsidRPr="003F4E09" w:rsidRDefault="009A4790" w:rsidP="009C54F6">
            <w:pPr>
              <w:jc w:val="center"/>
            </w:pPr>
            <w:r w:rsidRPr="003F4E09">
              <w:rPr>
                <w:sz w:val="20"/>
                <w:szCs w:val="20"/>
              </w:rPr>
              <w:t>27 (7.5)</w:t>
            </w:r>
          </w:p>
        </w:tc>
        <w:tc>
          <w:tcPr>
            <w:tcW w:w="2815" w:type="dxa"/>
          </w:tcPr>
          <w:p w:rsidR="009A4790" w:rsidRPr="003F4E09" w:rsidRDefault="009A4790" w:rsidP="009C54F6">
            <w:pPr>
              <w:jc w:val="center"/>
            </w:pPr>
          </w:p>
          <w:p w:rsidR="009A4790" w:rsidRPr="003F4E09" w:rsidRDefault="009A4790" w:rsidP="009C54F6">
            <w:pPr>
              <w:autoSpaceDE w:val="0"/>
              <w:autoSpaceDN w:val="0"/>
              <w:adjustRightInd w:val="0"/>
              <w:jc w:val="center"/>
              <w:rPr>
                <w:sz w:val="20"/>
                <w:szCs w:val="20"/>
              </w:rPr>
            </w:pPr>
            <w:r w:rsidRPr="003F4E09">
              <w:rPr>
                <w:sz w:val="20"/>
                <w:szCs w:val="20"/>
              </w:rPr>
              <w:t>198 (54.8)</w:t>
            </w:r>
          </w:p>
          <w:p w:rsidR="009A4790" w:rsidRPr="003F4E09" w:rsidRDefault="009A4790" w:rsidP="009C54F6">
            <w:pPr>
              <w:autoSpaceDE w:val="0"/>
              <w:autoSpaceDN w:val="0"/>
              <w:adjustRightInd w:val="0"/>
              <w:jc w:val="center"/>
              <w:rPr>
                <w:sz w:val="20"/>
                <w:szCs w:val="20"/>
              </w:rPr>
            </w:pPr>
            <w:r w:rsidRPr="003F4E09">
              <w:rPr>
                <w:sz w:val="20"/>
                <w:szCs w:val="20"/>
              </w:rPr>
              <w:t>133 (36.8)</w:t>
            </w:r>
          </w:p>
          <w:p w:rsidR="009A4790" w:rsidRPr="003F4E09" w:rsidRDefault="009A4790" w:rsidP="009C54F6">
            <w:pPr>
              <w:autoSpaceDE w:val="0"/>
              <w:autoSpaceDN w:val="0"/>
              <w:adjustRightInd w:val="0"/>
              <w:jc w:val="center"/>
              <w:rPr>
                <w:sz w:val="20"/>
                <w:szCs w:val="20"/>
              </w:rPr>
            </w:pPr>
            <w:r w:rsidRPr="003F4E09">
              <w:rPr>
                <w:sz w:val="20"/>
                <w:szCs w:val="20"/>
              </w:rPr>
              <w:t>5 (1.4)</w:t>
            </w:r>
          </w:p>
          <w:p w:rsidR="009A4790" w:rsidRPr="003F4E09" w:rsidRDefault="009A4790" w:rsidP="009C54F6">
            <w:pPr>
              <w:autoSpaceDE w:val="0"/>
              <w:autoSpaceDN w:val="0"/>
              <w:adjustRightInd w:val="0"/>
              <w:jc w:val="center"/>
              <w:rPr>
                <w:sz w:val="20"/>
                <w:szCs w:val="20"/>
              </w:rPr>
            </w:pPr>
            <w:r w:rsidRPr="003F4E09">
              <w:rPr>
                <w:sz w:val="20"/>
                <w:szCs w:val="20"/>
              </w:rPr>
              <w:t>25 (6.9)</w:t>
            </w:r>
          </w:p>
        </w:tc>
      </w:tr>
      <w:tr w:rsidR="009A4790" w:rsidRPr="003F4E09" w:rsidTr="00CF0831">
        <w:tc>
          <w:tcPr>
            <w:tcW w:w="2826" w:type="dxa"/>
          </w:tcPr>
          <w:p w:rsidR="009A4790" w:rsidRPr="003F4E09" w:rsidRDefault="009A4790" w:rsidP="0056616E">
            <w:pPr>
              <w:rPr>
                <w:b/>
                <w:sz w:val="20"/>
                <w:szCs w:val="20"/>
              </w:rPr>
            </w:pPr>
            <w:r w:rsidRPr="003F4E09">
              <w:rPr>
                <w:b/>
                <w:bCs/>
                <w:sz w:val="20"/>
                <w:szCs w:val="20"/>
              </w:rPr>
              <w:t xml:space="preserve">Median </w:t>
            </w:r>
            <w:r w:rsidR="00C22E0B" w:rsidRPr="003F4E09">
              <w:rPr>
                <w:b/>
                <w:bCs/>
                <w:sz w:val="20"/>
                <w:szCs w:val="20"/>
              </w:rPr>
              <w:t xml:space="preserve">(Min, Max) </w:t>
            </w:r>
            <w:r w:rsidRPr="003F4E09">
              <w:rPr>
                <w:b/>
                <w:bCs/>
                <w:sz w:val="20"/>
                <w:szCs w:val="20"/>
              </w:rPr>
              <w:t>CD4 cell count (cells/</w:t>
            </w:r>
            <w:proofErr w:type="spellStart"/>
            <w:r w:rsidRPr="003F4E09">
              <w:rPr>
                <w:b/>
                <w:bCs/>
                <w:sz w:val="20"/>
                <w:szCs w:val="20"/>
              </w:rPr>
              <w:t>μL</w:t>
            </w:r>
            <w:proofErr w:type="spellEnd"/>
            <w:r w:rsidRPr="003F4E09">
              <w:rPr>
                <w:b/>
                <w:bCs/>
                <w:sz w:val="20"/>
                <w:szCs w:val="20"/>
              </w:rPr>
              <w:t>)</w:t>
            </w:r>
          </w:p>
        </w:tc>
        <w:tc>
          <w:tcPr>
            <w:tcW w:w="2855" w:type="dxa"/>
          </w:tcPr>
          <w:p w:rsidR="009A4790" w:rsidRPr="003F4E09" w:rsidRDefault="009A4790" w:rsidP="009C54F6">
            <w:pPr>
              <w:jc w:val="center"/>
              <w:rPr>
                <w:sz w:val="20"/>
                <w:szCs w:val="20"/>
              </w:rPr>
            </w:pPr>
            <w:r w:rsidRPr="003F4E09">
              <w:rPr>
                <w:sz w:val="20"/>
                <w:szCs w:val="20"/>
              </w:rPr>
              <w:t>241 (5-1422)</w:t>
            </w:r>
          </w:p>
        </w:tc>
        <w:tc>
          <w:tcPr>
            <w:tcW w:w="2815" w:type="dxa"/>
          </w:tcPr>
          <w:p w:rsidR="009A4790" w:rsidRPr="003F4E09" w:rsidRDefault="009A4790" w:rsidP="009C54F6">
            <w:pPr>
              <w:jc w:val="center"/>
              <w:rPr>
                <w:sz w:val="20"/>
                <w:szCs w:val="20"/>
              </w:rPr>
            </w:pPr>
            <w:r w:rsidRPr="003F4E09">
              <w:rPr>
                <w:sz w:val="20"/>
                <w:szCs w:val="20"/>
              </w:rPr>
              <w:t>254 (8-1053)</w:t>
            </w:r>
          </w:p>
        </w:tc>
      </w:tr>
      <w:tr w:rsidR="009A4790" w:rsidRPr="003F4E09" w:rsidTr="00CF0831">
        <w:tc>
          <w:tcPr>
            <w:tcW w:w="2826" w:type="dxa"/>
          </w:tcPr>
          <w:p w:rsidR="009A4790" w:rsidRPr="003F4E09" w:rsidRDefault="009A4790" w:rsidP="009C54F6">
            <w:pPr>
              <w:autoSpaceDE w:val="0"/>
              <w:autoSpaceDN w:val="0"/>
              <w:adjustRightInd w:val="0"/>
              <w:rPr>
                <w:b/>
                <w:bCs/>
                <w:sz w:val="20"/>
                <w:szCs w:val="20"/>
              </w:rPr>
            </w:pPr>
            <w:r w:rsidRPr="003F4E09">
              <w:rPr>
                <w:b/>
                <w:bCs/>
                <w:sz w:val="20"/>
                <w:szCs w:val="20"/>
              </w:rPr>
              <w:t xml:space="preserve">Median </w:t>
            </w:r>
            <w:r w:rsidR="00C22E0B" w:rsidRPr="003F4E09">
              <w:rPr>
                <w:b/>
                <w:bCs/>
                <w:sz w:val="20"/>
                <w:szCs w:val="20"/>
              </w:rPr>
              <w:t xml:space="preserve"> (Min, Max) </w:t>
            </w:r>
            <w:r w:rsidRPr="003F4E09">
              <w:rPr>
                <w:b/>
                <w:bCs/>
                <w:sz w:val="20"/>
                <w:szCs w:val="20"/>
              </w:rPr>
              <w:t>HIV-1 RNA (log 10</w:t>
            </w:r>
          </w:p>
          <w:p w:rsidR="009A4790" w:rsidRPr="003F4E09" w:rsidRDefault="009A4790" w:rsidP="009C54F6">
            <w:pPr>
              <w:rPr>
                <w:b/>
                <w:sz w:val="20"/>
                <w:szCs w:val="20"/>
              </w:rPr>
            </w:pPr>
            <w:r w:rsidRPr="003F4E09">
              <w:rPr>
                <w:b/>
                <w:bCs/>
                <w:sz w:val="20"/>
                <w:szCs w:val="20"/>
              </w:rPr>
              <w:t>copies/mL)</w:t>
            </w:r>
          </w:p>
        </w:tc>
        <w:tc>
          <w:tcPr>
            <w:tcW w:w="2855" w:type="dxa"/>
          </w:tcPr>
          <w:p w:rsidR="009A4790" w:rsidRPr="003F4E09" w:rsidRDefault="009A4790" w:rsidP="009C54F6">
            <w:pPr>
              <w:jc w:val="center"/>
              <w:rPr>
                <w:sz w:val="20"/>
                <w:szCs w:val="20"/>
              </w:rPr>
            </w:pPr>
          </w:p>
          <w:p w:rsidR="009A4790" w:rsidRPr="003F4E09" w:rsidRDefault="009A4790" w:rsidP="009C54F6">
            <w:pPr>
              <w:jc w:val="center"/>
              <w:rPr>
                <w:sz w:val="20"/>
                <w:szCs w:val="20"/>
              </w:rPr>
            </w:pPr>
            <w:r w:rsidRPr="003F4E09">
              <w:rPr>
                <w:sz w:val="20"/>
                <w:szCs w:val="20"/>
              </w:rPr>
              <w:t>4.9 (3.1-6.8)</w:t>
            </w:r>
          </w:p>
        </w:tc>
        <w:tc>
          <w:tcPr>
            <w:tcW w:w="2815" w:type="dxa"/>
          </w:tcPr>
          <w:p w:rsidR="009A4790" w:rsidRPr="003F4E09" w:rsidRDefault="009A4790" w:rsidP="009C54F6">
            <w:pPr>
              <w:jc w:val="center"/>
              <w:rPr>
                <w:sz w:val="20"/>
                <w:szCs w:val="20"/>
              </w:rPr>
            </w:pPr>
          </w:p>
          <w:p w:rsidR="009A4790" w:rsidRPr="003F4E09" w:rsidRDefault="009A4790" w:rsidP="009C54F6">
            <w:pPr>
              <w:jc w:val="center"/>
              <w:rPr>
                <w:sz w:val="20"/>
                <w:szCs w:val="20"/>
              </w:rPr>
            </w:pPr>
            <w:r w:rsidRPr="003F4E09">
              <w:rPr>
                <w:sz w:val="20"/>
                <w:szCs w:val="20"/>
              </w:rPr>
              <w:t>4.9 (2.9 – 6.7)</w:t>
            </w:r>
          </w:p>
        </w:tc>
      </w:tr>
    </w:tbl>
    <w:p w:rsidR="009A4790" w:rsidRPr="003F4E09" w:rsidRDefault="009A4790" w:rsidP="009A4790">
      <w:pPr>
        <w:autoSpaceDE w:val="0"/>
        <w:autoSpaceDN w:val="0"/>
        <w:adjustRightInd w:val="0"/>
        <w:rPr>
          <w:sz w:val="20"/>
          <w:szCs w:val="20"/>
          <w:lang w:eastAsia="en-AU"/>
        </w:rPr>
      </w:pPr>
      <w:r w:rsidRPr="003F4E09">
        <w:rPr>
          <w:sz w:val="20"/>
          <w:szCs w:val="20"/>
          <w:lang w:eastAsia="en-AU"/>
        </w:rPr>
        <w:t>* Data from Full Analysis Set. Similar results were observed for the Per Protocol population.</w:t>
      </w:r>
    </w:p>
    <w:p w:rsidR="009A4790" w:rsidRPr="003F4E09" w:rsidRDefault="009A4790" w:rsidP="002C6EF7">
      <w:pPr>
        <w:autoSpaceDE w:val="0"/>
        <w:autoSpaceDN w:val="0"/>
        <w:adjustRightInd w:val="0"/>
        <w:spacing w:before="240" w:after="120"/>
        <w:jc w:val="both"/>
        <w:rPr>
          <w:sz w:val="20"/>
          <w:szCs w:val="20"/>
          <w:lang w:eastAsia="en-AU"/>
        </w:rPr>
      </w:pPr>
      <w:r w:rsidRPr="003F4E09">
        <w:rPr>
          <w:lang w:eastAsia="en-AU"/>
        </w:rPr>
        <w:t>The treatment outcomes through week 48 for the treatment-naïve study (MERIT) are shown in Table 5.</w:t>
      </w:r>
      <w:r w:rsidR="006B3C60" w:rsidRPr="003F4E09">
        <w:rPr>
          <w:lang w:eastAsia="en-AU"/>
        </w:rPr>
        <w:t xml:space="preserve"> </w:t>
      </w:r>
      <w:r w:rsidRPr="003F4E09">
        <w:rPr>
          <w:lang w:eastAsia="en-AU"/>
        </w:rPr>
        <w:t>Treatment outcomes</w:t>
      </w:r>
      <w:r w:rsidR="006B3C60" w:rsidRPr="003F4E09">
        <w:rPr>
          <w:lang w:eastAsia="en-AU"/>
        </w:rPr>
        <w:t xml:space="preserve"> (responders) include </w:t>
      </w:r>
      <w:r w:rsidRPr="003F4E09">
        <w:rPr>
          <w:lang w:eastAsia="en-AU"/>
        </w:rPr>
        <w:t xml:space="preserve">reanalysis of the screening samples using a more sensitive tropism assay, </w:t>
      </w:r>
      <w:r w:rsidR="006B3C60" w:rsidRPr="003F4E09">
        <w:rPr>
          <w:lang w:eastAsia="en-AU"/>
        </w:rPr>
        <w:t>e</w:t>
      </w:r>
      <w:r w:rsidRPr="003F4E09">
        <w:rPr>
          <w:lang w:eastAsia="en-AU"/>
        </w:rPr>
        <w:t xml:space="preserve">nhanced sensitivity </w:t>
      </w:r>
      <w:proofErr w:type="spellStart"/>
      <w:r w:rsidRPr="003F4E09">
        <w:rPr>
          <w:lang w:eastAsia="en-AU"/>
        </w:rPr>
        <w:t>Trofile</w:t>
      </w:r>
      <w:proofErr w:type="spellEnd"/>
      <w:r w:rsidRPr="003F4E09">
        <w:rPr>
          <w:lang w:eastAsia="en-AU"/>
        </w:rPr>
        <w:t xml:space="preserve"> HIV tropism assay, which became available after the week 48 analysis.</w:t>
      </w:r>
    </w:p>
    <w:p w:rsidR="009A4790" w:rsidRPr="0056616E" w:rsidRDefault="009A4790" w:rsidP="009A4790">
      <w:pPr>
        <w:autoSpaceDE w:val="0"/>
        <w:autoSpaceDN w:val="0"/>
        <w:adjustRightInd w:val="0"/>
        <w:rPr>
          <w:b/>
          <w:bCs/>
          <w:sz w:val="22"/>
          <w:szCs w:val="22"/>
          <w:lang w:eastAsia="en-AU"/>
        </w:rPr>
      </w:pPr>
      <w:r w:rsidRPr="0056616E">
        <w:rPr>
          <w:b/>
          <w:bCs/>
          <w:sz w:val="22"/>
          <w:szCs w:val="22"/>
          <w:lang w:eastAsia="en-AU"/>
        </w:rPr>
        <w:t>Table 5: Outcomes</w:t>
      </w:r>
      <w:r w:rsidR="004506F0" w:rsidRPr="0056616E">
        <w:rPr>
          <w:b/>
          <w:bCs/>
          <w:sz w:val="22"/>
          <w:szCs w:val="22"/>
          <w:lang w:eastAsia="en-AU"/>
        </w:rPr>
        <w:t>*</w:t>
      </w:r>
      <w:r w:rsidRPr="0056616E">
        <w:rPr>
          <w:b/>
          <w:bCs/>
          <w:sz w:val="22"/>
          <w:szCs w:val="22"/>
          <w:lang w:eastAsia="en-AU"/>
        </w:rPr>
        <w:t xml:space="preserve"> of Randomized Treatment at Week 48 in Treatment-Naïve Patients</w:t>
      </w:r>
    </w:p>
    <w:p w:rsidR="009A4790" w:rsidRPr="0056616E" w:rsidRDefault="009A4790" w:rsidP="009A4790">
      <w:pPr>
        <w:autoSpaceDE w:val="0"/>
        <w:autoSpaceDN w:val="0"/>
        <w:adjustRightInd w:val="0"/>
        <w:rPr>
          <w:lang w:eastAsia="en-AU"/>
        </w:rPr>
      </w:pPr>
      <w:r w:rsidRPr="0056616E">
        <w:rPr>
          <w:b/>
          <w:bCs/>
          <w:sz w:val="22"/>
          <w:szCs w:val="22"/>
          <w:lang w:eastAsia="en-AU"/>
        </w:rPr>
        <w:t>(MERIT)*</w:t>
      </w:r>
      <w:r w:rsidR="004506F0" w:rsidRPr="0056616E">
        <w:rPr>
          <w:b/>
          <w:bCs/>
          <w:sz w:val="22"/>
          <w:szCs w:val="22"/>
          <w:lang w:eastAsia="en-AU"/>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1687"/>
        <w:gridCol w:w="1413"/>
        <w:gridCol w:w="1577"/>
        <w:gridCol w:w="1560"/>
      </w:tblGrid>
      <w:tr w:rsidR="009A4790" w:rsidRPr="00F77F71" w:rsidTr="0056616E">
        <w:trPr>
          <w:trHeight w:val="115"/>
        </w:trPr>
        <w:tc>
          <w:tcPr>
            <w:tcW w:w="3403" w:type="dxa"/>
            <w:vAlign w:val="center"/>
          </w:tcPr>
          <w:p w:rsidR="009A4790" w:rsidRPr="0056616E" w:rsidRDefault="009A4790" w:rsidP="002C6EF7">
            <w:pPr>
              <w:autoSpaceDE w:val="0"/>
              <w:autoSpaceDN w:val="0"/>
              <w:adjustRightInd w:val="0"/>
              <w:rPr>
                <w:b/>
                <w:bCs/>
                <w:sz w:val="22"/>
                <w:szCs w:val="22"/>
              </w:rPr>
            </w:pPr>
            <w:r w:rsidRPr="0056616E">
              <w:rPr>
                <w:b/>
                <w:bCs/>
                <w:sz w:val="22"/>
                <w:szCs w:val="22"/>
              </w:rPr>
              <w:t>Outcome at Week 48</w:t>
            </w:r>
          </w:p>
        </w:tc>
        <w:tc>
          <w:tcPr>
            <w:tcW w:w="1687" w:type="dxa"/>
          </w:tcPr>
          <w:p w:rsidR="009A4790" w:rsidRPr="0056616E" w:rsidRDefault="009A4790" w:rsidP="009C54F6">
            <w:pPr>
              <w:autoSpaceDE w:val="0"/>
              <w:autoSpaceDN w:val="0"/>
              <w:adjustRightInd w:val="0"/>
              <w:jc w:val="center"/>
              <w:rPr>
                <w:b/>
                <w:bCs/>
                <w:sz w:val="22"/>
                <w:szCs w:val="22"/>
              </w:rPr>
            </w:pPr>
            <w:r w:rsidRPr="0056616E">
              <w:rPr>
                <w:b/>
                <w:bCs/>
                <w:sz w:val="22"/>
                <w:szCs w:val="22"/>
              </w:rPr>
              <w:t>CELSENTRI</w:t>
            </w:r>
          </w:p>
          <w:p w:rsidR="009A4790" w:rsidRPr="0056616E" w:rsidRDefault="009A4790" w:rsidP="009C54F6">
            <w:pPr>
              <w:autoSpaceDE w:val="0"/>
              <w:autoSpaceDN w:val="0"/>
              <w:adjustRightInd w:val="0"/>
              <w:jc w:val="center"/>
              <w:rPr>
                <w:b/>
                <w:bCs/>
                <w:sz w:val="22"/>
                <w:szCs w:val="22"/>
              </w:rPr>
            </w:pPr>
            <w:r w:rsidRPr="0056616E">
              <w:rPr>
                <w:b/>
                <w:bCs/>
                <w:sz w:val="22"/>
                <w:szCs w:val="22"/>
              </w:rPr>
              <w:t>300 mg BID</w:t>
            </w:r>
          </w:p>
          <w:p w:rsidR="009A4790" w:rsidRPr="0056616E" w:rsidRDefault="009A4790" w:rsidP="009C54F6">
            <w:pPr>
              <w:autoSpaceDE w:val="0"/>
              <w:autoSpaceDN w:val="0"/>
              <w:adjustRightInd w:val="0"/>
              <w:jc w:val="center"/>
              <w:rPr>
                <w:b/>
                <w:bCs/>
                <w:sz w:val="22"/>
                <w:szCs w:val="22"/>
              </w:rPr>
            </w:pPr>
            <w:r w:rsidRPr="0056616E">
              <w:rPr>
                <w:b/>
                <w:bCs/>
                <w:sz w:val="22"/>
                <w:szCs w:val="22"/>
              </w:rPr>
              <w:t>+ ZDV/</w:t>
            </w:r>
            <w:r w:rsidR="00901A84" w:rsidRPr="0056616E">
              <w:rPr>
                <w:b/>
                <w:bCs/>
                <w:sz w:val="22"/>
                <w:szCs w:val="22"/>
              </w:rPr>
              <w:t>3TC</w:t>
            </w:r>
          </w:p>
          <w:p w:rsidR="009A4790" w:rsidRPr="0056616E" w:rsidRDefault="009A4790" w:rsidP="002C6EF7">
            <w:pPr>
              <w:autoSpaceDE w:val="0"/>
              <w:autoSpaceDN w:val="0"/>
              <w:adjustRightInd w:val="0"/>
              <w:jc w:val="center"/>
              <w:rPr>
                <w:b/>
                <w:bCs/>
                <w:sz w:val="22"/>
                <w:szCs w:val="22"/>
              </w:rPr>
            </w:pPr>
            <w:r w:rsidRPr="0056616E">
              <w:rPr>
                <w:b/>
                <w:bCs/>
                <w:sz w:val="22"/>
                <w:szCs w:val="22"/>
              </w:rPr>
              <w:t>N=360</w:t>
            </w:r>
          </w:p>
        </w:tc>
        <w:tc>
          <w:tcPr>
            <w:tcW w:w="1413" w:type="dxa"/>
          </w:tcPr>
          <w:p w:rsidR="009A4790" w:rsidRPr="0056616E" w:rsidRDefault="009A4790" w:rsidP="009C54F6">
            <w:pPr>
              <w:autoSpaceDE w:val="0"/>
              <w:autoSpaceDN w:val="0"/>
              <w:adjustRightInd w:val="0"/>
              <w:jc w:val="center"/>
              <w:rPr>
                <w:b/>
                <w:bCs/>
                <w:sz w:val="22"/>
                <w:szCs w:val="22"/>
              </w:rPr>
            </w:pPr>
            <w:r w:rsidRPr="0056616E">
              <w:rPr>
                <w:b/>
                <w:bCs/>
                <w:sz w:val="22"/>
                <w:szCs w:val="22"/>
              </w:rPr>
              <w:t>Efavirenz</w:t>
            </w:r>
          </w:p>
          <w:p w:rsidR="009A4790" w:rsidRPr="0056616E" w:rsidRDefault="009A4790" w:rsidP="009C54F6">
            <w:pPr>
              <w:autoSpaceDE w:val="0"/>
              <w:autoSpaceDN w:val="0"/>
              <w:adjustRightInd w:val="0"/>
              <w:jc w:val="center"/>
              <w:rPr>
                <w:b/>
                <w:bCs/>
                <w:sz w:val="22"/>
                <w:szCs w:val="22"/>
              </w:rPr>
            </w:pPr>
            <w:r w:rsidRPr="0056616E">
              <w:rPr>
                <w:b/>
                <w:bCs/>
                <w:sz w:val="22"/>
                <w:szCs w:val="22"/>
              </w:rPr>
              <w:t>600 mg QD</w:t>
            </w:r>
          </w:p>
          <w:p w:rsidR="009A4790" w:rsidRPr="0056616E" w:rsidRDefault="009A4790" w:rsidP="009C54F6">
            <w:pPr>
              <w:autoSpaceDE w:val="0"/>
              <w:autoSpaceDN w:val="0"/>
              <w:adjustRightInd w:val="0"/>
              <w:jc w:val="center"/>
              <w:rPr>
                <w:b/>
                <w:bCs/>
                <w:sz w:val="22"/>
                <w:szCs w:val="22"/>
              </w:rPr>
            </w:pPr>
            <w:r w:rsidRPr="0056616E">
              <w:rPr>
                <w:b/>
                <w:bCs/>
                <w:sz w:val="22"/>
                <w:szCs w:val="22"/>
              </w:rPr>
              <w:t>+ ZDV/</w:t>
            </w:r>
            <w:r w:rsidR="00901A84" w:rsidRPr="0056616E">
              <w:rPr>
                <w:b/>
                <w:bCs/>
                <w:sz w:val="22"/>
                <w:szCs w:val="22"/>
              </w:rPr>
              <w:t>3TC</w:t>
            </w:r>
          </w:p>
          <w:p w:rsidR="009A4790" w:rsidRPr="0056616E" w:rsidRDefault="009A4790" w:rsidP="003F4E09">
            <w:pPr>
              <w:autoSpaceDE w:val="0"/>
              <w:autoSpaceDN w:val="0"/>
              <w:adjustRightInd w:val="0"/>
              <w:jc w:val="center"/>
              <w:rPr>
                <w:b/>
                <w:bCs/>
                <w:sz w:val="22"/>
                <w:szCs w:val="22"/>
              </w:rPr>
            </w:pPr>
            <w:r w:rsidRPr="0056616E">
              <w:rPr>
                <w:b/>
                <w:bCs/>
                <w:sz w:val="22"/>
                <w:szCs w:val="22"/>
              </w:rPr>
              <w:t>N=361</w:t>
            </w:r>
          </w:p>
        </w:tc>
        <w:tc>
          <w:tcPr>
            <w:tcW w:w="3137" w:type="dxa"/>
            <w:gridSpan w:val="2"/>
          </w:tcPr>
          <w:p w:rsidR="009A4790" w:rsidRPr="0056616E" w:rsidRDefault="009A4790" w:rsidP="009C54F6">
            <w:pPr>
              <w:autoSpaceDE w:val="0"/>
              <w:autoSpaceDN w:val="0"/>
              <w:adjustRightInd w:val="0"/>
              <w:jc w:val="center"/>
              <w:rPr>
                <w:b/>
                <w:bCs/>
                <w:sz w:val="22"/>
                <w:szCs w:val="22"/>
              </w:rPr>
            </w:pPr>
          </w:p>
          <w:p w:rsidR="009A4790" w:rsidRPr="0056616E" w:rsidRDefault="009A4790" w:rsidP="009C54F6">
            <w:pPr>
              <w:autoSpaceDE w:val="0"/>
              <w:autoSpaceDN w:val="0"/>
              <w:adjustRightInd w:val="0"/>
              <w:jc w:val="center"/>
              <w:rPr>
                <w:b/>
                <w:bCs/>
                <w:sz w:val="22"/>
                <w:szCs w:val="22"/>
              </w:rPr>
            </w:pPr>
            <w:r w:rsidRPr="0056616E">
              <w:rPr>
                <w:b/>
                <w:bCs/>
                <w:sz w:val="22"/>
                <w:szCs w:val="22"/>
              </w:rPr>
              <w:t xml:space="preserve">Difference in Proportions </w:t>
            </w:r>
            <w:r w:rsidRPr="0056616E">
              <w:rPr>
                <w:b/>
                <w:bCs/>
                <w:sz w:val="22"/>
                <w:szCs w:val="22"/>
                <w:vertAlign w:val="superscript"/>
              </w:rPr>
              <w:t>1</w:t>
            </w:r>
          </w:p>
          <w:p w:rsidR="009A4790" w:rsidRPr="0056616E" w:rsidRDefault="009A4790" w:rsidP="002C6EF7">
            <w:pPr>
              <w:autoSpaceDE w:val="0"/>
              <w:autoSpaceDN w:val="0"/>
              <w:adjustRightInd w:val="0"/>
              <w:jc w:val="center"/>
              <w:rPr>
                <w:b/>
                <w:bCs/>
                <w:sz w:val="22"/>
                <w:szCs w:val="22"/>
              </w:rPr>
            </w:pPr>
            <w:proofErr w:type="spellStart"/>
            <w:r w:rsidRPr="0056616E">
              <w:rPr>
                <w:b/>
                <w:bCs/>
                <w:sz w:val="22"/>
                <w:szCs w:val="22"/>
              </w:rPr>
              <w:t>Maraviroc</w:t>
            </w:r>
            <w:proofErr w:type="spellEnd"/>
            <w:r w:rsidRPr="0056616E">
              <w:rPr>
                <w:b/>
                <w:bCs/>
                <w:sz w:val="22"/>
                <w:szCs w:val="22"/>
              </w:rPr>
              <w:t xml:space="preserve"> </w:t>
            </w:r>
            <w:proofErr w:type="spellStart"/>
            <w:r w:rsidRPr="0056616E">
              <w:rPr>
                <w:b/>
                <w:bCs/>
                <w:sz w:val="22"/>
                <w:szCs w:val="22"/>
              </w:rPr>
              <w:t>vs</w:t>
            </w:r>
            <w:proofErr w:type="spellEnd"/>
            <w:r w:rsidRPr="0056616E">
              <w:rPr>
                <w:b/>
                <w:bCs/>
                <w:sz w:val="22"/>
                <w:szCs w:val="22"/>
              </w:rPr>
              <w:t xml:space="preserve"> </w:t>
            </w:r>
            <w:proofErr w:type="spellStart"/>
            <w:r w:rsidRPr="0056616E">
              <w:rPr>
                <w:b/>
                <w:bCs/>
                <w:sz w:val="22"/>
                <w:szCs w:val="22"/>
              </w:rPr>
              <w:t>Efavirenz</w:t>
            </w:r>
            <w:proofErr w:type="spellEnd"/>
            <w:r w:rsidRPr="0056616E">
              <w:rPr>
                <w:b/>
                <w:bCs/>
                <w:sz w:val="22"/>
                <w:szCs w:val="22"/>
              </w:rPr>
              <w:t xml:space="preserve"> (%)</w:t>
            </w:r>
          </w:p>
        </w:tc>
      </w:tr>
      <w:tr w:rsidR="009A4790" w:rsidRPr="00F77F71" w:rsidTr="0056616E">
        <w:trPr>
          <w:trHeight w:val="115"/>
        </w:trPr>
        <w:tc>
          <w:tcPr>
            <w:tcW w:w="3403" w:type="dxa"/>
          </w:tcPr>
          <w:p w:rsidR="009A4790" w:rsidRPr="0056616E" w:rsidRDefault="009A4790" w:rsidP="009C54F6">
            <w:pPr>
              <w:autoSpaceDE w:val="0"/>
              <w:autoSpaceDN w:val="0"/>
              <w:adjustRightInd w:val="0"/>
              <w:rPr>
                <w:color w:val="000000"/>
                <w:sz w:val="22"/>
                <w:szCs w:val="22"/>
              </w:rPr>
            </w:pPr>
          </w:p>
        </w:tc>
        <w:tc>
          <w:tcPr>
            <w:tcW w:w="1687" w:type="dxa"/>
          </w:tcPr>
          <w:p w:rsidR="009A4790" w:rsidRPr="0056616E" w:rsidRDefault="009A4790" w:rsidP="009C54F6">
            <w:pPr>
              <w:autoSpaceDE w:val="0"/>
              <w:autoSpaceDN w:val="0"/>
              <w:adjustRightInd w:val="0"/>
              <w:jc w:val="center"/>
              <w:rPr>
                <w:color w:val="000000"/>
                <w:sz w:val="22"/>
                <w:szCs w:val="22"/>
              </w:rPr>
            </w:pPr>
          </w:p>
        </w:tc>
        <w:tc>
          <w:tcPr>
            <w:tcW w:w="1413" w:type="dxa"/>
          </w:tcPr>
          <w:p w:rsidR="009A4790" w:rsidRPr="0056616E" w:rsidRDefault="009A4790" w:rsidP="009C54F6">
            <w:pPr>
              <w:autoSpaceDE w:val="0"/>
              <w:autoSpaceDN w:val="0"/>
              <w:adjustRightInd w:val="0"/>
              <w:jc w:val="center"/>
              <w:rPr>
                <w:color w:val="000000"/>
                <w:sz w:val="22"/>
                <w:szCs w:val="22"/>
              </w:rPr>
            </w:pPr>
          </w:p>
        </w:tc>
        <w:tc>
          <w:tcPr>
            <w:tcW w:w="1577" w:type="dxa"/>
          </w:tcPr>
          <w:p w:rsidR="009A4790" w:rsidRPr="0056616E" w:rsidRDefault="009A4790" w:rsidP="009C54F6">
            <w:pPr>
              <w:autoSpaceDE w:val="0"/>
              <w:autoSpaceDN w:val="0"/>
              <w:adjustRightInd w:val="0"/>
              <w:jc w:val="center"/>
              <w:rPr>
                <w:color w:val="000000"/>
                <w:sz w:val="22"/>
                <w:szCs w:val="22"/>
              </w:rPr>
            </w:pPr>
            <w:r w:rsidRPr="0056616E">
              <w:rPr>
                <w:b/>
                <w:bCs/>
                <w:sz w:val="22"/>
                <w:szCs w:val="22"/>
              </w:rPr>
              <w:t>Difference</w:t>
            </w:r>
          </w:p>
        </w:tc>
        <w:tc>
          <w:tcPr>
            <w:tcW w:w="1560" w:type="dxa"/>
          </w:tcPr>
          <w:p w:rsidR="009A4790" w:rsidRPr="0056616E" w:rsidRDefault="009A4790" w:rsidP="009C54F6">
            <w:pPr>
              <w:autoSpaceDE w:val="0"/>
              <w:autoSpaceDN w:val="0"/>
              <w:adjustRightInd w:val="0"/>
              <w:jc w:val="center"/>
              <w:rPr>
                <w:b/>
                <w:bCs/>
                <w:sz w:val="22"/>
                <w:szCs w:val="22"/>
              </w:rPr>
            </w:pPr>
            <w:r w:rsidRPr="0056616E">
              <w:rPr>
                <w:b/>
                <w:bCs/>
                <w:sz w:val="22"/>
                <w:szCs w:val="22"/>
              </w:rPr>
              <w:t>Lower Bound</w:t>
            </w:r>
          </w:p>
          <w:p w:rsidR="009A4790" w:rsidRPr="0056616E" w:rsidRDefault="009A4790" w:rsidP="009C54F6">
            <w:pPr>
              <w:autoSpaceDE w:val="0"/>
              <w:autoSpaceDN w:val="0"/>
              <w:adjustRightInd w:val="0"/>
              <w:jc w:val="center"/>
              <w:rPr>
                <w:b/>
                <w:bCs/>
                <w:sz w:val="22"/>
                <w:szCs w:val="22"/>
              </w:rPr>
            </w:pPr>
            <w:r w:rsidRPr="0056616E">
              <w:rPr>
                <w:b/>
                <w:bCs/>
                <w:sz w:val="22"/>
                <w:szCs w:val="22"/>
              </w:rPr>
              <w:t>of 1-sided</w:t>
            </w:r>
          </w:p>
          <w:p w:rsidR="009A4790" w:rsidRPr="0056616E" w:rsidRDefault="009A4790" w:rsidP="003F4E09">
            <w:pPr>
              <w:autoSpaceDE w:val="0"/>
              <w:autoSpaceDN w:val="0"/>
              <w:adjustRightInd w:val="0"/>
              <w:jc w:val="center"/>
              <w:rPr>
                <w:color w:val="000000"/>
                <w:sz w:val="22"/>
                <w:szCs w:val="22"/>
              </w:rPr>
            </w:pPr>
            <w:r w:rsidRPr="0056616E">
              <w:rPr>
                <w:b/>
                <w:bCs/>
                <w:sz w:val="22"/>
                <w:szCs w:val="22"/>
              </w:rPr>
              <w:t>97.5% CI</w:t>
            </w:r>
          </w:p>
        </w:tc>
      </w:tr>
      <w:tr w:rsidR="009A4790" w:rsidRPr="00F77F71" w:rsidTr="0056616E">
        <w:trPr>
          <w:trHeight w:val="115"/>
        </w:trPr>
        <w:tc>
          <w:tcPr>
            <w:tcW w:w="3403" w:type="dxa"/>
          </w:tcPr>
          <w:p w:rsidR="009A4790" w:rsidRPr="0056616E" w:rsidRDefault="009A4790" w:rsidP="009C54F6">
            <w:pPr>
              <w:autoSpaceDE w:val="0"/>
              <w:autoSpaceDN w:val="0"/>
              <w:adjustRightInd w:val="0"/>
              <w:rPr>
                <w:sz w:val="22"/>
                <w:szCs w:val="22"/>
              </w:rPr>
            </w:pPr>
            <w:r w:rsidRPr="0056616E">
              <w:rPr>
                <w:sz w:val="22"/>
                <w:szCs w:val="22"/>
              </w:rPr>
              <w:t xml:space="preserve">Responder (Original </w:t>
            </w:r>
            <w:proofErr w:type="spellStart"/>
            <w:r w:rsidRPr="0056616E">
              <w:rPr>
                <w:sz w:val="22"/>
                <w:szCs w:val="22"/>
              </w:rPr>
              <w:t>Trofile</w:t>
            </w:r>
            <w:proofErr w:type="spellEnd"/>
            <w:r w:rsidRPr="0056616E">
              <w:rPr>
                <w:sz w:val="22"/>
                <w:szCs w:val="22"/>
              </w:rPr>
              <w:t>)</w:t>
            </w:r>
          </w:p>
          <w:p w:rsidR="009A4790" w:rsidRPr="0056616E" w:rsidRDefault="009A4790" w:rsidP="009C54F6">
            <w:pPr>
              <w:autoSpaceDE w:val="0"/>
              <w:autoSpaceDN w:val="0"/>
              <w:adjustRightInd w:val="0"/>
              <w:rPr>
                <w:sz w:val="22"/>
                <w:szCs w:val="22"/>
              </w:rPr>
            </w:pPr>
            <w:r w:rsidRPr="0056616E">
              <w:rPr>
                <w:sz w:val="22"/>
                <w:szCs w:val="22"/>
              </w:rPr>
              <w:t>&lt; 400 copies/mL</w:t>
            </w:r>
          </w:p>
          <w:p w:rsidR="009A4790" w:rsidRPr="0056616E" w:rsidRDefault="009A4790" w:rsidP="009C54F6">
            <w:pPr>
              <w:autoSpaceDE w:val="0"/>
              <w:autoSpaceDN w:val="0"/>
              <w:adjustRightInd w:val="0"/>
              <w:rPr>
                <w:sz w:val="22"/>
                <w:szCs w:val="22"/>
              </w:rPr>
            </w:pPr>
            <w:r w:rsidRPr="0056616E">
              <w:rPr>
                <w:sz w:val="22"/>
                <w:szCs w:val="22"/>
              </w:rPr>
              <w:t>&lt; 50 copies/mL</w:t>
            </w:r>
          </w:p>
        </w:tc>
        <w:tc>
          <w:tcPr>
            <w:tcW w:w="1687" w:type="dxa"/>
          </w:tcPr>
          <w:p w:rsidR="009A4790" w:rsidRPr="0056616E" w:rsidRDefault="009A4790" w:rsidP="009C54F6">
            <w:pPr>
              <w:autoSpaceDE w:val="0"/>
              <w:autoSpaceDN w:val="0"/>
              <w:adjustRightInd w:val="0"/>
              <w:jc w:val="center"/>
              <w:rPr>
                <w:sz w:val="22"/>
                <w:szCs w:val="22"/>
              </w:rPr>
            </w:pPr>
          </w:p>
          <w:p w:rsidR="009A4790" w:rsidRPr="0056616E" w:rsidRDefault="009A4790" w:rsidP="009C54F6">
            <w:pPr>
              <w:autoSpaceDE w:val="0"/>
              <w:autoSpaceDN w:val="0"/>
              <w:adjustRightInd w:val="0"/>
              <w:jc w:val="center"/>
              <w:rPr>
                <w:sz w:val="22"/>
                <w:szCs w:val="22"/>
              </w:rPr>
            </w:pPr>
            <w:r w:rsidRPr="0056616E">
              <w:rPr>
                <w:sz w:val="22"/>
                <w:szCs w:val="22"/>
              </w:rPr>
              <w:t>70.6%</w:t>
            </w:r>
          </w:p>
          <w:p w:rsidR="009A4790" w:rsidRPr="0056616E" w:rsidRDefault="009A4790" w:rsidP="002C6EF7">
            <w:pPr>
              <w:autoSpaceDE w:val="0"/>
              <w:autoSpaceDN w:val="0"/>
              <w:adjustRightInd w:val="0"/>
              <w:jc w:val="center"/>
              <w:rPr>
                <w:color w:val="000000"/>
                <w:sz w:val="22"/>
                <w:szCs w:val="22"/>
              </w:rPr>
            </w:pPr>
            <w:r w:rsidRPr="0056616E">
              <w:rPr>
                <w:sz w:val="22"/>
                <w:szCs w:val="22"/>
              </w:rPr>
              <w:t>65.3%</w:t>
            </w:r>
          </w:p>
        </w:tc>
        <w:tc>
          <w:tcPr>
            <w:tcW w:w="1413" w:type="dxa"/>
          </w:tcPr>
          <w:p w:rsidR="009A4790" w:rsidRPr="0056616E" w:rsidRDefault="009A4790" w:rsidP="009C54F6">
            <w:pPr>
              <w:autoSpaceDE w:val="0"/>
              <w:autoSpaceDN w:val="0"/>
              <w:adjustRightInd w:val="0"/>
              <w:jc w:val="center"/>
              <w:rPr>
                <w:sz w:val="22"/>
                <w:szCs w:val="22"/>
              </w:rPr>
            </w:pPr>
          </w:p>
          <w:p w:rsidR="009A4790" w:rsidRPr="0056616E" w:rsidRDefault="009A4790" w:rsidP="009C54F6">
            <w:pPr>
              <w:autoSpaceDE w:val="0"/>
              <w:autoSpaceDN w:val="0"/>
              <w:adjustRightInd w:val="0"/>
              <w:jc w:val="center"/>
              <w:rPr>
                <w:sz w:val="22"/>
                <w:szCs w:val="22"/>
              </w:rPr>
            </w:pPr>
            <w:r w:rsidRPr="0056616E">
              <w:rPr>
                <w:sz w:val="22"/>
                <w:szCs w:val="22"/>
              </w:rPr>
              <w:t>73.1%</w:t>
            </w:r>
          </w:p>
          <w:p w:rsidR="009A4790" w:rsidRPr="0056616E" w:rsidRDefault="009A4790" w:rsidP="002C6EF7">
            <w:pPr>
              <w:autoSpaceDE w:val="0"/>
              <w:autoSpaceDN w:val="0"/>
              <w:adjustRightInd w:val="0"/>
              <w:jc w:val="center"/>
              <w:rPr>
                <w:color w:val="000000"/>
                <w:sz w:val="22"/>
                <w:szCs w:val="22"/>
              </w:rPr>
            </w:pPr>
            <w:r w:rsidRPr="0056616E">
              <w:rPr>
                <w:sz w:val="22"/>
                <w:szCs w:val="22"/>
              </w:rPr>
              <w:t>69.3%</w:t>
            </w:r>
          </w:p>
        </w:tc>
        <w:tc>
          <w:tcPr>
            <w:tcW w:w="1577" w:type="dxa"/>
          </w:tcPr>
          <w:p w:rsidR="009A4790" w:rsidRPr="0056616E" w:rsidRDefault="009A4790" w:rsidP="009C54F6">
            <w:pPr>
              <w:autoSpaceDE w:val="0"/>
              <w:autoSpaceDN w:val="0"/>
              <w:adjustRightInd w:val="0"/>
              <w:jc w:val="center"/>
              <w:rPr>
                <w:sz w:val="22"/>
                <w:szCs w:val="22"/>
              </w:rPr>
            </w:pPr>
          </w:p>
          <w:p w:rsidR="009A4790" w:rsidRPr="0056616E" w:rsidRDefault="009A4790" w:rsidP="009C54F6">
            <w:pPr>
              <w:autoSpaceDE w:val="0"/>
              <w:autoSpaceDN w:val="0"/>
              <w:adjustRightInd w:val="0"/>
              <w:jc w:val="center"/>
              <w:rPr>
                <w:sz w:val="22"/>
                <w:szCs w:val="22"/>
              </w:rPr>
            </w:pPr>
            <w:r w:rsidRPr="0056616E">
              <w:rPr>
                <w:sz w:val="22"/>
                <w:szCs w:val="22"/>
              </w:rPr>
              <w:t>-3.0</w:t>
            </w:r>
          </w:p>
          <w:p w:rsidR="009A4790" w:rsidRPr="0056616E" w:rsidRDefault="009A4790" w:rsidP="002C6EF7">
            <w:pPr>
              <w:autoSpaceDE w:val="0"/>
              <w:autoSpaceDN w:val="0"/>
              <w:adjustRightInd w:val="0"/>
              <w:jc w:val="center"/>
              <w:rPr>
                <w:color w:val="000000"/>
                <w:sz w:val="22"/>
                <w:szCs w:val="22"/>
              </w:rPr>
            </w:pPr>
            <w:r w:rsidRPr="0056616E">
              <w:rPr>
                <w:sz w:val="22"/>
                <w:szCs w:val="22"/>
              </w:rPr>
              <w:t>-4.2</w:t>
            </w:r>
          </w:p>
        </w:tc>
        <w:tc>
          <w:tcPr>
            <w:tcW w:w="1560" w:type="dxa"/>
          </w:tcPr>
          <w:p w:rsidR="009A4790" w:rsidRPr="0056616E" w:rsidRDefault="009A4790" w:rsidP="009C54F6">
            <w:pPr>
              <w:autoSpaceDE w:val="0"/>
              <w:autoSpaceDN w:val="0"/>
              <w:adjustRightInd w:val="0"/>
              <w:jc w:val="center"/>
              <w:rPr>
                <w:sz w:val="22"/>
                <w:szCs w:val="22"/>
                <w:highlight w:val="yellow"/>
              </w:rPr>
            </w:pPr>
          </w:p>
          <w:p w:rsidR="009A4790" w:rsidRPr="0056616E" w:rsidRDefault="009A4790" w:rsidP="009C54F6">
            <w:pPr>
              <w:autoSpaceDE w:val="0"/>
              <w:autoSpaceDN w:val="0"/>
              <w:adjustRightInd w:val="0"/>
              <w:jc w:val="center"/>
              <w:rPr>
                <w:sz w:val="22"/>
                <w:szCs w:val="22"/>
              </w:rPr>
            </w:pPr>
            <w:r w:rsidRPr="0056616E">
              <w:rPr>
                <w:sz w:val="22"/>
                <w:szCs w:val="22"/>
              </w:rPr>
              <w:t>-9.5</w:t>
            </w:r>
          </w:p>
          <w:p w:rsidR="009A4790" w:rsidRPr="0056616E" w:rsidRDefault="009A4790" w:rsidP="002C6EF7">
            <w:pPr>
              <w:autoSpaceDE w:val="0"/>
              <w:autoSpaceDN w:val="0"/>
              <w:adjustRightInd w:val="0"/>
              <w:jc w:val="center"/>
              <w:rPr>
                <w:color w:val="000000"/>
                <w:sz w:val="22"/>
                <w:szCs w:val="22"/>
              </w:rPr>
            </w:pPr>
            <w:r w:rsidRPr="0056616E">
              <w:rPr>
                <w:sz w:val="22"/>
                <w:szCs w:val="22"/>
              </w:rPr>
              <w:t>-10.9</w:t>
            </w:r>
          </w:p>
        </w:tc>
      </w:tr>
      <w:tr w:rsidR="009A4790" w:rsidRPr="00F77F71" w:rsidTr="0056616E">
        <w:trPr>
          <w:trHeight w:val="115"/>
        </w:trPr>
        <w:tc>
          <w:tcPr>
            <w:tcW w:w="3403" w:type="dxa"/>
          </w:tcPr>
          <w:p w:rsidR="009A4790" w:rsidRPr="0056616E" w:rsidRDefault="009A4790" w:rsidP="009C54F6">
            <w:pPr>
              <w:autoSpaceDE w:val="0"/>
              <w:autoSpaceDN w:val="0"/>
              <w:adjustRightInd w:val="0"/>
              <w:rPr>
                <w:sz w:val="22"/>
                <w:szCs w:val="22"/>
              </w:rPr>
            </w:pPr>
            <w:r w:rsidRPr="0056616E">
              <w:rPr>
                <w:sz w:val="22"/>
                <w:szCs w:val="22"/>
              </w:rPr>
              <w:t xml:space="preserve">Responder (Enhanced </w:t>
            </w:r>
            <w:proofErr w:type="spellStart"/>
            <w:r w:rsidRPr="0056616E">
              <w:rPr>
                <w:sz w:val="22"/>
                <w:szCs w:val="22"/>
              </w:rPr>
              <w:t>Trofile</w:t>
            </w:r>
            <w:proofErr w:type="spellEnd"/>
            <w:r w:rsidRPr="0056616E">
              <w:rPr>
                <w:sz w:val="22"/>
                <w:szCs w:val="22"/>
              </w:rPr>
              <w:t>)</w:t>
            </w:r>
          </w:p>
          <w:p w:rsidR="009A4790" w:rsidRPr="0056616E" w:rsidRDefault="009A4790" w:rsidP="009C54F6">
            <w:pPr>
              <w:autoSpaceDE w:val="0"/>
              <w:autoSpaceDN w:val="0"/>
              <w:adjustRightInd w:val="0"/>
              <w:rPr>
                <w:sz w:val="22"/>
                <w:szCs w:val="22"/>
              </w:rPr>
            </w:pPr>
            <w:r w:rsidRPr="0056616E">
              <w:rPr>
                <w:sz w:val="22"/>
                <w:szCs w:val="22"/>
              </w:rPr>
              <w:t>&lt; 400 copies/mL</w:t>
            </w:r>
          </w:p>
          <w:p w:rsidR="009A4790" w:rsidRPr="0056616E" w:rsidRDefault="009A4790" w:rsidP="002C6EF7">
            <w:pPr>
              <w:autoSpaceDE w:val="0"/>
              <w:autoSpaceDN w:val="0"/>
              <w:adjustRightInd w:val="0"/>
              <w:rPr>
                <w:color w:val="000000"/>
                <w:sz w:val="22"/>
                <w:szCs w:val="22"/>
              </w:rPr>
            </w:pPr>
            <w:r w:rsidRPr="0056616E">
              <w:rPr>
                <w:sz w:val="22"/>
                <w:szCs w:val="22"/>
              </w:rPr>
              <w:t>&lt; 50 copies/</w:t>
            </w:r>
            <w:proofErr w:type="spellStart"/>
            <w:r w:rsidRPr="0056616E">
              <w:rPr>
                <w:sz w:val="22"/>
                <w:szCs w:val="22"/>
              </w:rPr>
              <w:t>mL</w:t>
            </w:r>
            <w:proofErr w:type="spellEnd"/>
          </w:p>
        </w:tc>
        <w:tc>
          <w:tcPr>
            <w:tcW w:w="1687" w:type="dxa"/>
          </w:tcPr>
          <w:p w:rsidR="009A4790" w:rsidRPr="0056616E" w:rsidRDefault="009A4790" w:rsidP="009C54F6">
            <w:pPr>
              <w:autoSpaceDE w:val="0"/>
              <w:autoSpaceDN w:val="0"/>
              <w:adjustRightInd w:val="0"/>
              <w:jc w:val="center"/>
              <w:rPr>
                <w:color w:val="000000"/>
                <w:sz w:val="22"/>
                <w:szCs w:val="22"/>
              </w:rPr>
            </w:pPr>
          </w:p>
          <w:p w:rsidR="009A4790" w:rsidRPr="0056616E" w:rsidRDefault="009A4790" w:rsidP="009C54F6">
            <w:pPr>
              <w:autoSpaceDE w:val="0"/>
              <w:autoSpaceDN w:val="0"/>
              <w:adjustRightInd w:val="0"/>
              <w:jc w:val="center"/>
              <w:rPr>
                <w:color w:val="000000"/>
                <w:sz w:val="22"/>
                <w:szCs w:val="22"/>
              </w:rPr>
            </w:pPr>
            <w:r w:rsidRPr="0056616E">
              <w:rPr>
                <w:color w:val="000000"/>
                <w:sz w:val="22"/>
                <w:szCs w:val="22"/>
              </w:rPr>
              <w:t>73.3%</w:t>
            </w:r>
          </w:p>
          <w:p w:rsidR="009A4790" w:rsidRPr="0056616E" w:rsidRDefault="009A4790" w:rsidP="009C54F6">
            <w:pPr>
              <w:autoSpaceDE w:val="0"/>
              <w:autoSpaceDN w:val="0"/>
              <w:adjustRightInd w:val="0"/>
              <w:jc w:val="center"/>
              <w:rPr>
                <w:color w:val="000000"/>
                <w:sz w:val="22"/>
                <w:szCs w:val="22"/>
              </w:rPr>
            </w:pPr>
            <w:r w:rsidRPr="0056616E">
              <w:rPr>
                <w:color w:val="000000"/>
                <w:sz w:val="22"/>
                <w:szCs w:val="22"/>
              </w:rPr>
              <w:t>68.5%</w:t>
            </w:r>
          </w:p>
        </w:tc>
        <w:tc>
          <w:tcPr>
            <w:tcW w:w="1413" w:type="dxa"/>
          </w:tcPr>
          <w:p w:rsidR="009A4790" w:rsidRPr="0056616E" w:rsidRDefault="009A4790" w:rsidP="009C54F6">
            <w:pPr>
              <w:autoSpaceDE w:val="0"/>
              <w:autoSpaceDN w:val="0"/>
              <w:adjustRightInd w:val="0"/>
              <w:jc w:val="center"/>
              <w:rPr>
                <w:color w:val="000000"/>
                <w:sz w:val="22"/>
                <w:szCs w:val="22"/>
              </w:rPr>
            </w:pPr>
          </w:p>
          <w:p w:rsidR="009A4790" w:rsidRPr="0056616E" w:rsidRDefault="009A4790" w:rsidP="009C54F6">
            <w:pPr>
              <w:autoSpaceDE w:val="0"/>
              <w:autoSpaceDN w:val="0"/>
              <w:adjustRightInd w:val="0"/>
              <w:jc w:val="center"/>
              <w:rPr>
                <w:color w:val="000000"/>
                <w:sz w:val="22"/>
                <w:szCs w:val="22"/>
              </w:rPr>
            </w:pPr>
            <w:r w:rsidRPr="0056616E">
              <w:rPr>
                <w:color w:val="000000"/>
                <w:sz w:val="22"/>
                <w:szCs w:val="22"/>
              </w:rPr>
              <w:t>72.3%</w:t>
            </w:r>
          </w:p>
          <w:p w:rsidR="009A4790" w:rsidRPr="0056616E" w:rsidRDefault="009A4790" w:rsidP="009C54F6">
            <w:pPr>
              <w:autoSpaceDE w:val="0"/>
              <w:autoSpaceDN w:val="0"/>
              <w:adjustRightInd w:val="0"/>
              <w:jc w:val="center"/>
              <w:rPr>
                <w:color w:val="000000"/>
                <w:sz w:val="22"/>
                <w:szCs w:val="22"/>
              </w:rPr>
            </w:pPr>
            <w:r w:rsidRPr="0056616E">
              <w:rPr>
                <w:color w:val="000000"/>
                <w:sz w:val="22"/>
                <w:szCs w:val="22"/>
              </w:rPr>
              <w:t>68.3%</w:t>
            </w:r>
          </w:p>
        </w:tc>
        <w:tc>
          <w:tcPr>
            <w:tcW w:w="1577" w:type="dxa"/>
            <w:tcBorders>
              <w:bottom w:val="single" w:sz="4" w:space="0" w:color="000000"/>
            </w:tcBorders>
          </w:tcPr>
          <w:p w:rsidR="009A4790" w:rsidRPr="0056616E" w:rsidRDefault="009A4790" w:rsidP="009C54F6">
            <w:pPr>
              <w:autoSpaceDE w:val="0"/>
              <w:autoSpaceDN w:val="0"/>
              <w:adjustRightInd w:val="0"/>
              <w:jc w:val="center"/>
              <w:rPr>
                <w:color w:val="000000"/>
                <w:sz w:val="22"/>
                <w:szCs w:val="22"/>
              </w:rPr>
            </w:pPr>
          </w:p>
          <w:p w:rsidR="009A4790" w:rsidRPr="0056616E" w:rsidRDefault="009A4790" w:rsidP="009C54F6">
            <w:pPr>
              <w:autoSpaceDE w:val="0"/>
              <w:autoSpaceDN w:val="0"/>
              <w:adjustRightInd w:val="0"/>
              <w:jc w:val="center"/>
              <w:rPr>
                <w:color w:val="000000"/>
                <w:sz w:val="22"/>
                <w:szCs w:val="22"/>
              </w:rPr>
            </w:pPr>
            <w:r w:rsidRPr="0056616E">
              <w:rPr>
                <w:color w:val="000000"/>
                <w:sz w:val="22"/>
                <w:szCs w:val="22"/>
              </w:rPr>
              <w:t>0.6</w:t>
            </w:r>
          </w:p>
          <w:p w:rsidR="009A4790" w:rsidRPr="0056616E" w:rsidRDefault="009A4790" w:rsidP="009C54F6">
            <w:pPr>
              <w:autoSpaceDE w:val="0"/>
              <w:autoSpaceDN w:val="0"/>
              <w:adjustRightInd w:val="0"/>
              <w:jc w:val="center"/>
              <w:rPr>
                <w:color w:val="000000"/>
                <w:sz w:val="22"/>
                <w:szCs w:val="22"/>
              </w:rPr>
            </w:pPr>
            <w:r w:rsidRPr="0056616E">
              <w:rPr>
                <w:color w:val="000000"/>
                <w:sz w:val="22"/>
                <w:szCs w:val="22"/>
              </w:rPr>
              <w:t>-0.2</w:t>
            </w:r>
          </w:p>
        </w:tc>
        <w:tc>
          <w:tcPr>
            <w:tcW w:w="1560" w:type="dxa"/>
            <w:tcBorders>
              <w:bottom w:val="single" w:sz="4" w:space="0" w:color="000000"/>
            </w:tcBorders>
          </w:tcPr>
          <w:p w:rsidR="009A4790" w:rsidRPr="0056616E" w:rsidRDefault="009A4790" w:rsidP="009C54F6">
            <w:pPr>
              <w:autoSpaceDE w:val="0"/>
              <w:autoSpaceDN w:val="0"/>
              <w:adjustRightInd w:val="0"/>
              <w:jc w:val="center"/>
              <w:rPr>
                <w:color w:val="000000"/>
                <w:sz w:val="22"/>
                <w:szCs w:val="22"/>
              </w:rPr>
            </w:pPr>
          </w:p>
          <w:p w:rsidR="009A4790" w:rsidRPr="0056616E" w:rsidRDefault="009A4790" w:rsidP="009C54F6">
            <w:pPr>
              <w:autoSpaceDE w:val="0"/>
              <w:autoSpaceDN w:val="0"/>
              <w:adjustRightInd w:val="0"/>
              <w:jc w:val="center"/>
              <w:rPr>
                <w:color w:val="000000"/>
                <w:sz w:val="22"/>
                <w:szCs w:val="22"/>
              </w:rPr>
            </w:pPr>
            <w:r w:rsidRPr="0056616E">
              <w:rPr>
                <w:color w:val="000000"/>
                <w:sz w:val="22"/>
                <w:szCs w:val="22"/>
              </w:rPr>
              <w:t>-6.4</w:t>
            </w:r>
          </w:p>
          <w:p w:rsidR="009A4790" w:rsidRPr="0056616E" w:rsidRDefault="009A4790" w:rsidP="009C54F6">
            <w:pPr>
              <w:autoSpaceDE w:val="0"/>
              <w:autoSpaceDN w:val="0"/>
              <w:adjustRightInd w:val="0"/>
              <w:jc w:val="center"/>
              <w:rPr>
                <w:color w:val="000000"/>
                <w:sz w:val="22"/>
                <w:szCs w:val="22"/>
              </w:rPr>
            </w:pPr>
            <w:r w:rsidRPr="0056616E">
              <w:rPr>
                <w:color w:val="000000"/>
                <w:sz w:val="22"/>
                <w:szCs w:val="22"/>
              </w:rPr>
              <w:t>-7.4</w:t>
            </w:r>
          </w:p>
        </w:tc>
      </w:tr>
      <w:tr w:rsidR="009A4790" w:rsidRPr="00F77F71" w:rsidTr="0056616E">
        <w:trPr>
          <w:trHeight w:val="115"/>
        </w:trPr>
        <w:tc>
          <w:tcPr>
            <w:tcW w:w="3403" w:type="dxa"/>
          </w:tcPr>
          <w:p w:rsidR="009A4790" w:rsidRPr="0056616E" w:rsidRDefault="009A4790" w:rsidP="009C54F6">
            <w:pPr>
              <w:autoSpaceDE w:val="0"/>
              <w:autoSpaceDN w:val="0"/>
              <w:adjustRightInd w:val="0"/>
              <w:rPr>
                <w:sz w:val="22"/>
                <w:szCs w:val="22"/>
              </w:rPr>
            </w:pPr>
            <w:proofErr w:type="spellStart"/>
            <w:r w:rsidRPr="0056616E">
              <w:rPr>
                <w:sz w:val="22"/>
                <w:szCs w:val="22"/>
              </w:rPr>
              <w:t>Virologic</w:t>
            </w:r>
            <w:proofErr w:type="spellEnd"/>
            <w:r w:rsidRPr="0056616E">
              <w:rPr>
                <w:sz w:val="22"/>
                <w:szCs w:val="22"/>
              </w:rPr>
              <w:t xml:space="preserve"> Failure (TLOVR)</w:t>
            </w:r>
            <w:r w:rsidRPr="0056616E">
              <w:rPr>
                <w:sz w:val="22"/>
                <w:szCs w:val="22"/>
                <w:vertAlign w:val="superscript"/>
              </w:rPr>
              <w:t>2</w:t>
            </w:r>
          </w:p>
          <w:p w:rsidR="009A4790" w:rsidRPr="0056616E" w:rsidRDefault="009A4790" w:rsidP="009C54F6">
            <w:pPr>
              <w:autoSpaceDE w:val="0"/>
              <w:autoSpaceDN w:val="0"/>
              <w:adjustRightInd w:val="0"/>
              <w:rPr>
                <w:sz w:val="22"/>
                <w:szCs w:val="22"/>
              </w:rPr>
            </w:pPr>
            <w:r w:rsidRPr="0056616E">
              <w:rPr>
                <w:sz w:val="22"/>
                <w:szCs w:val="22"/>
              </w:rPr>
              <w:t>&lt; 400 copies/mL</w:t>
            </w:r>
          </w:p>
          <w:p w:rsidR="009A4790" w:rsidRPr="0056616E" w:rsidRDefault="009A4790" w:rsidP="0056616E">
            <w:pPr>
              <w:autoSpaceDE w:val="0"/>
              <w:autoSpaceDN w:val="0"/>
              <w:adjustRightInd w:val="0"/>
              <w:rPr>
                <w:color w:val="000000"/>
                <w:sz w:val="22"/>
                <w:szCs w:val="22"/>
              </w:rPr>
            </w:pPr>
            <w:r w:rsidRPr="0056616E">
              <w:rPr>
                <w:sz w:val="22"/>
                <w:szCs w:val="22"/>
              </w:rPr>
              <w:t>&lt; 50 copies/</w:t>
            </w:r>
            <w:proofErr w:type="spellStart"/>
            <w:r w:rsidRPr="0056616E">
              <w:rPr>
                <w:sz w:val="22"/>
                <w:szCs w:val="22"/>
              </w:rPr>
              <w:t>mL</w:t>
            </w:r>
            <w:proofErr w:type="spellEnd"/>
          </w:p>
        </w:tc>
        <w:tc>
          <w:tcPr>
            <w:tcW w:w="1687" w:type="dxa"/>
          </w:tcPr>
          <w:p w:rsidR="009A4790" w:rsidRPr="0056616E" w:rsidRDefault="009A4790" w:rsidP="009C54F6">
            <w:pPr>
              <w:autoSpaceDE w:val="0"/>
              <w:autoSpaceDN w:val="0"/>
              <w:adjustRightInd w:val="0"/>
              <w:jc w:val="center"/>
              <w:rPr>
                <w:sz w:val="22"/>
                <w:szCs w:val="22"/>
              </w:rPr>
            </w:pPr>
          </w:p>
          <w:p w:rsidR="009A4790" w:rsidRPr="0056616E" w:rsidRDefault="009A4790" w:rsidP="009C54F6">
            <w:pPr>
              <w:autoSpaceDE w:val="0"/>
              <w:autoSpaceDN w:val="0"/>
              <w:adjustRightInd w:val="0"/>
              <w:jc w:val="center"/>
              <w:rPr>
                <w:sz w:val="22"/>
                <w:szCs w:val="22"/>
              </w:rPr>
            </w:pPr>
            <w:r w:rsidRPr="0056616E">
              <w:rPr>
                <w:sz w:val="22"/>
                <w:szCs w:val="22"/>
              </w:rPr>
              <w:t>27.7%</w:t>
            </w:r>
          </w:p>
          <w:p w:rsidR="009A4790" w:rsidRPr="0056616E" w:rsidRDefault="009A4790" w:rsidP="0056616E">
            <w:pPr>
              <w:autoSpaceDE w:val="0"/>
              <w:autoSpaceDN w:val="0"/>
              <w:adjustRightInd w:val="0"/>
              <w:jc w:val="center"/>
              <w:rPr>
                <w:color w:val="000000"/>
                <w:sz w:val="22"/>
                <w:szCs w:val="22"/>
              </w:rPr>
            </w:pPr>
            <w:r w:rsidRPr="0056616E">
              <w:rPr>
                <w:sz w:val="22"/>
                <w:szCs w:val="22"/>
              </w:rPr>
              <w:t>32.0%</w:t>
            </w:r>
          </w:p>
        </w:tc>
        <w:tc>
          <w:tcPr>
            <w:tcW w:w="1413" w:type="dxa"/>
          </w:tcPr>
          <w:p w:rsidR="009A4790" w:rsidRPr="0056616E" w:rsidRDefault="009A4790" w:rsidP="009C54F6">
            <w:pPr>
              <w:autoSpaceDE w:val="0"/>
              <w:autoSpaceDN w:val="0"/>
              <w:adjustRightInd w:val="0"/>
              <w:jc w:val="center"/>
              <w:rPr>
                <w:sz w:val="22"/>
                <w:szCs w:val="22"/>
              </w:rPr>
            </w:pPr>
          </w:p>
          <w:p w:rsidR="009A4790" w:rsidRPr="0056616E" w:rsidRDefault="009A4790" w:rsidP="009C54F6">
            <w:pPr>
              <w:autoSpaceDE w:val="0"/>
              <w:autoSpaceDN w:val="0"/>
              <w:adjustRightInd w:val="0"/>
              <w:jc w:val="center"/>
              <w:rPr>
                <w:sz w:val="22"/>
                <w:szCs w:val="22"/>
              </w:rPr>
            </w:pPr>
            <w:r w:rsidRPr="0056616E">
              <w:rPr>
                <w:sz w:val="22"/>
                <w:szCs w:val="22"/>
              </w:rPr>
              <w:t>5.3%</w:t>
            </w:r>
          </w:p>
          <w:p w:rsidR="009A4790" w:rsidRPr="0056616E" w:rsidRDefault="009A4790" w:rsidP="0056616E">
            <w:pPr>
              <w:autoSpaceDE w:val="0"/>
              <w:autoSpaceDN w:val="0"/>
              <w:adjustRightInd w:val="0"/>
              <w:jc w:val="center"/>
              <w:rPr>
                <w:color w:val="000000"/>
                <w:sz w:val="22"/>
                <w:szCs w:val="22"/>
              </w:rPr>
            </w:pPr>
            <w:r w:rsidRPr="0056616E">
              <w:rPr>
                <w:sz w:val="22"/>
                <w:szCs w:val="22"/>
              </w:rPr>
              <w:t>8.8%</w:t>
            </w:r>
          </w:p>
        </w:tc>
        <w:tc>
          <w:tcPr>
            <w:tcW w:w="1577" w:type="dxa"/>
            <w:shd w:val="clear" w:color="auto" w:fill="BFBFBF"/>
          </w:tcPr>
          <w:p w:rsidR="009A4790" w:rsidRPr="0056616E" w:rsidRDefault="009A4790" w:rsidP="009C54F6">
            <w:pPr>
              <w:autoSpaceDE w:val="0"/>
              <w:autoSpaceDN w:val="0"/>
              <w:adjustRightInd w:val="0"/>
              <w:jc w:val="center"/>
              <w:rPr>
                <w:color w:val="000000"/>
                <w:sz w:val="22"/>
                <w:szCs w:val="22"/>
              </w:rPr>
            </w:pPr>
          </w:p>
        </w:tc>
        <w:tc>
          <w:tcPr>
            <w:tcW w:w="1560" w:type="dxa"/>
            <w:shd w:val="clear" w:color="auto" w:fill="BFBFBF"/>
          </w:tcPr>
          <w:p w:rsidR="009A4790" w:rsidRPr="0056616E" w:rsidRDefault="009A4790" w:rsidP="009C54F6">
            <w:pPr>
              <w:autoSpaceDE w:val="0"/>
              <w:autoSpaceDN w:val="0"/>
              <w:adjustRightInd w:val="0"/>
              <w:jc w:val="center"/>
              <w:rPr>
                <w:color w:val="000000"/>
                <w:sz w:val="22"/>
                <w:szCs w:val="22"/>
              </w:rPr>
            </w:pPr>
          </w:p>
        </w:tc>
      </w:tr>
      <w:tr w:rsidR="009A4790" w:rsidRPr="00F77F71" w:rsidTr="0056616E">
        <w:trPr>
          <w:trHeight w:val="115"/>
        </w:trPr>
        <w:tc>
          <w:tcPr>
            <w:tcW w:w="3403" w:type="dxa"/>
          </w:tcPr>
          <w:p w:rsidR="009A4790" w:rsidRPr="0056616E" w:rsidRDefault="009A4790" w:rsidP="009C54F6">
            <w:pPr>
              <w:autoSpaceDE w:val="0"/>
              <w:autoSpaceDN w:val="0"/>
              <w:adjustRightInd w:val="0"/>
              <w:rPr>
                <w:sz w:val="22"/>
                <w:szCs w:val="22"/>
              </w:rPr>
            </w:pPr>
            <w:r w:rsidRPr="0056616E">
              <w:rPr>
                <w:sz w:val="22"/>
                <w:szCs w:val="22"/>
              </w:rPr>
              <w:t>Rebound</w:t>
            </w:r>
            <w:r w:rsidRPr="0056616E">
              <w:rPr>
                <w:sz w:val="22"/>
                <w:szCs w:val="22"/>
                <w:vertAlign w:val="superscript"/>
              </w:rPr>
              <w:t>2</w:t>
            </w:r>
          </w:p>
          <w:p w:rsidR="009A4790" w:rsidRPr="0056616E" w:rsidRDefault="009A4790" w:rsidP="009C54F6">
            <w:pPr>
              <w:autoSpaceDE w:val="0"/>
              <w:autoSpaceDN w:val="0"/>
              <w:adjustRightInd w:val="0"/>
              <w:rPr>
                <w:sz w:val="22"/>
                <w:szCs w:val="22"/>
              </w:rPr>
            </w:pPr>
            <w:r w:rsidRPr="0056616E">
              <w:rPr>
                <w:sz w:val="22"/>
                <w:szCs w:val="22"/>
              </w:rPr>
              <w:t>&lt; 400 copies/mL</w:t>
            </w:r>
          </w:p>
          <w:p w:rsidR="009A4790" w:rsidRPr="0056616E" w:rsidRDefault="009A4790" w:rsidP="0056616E">
            <w:pPr>
              <w:autoSpaceDE w:val="0"/>
              <w:autoSpaceDN w:val="0"/>
              <w:adjustRightInd w:val="0"/>
              <w:rPr>
                <w:color w:val="000000"/>
                <w:sz w:val="22"/>
                <w:szCs w:val="22"/>
              </w:rPr>
            </w:pPr>
            <w:r w:rsidRPr="0056616E">
              <w:rPr>
                <w:sz w:val="22"/>
                <w:szCs w:val="22"/>
              </w:rPr>
              <w:t>&lt; 50 copies/</w:t>
            </w:r>
            <w:proofErr w:type="spellStart"/>
            <w:r w:rsidRPr="0056616E">
              <w:rPr>
                <w:sz w:val="22"/>
                <w:szCs w:val="22"/>
              </w:rPr>
              <w:t>mL</w:t>
            </w:r>
            <w:proofErr w:type="spellEnd"/>
          </w:p>
        </w:tc>
        <w:tc>
          <w:tcPr>
            <w:tcW w:w="1687" w:type="dxa"/>
          </w:tcPr>
          <w:p w:rsidR="009A4790" w:rsidRPr="0056616E" w:rsidRDefault="009A4790" w:rsidP="009C54F6">
            <w:pPr>
              <w:autoSpaceDE w:val="0"/>
              <w:autoSpaceDN w:val="0"/>
              <w:adjustRightInd w:val="0"/>
              <w:jc w:val="center"/>
              <w:rPr>
                <w:sz w:val="22"/>
                <w:szCs w:val="22"/>
              </w:rPr>
            </w:pPr>
          </w:p>
          <w:p w:rsidR="009A4790" w:rsidRPr="0056616E" w:rsidRDefault="009A4790" w:rsidP="009C54F6">
            <w:pPr>
              <w:autoSpaceDE w:val="0"/>
              <w:autoSpaceDN w:val="0"/>
              <w:adjustRightInd w:val="0"/>
              <w:jc w:val="center"/>
              <w:rPr>
                <w:sz w:val="22"/>
                <w:szCs w:val="22"/>
              </w:rPr>
            </w:pPr>
            <w:r w:rsidRPr="0056616E">
              <w:rPr>
                <w:sz w:val="22"/>
                <w:szCs w:val="22"/>
              </w:rPr>
              <w:t>20.8%</w:t>
            </w:r>
          </w:p>
          <w:p w:rsidR="009A4790" w:rsidRPr="0056616E" w:rsidRDefault="009A4790" w:rsidP="0056616E">
            <w:pPr>
              <w:autoSpaceDE w:val="0"/>
              <w:autoSpaceDN w:val="0"/>
              <w:adjustRightInd w:val="0"/>
              <w:jc w:val="center"/>
              <w:rPr>
                <w:color w:val="000000"/>
                <w:sz w:val="22"/>
                <w:szCs w:val="22"/>
              </w:rPr>
            </w:pPr>
            <w:r w:rsidRPr="0056616E">
              <w:rPr>
                <w:sz w:val="22"/>
                <w:szCs w:val="22"/>
              </w:rPr>
              <w:t>19.7%</w:t>
            </w:r>
          </w:p>
        </w:tc>
        <w:tc>
          <w:tcPr>
            <w:tcW w:w="1413" w:type="dxa"/>
          </w:tcPr>
          <w:p w:rsidR="009A4790" w:rsidRPr="0056616E" w:rsidRDefault="009A4790" w:rsidP="009C54F6">
            <w:pPr>
              <w:autoSpaceDE w:val="0"/>
              <w:autoSpaceDN w:val="0"/>
              <w:adjustRightInd w:val="0"/>
              <w:jc w:val="center"/>
              <w:rPr>
                <w:sz w:val="22"/>
                <w:szCs w:val="22"/>
              </w:rPr>
            </w:pPr>
          </w:p>
          <w:p w:rsidR="009A4790" w:rsidRPr="0056616E" w:rsidRDefault="009A4790" w:rsidP="009C54F6">
            <w:pPr>
              <w:autoSpaceDE w:val="0"/>
              <w:autoSpaceDN w:val="0"/>
              <w:adjustRightInd w:val="0"/>
              <w:jc w:val="center"/>
              <w:rPr>
                <w:sz w:val="22"/>
                <w:szCs w:val="22"/>
              </w:rPr>
            </w:pPr>
            <w:r w:rsidRPr="0056616E">
              <w:rPr>
                <w:sz w:val="22"/>
                <w:szCs w:val="22"/>
              </w:rPr>
              <w:t>16.0%</w:t>
            </w:r>
          </w:p>
          <w:p w:rsidR="009A4790" w:rsidRPr="0056616E" w:rsidRDefault="009A4790" w:rsidP="0056616E">
            <w:pPr>
              <w:autoSpaceDE w:val="0"/>
              <w:autoSpaceDN w:val="0"/>
              <w:adjustRightInd w:val="0"/>
              <w:jc w:val="center"/>
              <w:rPr>
                <w:color w:val="000000"/>
                <w:sz w:val="22"/>
                <w:szCs w:val="22"/>
              </w:rPr>
            </w:pPr>
            <w:r w:rsidRPr="0056616E">
              <w:rPr>
                <w:sz w:val="22"/>
                <w:szCs w:val="22"/>
              </w:rPr>
              <w:t>14.7%</w:t>
            </w:r>
          </w:p>
        </w:tc>
        <w:tc>
          <w:tcPr>
            <w:tcW w:w="1577" w:type="dxa"/>
            <w:shd w:val="clear" w:color="auto" w:fill="BFBFBF"/>
          </w:tcPr>
          <w:p w:rsidR="009A4790" w:rsidRPr="0056616E" w:rsidRDefault="009A4790" w:rsidP="009C54F6">
            <w:pPr>
              <w:autoSpaceDE w:val="0"/>
              <w:autoSpaceDN w:val="0"/>
              <w:adjustRightInd w:val="0"/>
              <w:jc w:val="center"/>
              <w:rPr>
                <w:color w:val="000000"/>
                <w:sz w:val="22"/>
                <w:szCs w:val="22"/>
              </w:rPr>
            </w:pPr>
          </w:p>
        </w:tc>
        <w:tc>
          <w:tcPr>
            <w:tcW w:w="1560" w:type="dxa"/>
            <w:shd w:val="clear" w:color="auto" w:fill="BFBFBF"/>
          </w:tcPr>
          <w:p w:rsidR="009A4790" w:rsidRPr="0056616E" w:rsidRDefault="009A4790" w:rsidP="009C54F6">
            <w:pPr>
              <w:autoSpaceDE w:val="0"/>
              <w:autoSpaceDN w:val="0"/>
              <w:adjustRightInd w:val="0"/>
              <w:jc w:val="center"/>
              <w:rPr>
                <w:color w:val="000000"/>
                <w:sz w:val="22"/>
                <w:szCs w:val="22"/>
              </w:rPr>
            </w:pPr>
          </w:p>
        </w:tc>
      </w:tr>
      <w:tr w:rsidR="009A4790" w:rsidRPr="00F77F71" w:rsidTr="0056616E">
        <w:trPr>
          <w:trHeight w:val="115"/>
        </w:trPr>
        <w:tc>
          <w:tcPr>
            <w:tcW w:w="3403" w:type="dxa"/>
          </w:tcPr>
          <w:p w:rsidR="009A4790" w:rsidRPr="0056616E" w:rsidRDefault="009A4790" w:rsidP="009C54F6">
            <w:pPr>
              <w:autoSpaceDE w:val="0"/>
              <w:autoSpaceDN w:val="0"/>
              <w:adjustRightInd w:val="0"/>
              <w:rPr>
                <w:sz w:val="22"/>
                <w:szCs w:val="22"/>
              </w:rPr>
            </w:pPr>
            <w:r w:rsidRPr="0056616E">
              <w:rPr>
                <w:sz w:val="22"/>
                <w:szCs w:val="22"/>
              </w:rPr>
              <w:lastRenderedPageBreak/>
              <w:t>Never suppressed</w:t>
            </w:r>
            <w:r w:rsidRPr="0056616E">
              <w:rPr>
                <w:sz w:val="22"/>
                <w:szCs w:val="22"/>
                <w:vertAlign w:val="superscript"/>
              </w:rPr>
              <w:t>2</w:t>
            </w:r>
          </w:p>
          <w:p w:rsidR="009A4790" w:rsidRPr="0056616E" w:rsidRDefault="009A4790" w:rsidP="009C54F6">
            <w:pPr>
              <w:autoSpaceDE w:val="0"/>
              <w:autoSpaceDN w:val="0"/>
              <w:adjustRightInd w:val="0"/>
              <w:rPr>
                <w:sz w:val="22"/>
                <w:szCs w:val="22"/>
              </w:rPr>
            </w:pPr>
            <w:r w:rsidRPr="0056616E">
              <w:rPr>
                <w:sz w:val="22"/>
                <w:szCs w:val="22"/>
              </w:rPr>
              <w:t>&lt; 400 copies/mL</w:t>
            </w:r>
          </w:p>
          <w:p w:rsidR="009A4790" w:rsidRPr="0056616E" w:rsidRDefault="009A4790" w:rsidP="009C54F6">
            <w:pPr>
              <w:autoSpaceDE w:val="0"/>
              <w:autoSpaceDN w:val="0"/>
              <w:adjustRightInd w:val="0"/>
              <w:rPr>
                <w:color w:val="000000"/>
                <w:sz w:val="22"/>
                <w:szCs w:val="22"/>
              </w:rPr>
            </w:pPr>
            <w:r w:rsidRPr="0056616E">
              <w:rPr>
                <w:sz w:val="22"/>
                <w:szCs w:val="22"/>
              </w:rPr>
              <w:t>&lt; 50 copies/mL</w:t>
            </w:r>
          </w:p>
        </w:tc>
        <w:tc>
          <w:tcPr>
            <w:tcW w:w="1687" w:type="dxa"/>
          </w:tcPr>
          <w:p w:rsidR="009A4790" w:rsidRPr="0056616E" w:rsidRDefault="009A4790" w:rsidP="009C54F6">
            <w:pPr>
              <w:autoSpaceDE w:val="0"/>
              <w:autoSpaceDN w:val="0"/>
              <w:adjustRightInd w:val="0"/>
              <w:jc w:val="center"/>
              <w:rPr>
                <w:sz w:val="22"/>
                <w:szCs w:val="22"/>
              </w:rPr>
            </w:pPr>
          </w:p>
          <w:p w:rsidR="009A4790" w:rsidRPr="0056616E" w:rsidRDefault="009A4790" w:rsidP="009C54F6">
            <w:pPr>
              <w:autoSpaceDE w:val="0"/>
              <w:autoSpaceDN w:val="0"/>
              <w:adjustRightInd w:val="0"/>
              <w:jc w:val="center"/>
              <w:rPr>
                <w:sz w:val="22"/>
                <w:szCs w:val="22"/>
              </w:rPr>
            </w:pPr>
            <w:r w:rsidRPr="0056616E">
              <w:rPr>
                <w:sz w:val="22"/>
                <w:szCs w:val="22"/>
              </w:rPr>
              <w:t>0</w:t>
            </w:r>
          </w:p>
          <w:p w:rsidR="009A4790" w:rsidRPr="0056616E" w:rsidRDefault="009A4790" w:rsidP="0056616E">
            <w:pPr>
              <w:autoSpaceDE w:val="0"/>
              <w:autoSpaceDN w:val="0"/>
              <w:adjustRightInd w:val="0"/>
              <w:jc w:val="center"/>
              <w:rPr>
                <w:color w:val="000000"/>
                <w:sz w:val="22"/>
                <w:szCs w:val="22"/>
              </w:rPr>
            </w:pPr>
            <w:r w:rsidRPr="0056616E">
              <w:rPr>
                <w:sz w:val="22"/>
                <w:szCs w:val="22"/>
              </w:rPr>
              <w:t>5.7%</w:t>
            </w:r>
          </w:p>
        </w:tc>
        <w:tc>
          <w:tcPr>
            <w:tcW w:w="1413" w:type="dxa"/>
          </w:tcPr>
          <w:p w:rsidR="009A4790" w:rsidRPr="0056616E" w:rsidRDefault="009A4790" w:rsidP="009C54F6">
            <w:pPr>
              <w:autoSpaceDE w:val="0"/>
              <w:autoSpaceDN w:val="0"/>
              <w:adjustRightInd w:val="0"/>
              <w:jc w:val="center"/>
              <w:rPr>
                <w:sz w:val="22"/>
                <w:szCs w:val="22"/>
              </w:rPr>
            </w:pPr>
          </w:p>
          <w:p w:rsidR="009A4790" w:rsidRPr="0056616E" w:rsidRDefault="009A4790" w:rsidP="009C54F6">
            <w:pPr>
              <w:autoSpaceDE w:val="0"/>
              <w:autoSpaceDN w:val="0"/>
              <w:adjustRightInd w:val="0"/>
              <w:jc w:val="center"/>
              <w:rPr>
                <w:sz w:val="22"/>
                <w:szCs w:val="22"/>
              </w:rPr>
            </w:pPr>
            <w:r w:rsidRPr="0056616E">
              <w:rPr>
                <w:sz w:val="22"/>
                <w:szCs w:val="22"/>
              </w:rPr>
              <w:t>0</w:t>
            </w:r>
          </w:p>
          <w:p w:rsidR="009A4790" w:rsidRPr="0056616E" w:rsidRDefault="009A4790" w:rsidP="0056616E">
            <w:pPr>
              <w:autoSpaceDE w:val="0"/>
              <w:autoSpaceDN w:val="0"/>
              <w:adjustRightInd w:val="0"/>
              <w:jc w:val="center"/>
              <w:rPr>
                <w:color w:val="000000"/>
                <w:sz w:val="22"/>
                <w:szCs w:val="22"/>
              </w:rPr>
            </w:pPr>
            <w:r w:rsidRPr="0056616E">
              <w:rPr>
                <w:sz w:val="22"/>
                <w:szCs w:val="22"/>
              </w:rPr>
              <w:t>2.0%</w:t>
            </w:r>
          </w:p>
        </w:tc>
        <w:tc>
          <w:tcPr>
            <w:tcW w:w="1577" w:type="dxa"/>
            <w:shd w:val="clear" w:color="auto" w:fill="BFBFBF"/>
          </w:tcPr>
          <w:p w:rsidR="009A4790" w:rsidRPr="0056616E" w:rsidRDefault="009A4790" w:rsidP="009C54F6">
            <w:pPr>
              <w:autoSpaceDE w:val="0"/>
              <w:autoSpaceDN w:val="0"/>
              <w:adjustRightInd w:val="0"/>
              <w:jc w:val="center"/>
              <w:rPr>
                <w:color w:val="000000"/>
                <w:sz w:val="22"/>
                <w:szCs w:val="22"/>
              </w:rPr>
            </w:pPr>
          </w:p>
        </w:tc>
        <w:tc>
          <w:tcPr>
            <w:tcW w:w="1560" w:type="dxa"/>
            <w:shd w:val="clear" w:color="auto" w:fill="BFBFBF"/>
          </w:tcPr>
          <w:p w:rsidR="009A4790" w:rsidRPr="0056616E" w:rsidRDefault="009A4790" w:rsidP="009C54F6">
            <w:pPr>
              <w:autoSpaceDE w:val="0"/>
              <w:autoSpaceDN w:val="0"/>
              <w:adjustRightInd w:val="0"/>
              <w:jc w:val="center"/>
              <w:rPr>
                <w:color w:val="000000"/>
                <w:sz w:val="22"/>
                <w:szCs w:val="22"/>
              </w:rPr>
            </w:pPr>
          </w:p>
        </w:tc>
      </w:tr>
      <w:tr w:rsidR="009A4790" w:rsidRPr="00F77F71" w:rsidTr="0056616E">
        <w:trPr>
          <w:trHeight w:val="115"/>
        </w:trPr>
        <w:tc>
          <w:tcPr>
            <w:tcW w:w="3403" w:type="dxa"/>
            <w:tcBorders>
              <w:bottom w:val="single" w:sz="4" w:space="0" w:color="auto"/>
            </w:tcBorders>
          </w:tcPr>
          <w:p w:rsidR="009A4790" w:rsidRPr="0056616E" w:rsidRDefault="009A4790" w:rsidP="009C54F6">
            <w:pPr>
              <w:autoSpaceDE w:val="0"/>
              <w:autoSpaceDN w:val="0"/>
              <w:adjustRightInd w:val="0"/>
              <w:rPr>
                <w:color w:val="000000"/>
                <w:sz w:val="22"/>
                <w:szCs w:val="22"/>
              </w:rPr>
            </w:pPr>
            <w:r w:rsidRPr="0056616E">
              <w:rPr>
                <w:sz w:val="22"/>
                <w:szCs w:val="22"/>
              </w:rPr>
              <w:t>Death</w:t>
            </w:r>
            <w:r w:rsidRPr="0056616E">
              <w:rPr>
                <w:sz w:val="22"/>
                <w:szCs w:val="22"/>
                <w:vertAlign w:val="superscript"/>
              </w:rPr>
              <w:t>3</w:t>
            </w:r>
          </w:p>
        </w:tc>
        <w:tc>
          <w:tcPr>
            <w:tcW w:w="1687" w:type="dxa"/>
            <w:tcBorders>
              <w:bottom w:val="single" w:sz="4" w:space="0" w:color="auto"/>
            </w:tcBorders>
          </w:tcPr>
          <w:p w:rsidR="009A4790" w:rsidRPr="0056616E" w:rsidRDefault="009A4790" w:rsidP="009C54F6">
            <w:pPr>
              <w:autoSpaceDE w:val="0"/>
              <w:autoSpaceDN w:val="0"/>
              <w:adjustRightInd w:val="0"/>
              <w:jc w:val="center"/>
              <w:rPr>
                <w:color w:val="000000"/>
                <w:sz w:val="22"/>
                <w:szCs w:val="22"/>
              </w:rPr>
            </w:pPr>
            <w:r w:rsidRPr="0056616E">
              <w:rPr>
                <w:sz w:val="22"/>
                <w:szCs w:val="22"/>
              </w:rPr>
              <w:t>1 (0.3)</w:t>
            </w:r>
          </w:p>
        </w:tc>
        <w:tc>
          <w:tcPr>
            <w:tcW w:w="1413" w:type="dxa"/>
            <w:tcBorders>
              <w:bottom w:val="single" w:sz="4" w:space="0" w:color="auto"/>
            </w:tcBorders>
          </w:tcPr>
          <w:p w:rsidR="009A4790" w:rsidRPr="0056616E" w:rsidRDefault="009A4790" w:rsidP="007F2971">
            <w:pPr>
              <w:autoSpaceDE w:val="0"/>
              <w:autoSpaceDN w:val="0"/>
              <w:adjustRightInd w:val="0"/>
              <w:jc w:val="center"/>
              <w:rPr>
                <w:color w:val="000000"/>
                <w:sz w:val="22"/>
                <w:szCs w:val="22"/>
              </w:rPr>
            </w:pPr>
            <w:r w:rsidRPr="0056616E">
              <w:rPr>
                <w:sz w:val="22"/>
                <w:szCs w:val="22"/>
              </w:rPr>
              <w:t>2(0.6)</w:t>
            </w:r>
          </w:p>
        </w:tc>
        <w:tc>
          <w:tcPr>
            <w:tcW w:w="1577" w:type="dxa"/>
            <w:shd w:val="clear" w:color="auto" w:fill="BFBFBF"/>
          </w:tcPr>
          <w:p w:rsidR="009A4790" w:rsidRPr="0056616E" w:rsidRDefault="009A4790" w:rsidP="009C54F6">
            <w:pPr>
              <w:autoSpaceDE w:val="0"/>
              <w:autoSpaceDN w:val="0"/>
              <w:adjustRightInd w:val="0"/>
              <w:jc w:val="center"/>
              <w:rPr>
                <w:color w:val="000000"/>
                <w:sz w:val="22"/>
                <w:szCs w:val="22"/>
              </w:rPr>
            </w:pPr>
          </w:p>
        </w:tc>
        <w:tc>
          <w:tcPr>
            <w:tcW w:w="1560" w:type="dxa"/>
            <w:shd w:val="clear" w:color="auto" w:fill="BFBFBF"/>
          </w:tcPr>
          <w:p w:rsidR="009A4790" w:rsidRPr="0056616E" w:rsidRDefault="009A4790" w:rsidP="009C54F6">
            <w:pPr>
              <w:autoSpaceDE w:val="0"/>
              <w:autoSpaceDN w:val="0"/>
              <w:adjustRightInd w:val="0"/>
              <w:jc w:val="center"/>
              <w:rPr>
                <w:color w:val="000000"/>
                <w:sz w:val="22"/>
                <w:szCs w:val="22"/>
              </w:rPr>
            </w:pPr>
          </w:p>
        </w:tc>
      </w:tr>
      <w:tr w:rsidR="009A4790" w:rsidRPr="00F77F71" w:rsidTr="0056616E">
        <w:trPr>
          <w:trHeight w:val="115"/>
        </w:trPr>
        <w:tc>
          <w:tcPr>
            <w:tcW w:w="3403" w:type="dxa"/>
            <w:tcBorders>
              <w:bottom w:val="nil"/>
            </w:tcBorders>
          </w:tcPr>
          <w:p w:rsidR="009A4790" w:rsidRPr="0056616E" w:rsidRDefault="009A4790" w:rsidP="009C54F6">
            <w:pPr>
              <w:autoSpaceDE w:val="0"/>
              <w:autoSpaceDN w:val="0"/>
              <w:adjustRightInd w:val="0"/>
              <w:rPr>
                <w:sz w:val="22"/>
                <w:szCs w:val="22"/>
              </w:rPr>
            </w:pPr>
            <w:r w:rsidRPr="0056616E">
              <w:rPr>
                <w:sz w:val="22"/>
                <w:szCs w:val="22"/>
              </w:rPr>
              <w:t>Discontinuations</w:t>
            </w:r>
          </w:p>
        </w:tc>
        <w:tc>
          <w:tcPr>
            <w:tcW w:w="1687" w:type="dxa"/>
            <w:tcBorders>
              <w:bottom w:val="nil"/>
            </w:tcBorders>
          </w:tcPr>
          <w:p w:rsidR="009A4790" w:rsidRPr="0056616E" w:rsidRDefault="009A4790" w:rsidP="009C54F6">
            <w:pPr>
              <w:autoSpaceDE w:val="0"/>
              <w:autoSpaceDN w:val="0"/>
              <w:adjustRightInd w:val="0"/>
              <w:jc w:val="center"/>
              <w:rPr>
                <w:color w:val="000000"/>
                <w:sz w:val="22"/>
                <w:szCs w:val="22"/>
              </w:rPr>
            </w:pPr>
          </w:p>
        </w:tc>
        <w:tc>
          <w:tcPr>
            <w:tcW w:w="1413" w:type="dxa"/>
            <w:tcBorders>
              <w:bottom w:val="nil"/>
            </w:tcBorders>
          </w:tcPr>
          <w:p w:rsidR="009A4790" w:rsidRPr="0056616E" w:rsidRDefault="009A4790" w:rsidP="009C54F6">
            <w:pPr>
              <w:autoSpaceDE w:val="0"/>
              <w:autoSpaceDN w:val="0"/>
              <w:adjustRightInd w:val="0"/>
              <w:jc w:val="center"/>
              <w:rPr>
                <w:color w:val="000000"/>
                <w:sz w:val="22"/>
                <w:szCs w:val="22"/>
              </w:rPr>
            </w:pPr>
          </w:p>
        </w:tc>
        <w:tc>
          <w:tcPr>
            <w:tcW w:w="1577" w:type="dxa"/>
            <w:shd w:val="clear" w:color="auto" w:fill="BFBFBF"/>
          </w:tcPr>
          <w:p w:rsidR="009A4790" w:rsidRPr="0056616E" w:rsidRDefault="009A4790" w:rsidP="009C54F6">
            <w:pPr>
              <w:autoSpaceDE w:val="0"/>
              <w:autoSpaceDN w:val="0"/>
              <w:adjustRightInd w:val="0"/>
              <w:jc w:val="center"/>
              <w:rPr>
                <w:color w:val="000000"/>
                <w:sz w:val="22"/>
                <w:szCs w:val="22"/>
              </w:rPr>
            </w:pPr>
          </w:p>
        </w:tc>
        <w:tc>
          <w:tcPr>
            <w:tcW w:w="1560" w:type="dxa"/>
            <w:shd w:val="clear" w:color="auto" w:fill="BFBFBF"/>
          </w:tcPr>
          <w:p w:rsidR="009A4790" w:rsidRPr="0056616E" w:rsidRDefault="009A4790" w:rsidP="009C54F6">
            <w:pPr>
              <w:autoSpaceDE w:val="0"/>
              <w:autoSpaceDN w:val="0"/>
              <w:adjustRightInd w:val="0"/>
              <w:jc w:val="center"/>
              <w:rPr>
                <w:color w:val="000000"/>
                <w:sz w:val="22"/>
                <w:szCs w:val="22"/>
              </w:rPr>
            </w:pPr>
          </w:p>
        </w:tc>
      </w:tr>
      <w:tr w:rsidR="009A4790" w:rsidRPr="00F77F71" w:rsidTr="0056616E">
        <w:trPr>
          <w:trHeight w:val="115"/>
        </w:trPr>
        <w:tc>
          <w:tcPr>
            <w:tcW w:w="3403" w:type="dxa"/>
            <w:tcBorders>
              <w:top w:val="nil"/>
              <w:bottom w:val="nil"/>
              <w:right w:val="single" w:sz="4" w:space="0" w:color="auto"/>
            </w:tcBorders>
          </w:tcPr>
          <w:p w:rsidR="009A4790" w:rsidRPr="0056616E" w:rsidRDefault="009A4790" w:rsidP="009A4790">
            <w:pPr>
              <w:numPr>
                <w:ilvl w:val="0"/>
                <w:numId w:val="11"/>
              </w:numPr>
              <w:autoSpaceDE w:val="0"/>
              <w:autoSpaceDN w:val="0"/>
              <w:adjustRightInd w:val="0"/>
              <w:rPr>
                <w:sz w:val="22"/>
                <w:szCs w:val="22"/>
              </w:rPr>
            </w:pPr>
            <w:r w:rsidRPr="0056616E">
              <w:rPr>
                <w:sz w:val="22"/>
                <w:szCs w:val="22"/>
              </w:rPr>
              <w:t xml:space="preserve">Adverse events </w:t>
            </w:r>
          </w:p>
          <w:p w:rsidR="009A4790" w:rsidRPr="0056616E" w:rsidRDefault="009A4790" w:rsidP="009A4790">
            <w:pPr>
              <w:numPr>
                <w:ilvl w:val="0"/>
                <w:numId w:val="11"/>
              </w:numPr>
              <w:autoSpaceDE w:val="0"/>
              <w:autoSpaceDN w:val="0"/>
              <w:adjustRightInd w:val="0"/>
              <w:rPr>
                <w:sz w:val="22"/>
                <w:szCs w:val="22"/>
              </w:rPr>
            </w:pPr>
            <w:r w:rsidRPr="0056616E">
              <w:rPr>
                <w:sz w:val="22"/>
                <w:szCs w:val="22"/>
              </w:rPr>
              <w:t>(all causality)</w:t>
            </w:r>
          </w:p>
        </w:tc>
        <w:tc>
          <w:tcPr>
            <w:tcW w:w="1687" w:type="dxa"/>
            <w:tcBorders>
              <w:top w:val="nil"/>
              <w:left w:val="single" w:sz="4" w:space="0" w:color="auto"/>
              <w:bottom w:val="nil"/>
              <w:right w:val="single" w:sz="4" w:space="0" w:color="auto"/>
            </w:tcBorders>
          </w:tcPr>
          <w:p w:rsidR="009A4790" w:rsidRPr="0056616E" w:rsidRDefault="009A4790" w:rsidP="009C54F6">
            <w:pPr>
              <w:autoSpaceDE w:val="0"/>
              <w:autoSpaceDN w:val="0"/>
              <w:adjustRightInd w:val="0"/>
              <w:jc w:val="center"/>
              <w:rPr>
                <w:color w:val="000000"/>
                <w:sz w:val="22"/>
                <w:szCs w:val="22"/>
              </w:rPr>
            </w:pPr>
            <w:r w:rsidRPr="0056616E">
              <w:rPr>
                <w:sz w:val="22"/>
                <w:szCs w:val="22"/>
              </w:rPr>
              <w:t>15 (4.1)</w:t>
            </w:r>
          </w:p>
        </w:tc>
        <w:tc>
          <w:tcPr>
            <w:tcW w:w="1413" w:type="dxa"/>
            <w:tcBorders>
              <w:top w:val="nil"/>
              <w:left w:val="single" w:sz="4" w:space="0" w:color="auto"/>
              <w:bottom w:val="nil"/>
            </w:tcBorders>
          </w:tcPr>
          <w:p w:rsidR="009A4790" w:rsidRPr="0056616E" w:rsidRDefault="009A4790" w:rsidP="009C54F6">
            <w:pPr>
              <w:autoSpaceDE w:val="0"/>
              <w:autoSpaceDN w:val="0"/>
              <w:adjustRightInd w:val="0"/>
              <w:jc w:val="center"/>
              <w:rPr>
                <w:sz w:val="22"/>
                <w:szCs w:val="22"/>
              </w:rPr>
            </w:pPr>
            <w:r w:rsidRPr="0056616E">
              <w:rPr>
                <w:sz w:val="22"/>
                <w:szCs w:val="22"/>
              </w:rPr>
              <w:t>49 (13.6)</w:t>
            </w:r>
          </w:p>
          <w:p w:rsidR="009A4790" w:rsidRPr="0056616E" w:rsidRDefault="009A4790" w:rsidP="009C54F6">
            <w:pPr>
              <w:autoSpaceDE w:val="0"/>
              <w:autoSpaceDN w:val="0"/>
              <w:adjustRightInd w:val="0"/>
              <w:jc w:val="center"/>
              <w:rPr>
                <w:color w:val="000000"/>
                <w:sz w:val="22"/>
                <w:szCs w:val="22"/>
              </w:rPr>
            </w:pPr>
          </w:p>
        </w:tc>
        <w:tc>
          <w:tcPr>
            <w:tcW w:w="1577" w:type="dxa"/>
            <w:shd w:val="clear" w:color="auto" w:fill="BFBFBF"/>
          </w:tcPr>
          <w:p w:rsidR="009A4790" w:rsidRPr="0056616E" w:rsidRDefault="009A4790" w:rsidP="009C54F6">
            <w:pPr>
              <w:autoSpaceDE w:val="0"/>
              <w:autoSpaceDN w:val="0"/>
              <w:adjustRightInd w:val="0"/>
              <w:jc w:val="center"/>
              <w:rPr>
                <w:color w:val="000000"/>
                <w:sz w:val="22"/>
                <w:szCs w:val="22"/>
              </w:rPr>
            </w:pPr>
          </w:p>
        </w:tc>
        <w:tc>
          <w:tcPr>
            <w:tcW w:w="1560" w:type="dxa"/>
            <w:shd w:val="clear" w:color="auto" w:fill="BFBFBF"/>
          </w:tcPr>
          <w:p w:rsidR="009A4790" w:rsidRPr="0056616E" w:rsidRDefault="009A4790" w:rsidP="009C54F6">
            <w:pPr>
              <w:autoSpaceDE w:val="0"/>
              <w:autoSpaceDN w:val="0"/>
              <w:adjustRightInd w:val="0"/>
              <w:jc w:val="center"/>
              <w:rPr>
                <w:color w:val="000000"/>
                <w:sz w:val="22"/>
                <w:szCs w:val="22"/>
              </w:rPr>
            </w:pPr>
          </w:p>
        </w:tc>
      </w:tr>
      <w:tr w:rsidR="009A4790" w:rsidRPr="00F77F71" w:rsidTr="0056616E">
        <w:trPr>
          <w:trHeight w:val="115"/>
        </w:trPr>
        <w:tc>
          <w:tcPr>
            <w:tcW w:w="3403" w:type="dxa"/>
            <w:tcBorders>
              <w:top w:val="nil"/>
              <w:bottom w:val="nil"/>
              <w:right w:val="single" w:sz="4" w:space="0" w:color="auto"/>
            </w:tcBorders>
          </w:tcPr>
          <w:p w:rsidR="009A4790" w:rsidRPr="0056616E" w:rsidRDefault="009A4790" w:rsidP="009A4790">
            <w:pPr>
              <w:numPr>
                <w:ilvl w:val="0"/>
                <w:numId w:val="11"/>
              </w:numPr>
              <w:autoSpaceDE w:val="0"/>
              <w:autoSpaceDN w:val="0"/>
              <w:adjustRightInd w:val="0"/>
              <w:rPr>
                <w:sz w:val="22"/>
                <w:szCs w:val="22"/>
              </w:rPr>
            </w:pPr>
            <w:r w:rsidRPr="0056616E">
              <w:rPr>
                <w:sz w:val="22"/>
                <w:szCs w:val="22"/>
              </w:rPr>
              <w:t>Insufficient response</w:t>
            </w:r>
          </w:p>
        </w:tc>
        <w:tc>
          <w:tcPr>
            <w:tcW w:w="1687" w:type="dxa"/>
            <w:tcBorders>
              <w:top w:val="nil"/>
              <w:left w:val="single" w:sz="4" w:space="0" w:color="auto"/>
              <w:bottom w:val="nil"/>
              <w:right w:val="single" w:sz="4" w:space="0" w:color="auto"/>
            </w:tcBorders>
          </w:tcPr>
          <w:p w:rsidR="009A4790" w:rsidRPr="0056616E" w:rsidRDefault="009A4790" w:rsidP="009C54F6">
            <w:pPr>
              <w:autoSpaceDE w:val="0"/>
              <w:autoSpaceDN w:val="0"/>
              <w:adjustRightInd w:val="0"/>
              <w:jc w:val="center"/>
              <w:rPr>
                <w:color w:val="000000"/>
                <w:sz w:val="22"/>
                <w:szCs w:val="22"/>
              </w:rPr>
            </w:pPr>
            <w:r w:rsidRPr="0056616E">
              <w:rPr>
                <w:sz w:val="22"/>
                <w:szCs w:val="22"/>
              </w:rPr>
              <w:t>43 (11.9)</w:t>
            </w:r>
          </w:p>
        </w:tc>
        <w:tc>
          <w:tcPr>
            <w:tcW w:w="1413" w:type="dxa"/>
            <w:tcBorders>
              <w:top w:val="nil"/>
              <w:left w:val="single" w:sz="4" w:space="0" w:color="auto"/>
              <w:bottom w:val="nil"/>
            </w:tcBorders>
          </w:tcPr>
          <w:p w:rsidR="009A4790" w:rsidRPr="0056616E" w:rsidRDefault="009A4790" w:rsidP="009C54F6">
            <w:pPr>
              <w:autoSpaceDE w:val="0"/>
              <w:autoSpaceDN w:val="0"/>
              <w:adjustRightInd w:val="0"/>
              <w:jc w:val="center"/>
              <w:rPr>
                <w:sz w:val="22"/>
                <w:szCs w:val="22"/>
              </w:rPr>
            </w:pPr>
            <w:r w:rsidRPr="0056616E">
              <w:rPr>
                <w:sz w:val="22"/>
                <w:szCs w:val="22"/>
              </w:rPr>
              <w:t>15 (4.2)</w:t>
            </w:r>
          </w:p>
          <w:p w:rsidR="009A4790" w:rsidRPr="0056616E" w:rsidRDefault="009A4790" w:rsidP="009C54F6">
            <w:pPr>
              <w:autoSpaceDE w:val="0"/>
              <w:autoSpaceDN w:val="0"/>
              <w:adjustRightInd w:val="0"/>
              <w:jc w:val="center"/>
              <w:rPr>
                <w:color w:val="000000"/>
                <w:sz w:val="22"/>
                <w:szCs w:val="22"/>
              </w:rPr>
            </w:pPr>
          </w:p>
        </w:tc>
        <w:tc>
          <w:tcPr>
            <w:tcW w:w="1577" w:type="dxa"/>
            <w:shd w:val="clear" w:color="auto" w:fill="BFBFBF"/>
          </w:tcPr>
          <w:p w:rsidR="009A4790" w:rsidRPr="0056616E" w:rsidRDefault="009A4790" w:rsidP="009C54F6">
            <w:pPr>
              <w:autoSpaceDE w:val="0"/>
              <w:autoSpaceDN w:val="0"/>
              <w:adjustRightInd w:val="0"/>
              <w:jc w:val="center"/>
              <w:rPr>
                <w:color w:val="000000"/>
                <w:sz w:val="22"/>
                <w:szCs w:val="22"/>
              </w:rPr>
            </w:pPr>
          </w:p>
        </w:tc>
        <w:tc>
          <w:tcPr>
            <w:tcW w:w="1560" w:type="dxa"/>
            <w:shd w:val="clear" w:color="auto" w:fill="BFBFBF"/>
          </w:tcPr>
          <w:p w:rsidR="009A4790" w:rsidRPr="0056616E" w:rsidRDefault="009A4790" w:rsidP="009C54F6">
            <w:pPr>
              <w:autoSpaceDE w:val="0"/>
              <w:autoSpaceDN w:val="0"/>
              <w:adjustRightInd w:val="0"/>
              <w:jc w:val="center"/>
              <w:rPr>
                <w:color w:val="000000"/>
                <w:sz w:val="22"/>
                <w:szCs w:val="22"/>
              </w:rPr>
            </w:pPr>
          </w:p>
        </w:tc>
      </w:tr>
      <w:tr w:rsidR="009A4790" w:rsidRPr="00F77F71" w:rsidTr="0056616E">
        <w:trPr>
          <w:trHeight w:val="115"/>
        </w:trPr>
        <w:tc>
          <w:tcPr>
            <w:tcW w:w="3403" w:type="dxa"/>
            <w:tcBorders>
              <w:top w:val="nil"/>
              <w:right w:val="single" w:sz="4" w:space="0" w:color="auto"/>
            </w:tcBorders>
          </w:tcPr>
          <w:p w:rsidR="009A4790" w:rsidRPr="0056616E" w:rsidRDefault="009A4790" w:rsidP="009A4790">
            <w:pPr>
              <w:numPr>
                <w:ilvl w:val="0"/>
                <w:numId w:val="11"/>
              </w:numPr>
              <w:autoSpaceDE w:val="0"/>
              <w:autoSpaceDN w:val="0"/>
              <w:adjustRightInd w:val="0"/>
              <w:rPr>
                <w:color w:val="000000"/>
                <w:sz w:val="22"/>
                <w:szCs w:val="22"/>
              </w:rPr>
            </w:pPr>
            <w:r w:rsidRPr="0056616E">
              <w:rPr>
                <w:sz w:val="22"/>
                <w:szCs w:val="22"/>
              </w:rPr>
              <w:t>Other reasons</w:t>
            </w:r>
          </w:p>
        </w:tc>
        <w:tc>
          <w:tcPr>
            <w:tcW w:w="1687" w:type="dxa"/>
            <w:tcBorders>
              <w:top w:val="nil"/>
              <w:left w:val="single" w:sz="4" w:space="0" w:color="auto"/>
              <w:right w:val="single" w:sz="4" w:space="0" w:color="auto"/>
            </w:tcBorders>
          </w:tcPr>
          <w:p w:rsidR="009A4790" w:rsidRPr="0056616E" w:rsidRDefault="009A4790" w:rsidP="009C54F6">
            <w:pPr>
              <w:autoSpaceDE w:val="0"/>
              <w:autoSpaceDN w:val="0"/>
              <w:adjustRightInd w:val="0"/>
              <w:jc w:val="center"/>
              <w:rPr>
                <w:color w:val="000000"/>
                <w:sz w:val="22"/>
                <w:szCs w:val="22"/>
              </w:rPr>
            </w:pPr>
            <w:r w:rsidRPr="0056616E">
              <w:rPr>
                <w:sz w:val="22"/>
                <w:szCs w:val="22"/>
              </w:rPr>
              <w:t>38 (10.5)</w:t>
            </w:r>
          </w:p>
        </w:tc>
        <w:tc>
          <w:tcPr>
            <w:tcW w:w="1413" w:type="dxa"/>
            <w:tcBorders>
              <w:top w:val="nil"/>
              <w:left w:val="single" w:sz="4" w:space="0" w:color="auto"/>
            </w:tcBorders>
          </w:tcPr>
          <w:p w:rsidR="009A4790" w:rsidRPr="0056616E" w:rsidRDefault="009A4790" w:rsidP="009C54F6">
            <w:pPr>
              <w:autoSpaceDE w:val="0"/>
              <w:autoSpaceDN w:val="0"/>
              <w:adjustRightInd w:val="0"/>
              <w:jc w:val="center"/>
              <w:rPr>
                <w:color w:val="000000"/>
                <w:sz w:val="22"/>
                <w:szCs w:val="22"/>
              </w:rPr>
            </w:pPr>
            <w:r w:rsidRPr="0056616E">
              <w:rPr>
                <w:sz w:val="22"/>
                <w:szCs w:val="22"/>
              </w:rPr>
              <w:t>27 (7.5)</w:t>
            </w:r>
          </w:p>
          <w:p w:rsidR="009A4790" w:rsidRPr="0056616E" w:rsidRDefault="009A4790" w:rsidP="009C54F6">
            <w:pPr>
              <w:autoSpaceDE w:val="0"/>
              <w:autoSpaceDN w:val="0"/>
              <w:adjustRightInd w:val="0"/>
              <w:jc w:val="center"/>
              <w:rPr>
                <w:color w:val="000000"/>
                <w:sz w:val="22"/>
                <w:szCs w:val="22"/>
              </w:rPr>
            </w:pPr>
          </w:p>
        </w:tc>
        <w:tc>
          <w:tcPr>
            <w:tcW w:w="1577" w:type="dxa"/>
            <w:shd w:val="clear" w:color="auto" w:fill="BFBFBF"/>
          </w:tcPr>
          <w:p w:rsidR="009A4790" w:rsidRPr="0056616E" w:rsidRDefault="009A4790" w:rsidP="009C54F6">
            <w:pPr>
              <w:autoSpaceDE w:val="0"/>
              <w:autoSpaceDN w:val="0"/>
              <w:adjustRightInd w:val="0"/>
              <w:jc w:val="center"/>
              <w:rPr>
                <w:color w:val="000000"/>
                <w:sz w:val="22"/>
                <w:szCs w:val="22"/>
              </w:rPr>
            </w:pPr>
          </w:p>
        </w:tc>
        <w:tc>
          <w:tcPr>
            <w:tcW w:w="1560" w:type="dxa"/>
            <w:shd w:val="clear" w:color="auto" w:fill="BFBFBF"/>
          </w:tcPr>
          <w:p w:rsidR="009A4790" w:rsidRPr="0056616E" w:rsidRDefault="009A4790" w:rsidP="009C54F6">
            <w:pPr>
              <w:autoSpaceDE w:val="0"/>
              <w:autoSpaceDN w:val="0"/>
              <w:adjustRightInd w:val="0"/>
              <w:jc w:val="center"/>
              <w:rPr>
                <w:color w:val="000000"/>
                <w:sz w:val="22"/>
                <w:szCs w:val="22"/>
              </w:rPr>
            </w:pPr>
          </w:p>
        </w:tc>
      </w:tr>
    </w:tbl>
    <w:p w:rsidR="00710A75" w:rsidRPr="000A7A50" w:rsidRDefault="00710A75" w:rsidP="009A4790">
      <w:pPr>
        <w:autoSpaceDE w:val="0"/>
        <w:autoSpaceDN w:val="0"/>
        <w:adjustRightInd w:val="0"/>
        <w:rPr>
          <w:sz w:val="18"/>
          <w:szCs w:val="18"/>
          <w:lang w:eastAsia="en-AU"/>
        </w:rPr>
      </w:pPr>
      <w:r w:rsidRPr="000A7A50">
        <w:rPr>
          <w:sz w:val="18"/>
          <w:szCs w:val="18"/>
          <w:lang w:val="en-US" w:eastAsia="en-AU"/>
        </w:rPr>
        <w:t>* Non-inferiority</w:t>
      </w:r>
      <w:r w:rsidR="0086491B" w:rsidRPr="000A7A50">
        <w:rPr>
          <w:sz w:val="18"/>
          <w:szCs w:val="18"/>
          <w:lang w:val="en-US" w:eastAsia="en-AU"/>
        </w:rPr>
        <w:t>:</w:t>
      </w:r>
      <w:r w:rsidRPr="000A7A50">
        <w:rPr>
          <w:sz w:val="18"/>
          <w:szCs w:val="18"/>
          <w:lang w:val="en-US" w:eastAsia="en-AU"/>
        </w:rPr>
        <w:t xml:space="preserve"> Criterion: lower bound of 97.5% CI &gt; -10%</w:t>
      </w:r>
    </w:p>
    <w:p w:rsidR="009A4790" w:rsidRPr="000A7A50" w:rsidRDefault="00710A75" w:rsidP="009A4790">
      <w:pPr>
        <w:autoSpaceDE w:val="0"/>
        <w:autoSpaceDN w:val="0"/>
        <w:adjustRightInd w:val="0"/>
        <w:rPr>
          <w:sz w:val="18"/>
          <w:szCs w:val="18"/>
          <w:lang w:eastAsia="en-AU"/>
        </w:rPr>
      </w:pPr>
      <w:r w:rsidRPr="000A7A50">
        <w:rPr>
          <w:sz w:val="18"/>
          <w:szCs w:val="18"/>
          <w:lang w:val="en-US" w:eastAsia="en-AU"/>
        </w:rPr>
        <w:t xml:space="preserve">** </w:t>
      </w:r>
      <w:r w:rsidR="009A4790" w:rsidRPr="000A7A50">
        <w:rPr>
          <w:sz w:val="18"/>
          <w:szCs w:val="18"/>
          <w:lang w:eastAsia="en-AU"/>
        </w:rPr>
        <w:t>Data obtained with Original Tropism Assay (unless otherwise indicated)</w:t>
      </w:r>
      <w:r w:rsidRPr="000A7A50">
        <w:rPr>
          <w:sz w:val="18"/>
          <w:szCs w:val="18"/>
          <w:lang w:eastAsia="en-AU"/>
        </w:rPr>
        <w:t xml:space="preserve">. </w:t>
      </w:r>
    </w:p>
    <w:p w:rsidR="009A4790" w:rsidRPr="000A7A50" w:rsidRDefault="009A4790" w:rsidP="009A4790">
      <w:pPr>
        <w:autoSpaceDE w:val="0"/>
        <w:autoSpaceDN w:val="0"/>
        <w:adjustRightInd w:val="0"/>
        <w:rPr>
          <w:sz w:val="18"/>
          <w:szCs w:val="18"/>
          <w:lang w:eastAsia="en-AU"/>
        </w:rPr>
      </w:pPr>
      <w:r w:rsidRPr="000A7A50">
        <w:rPr>
          <w:sz w:val="18"/>
          <w:szCs w:val="18"/>
          <w:lang w:eastAsia="en-AU"/>
        </w:rPr>
        <w:t>1 Adjusted for randomization strata</w:t>
      </w:r>
    </w:p>
    <w:p w:rsidR="009A4790" w:rsidRPr="000A7A50" w:rsidRDefault="009A4790" w:rsidP="009A4790">
      <w:pPr>
        <w:autoSpaceDE w:val="0"/>
        <w:autoSpaceDN w:val="0"/>
        <w:adjustRightInd w:val="0"/>
        <w:rPr>
          <w:sz w:val="18"/>
          <w:szCs w:val="18"/>
          <w:lang w:eastAsia="en-AU"/>
        </w:rPr>
      </w:pPr>
      <w:proofErr w:type="gramStart"/>
      <w:r w:rsidRPr="000A7A50">
        <w:rPr>
          <w:sz w:val="18"/>
          <w:szCs w:val="18"/>
          <w:lang w:eastAsia="en-AU"/>
        </w:rPr>
        <w:t xml:space="preserve">2 Based on Time to Loss of </w:t>
      </w:r>
      <w:proofErr w:type="spellStart"/>
      <w:r w:rsidRPr="000A7A50">
        <w:rPr>
          <w:sz w:val="18"/>
          <w:szCs w:val="18"/>
          <w:lang w:eastAsia="en-AU"/>
        </w:rPr>
        <w:t>Virologic</w:t>
      </w:r>
      <w:proofErr w:type="spellEnd"/>
      <w:r w:rsidRPr="000A7A50">
        <w:rPr>
          <w:sz w:val="18"/>
          <w:szCs w:val="18"/>
          <w:lang w:eastAsia="en-AU"/>
        </w:rPr>
        <w:t xml:space="preserve"> Response (TLOVR) algorithm, Full Analysis Set.</w:t>
      </w:r>
      <w:proofErr w:type="gramEnd"/>
    </w:p>
    <w:p w:rsidR="00710A75" w:rsidRPr="000A7A50" w:rsidRDefault="009A4790" w:rsidP="00710A75">
      <w:pPr>
        <w:spacing w:after="240"/>
        <w:jc w:val="both"/>
        <w:rPr>
          <w:sz w:val="18"/>
          <w:szCs w:val="18"/>
          <w:lang w:val="en-US" w:eastAsia="en-AU"/>
        </w:rPr>
      </w:pPr>
      <w:proofErr w:type="gramStart"/>
      <w:r w:rsidRPr="000A7A50">
        <w:rPr>
          <w:sz w:val="18"/>
          <w:szCs w:val="18"/>
          <w:lang w:eastAsia="en-AU"/>
        </w:rPr>
        <w:t>3Death during study or within 28 days of the last dose at week 48.</w:t>
      </w:r>
      <w:proofErr w:type="gramEnd"/>
      <w:r w:rsidR="00710A75" w:rsidRPr="000A7A50">
        <w:rPr>
          <w:color w:val="0070C0"/>
          <w:sz w:val="18"/>
          <w:szCs w:val="18"/>
          <w:lang w:val="en-US"/>
        </w:rPr>
        <w:t xml:space="preserve"> </w:t>
      </w:r>
    </w:p>
    <w:p w:rsidR="009A4790" w:rsidRPr="000A7A50" w:rsidRDefault="009A4790" w:rsidP="009A4790">
      <w:pPr>
        <w:autoSpaceDE w:val="0"/>
        <w:autoSpaceDN w:val="0"/>
        <w:adjustRightInd w:val="0"/>
        <w:jc w:val="both"/>
        <w:rPr>
          <w:lang w:eastAsia="en-AU"/>
        </w:rPr>
      </w:pPr>
      <w:r w:rsidRPr="000A7A50">
        <w:rPr>
          <w:lang w:eastAsia="en-AU"/>
        </w:rPr>
        <w:t xml:space="preserve">The primary efficacy endpoints were defined as the percentage of </w:t>
      </w:r>
      <w:r w:rsidR="00551A77" w:rsidRPr="000A7A50">
        <w:rPr>
          <w:lang w:eastAsia="en-AU"/>
        </w:rPr>
        <w:t>patients</w:t>
      </w:r>
      <w:r w:rsidRPr="000A7A50">
        <w:rPr>
          <w:lang w:eastAsia="en-AU"/>
        </w:rPr>
        <w:t xml:space="preserve"> with HIV-1 RNA undetectable by the standard method (&lt; 400 copies/mL and &lt; 50 copies/mL). After 48 weeks of combination therapy with zidovudine/lamivudine, maraviroc 300 mg BID demonstrated non-inferiority to efavirenz 600 mg QD in the proportion of patients with undetectable viral load measured at &lt; 400 copies/mL but not at &lt; 50 copies/mL (lower bound of</w:t>
      </w:r>
      <w:r w:rsidR="009048A8" w:rsidRPr="000A7A50">
        <w:rPr>
          <w:lang w:eastAsia="en-AU"/>
        </w:rPr>
        <w:t xml:space="preserve"> </w:t>
      </w:r>
      <w:r w:rsidRPr="000A7A50">
        <w:rPr>
          <w:lang w:eastAsia="en-AU"/>
        </w:rPr>
        <w:t>97.5% CI &gt; -10% for non-inferiority). However, reanalysis of the data following rescreening of the samples using the</w:t>
      </w:r>
      <w:r w:rsidR="009048A8" w:rsidRPr="000A7A50">
        <w:rPr>
          <w:lang w:eastAsia="en-AU"/>
        </w:rPr>
        <w:t xml:space="preserve"> enhanced</w:t>
      </w:r>
      <w:r w:rsidRPr="000A7A50">
        <w:rPr>
          <w:lang w:eastAsia="en-AU"/>
        </w:rPr>
        <w:t xml:space="preserve"> sensitiv</w:t>
      </w:r>
      <w:r w:rsidR="00A35053" w:rsidRPr="000A7A50">
        <w:rPr>
          <w:lang w:eastAsia="en-AU"/>
        </w:rPr>
        <w:t>ity</w:t>
      </w:r>
      <w:r w:rsidRPr="000A7A50">
        <w:rPr>
          <w:lang w:eastAsia="en-AU"/>
        </w:rPr>
        <w:t xml:space="preserve"> tropism assay demonstrated non-inferiority for maraviroc 300 mg BID compared to efavirenz 600 mg QD in the proportion of patients with viral loads of  &lt; 400 copies/mL and &lt; 50 copies/</w:t>
      </w:r>
      <w:proofErr w:type="spellStart"/>
      <w:r w:rsidRPr="000A7A50">
        <w:rPr>
          <w:lang w:eastAsia="en-AU"/>
        </w:rPr>
        <w:t>mL.</w:t>
      </w:r>
      <w:proofErr w:type="spellEnd"/>
    </w:p>
    <w:p w:rsidR="009A4790" w:rsidRPr="000A7A50" w:rsidRDefault="009A4790" w:rsidP="000A7A50">
      <w:pPr>
        <w:autoSpaceDE w:val="0"/>
        <w:autoSpaceDN w:val="0"/>
        <w:adjustRightInd w:val="0"/>
        <w:spacing w:before="120" w:after="120"/>
        <w:jc w:val="both"/>
        <w:rPr>
          <w:lang w:eastAsia="en-AU"/>
        </w:rPr>
      </w:pPr>
      <w:r w:rsidRPr="000A7A50">
        <w:rPr>
          <w:lang w:eastAsia="en-AU"/>
        </w:rPr>
        <w:t>The median increase from baseline in CD4+ cell counts at week 48 was 157 cells/mm</w:t>
      </w:r>
      <w:r w:rsidRPr="000A7A50">
        <w:rPr>
          <w:vertAlign w:val="superscript"/>
          <w:lang w:eastAsia="en-AU"/>
        </w:rPr>
        <w:t>3</w:t>
      </w:r>
      <w:r w:rsidRPr="000A7A50">
        <w:rPr>
          <w:lang w:eastAsia="en-AU"/>
        </w:rPr>
        <w:t xml:space="preserve"> for the CELSENTRI arm compared </w:t>
      </w:r>
      <w:proofErr w:type="gramStart"/>
      <w:r w:rsidRPr="000A7A50">
        <w:rPr>
          <w:lang w:eastAsia="en-AU"/>
        </w:rPr>
        <w:t>to 127 cells/mm</w:t>
      </w:r>
      <w:r w:rsidRPr="000A7A50">
        <w:rPr>
          <w:vertAlign w:val="superscript"/>
          <w:lang w:eastAsia="en-AU"/>
        </w:rPr>
        <w:t>3</w:t>
      </w:r>
      <w:r w:rsidRPr="000A7A50">
        <w:rPr>
          <w:lang w:eastAsia="en-AU"/>
        </w:rPr>
        <w:t xml:space="preserve"> </w:t>
      </w:r>
      <w:r w:rsidR="00A35053" w:rsidRPr="000A7A50">
        <w:rPr>
          <w:lang w:eastAsia="en-AU"/>
        </w:rPr>
        <w:t xml:space="preserve">for the </w:t>
      </w:r>
      <w:proofErr w:type="spellStart"/>
      <w:r w:rsidR="00A35053" w:rsidRPr="000A7A50">
        <w:rPr>
          <w:lang w:eastAsia="en-AU"/>
        </w:rPr>
        <w:t>efavirenz</w:t>
      </w:r>
      <w:proofErr w:type="spellEnd"/>
      <w:r w:rsidR="00A35053" w:rsidRPr="000A7A50">
        <w:rPr>
          <w:lang w:eastAsia="en-AU"/>
        </w:rPr>
        <w:t xml:space="preserve"> arm</w:t>
      </w:r>
      <w:proofErr w:type="gramEnd"/>
      <w:r w:rsidRPr="000A7A50">
        <w:rPr>
          <w:lang w:eastAsia="en-AU"/>
        </w:rPr>
        <w:t>.</w:t>
      </w:r>
    </w:p>
    <w:p w:rsidR="00D017AC" w:rsidRDefault="009A4790" w:rsidP="00573762">
      <w:pPr>
        <w:autoSpaceDE w:val="0"/>
        <w:autoSpaceDN w:val="0"/>
        <w:adjustRightInd w:val="0"/>
        <w:spacing w:after="120"/>
        <w:jc w:val="both"/>
      </w:pPr>
      <w:r w:rsidRPr="000A7A50">
        <w:rPr>
          <w:lang w:eastAsia="en-AU"/>
        </w:rPr>
        <w:t xml:space="preserve">The treatment outcomes at 96 weeks for the treatment-naïve patients study (MERIT) are shown in Table 6. Treatment outcomes are based on reanalysis of the screening samples using </w:t>
      </w:r>
      <w:r w:rsidR="00F67038" w:rsidRPr="000A7A50">
        <w:rPr>
          <w:lang w:eastAsia="en-AU"/>
        </w:rPr>
        <w:t>the enhanced</w:t>
      </w:r>
      <w:r w:rsidRPr="000A7A50">
        <w:rPr>
          <w:lang w:eastAsia="en-AU"/>
        </w:rPr>
        <w:t xml:space="preserve"> sensitiv</w:t>
      </w:r>
      <w:r w:rsidR="005E05C1" w:rsidRPr="000A7A50">
        <w:rPr>
          <w:lang w:eastAsia="en-AU"/>
        </w:rPr>
        <w:t>ity</w:t>
      </w:r>
      <w:r w:rsidRPr="000A7A50">
        <w:rPr>
          <w:lang w:eastAsia="en-AU"/>
        </w:rPr>
        <w:t xml:space="preserve"> tropism assay</w:t>
      </w:r>
      <w:r w:rsidR="002D5666" w:rsidRPr="000A7A50">
        <w:rPr>
          <w:lang w:eastAsia="en-AU"/>
        </w:rPr>
        <w:t xml:space="preserve">. </w:t>
      </w:r>
      <w:r w:rsidRPr="000A7A50">
        <w:rPr>
          <w:lang w:eastAsia="en-AU"/>
        </w:rPr>
        <w:t xml:space="preserve">Approximately 15% of the </w:t>
      </w:r>
      <w:r w:rsidR="00551A77" w:rsidRPr="000A7A50">
        <w:rPr>
          <w:lang w:eastAsia="en-AU"/>
        </w:rPr>
        <w:t>patients</w:t>
      </w:r>
      <w:r w:rsidRPr="000A7A50">
        <w:rPr>
          <w:lang w:eastAsia="en-AU"/>
        </w:rPr>
        <w:t xml:space="preserve"> identified as CCR5-tropic virus in the original analysis had CXCR4-using virus. Screening with the enhanced sensitivity version of the </w:t>
      </w:r>
      <w:proofErr w:type="spellStart"/>
      <w:r w:rsidRPr="000A7A50">
        <w:rPr>
          <w:lang w:eastAsia="en-AU"/>
        </w:rPr>
        <w:t>Trofile</w:t>
      </w:r>
      <w:proofErr w:type="spellEnd"/>
      <w:r w:rsidRPr="000A7A50">
        <w:rPr>
          <w:lang w:eastAsia="en-AU"/>
        </w:rPr>
        <w:t xml:space="preserve"> tropism assay reduced the number of </w:t>
      </w:r>
      <w:proofErr w:type="spellStart"/>
      <w:r w:rsidRPr="000A7A50">
        <w:rPr>
          <w:lang w:eastAsia="en-AU"/>
        </w:rPr>
        <w:t>maraviroc</w:t>
      </w:r>
      <w:proofErr w:type="spellEnd"/>
      <w:r w:rsidRPr="000A7A50">
        <w:rPr>
          <w:lang w:eastAsia="en-AU"/>
        </w:rPr>
        <w:t xml:space="preserve"> </w:t>
      </w:r>
      <w:proofErr w:type="spellStart"/>
      <w:r w:rsidRPr="000A7A50">
        <w:rPr>
          <w:lang w:eastAsia="en-AU"/>
        </w:rPr>
        <w:t>virologic</w:t>
      </w:r>
      <w:proofErr w:type="spellEnd"/>
      <w:r w:rsidRPr="000A7A50">
        <w:rPr>
          <w:lang w:eastAsia="en-AU"/>
        </w:rPr>
        <w:t xml:space="preserve"> failures with CXCR4-using</w:t>
      </w:r>
      <w:r w:rsidR="00E26115" w:rsidRPr="000A7A50">
        <w:rPr>
          <w:lang w:eastAsia="en-AU"/>
        </w:rPr>
        <w:t xml:space="preserve"> </w:t>
      </w:r>
      <w:r w:rsidRPr="000A7A50">
        <w:rPr>
          <w:lang w:eastAsia="en-AU"/>
        </w:rPr>
        <w:t xml:space="preserve">virus at failure to 12 compared to 24 when screening with the original </w:t>
      </w:r>
      <w:proofErr w:type="spellStart"/>
      <w:r w:rsidRPr="000A7A50">
        <w:rPr>
          <w:lang w:eastAsia="en-AU"/>
        </w:rPr>
        <w:t>Trofile</w:t>
      </w:r>
      <w:proofErr w:type="spellEnd"/>
      <w:r w:rsidRPr="000A7A50">
        <w:rPr>
          <w:lang w:eastAsia="en-AU"/>
        </w:rPr>
        <w:t xml:space="preserve"> HIV tropism assay.</w:t>
      </w:r>
      <w:r w:rsidR="007135D8" w:rsidRPr="000A7A50">
        <w:rPr>
          <w:lang w:eastAsia="en-AU"/>
        </w:rPr>
        <w:t xml:space="preserve"> The main reason for discontinuation in the maraviroc BID treatment group was treatment failure while the main reason for discontinuation in the efavirenz group was treatment-related adverse events </w:t>
      </w:r>
      <w:r w:rsidR="00CA510D" w:rsidRPr="000A7A50">
        <w:t>(see PRECAUTIONS)</w:t>
      </w:r>
      <w:r w:rsidR="00CA510D" w:rsidRPr="000A7A50">
        <w:rPr>
          <w:lang w:eastAsia="en-AU"/>
        </w:rPr>
        <w:t xml:space="preserve"> </w:t>
      </w:r>
      <w:r w:rsidR="007135D8" w:rsidRPr="000A7A50">
        <w:rPr>
          <w:lang w:eastAsia="en-AU"/>
        </w:rPr>
        <w:t xml:space="preserve">(Table </w:t>
      </w:r>
      <w:r w:rsidR="00E4667E" w:rsidRPr="000A7A50">
        <w:rPr>
          <w:lang w:eastAsia="en-AU"/>
        </w:rPr>
        <w:t>6</w:t>
      </w:r>
      <w:r w:rsidR="007135D8" w:rsidRPr="000A7A50">
        <w:rPr>
          <w:lang w:eastAsia="en-AU"/>
        </w:rPr>
        <w:t>).</w:t>
      </w:r>
      <w:r w:rsidR="00E4667E" w:rsidRPr="000A7A50">
        <w:rPr>
          <w:lang w:eastAsia="en-AU"/>
        </w:rPr>
        <w:t xml:space="preserve">  Note</w:t>
      </w:r>
      <w:proofErr w:type="gramStart"/>
      <w:r w:rsidR="00E4667E" w:rsidRPr="000A7A50">
        <w:rPr>
          <w:lang w:eastAsia="en-AU"/>
        </w:rPr>
        <w:t>,</w:t>
      </w:r>
      <w:proofErr w:type="gramEnd"/>
      <w:r w:rsidR="00E4667E" w:rsidRPr="000A7A50">
        <w:rPr>
          <w:lang w:eastAsia="en-AU"/>
        </w:rPr>
        <w:t xml:space="preserve"> the </w:t>
      </w:r>
      <w:r w:rsidR="00267667" w:rsidRPr="000A7A50">
        <w:rPr>
          <w:lang w:eastAsia="en-AU"/>
        </w:rPr>
        <w:t>nucleoside backbone</w:t>
      </w:r>
      <w:r w:rsidR="00E4667E" w:rsidRPr="000A7A50">
        <w:rPr>
          <w:lang w:eastAsia="en-AU"/>
        </w:rPr>
        <w:t xml:space="preserve"> used in</w:t>
      </w:r>
      <w:r w:rsidR="00E4667E" w:rsidRPr="000A7A50">
        <w:rPr>
          <w:color w:val="000000"/>
        </w:rPr>
        <w:t xml:space="preserve"> study A4001026</w:t>
      </w:r>
      <w:r w:rsidR="00E4667E" w:rsidRPr="000A7A50">
        <w:rPr>
          <w:lang w:eastAsia="en-AU"/>
        </w:rPr>
        <w:t xml:space="preserve"> was </w:t>
      </w:r>
      <w:proofErr w:type="spellStart"/>
      <w:r w:rsidR="00F21BD7" w:rsidRPr="000A7A50">
        <w:t>zidovudine</w:t>
      </w:r>
      <w:proofErr w:type="spellEnd"/>
      <w:r w:rsidR="00F21BD7" w:rsidRPr="000A7A50">
        <w:t>/</w:t>
      </w:r>
      <w:proofErr w:type="spellStart"/>
      <w:r w:rsidR="00F21BD7" w:rsidRPr="000A7A50">
        <w:t>lamivudine</w:t>
      </w:r>
      <w:proofErr w:type="spellEnd"/>
      <w:r w:rsidR="00E4667E" w:rsidRPr="000A7A50">
        <w:t>.</w:t>
      </w:r>
    </w:p>
    <w:p w:rsidR="00D017AC" w:rsidRDefault="00D017AC">
      <w:r>
        <w:br w:type="page"/>
      </w:r>
    </w:p>
    <w:p w:rsidR="009A4790" w:rsidRPr="00D017AC" w:rsidRDefault="009A4790" w:rsidP="00CF0831">
      <w:pPr>
        <w:jc w:val="both"/>
        <w:rPr>
          <w:b/>
          <w:bCs/>
          <w:sz w:val="14"/>
          <w:szCs w:val="14"/>
          <w:lang w:eastAsia="en-AU"/>
        </w:rPr>
      </w:pPr>
      <w:r w:rsidRPr="00D017AC">
        <w:rPr>
          <w:b/>
          <w:bCs/>
          <w:sz w:val="22"/>
          <w:szCs w:val="22"/>
          <w:lang w:eastAsia="en-AU"/>
        </w:rPr>
        <w:lastRenderedPageBreak/>
        <w:t xml:space="preserve">Table 6: </w:t>
      </w:r>
      <w:r w:rsidR="00DF4B3C" w:rsidRPr="00D017AC">
        <w:rPr>
          <w:b/>
          <w:bCs/>
          <w:sz w:val="22"/>
          <w:szCs w:val="22"/>
          <w:lang w:eastAsia="en-AU"/>
        </w:rPr>
        <w:t xml:space="preserve"> </w:t>
      </w:r>
      <w:r w:rsidRPr="00D017AC">
        <w:rPr>
          <w:b/>
          <w:bCs/>
          <w:sz w:val="22"/>
          <w:szCs w:val="22"/>
          <w:lang w:eastAsia="en-AU"/>
        </w:rPr>
        <w:t>Study Outcome at Week 96 Using Enhanced Sensitivity Assay</w:t>
      </w:r>
      <w:r w:rsidRPr="00D017AC">
        <w:rPr>
          <w:b/>
          <w:bCs/>
          <w:sz w:val="14"/>
          <w:szCs w:val="14"/>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1"/>
        <w:gridCol w:w="2441"/>
        <w:gridCol w:w="2784"/>
      </w:tblGrid>
      <w:tr w:rsidR="009A4790" w:rsidRPr="00AE21EC" w:rsidTr="00D017AC">
        <w:tc>
          <w:tcPr>
            <w:tcW w:w="3271" w:type="dxa"/>
            <w:vAlign w:val="center"/>
          </w:tcPr>
          <w:p w:rsidR="009A4790" w:rsidRPr="00AE21EC" w:rsidRDefault="009A4790" w:rsidP="00D017AC">
            <w:r w:rsidRPr="00AE21EC">
              <w:t>Outcome at week 96</w:t>
            </w:r>
          </w:p>
        </w:tc>
        <w:tc>
          <w:tcPr>
            <w:tcW w:w="2441" w:type="dxa"/>
          </w:tcPr>
          <w:p w:rsidR="009A4790" w:rsidRPr="00AE21EC" w:rsidRDefault="009A4790" w:rsidP="009C54F6">
            <w:pPr>
              <w:autoSpaceDE w:val="0"/>
              <w:autoSpaceDN w:val="0"/>
              <w:adjustRightInd w:val="0"/>
              <w:jc w:val="center"/>
            </w:pPr>
            <w:r w:rsidRPr="00AE21EC">
              <w:t>CELSENTRI 300 mg BID</w:t>
            </w:r>
          </w:p>
          <w:p w:rsidR="009A4790" w:rsidRPr="00CF5968" w:rsidRDefault="009A4790" w:rsidP="009C54F6">
            <w:pPr>
              <w:autoSpaceDE w:val="0"/>
              <w:autoSpaceDN w:val="0"/>
              <w:adjustRightInd w:val="0"/>
              <w:jc w:val="center"/>
              <w:rPr>
                <w:bCs/>
              </w:rPr>
            </w:pPr>
            <w:r w:rsidRPr="00AE21EC">
              <w:rPr>
                <w:b/>
                <w:bCs/>
              </w:rPr>
              <w:t xml:space="preserve">+ </w:t>
            </w:r>
            <w:r w:rsidRPr="00CF5968">
              <w:rPr>
                <w:bCs/>
              </w:rPr>
              <w:t>ZDV/</w:t>
            </w:r>
            <w:r w:rsidR="00005EBA" w:rsidRPr="00CF5968">
              <w:rPr>
                <w:bCs/>
              </w:rPr>
              <w:t>3TC</w:t>
            </w:r>
          </w:p>
          <w:p w:rsidR="009A4790" w:rsidRPr="00CF5968" w:rsidRDefault="009A4790" w:rsidP="009C54F6">
            <w:pPr>
              <w:autoSpaceDE w:val="0"/>
              <w:autoSpaceDN w:val="0"/>
              <w:adjustRightInd w:val="0"/>
              <w:jc w:val="center"/>
            </w:pPr>
            <w:r w:rsidRPr="00CF5968">
              <w:t>N = 311</w:t>
            </w:r>
          </w:p>
          <w:p w:rsidR="009A4790" w:rsidRPr="00AE21EC" w:rsidRDefault="009A4790" w:rsidP="009C54F6">
            <w:pPr>
              <w:jc w:val="center"/>
            </w:pPr>
            <w:proofErr w:type="gramStart"/>
            <w:r w:rsidRPr="00CF5968">
              <w:t>n</w:t>
            </w:r>
            <w:proofErr w:type="gramEnd"/>
            <w:r w:rsidRPr="00CF5968">
              <w:t xml:space="preserve"> (%)</w:t>
            </w:r>
          </w:p>
        </w:tc>
        <w:tc>
          <w:tcPr>
            <w:tcW w:w="2784" w:type="dxa"/>
          </w:tcPr>
          <w:p w:rsidR="009A4790" w:rsidRPr="00AE21EC" w:rsidRDefault="009A4790" w:rsidP="009C54F6">
            <w:pPr>
              <w:autoSpaceDE w:val="0"/>
              <w:autoSpaceDN w:val="0"/>
              <w:adjustRightInd w:val="0"/>
              <w:jc w:val="center"/>
            </w:pPr>
            <w:r w:rsidRPr="00AE21EC">
              <w:t>Efavirenz 600 mg QD</w:t>
            </w:r>
          </w:p>
          <w:p w:rsidR="009A4790" w:rsidRPr="00CF5968" w:rsidRDefault="009A4790" w:rsidP="009C54F6">
            <w:pPr>
              <w:autoSpaceDE w:val="0"/>
              <w:autoSpaceDN w:val="0"/>
              <w:adjustRightInd w:val="0"/>
              <w:jc w:val="center"/>
              <w:rPr>
                <w:bCs/>
              </w:rPr>
            </w:pPr>
            <w:r w:rsidRPr="00CF5968">
              <w:rPr>
                <w:bCs/>
              </w:rPr>
              <w:t>+ ZDV</w:t>
            </w:r>
            <w:r w:rsidR="00CF5968" w:rsidRPr="00CF5968">
              <w:rPr>
                <w:bCs/>
              </w:rPr>
              <w:t>3</w:t>
            </w:r>
            <w:r w:rsidRPr="00CF5968">
              <w:rPr>
                <w:bCs/>
              </w:rPr>
              <w:t>/</w:t>
            </w:r>
            <w:r w:rsidR="00005EBA" w:rsidRPr="00CF5968">
              <w:rPr>
                <w:bCs/>
              </w:rPr>
              <w:t>TC</w:t>
            </w:r>
          </w:p>
          <w:p w:rsidR="009A4790" w:rsidRPr="00CF5968" w:rsidRDefault="009A4790" w:rsidP="009C54F6">
            <w:pPr>
              <w:autoSpaceDE w:val="0"/>
              <w:autoSpaceDN w:val="0"/>
              <w:adjustRightInd w:val="0"/>
              <w:jc w:val="center"/>
            </w:pPr>
            <w:r w:rsidRPr="00CF5968">
              <w:t>N = 303</w:t>
            </w:r>
          </w:p>
          <w:p w:rsidR="009A4790" w:rsidRPr="00AE21EC" w:rsidRDefault="009A4790" w:rsidP="009C54F6">
            <w:pPr>
              <w:jc w:val="center"/>
            </w:pPr>
            <w:proofErr w:type="gramStart"/>
            <w:r w:rsidRPr="00AE21EC">
              <w:t>n</w:t>
            </w:r>
            <w:proofErr w:type="gramEnd"/>
            <w:r w:rsidRPr="00AE21EC">
              <w:t xml:space="preserve"> (%)</w:t>
            </w:r>
          </w:p>
        </w:tc>
      </w:tr>
      <w:tr w:rsidR="009A4790" w:rsidRPr="00AE21EC" w:rsidTr="009C54F6">
        <w:tc>
          <w:tcPr>
            <w:tcW w:w="3271" w:type="dxa"/>
            <w:tcBorders>
              <w:bottom w:val="single" w:sz="4" w:space="0" w:color="auto"/>
            </w:tcBorders>
          </w:tcPr>
          <w:p w:rsidR="009A4790" w:rsidRPr="00AE21EC" w:rsidRDefault="009A4790" w:rsidP="009C54F6">
            <w:pPr>
              <w:autoSpaceDE w:val="0"/>
              <w:autoSpaceDN w:val="0"/>
              <w:adjustRightInd w:val="0"/>
            </w:pPr>
            <w:proofErr w:type="spellStart"/>
            <w:r w:rsidRPr="00AE21EC">
              <w:t>Virologic</w:t>
            </w:r>
            <w:proofErr w:type="spellEnd"/>
            <w:r w:rsidRPr="00AE21EC">
              <w:t xml:space="preserve"> Responders:</w:t>
            </w:r>
          </w:p>
          <w:p w:rsidR="009A4790" w:rsidRPr="00AE21EC" w:rsidRDefault="009A4790" w:rsidP="009C54F6">
            <w:r w:rsidRPr="00AE21EC">
              <w:t>(HIV-1 RNA &lt; 400 copies/mL)</w:t>
            </w:r>
          </w:p>
        </w:tc>
        <w:tc>
          <w:tcPr>
            <w:tcW w:w="2441" w:type="dxa"/>
            <w:tcBorders>
              <w:bottom w:val="single" w:sz="4" w:space="0" w:color="auto"/>
            </w:tcBorders>
          </w:tcPr>
          <w:p w:rsidR="009A4790" w:rsidRPr="00AE21EC" w:rsidRDefault="009A4790" w:rsidP="009C54F6">
            <w:pPr>
              <w:jc w:val="center"/>
            </w:pPr>
          </w:p>
          <w:p w:rsidR="009A4790" w:rsidRPr="00AE21EC" w:rsidRDefault="009A4790" w:rsidP="009C54F6">
            <w:pPr>
              <w:jc w:val="center"/>
            </w:pPr>
            <w:r w:rsidRPr="00AE21EC">
              <w:t>199 (64)</w:t>
            </w:r>
          </w:p>
        </w:tc>
        <w:tc>
          <w:tcPr>
            <w:tcW w:w="2784" w:type="dxa"/>
            <w:tcBorders>
              <w:bottom w:val="single" w:sz="4" w:space="0" w:color="auto"/>
            </w:tcBorders>
          </w:tcPr>
          <w:p w:rsidR="009A4790" w:rsidRPr="00AE21EC" w:rsidRDefault="009A4790" w:rsidP="009C54F6">
            <w:pPr>
              <w:jc w:val="center"/>
            </w:pPr>
          </w:p>
          <w:p w:rsidR="009A4790" w:rsidRPr="00AE21EC" w:rsidRDefault="009A4790" w:rsidP="009C54F6">
            <w:pPr>
              <w:jc w:val="center"/>
            </w:pPr>
            <w:r w:rsidRPr="00AE21EC">
              <w:t>195 (64)</w:t>
            </w:r>
          </w:p>
        </w:tc>
      </w:tr>
      <w:tr w:rsidR="009A4790" w:rsidRPr="00AE21EC" w:rsidTr="009C54F6">
        <w:tc>
          <w:tcPr>
            <w:tcW w:w="3271" w:type="dxa"/>
            <w:tcBorders>
              <w:bottom w:val="nil"/>
            </w:tcBorders>
          </w:tcPr>
          <w:p w:rsidR="009A4790" w:rsidRPr="00AE21EC" w:rsidRDefault="009A4790" w:rsidP="009C54F6">
            <w:proofErr w:type="spellStart"/>
            <w:r w:rsidRPr="00AE21EC">
              <w:t>Virologic</w:t>
            </w:r>
            <w:proofErr w:type="spellEnd"/>
            <w:r w:rsidRPr="00AE21EC">
              <w:t xml:space="preserve"> Failure:</w:t>
            </w:r>
          </w:p>
        </w:tc>
        <w:tc>
          <w:tcPr>
            <w:tcW w:w="2441" w:type="dxa"/>
            <w:tcBorders>
              <w:bottom w:val="nil"/>
            </w:tcBorders>
          </w:tcPr>
          <w:p w:rsidR="009A4790" w:rsidRPr="00AE21EC" w:rsidRDefault="009A4790" w:rsidP="009C54F6">
            <w:pPr>
              <w:jc w:val="center"/>
            </w:pPr>
          </w:p>
        </w:tc>
        <w:tc>
          <w:tcPr>
            <w:tcW w:w="2784" w:type="dxa"/>
            <w:tcBorders>
              <w:bottom w:val="nil"/>
            </w:tcBorders>
          </w:tcPr>
          <w:p w:rsidR="009A4790" w:rsidRPr="00AE21EC" w:rsidRDefault="009A4790" w:rsidP="009C54F6">
            <w:pPr>
              <w:jc w:val="center"/>
            </w:pPr>
          </w:p>
        </w:tc>
      </w:tr>
      <w:tr w:rsidR="009A4790" w:rsidRPr="00AE21EC" w:rsidTr="009C54F6">
        <w:tc>
          <w:tcPr>
            <w:tcW w:w="3271" w:type="dxa"/>
            <w:tcBorders>
              <w:top w:val="nil"/>
              <w:bottom w:val="nil"/>
            </w:tcBorders>
          </w:tcPr>
          <w:p w:rsidR="009A4790" w:rsidRPr="00AE21EC" w:rsidRDefault="009A4790" w:rsidP="009A4790">
            <w:pPr>
              <w:pStyle w:val="ListParagraph"/>
              <w:numPr>
                <w:ilvl w:val="0"/>
                <w:numId w:val="11"/>
              </w:numPr>
              <w:autoSpaceDE w:val="0"/>
              <w:autoSpaceDN w:val="0"/>
              <w:adjustRightInd w:val="0"/>
            </w:pPr>
            <w:r w:rsidRPr="00AE21EC">
              <w:t>Non-sustained HIV-1 RNA</w:t>
            </w:r>
          </w:p>
          <w:p w:rsidR="009A4790" w:rsidRPr="00AE21EC" w:rsidRDefault="009A4790" w:rsidP="009C54F6">
            <w:r w:rsidRPr="00AE21EC">
              <w:t xml:space="preserve">              Suppression</w:t>
            </w:r>
          </w:p>
        </w:tc>
        <w:tc>
          <w:tcPr>
            <w:tcW w:w="2441" w:type="dxa"/>
            <w:tcBorders>
              <w:top w:val="nil"/>
              <w:bottom w:val="nil"/>
            </w:tcBorders>
          </w:tcPr>
          <w:p w:rsidR="009A4790" w:rsidRPr="00AE21EC" w:rsidRDefault="009A4790" w:rsidP="009C54F6">
            <w:pPr>
              <w:jc w:val="center"/>
            </w:pPr>
            <w:r w:rsidRPr="00AE21EC">
              <w:t>39 (13)</w:t>
            </w:r>
          </w:p>
        </w:tc>
        <w:tc>
          <w:tcPr>
            <w:tcW w:w="2784" w:type="dxa"/>
            <w:tcBorders>
              <w:top w:val="nil"/>
              <w:bottom w:val="nil"/>
            </w:tcBorders>
          </w:tcPr>
          <w:p w:rsidR="009A4790" w:rsidRPr="00AE21EC" w:rsidRDefault="00175E67" w:rsidP="00175E67">
            <w:pPr>
              <w:ind w:left="100"/>
              <w:jc w:val="center"/>
            </w:pPr>
            <w:r w:rsidRPr="00AE21EC">
              <w:t>22 (7)</w:t>
            </w:r>
          </w:p>
        </w:tc>
      </w:tr>
      <w:tr w:rsidR="009A4790" w:rsidRPr="00AE21EC" w:rsidTr="009C54F6">
        <w:tc>
          <w:tcPr>
            <w:tcW w:w="3271" w:type="dxa"/>
            <w:tcBorders>
              <w:top w:val="nil"/>
            </w:tcBorders>
          </w:tcPr>
          <w:p w:rsidR="009A4790" w:rsidRPr="00AE21EC" w:rsidRDefault="009A4790" w:rsidP="009A4790">
            <w:pPr>
              <w:pStyle w:val="ListParagraph"/>
              <w:numPr>
                <w:ilvl w:val="0"/>
                <w:numId w:val="11"/>
              </w:numPr>
            </w:pPr>
            <w:r w:rsidRPr="00AE21EC">
              <w:t>HIV-1 RNA Never Suppressed</w:t>
            </w:r>
          </w:p>
        </w:tc>
        <w:tc>
          <w:tcPr>
            <w:tcW w:w="2441" w:type="dxa"/>
            <w:tcBorders>
              <w:top w:val="nil"/>
            </w:tcBorders>
          </w:tcPr>
          <w:p w:rsidR="009A4790" w:rsidRPr="00AE21EC" w:rsidRDefault="009A4790" w:rsidP="009C54F6">
            <w:pPr>
              <w:jc w:val="center"/>
            </w:pPr>
            <w:r w:rsidRPr="00AE21EC">
              <w:t>9 (3)</w:t>
            </w:r>
          </w:p>
        </w:tc>
        <w:tc>
          <w:tcPr>
            <w:tcW w:w="2784" w:type="dxa"/>
            <w:tcBorders>
              <w:top w:val="nil"/>
            </w:tcBorders>
          </w:tcPr>
          <w:p w:rsidR="009A4790" w:rsidRPr="00AE21EC" w:rsidRDefault="009A4790" w:rsidP="009C54F6">
            <w:pPr>
              <w:jc w:val="center"/>
            </w:pPr>
            <w:r w:rsidRPr="00AE21EC">
              <w:t>1 (&lt;1)</w:t>
            </w:r>
          </w:p>
        </w:tc>
      </w:tr>
      <w:tr w:rsidR="009A4790" w:rsidRPr="00AE21EC" w:rsidTr="009C54F6">
        <w:tc>
          <w:tcPr>
            <w:tcW w:w="3271" w:type="dxa"/>
            <w:tcBorders>
              <w:bottom w:val="single" w:sz="4" w:space="0" w:color="auto"/>
            </w:tcBorders>
          </w:tcPr>
          <w:p w:rsidR="009A4790" w:rsidRPr="00AE21EC" w:rsidRDefault="009A4790" w:rsidP="009C54F6">
            <w:pPr>
              <w:autoSpaceDE w:val="0"/>
              <w:autoSpaceDN w:val="0"/>
              <w:adjustRightInd w:val="0"/>
            </w:pPr>
            <w:proofErr w:type="spellStart"/>
            <w:r w:rsidRPr="00AE21EC">
              <w:t>Virologic</w:t>
            </w:r>
            <w:proofErr w:type="spellEnd"/>
            <w:r w:rsidRPr="00AE21EC">
              <w:t xml:space="preserve"> Responders:</w:t>
            </w:r>
          </w:p>
          <w:p w:rsidR="009A4790" w:rsidRPr="00AE21EC" w:rsidRDefault="009A4790" w:rsidP="009C54F6">
            <w:r w:rsidRPr="00AE21EC">
              <w:t>(HIV-1 RNA &lt; 50 copies/mL)</w:t>
            </w:r>
          </w:p>
        </w:tc>
        <w:tc>
          <w:tcPr>
            <w:tcW w:w="2441" w:type="dxa"/>
            <w:tcBorders>
              <w:bottom w:val="single" w:sz="4" w:space="0" w:color="auto"/>
            </w:tcBorders>
          </w:tcPr>
          <w:p w:rsidR="009A4790" w:rsidRPr="00AE21EC" w:rsidRDefault="009A4790" w:rsidP="009C54F6">
            <w:pPr>
              <w:jc w:val="center"/>
            </w:pPr>
          </w:p>
          <w:p w:rsidR="009A4790" w:rsidRPr="00AE21EC" w:rsidRDefault="009A4790" w:rsidP="009C54F6">
            <w:pPr>
              <w:jc w:val="center"/>
            </w:pPr>
            <w:r w:rsidRPr="00AE21EC">
              <w:t>183 (59)</w:t>
            </w:r>
          </w:p>
        </w:tc>
        <w:tc>
          <w:tcPr>
            <w:tcW w:w="2784" w:type="dxa"/>
            <w:tcBorders>
              <w:bottom w:val="single" w:sz="4" w:space="0" w:color="auto"/>
            </w:tcBorders>
          </w:tcPr>
          <w:p w:rsidR="009A4790" w:rsidRPr="00AE21EC" w:rsidRDefault="009A4790" w:rsidP="009C54F6">
            <w:pPr>
              <w:jc w:val="center"/>
            </w:pPr>
          </w:p>
          <w:p w:rsidR="009A4790" w:rsidRPr="00AE21EC" w:rsidRDefault="009A4790" w:rsidP="009C54F6">
            <w:pPr>
              <w:jc w:val="center"/>
            </w:pPr>
            <w:r w:rsidRPr="00AE21EC">
              <w:t>190 (63)</w:t>
            </w:r>
          </w:p>
        </w:tc>
      </w:tr>
      <w:tr w:rsidR="009A4790" w:rsidRPr="00AE21EC" w:rsidTr="009C54F6">
        <w:tc>
          <w:tcPr>
            <w:tcW w:w="3271" w:type="dxa"/>
            <w:tcBorders>
              <w:bottom w:val="nil"/>
            </w:tcBorders>
          </w:tcPr>
          <w:p w:rsidR="009A4790" w:rsidRPr="00AE21EC" w:rsidRDefault="009A4790" w:rsidP="009C54F6">
            <w:proofErr w:type="spellStart"/>
            <w:r w:rsidRPr="00AE21EC">
              <w:t>Virologic</w:t>
            </w:r>
            <w:proofErr w:type="spellEnd"/>
            <w:r w:rsidRPr="00AE21EC">
              <w:t xml:space="preserve"> Failure:</w:t>
            </w:r>
          </w:p>
        </w:tc>
        <w:tc>
          <w:tcPr>
            <w:tcW w:w="2441" w:type="dxa"/>
            <w:tcBorders>
              <w:bottom w:val="nil"/>
            </w:tcBorders>
          </w:tcPr>
          <w:p w:rsidR="009A4790" w:rsidRPr="00AE21EC" w:rsidRDefault="009A4790" w:rsidP="009C54F6">
            <w:pPr>
              <w:jc w:val="center"/>
            </w:pPr>
          </w:p>
        </w:tc>
        <w:tc>
          <w:tcPr>
            <w:tcW w:w="2784" w:type="dxa"/>
            <w:tcBorders>
              <w:bottom w:val="nil"/>
            </w:tcBorders>
          </w:tcPr>
          <w:p w:rsidR="009A4790" w:rsidRPr="00AE21EC" w:rsidRDefault="009A4790" w:rsidP="009C54F6">
            <w:pPr>
              <w:jc w:val="center"/>
            </w:pPr>
          </w:p>
        </w:tc>
      </w:tr>
      <w:tr w:rsidR="009A4790" w:rsidRPr="00AE21EC" w:rsidTr="009C54F6">
        <w:tc>
          <w:tcPr>
            <w:tcW w:w="3271" w:type="dxa"/>
            <w:tcBorders>
              <w:top w:val="nil"/>
              <w:bottom w:val="nil"/>
              <w:right w:val="single" w:sz="4" w:space="0" w:color="auto"/>
            </w:tcBorders>
          </w:tcPr>
          <w:p w:rsidR="009A4790" w:rsidRPr="00AE21EC" w:rsidRDefault="009A4790" w:rsidP="009A4790">
            <w:pPr>
              <w:pStyle w:val="ListParagraph"/>
              <w:numPr>
                <w:ilvl w:val="0"/>
                <w:numId w:val="11"/>
              </w:numPr>
              <w:autoSpaceDE w:val="0"/>
              <w:autoSpaceDN w:val="0"/>
              <w:adjustRightInd w:val="0"/>
            </w:pPr>
            <w:r w:rsidRPr="00AE21EC">
              <w:t>Non-sustained HIV-1 RNA</w:t>
            </w:r>
          </w:p>
          <w:p w:rsidR="009A4790" w:rsidRPr="00AE21EC" w:rsidRDefault="009A4790" w:rsidP="009C54F6">
            <w:r w:rsidRPr="00AE21EC">
              <w:t xml:space="preserve">              Suppression</w:t>
            </w:r>
          </w:p>
        </w:tc>
        <w:tc>
          <w:tcPr>
            <w:tcW w:w="2441" w:type="dxa"/>
            <w:tcBorders>
              <w:top w:val="nil"/>
              <w:left w:val="single" w:sz="4" w:space="0" w:color="auto"/>
              <w:bottom w:val="nil"/>
              <w:right w:val="single" w:sz="4" w:space="0" w:color="auto"/>
            </w:tcBorders>
          </w:tcPr>
          <w:p w:rsidR="009A4790" w:rsidRPr="00AE21EC" w:rsidRDefault="00175E67" w:rsidP="00175E67">
            <w:pPr>
              <w:pStyle w:val="ListParagraph"/>
              <w:ind w:left="0"/>
              <w:jc w:val="center"/>
            </w:pPr>
            <w:r w:rsidRPr="00AE21EC">
              <w:t>43 (14)</w:t>
            </w:r>
          </w:p>
        </w:tc>
        <w:tc>
          <w:tcPr>
            <w:tcW w:w="2784" w:type="dxa"/>
            <w:tcBorders>
              <w:top w:val="nil"/>
              <w:left w:val="single" w:sz="4" w:space="0" w:color="auto"/>
              <w:bottom w:val="nil"/>
            </w:tcBorders>
          </w:tcPr>
          <w:p w:rsidR="009A4790" w:rsidRPr="00AE21EC" w:rsidRDefault="00175E67" w:rsidP="00175E67">
            <w:pPr>
              <w:ind w:left="100"/>
              <w:jc w:val="center"/>
            </w:pPr>
            <w:r w:rsidRPr="00AE21EC">
              <w:t>25 (8)</w:t>
            </w:r>
          </w:p>
        </w:tc>
      </w:tr>
      <w:tr w:rsidR="009A4790" w:rsidRPr="00AE21EC" w:rsidTr="009C54F6">
        <w:tc>
          <w:tcPr>
            <w:tcW w:w="3271" w:type="dxa"/>
            <w:tcBorders>
              <w:top w:val="nil"/>
              <w:bottom w:val="single" w:sz="4" w:space="0" w:color="auto"/>
              <w:right w:val="single" w:sz="4" w:space="0" w:color="auto"/>
            </w:tcBorders>
          </w:tcPr>
          <w:p w:rsidR="009A4790" w:rsidRPr="00AE21EC" w:rsidRDefault="009A4790" w:rsidP="009A4790">
            <w:pPr>
              <w:pStyle w:val="ListParagraph"/>
              <w:numPr>
                <w:ilvl w:val="0"/>
                <w:numId w:val="11"/>
              </w:numPr>
            </w:pPr>
            <w:r w:rsidRPr="00AE21EC">
              <w:t>HIV-1 RNA Never Suppressed</w:t>
            </w:r>
          </w:p>
        </w:tc>
        <w:tc>
          <w:tcPr>
            <w:tcW w:w="2441" w:type="dxa"/>
            <w:tcBorders>
              <w:top w:val="nil"/>
              <w:left w:val="single" w:sz="4" w:space="0" w:color="auto"/>
              <w:bottom w:val="single" w:sz="4" w:space="0" w:color="auto"/>
              <w:right w:val="single" w:sz="4" w:space="0" w:color="auto"/>
            </w:tcBorders>
          </w:tcPr>
          <w:p w:rsidR="009A4790" w:rsidRPr="00AE21EC" w:rsidRDefault="009A4790" w:rsidP="009C54F6">
            <w:pPr>
              <w:jc w:val="center"/>
            </w:pPr>
            <w:r w:rsidRPr="00AE21EC">
              <w:t>21 (7)</w:t>
            </w:r>
          </w:p>
        </w:tc>
        <w:tc>
          <w:tcPr>
            <w:tcW w:w="2784" w:type="dxa"/>
            <w:tcBorders>
              <w:top w:val="nil"/>
              <w:left w:val="single" w:sz="4" w:space="0" w:color="auto"/>
              <w:bottom w:val="single" w:sz="4" w:space="0" w:color="auto"/>
            </w:tcBorders>
          </w:tcPr>
          <w:p w:rsidR="009A4790" w:rsidRPr="00AE21EC" w:rsidRDefault="009A4790" w:rsidP="009C54F6">
            <w:pPr>
              <w:jc w:val="center"/>
            </w:pPr>
            <w:r w:rsidRPr="00AE21EC">
              <w:t>3 (1)</w:t>
            </w:r>
          </w:p>
        </w:tc>
      </w:tr>
      <w:tr w:rsidR="009A4790" w:rsidRPr="00AE21EC" w:rsidTr="009C54F6">
        <w:tc>
          <w:tcPr>
            <w:tcW w:w="3271" w:type="dxa"/>
            <w:tcBorders>
              <w:bottom w:val="nil"/>
            </w:tcBorders>
          </w:tcPr>
          <w:p w:rsidR="009A4790" w:rsidRPr="00AE21EC" w:rsidRDefault="009A4790" w:rsidP="009C54F6">
            <w:r w:rsidRPr="00AE21EC">
              <w:t>Discontinuations due to:</w:t>
            </w:r>
          </w:p>
        </w:tc>
        <w:tc>
          <w:tcPr>
            <w:tcW w:w="2441" w:type="dxa"/>
            <w:tcBorders>
              <w:bottom w:val="nil"/>
            </w:tcBorders>
          </w:tcPr>
          <w:p w:rsidR="009A4790" w:rsidRPr="00AE21EC" w:rsidRDefault="009A4790" w:rsidP="009C54F6">
            <w:pPr>
              <w:jc w:val="center"/>
            </w:pPr>
          </w:p>
        </w:tc>
        <w:tc>
          <w:tcPr>
            <w:tcW w:w="2784" w:type="dxa"/>
            <w:tcBorders>
              <w:bottom w:val="nil"/>
            </w:tcBorders>
          </w:tcPr>
          <w:p w:rsidR="009A4790" w:rsidRPr="00AE21EC" w:rsidRDefault="009A4790" w:rsidP="009C54F6">
            <w:pPr>
              <w:jc w:val="center"/>
            </w:pPr>
          </w:p>
        </w:tc>
      </w:tr>
      <w:tr w:rsidR="009A4790" w:rsidRPr="00AE21EC" w:rsidTr="009C54F6">
        <w:tc>
          <w:tcPr>
            <w:tcW w:w="3271" w:type="dxa"/>
            <w:tcBorders>
              <w:top w:val="nil"/>
              <w:bottom w:val="nil"/>
            </w:tcBorders>
          </w:tcPr>
          <w:p w:rsidR="009A4790" w:rsidRPr="00AE21EC" w:rsidRDefault="009A4790" w:rsidP="009A4790">
            <w:pPr>
              <w:pStyle w:val="ListParagraph"/>
              <w:numPr>
                <w:ilvl w:val="0"/>
                <w:numId w:val="11"/>
              </w:numPr>
            </w:pPr>
            <w:r w:rsidRPr="00AE21EC">
              <w:t>Adverse Events</w:t>
            </w:r>
          </w:p>
        </w:tc>
        <w:tc>
          <w:tcPr>
            <w:tcW w:w="2441" w:type="dxa"/>
            <w:tcBorders>
              <w:top w:val="nil"/>
              <w:bottom w:val="nil"/>
            </w:tcBorders>
          </w:tcPr>
          <w:p w:rsidR="009A4790" w:rsidRPr="00AE21EC" w:rsidRDefault="009A4790" w:rsidP="009C54F6">
            <w:pPr>
              <w:jc w:val="center"/>
            </w:pPr>
            <w:r w:rsidRPr="00AE21EC">
              <w:t>19 (6)</w:t>
            </w:r>
          </w:p>
        </w:tc>
        <w:tc>
          <w:tcPr>
            <w:tcW w:w="2784" w:type="dxa"/>
            <w:tcBorders>
              <w:top w:val="nil"/>
              <w:bottom w:val="nil"/>
            </w:tcBorders>
          </w:tcPr>
          <w:p w:rsidR="009A4790" w:rsidRPr="00AE21EC" w:rsidRDefault="00175E67" w:rsidP="00175E67">
            <w:pPr>
              <w:jc w:val="center"/>
            </w:pPr>
            <w:r>
              <w:t>47 (16)</w:t>
            </w:r>
          </w:p>
        </w:tc>
      </w:tr>
      <w:tr w:rsidR="009A4790" w:rsidRPr="00AE21EC" w:rsidTr="009C54F6">
        <w:tc>
          <w:tcPr>
            <w:tcW w:w="3271" w:type="dxa"/>
            <w:tcBorders>
              <w:top w:val="nil"/>
              <w:bottom w:val="nil"/>
            </w:tcBorders>
          </w:tcPr>
          <w:p w:rsidR="009A4790" w:rsidRPr="00AE21EC" w:rsidRDefault="009A4790" w:rsidP="009A4790">
            <w:pPr>
              <w:pStyle w:val="ListParagraph"/>
              <w:numPr>
                <w:ilvl w:val="0"/>
                <w:numId w:val="11"/>
              </w:numPr>
            </w:pPr>
            <w:r w:rsidRPr="00AE21EC">
              <w:t>Death</w:t>
            </w:r>
          </w:p>
        </w:tc>
        <w:tc>
          <w:tcPr>
            <w:tcW w:w="2441" w:type="dxa"/>
            <w:tcBorders>
              <w:top w:val="nil"/>
              <w:bottom w:val="nil"/>
            </w:tcBorders>
          </w:tcPr>
          <w:p w:rsidR="009A4790" w:rsidRPr="00AE21EC" w:rsidRDefault="009A4790" w:rsidP="009C54F6">
            <w:pPr>
              <w:jc w:val="center"/>
            </w:pPr>
            <w:r w:rsidRPr="00AE21EC">
              <w:t>2 (1)</w:t>
            </w:r>
          </w:p>
        </w:tc>
        <w:tc>
          <w:tcPr>
            <w:tcW w:w="2784" w:type="dxa"/>
            <w:tcBorders>
              <w:top w:val="nil"/>
              <w:bottom w:val="nil"/>
            </w:tcBorders>
          </w:tcPr>
          <w:p w:rsidR="009A4790" w:rsidRPr="00AE21EC" w:rsidRDefault="009A4790" w:rsidP="009C54F6">
            <w:pPr>
              <w:jc w:val="center"/>
            </w:pPr>
            <w:r w:rsidRPr="00AE21EC">
              <w:t>2 (1)</w:t>
            </w:r>
          </w:p>
        </w:tc>
      </w:tr>
      <w:tr w:rsidR="009A4790" w:rsidRPr="00AE21EC" w:rsidTr="009C54F6">
        <w:tc>
          <w:tcPr>
            <w:tcW w:w="3271" w:type="dxa"/>
            <w:tcBorders>
              <w:top w:val="nil"/>
            </w:tcBorders>
          </w:tcPr>
          <w:p w:rsidR="009A4790" w:rsidRPr="00AE21EC" w:rsidRDefault="009A4790" w:rsidP="009C54F6">
            <w:r w:rsidRPr="00AE21EC">
              <w:t xml:space="preserve">            Other</w:t>
            </w:r>
            <w:r w:rsidRPr="00AE21EC">
              <w:rPr>
                <w:vertAlign w:val="superscript"/>
              </w:rPr>
              <w:t>1</w:t>
            </w:r>
          </w:p>
        </w:tc>
        <w:tc>
          <w:tcPr>
            <w:tcW w:w="2441" w:type="dxa"/>
            <w:tcBorders>
              <w:top w:val="nil"/>
            </w:tcBorders>
          </w:tcPr>
          <w:p w:rsidR="009A4790" w:rsidRPr="00AE21EC" w:rsidRDefault="009A4790" w:rsidP="009C54F6">
            <w:pPr>
              <w:jc w:val="center"/>
            </w:pPr>
            <w:r w:rsidRPr="00AE21EC">
              <w:t>43 (14)</w:t>
            </w:r>
          </w:p>
        </w:tc>
        <w:tc>
          <w:tcPr>
            <w:tcW w:w="2784" w:type="dxa"/>
            <w:tcBorders>
              <w:top w:val="nil"/>
            </w:tcBorders>
          </w:tcPr>
          <w:p w:rsidR="009A4790" w:rsidRPr="00AE21EC" w:rsidRDefault="009A4790" w:rsidP="009C54F6">
            <w:pPr>
              <w:jc w:val="center"/>
            </w:pPr>
            <w:r w:rsidRPr="00AE21EC">
              <w:t>36 (12)</w:t>
            </w:r>
          </w:p>
        </w:tc>
      </w:tr>
    </w:tbl>
    <w:p w:rsidR="009A4790" w:rsidRPr="00D017AC" w:rsidRDefault="009A4790" w:rsidP="009A4790">
      <w:pPr>
        <w:autoSpaceDE w:val="0"/>
        <w:autoSpaceDN w:val="0"/>
        <w:adjustRightInd w:val="0"/>
        <w:rPr>
          <w:sz w:val="18"/>
          <w:szCs w:val="18"/>
          <w:lang w:eastAsia="en-AU"/>
        </w:rPr>
      </w:pPr>
      <w:r w:rsidRPr="00D017AC">
        <w:rPr>
          <w:sz w:val="18"/>
          <w:szCs w:val="18"/>
          <w:lang w:eastAsia="en-AU"/>
        </w:rPr>
        <w:t xml:space="preserve">†The total number of </w:t>
      </w:r>
      <w:r w:rsidR="00551A77" w:rsidRPr="00D017AC">
        <w:rPr>
          <w:sz w:val="18"/>
          <w:szCs w:val="18"/>
          <w:lang w:eastAsia="en-AU"/>
        </w:rPr>
        <w:t>patients</w:t>
      </w:r>
      <w:r w:rsidRPr="00D017AC">
        <w:rPr>
          <w:sz w:val="18"/>
          <w:szCs w:val="18"/>
          <w:lang w:eastAsia="en-AU"/>
        </w:rPr>
        <w:t xml:space="preserve"> (Ns) in Table 6 represents the </w:t>
      </w:r>
      <w:r w:rsidR="00551A77" w:rsidRPr="00D017AC">
        <w:rPr>
          <w:sz w:val="18"/>
          <w:szCs w:val="18"/>
          <w:lang w:eastAsia="en-AU"/>
        </w:rPr>
        <w:t>patients</w:t>
      </w:r>
      <w:r w:rsidRPr="00D017AC">
        <w:rPr>
          <w:sz w:val="18"/>
          <w:szCs w:val="18"/>
          <w:lang w:eastAsia="en-AU"/>
        </w:rPr>
        <w:t xml:space="preserve"> who had a CCR5-tropic virus in the reanalysis of screening samples using the more sensitive tropism assay. This reanalysis reclassified approximately 15% of </w:t>
      </w:r>
      <w:r w:rsidR="00551A77" w:rsidRPr="00D017AC">
        <w:rPr>
          <w:sz w:val="18"/>
          <w:szCs w:val="18"/>
          <w:lang w:eastAsia="en-AU"/>
        </w:rPr>
        <w:t>patients</w:t>
      </w:r>
      <w:r w:rsidRPr="00D017AC">
        <w:rPr>
          <w:sz w:val="18"/>
          <w:szCs w:val="18"/>
          <w:lang w:eastAsia="en-AU"/>
        </w:rPr>
        <w:t xml:space="preserve"> shown in Table 4 as having CXCR4-using virus. These numbers are different than those presented in </w:t>
      </w:r>
      <w:r w:rsidR="00B311D6" w:rsidRPr="00D017AC">
        <w:rPr>
          <w:sz w:val="18"/>
          <w:szCs w:val="18"/>
          <w:lang w:eastAsia="en-AU"/>
        </w:rPr>
        <w:t>T</w:t>
      </w:r>
      <w:r w:rsidRPr="00D017AC">
        <w:rPr>
          <w:sz w:val="18"/>
          <w:szCs w:val="18"/>
          <w:lang w:eastAsia="en-AU"/>
        </w:rPr>
        <w:t xml:space="preserve">able </w:t>
      </w:r>
      <w:r w:rsidR="00B311D6" w:rsidRPr="00D017AC">
        <w:rPr>
          <w:sz w:val="18"/>
          <w:szCs w:val="18"/>
          <w:lang w:eastAsia="en-AU"/>
        </w:rPr>
        <w:t>4</w:t>
      </w:r>
      <w:r w:rsidRPr="00D017AC">
        <w:rPr>
          <w:sz w:val="18"/>
          <w:szCs w:val="18"/>
          <w:lang w:eastAsia="en-AU"/>
        </w:rPr>
        <w:t xml:space="preserve"> because the numbers in Table </w:t>
      </w:r>
      <w:r w:rsidR="00B311D6" w:rsidRPr="00D017AC">
        <w:rPr>
          <w:sz w:val="18"/>
          <w:szCs w:val="18"/>
          <w:lang w:eastAsia="en-AU"/>
        </w:rPr>
        <w:t xml:space="preserve">4 </w:t>
      </w:r>
      <w:r w:rsidRPr="00D017AC">
        <w:rPr>
          <w:sz w:val="18"/>
          <w:szCs w:val="18"/>
          <w:lang w:eastAsia="en-AU"/>
        </w:rPr>
        <w:t xml:space="preserve">reflect the </w:t>
      </w:r>
      <w:r w:rsidR="00551A77" w:rsidRPr="00D017AC">
        <w:rPr>
          <w:sz w:val="18"/>
          <w:szCs w:val="18"/>
          <w:lang w:eastAsia="en-AU"/>
        </w:rPr>
        <w:t>patients</w:t>
      </w:r>
      <w:r w:rsidRPr="00D017AC">
        <w:rPr>
          <w:sz w:val="18"/>
          <w:szCs w:val="18"/>
          <w:lang w:eastAsia="en-AU"/>
        </w:rPr>
        <w:t xml:space="preserve"> with CCR5-tropic virus according to the original tropism assay.</w:t>
      </w:r>
    </w:p>
    <w:p w:rsidR="009A4790" w:rsidRPr="00D017AC" w:rsidRDefault="009A4790" w:rsidP="009A4790">
      <w:pPr>
        <w:autoSpaceDE w:val="0"/>
        <w:autoSpaceDN w:val="0"/>
        <w:adjustRightInd w:val="0"/>
        <w:rPr>
          <w:sz w:val="18"/>
          <w:szCs w:val="18"/>
          <w:lang w:eastAsia="en-AU"/>
        </w:rPr>
      </w:pPr>
      <w:r w:rsidRPr="00D017AC">
        <w:rPr>
          <w:sz w:val="18"/>
          <w:szCs w:val="18"/>
          <w:vertAlign w:val="superscript"/>
          <w:lang w:eastAsia="en-AU"/>
        </w:rPr>
        <w:t>1</w:t>
      </w:r>
      <w:r w:rsidRPr="00D017AC">
        <w:rPr>
          <w:sz w:val="18"/>
          <w:szCs w:val="18"/>
          <w:lang w:eastAsia="en-AU"/>
        </w:rPr>
        <w:t xml:space="preserve"> Other reasons for discontinuation include lost to follow-up, withdrawn, protocol violation, and other.</w:t>
      </w:r>
    </w:p>
    <w:p w:rsidR="009A4790" w:rsidRPr="00D017AC" w:rsidRDefault="009A4790" w:rsidP="00D017AC">
      <w:pPr>
        <w:autoSpaceDE w:val="0"/>
        <w:autoSpaceDN w:val="0"/>
        <w:adjustRightInd w:val="0"/>
        <w:spacing w:before="120" w:after="120"/>
        <w:jc w:val="both"/>
        <w:rPr>
          <w:lang w:eastAsia="en-AU"/>
        </w:rPr>
      </w:pPr>
      <w:r w:rsidRPr="00D017AC">
        <w:rPr>
          <w:lang w:eastAsia="en-AU"/>
        </w:rPr>
        <w:t>The median increase from baseline in CD4+ cell counts at week 96 was 184 cells/mm</w:t>
      </w:r>
      <w:r w:rsidRPr="00D017AC">
        <w:rPr>
          <w:vertAlign w:val="superscript"/>
          <w:lang w:eastAsia="en-AU"/>
        </w:rPr>
        <w:t>3</w:t>
      </w:r>
      <w:r w:rsidRPr="00D017AC">
        <w:rPr>
          <w:lang w:eastAsia="en-AU"/>
        </w:rPr>
        <w:t xml:space="preserve"> for the CELSENTRI arm compared </w:t>
      </w:r>
      <w:proofErr w:type="gramStart"/>
      <w:r w:rsidRPr="00D017AC">
        <w:rPr>
          <w:lang w:eastAsia="en-AU"/>
        </w:rPr>
        <w:t>to 155 cells/mm</w:t>
      </w:r>
      <w:r w:rsidRPr="00D017AC">
        <w:rPr>
          <w:vertAlign w:val="superscript"/>
          <w:lang w:eastAsia="en-AU"/>
        </w:rPr>
        <w:t>3</w:t>
      </w:r>
      <w:r w:rsidRPr="00D017AC">
        <w:rPr>
          <w:lang w:eastAsia="en-AU"/>
        </w:rPr>
        <w:t xml:space="preserve"> for the efavirenz arm</w:t>
      </w:r>
      <w:proofErr w:type="gramEnd"/>
      <w:r w:rsidRPr="00D017AC">
        <w:rPr>
          <w:lang w:eastAsia="en-AU"/>
        </w:rPr>
        <w:t>.</w:t>
      </w:r>
    </w:p>
    <w:p w:rsidR="009A4790" w:rsidRDefault="009A4790" w:rsidP="00D017AC">
      <w:pPr>
        <w:pStyle w:val="Heading2"/>
        <w:rPr>
          <w:lang w:eastAsia="en-AU"/>
        </w:rPr>
      </w:pPr>
      <w:r>
        <w:rPr>
          <w:lang w:eastAsia="en-AU"/>
        </w:rPr>
        <w:t>Tropism</w:t>
      </w:r>
    </w:p>
    <w:p w:rsidR="009A4790" w:rsidRPr="008E61D0" w:rsidRDefault="009A4790" w:rsidP="00D017AC">
      <w:pPr>
        <w:pStyle w:val="Heading3"/>
      </w:pPr>
      <w:r w:rsidRPr="008E61D0">
        <w:t>Treatment-Experienced (MOTIVATE</w:t>
      </w:r>
      <w:r w:rsidR="007953F9">
        <w:t>-</w:t>
      </w:r>
      <w:r w:rsidRPr="008E61D0">
        <w:t>1 and MOTIVATE</w:t>
      </w:r>
      <w:r w:rsidR="007953F9">
        <w:t>-</w:t>
      </w:r>
      <w:r w:rsidRPr="008E61D0">
        <w:t>2)</w:t>
      </w:r>
    </w:p>
    <w:p w:rsidR="00DA620B" w:rsidRPr="00D017AC" w:rsidRDefault="009A4790" w:rsidP="00D017AC">
      <w:pPr>
        <w:autoSpaceDE w:val="0"/>
        <w:autoSpaceDN w:val="0"/>
        <w:adjustRightInd w:val="0"/>
        <w:spacing w:after="120"/>
        <w:jc w:val="both"/>
        <w:rPr>
          <w:lang w:eastAsia="en-AU"/>
        </w:rPr>
      </w:pPr>
      <w:r w:rsidRPr="00D017AC">
        <w:rPr>
          <w:lang w:eastAsia="en-AU"/>
        </w:rPr>
        <w:t>In the majority of cases, treatment failure on maraviroc was associated with detection of CXCR4 using (i.e., CXCR4- or dual/mixed-tropic) virus which was not detected by the tropism assay prior to treatment. CXCR4-using virus was detected at failure</w:t>
      </w:r>
      <w:r w:rsidR="006342B9" w:rsidRPr="00D017AC">
        <w:rPr>
          <w:lang w:eastAsia="en-AU"/>
        </w:rPr>
        <w:t xml:space="preserve"> </w:t>
      </w:r>
      <w:r w:rsidRPr="00D017AC">
        <w:rPr>
          <w:lang w:eastAsia="en-AU"/>
        </w:rPr>
        <w:t xml:space="preserve">in 54.8% of </w:t>
      </w:r>
      <w:r w:rsidR="00551A77" w:rsidRPr="00D017AC">
        <w:rPr>
          <w:lang w:eastAsia="en-AU"/>
        </w:rPr>
        <w:t>patients</w:t>
      </w:r>
      <w:r w:rsidRPr="00D017AC">
        <w:rPr>
          <w:lang w:eastAsia="en-AU"/>
        </w:rPr>
        <w:t xml:space="preserve"> who failed treatment on maraviroc, as compared to </w:t>
      </w:r>
      <w:r w:rsidR="00B96B88" w:rsidRPr="00D017AC">
        <w:rPr>
          <w:lang w:eastAsia="en-AU"/>
        </w:rPr>
        <w:t>5.9%</w:t>
      </w:r>
      <w:r w:rsidRPr="00D017AC">
        <w:rPr>
          <w:lang w:eastAsia="en-AU"/>
        </w:rPr>
        <w:t xml:space="preserve"> of </w:t>
      </w:r>
      <w:r w:rsidR="00551A77" w:rsidRPr="00D017AC">
        <w:rPr>
          <w:lang w:eastAsia="en-AU"/>
        </w:rPr>
        <w:t>patients</w:t>
      </w:r>
      <w:r w:rsidRPr="00D017AC">
        <w:rPr>
          <w:lang w:eastAsia="en-AU"/>
        </w:rPr>
        <w:t xml:space="preserve"> who experienced treatment failure in the placebo arm. To investigate the likely origin of the on-treatment CXCR4-using virus, a detailed </w:t>
      </w:r>
      <w:proofErr w:type="spellStart"/>
      <w:r w:rsidRPr="00D017AC">
        <w:rPr>
          <w:lang w:eastAsia="en-AU"/>
        </w:rPr>
        <w:t>clonal</w:t>
      </w:r>
      <w:proofErr w:type="spellEnd"/>
      <w:r w:rsidRPr="00D017AC">
        <w:rPr>
          <w:lang w:eastAsia="en-AU"/>
        </w:rPr>
        <w:t xml:space="preserve"> analysis was conducted on virus from 20 representative </w:t>
      </w:r>
      <w:r w:rsidR="00551A77" w:rsidRPr="00D017AC">
        <w:rPr>
          <w:lang w:eastAsia="en-AU"/>
        </w:rPr>
        <w:t>patients</w:t>
      </w:r>
      <w:r w:rsidRPr="00D017AC">
        <w:rPr>
          <w:lang w:eastAsia="en-AU"/>
        </w:rPr>
        <w:t xml:space="preserve"> (16 </w:t>
      </w:r>
      <w:r w:rsidR="00551A77" w:rsidRPr="00D017AC">
        <w:rPr>
          <w:lang w:eastAsia="en-AU"/>
        </w:rPr>
        <w:t>patients</w:t>
      </w:r>
      <w:r w:rsidRPr="00D017AC">
        <w:rPr>
          <w:lang w:eastAsia="en-AU"/>
        </w:rPr>
        <w:t xml:space="preserve"> from the maraviroc arms and 4 </w:t>
      </w:r>
      <w:r w:rsidR="00551A77" w:rsidRPr="00D017AC">
        <w:rPr>
          <w:lang w:eastAsia="en-AU"/>
        </w:rPr>
        <w:t>patients</w:t>
      </w:r>
      <w:r w:rsidRPr="00D017AC">
        <w:rPr>
          <w:lang w:eastAsia="en-AU"/>
        </w:rPr>
        <w:t xml:space="preserve"> from the placebo arm) in whom CXCR4-using virus was detected at treatment failure. From analysis of amino acid sequence differences and </w:t>
      </w:r>
      <w:proofErr w:type="spellStart"/>
      <w:r w:rsidRPr="00D017AC">
        <w:rPr>
          <w:lang w:eastAsia="en-AU"/>
        </w:rPr>
        <w:t>phylogenetic</w:t>
      </w:r>
      <w:proofErr w:type="spellEnd"/>
      <w:r w:rsidRPr="00D017AC">
        <w:rPr>
          <w:lang w:eastAsia="en-AU"/>
        </w:rPr>
        <w:t xml:space="preserve"> data, CXCR4-using virus in these </w:t>
      </w:r>
      <w:r w:rsidR="00551A77" w:rsidRPr="00D017AC">
        <w:rPr>
          <w:lang w:eastAsia="en-AU"/>
        </w:rPr>
        <w:t>patients</w:t>
      </w:r>
      <w:r w:rsidRPr="00D017AC">
        <w:rPr>
          <w:lang w:eastAsia="en-AU"/>
        </w:rPr>
        <w:t xml:space="preserve"> emerged from a low level of pre-existing CXCR4-using virus not detected by the tropism assay (which is</w:t>
      </w:r>
      <w:r w:rsidR="00DA620B" w:rsidRPr="00D017AC">
        <w:rPr>
          <w:lang w:eastAsia="en-AU"/>
        </w:rPr>
        <w:t xml:space="preserve"> population-based) </w:t>
      </w:r>
      <w:r w:rsidR="00DA620B" w:rsidRPr="00D017AC">
        <w:rPr>
          <w:lang w:eastAsia="en-AU"/>
        </w:rPr>
        <w:lastRenderedPageBreak/>
        <w:t xml:space="preserve">prior to treatment rather than from a </w:t>
      </w:r>
      <w:proofErr w:type="spellStart"/>
      <w:r w:rsidR="00DA620B" w:rsidRPr="00D017AC">
        <w:rPr>
          <w:lang w:eastAsia="en-AU"/>
        </w:rPr>
        <w:t>coreceptor</w:t>
      </w:r>
      <w:proofErr w:type="spellEnd"/>
      <w:r w:rsidR="00DA620B" w:rsidRPr="00D017AC">
        <w:rPr>
          <w:lang w:eastAsia="en-AU"/>
        </w:rPr>
        <w:t xml:space="preserve"> switch from CCR5-tropic virus to CXCR4-using virus resulting from mutation in the virus.</w:t>
      </w:r>
    </w:p>
    <w:p w:rsidR="009A4790" w:rsidRPr="00D017AC" w:rsidRDefault="00C01140" w:rsidP="009A4790">
      <w:pPr>
        <w:autoSpaceDE w:val="0"/>
        <w:autoSpaceDN w:val="0"/>
        <w:adjustRightInd w:val="0"/>
        <w:jc w:val="both"/>
        <w:rPr>
          <w:lang w:eastAsia="en-AU"/>
        </w:rPr>
      </w:pPr>
      <w:r w:rsidRPr="00D017AC">
        <w:rPr>
          <w:lang w:eastAsia="en-AU"/>
        </w:rPr>
        <w:t>A</w:t>
      </w:r>
      <w:r w:rsidR="009A4790" w:rsidRPr="00D017AC">
        <w:rPr>
          <w:lang w:eastAsia="en-AU"/>
        </w:rPr>
        <w:t xml:space="preserve">t week 48 </w:t>
      </w:r>
      <w:r w:rsidR="00551A77" w:rsidRPr="00D017AC">
        <w:rPr>
          <w:lang w:eastAsia="en-AU"/>
        </w:rPr>
        <w:t>patients</w:t>
      </w:r>
      <w:r w:rsidR="009A4790" w:rsidRPr="00D017AC">
        <w:rPr>
          <w:lang w:eastAsia="en-AU"/>
        </w:rPr>
        <w:t xml:space="preserve"> failing maraviroc BID with CXCR4-using virus had a lower median increase in CD4+</w:t>
      </w:r>
      <w:r w:rsidR="00306DF7" w:rsidRPr="00D017AC">
        <w:rPr>
          <w:lang w:eastAsia="en-AU"/>
        </w:rPr>
        <w:t xml:space="preserve"> </w:t>
      </w:r>
      <w:r w:rsidR="009A4790" w:rsidRPr="00D017AC">
        <w:rPr>
          <w:lang w:eastAsia="en-AU"/>
        </w:rPr>
        <w:t>cell counts from baseline (+41 cells/mm</w:t>
      </w:r>
      <w:r w:rsidR="009A4790" w:rsidRPr="00D017AC">
        <w:rPr>
          <w:vertAlign w:val="superscript"/>
          <w:lang w:eastAsia="en-AU"/>
        </w:rPr>
        <w:t>3</w:t>
      </w:r>
      <w:r w:rsidR="009A4790" w:rsidRPr="00D017AC">
        <w:rPr>
          <w:lang w:eastAsia="en-AU"/>
        </w:rPr>
        <w:t xml:space="preserve">) than those </w:t>
      </w:r>
      <w:r w:rsidR="00551A77" w:rsidRPr="00D017AC">
        <w:rPr>
          <w:lang w:eastAsia="en-AU"/>
        </w:rPr>
        <w:t>patients</w:t>
      </w:r>
      <w:r w:rsidR="009A4790" w:rsidRPr="00D017AC">
        <w:rPr>
          <w:lang w:eastAsia="en-AU"/>
        </w:rPr>
        <w:t xml:space="preserve"> failing with CCR5-tropic virus (+162 cells/mm</w:t>
      </w:r>
      <w:r w:rsidR="009A4790" w:rsidRPr="00D017AC">
        <w:rPr>
          <w:vertAlign w:val="superscript"/>
          <w:lang w:eastAsia="en-AU"/>
        </w:rPr>
        <w:t>3</w:t>
      </w:r>
      <w:r w:rsidR="009A4790" w:rsidRPr="00D017AC">
        <w:rPr>
          <w:lang w:eastAsia="en-AU"/>
        </w:rPr>
        <w:t xml:space="preserve">). The median increase in CD4+ cell count in patients failing in the placebo arm was </w:t>
      </w:r>
      <w:proofErr w:type="gramStart"/>
      <w:r w:rsidR="009A4790" w:rsidRPr="00D017AC">
        <w:rPr>
          <w:lang w:eastAsia="en-AU"/>
        </w:rPr>
        <w:t>+6.5 cells/mm</w:t>
      </w:r>
      <w:r w:rsidR="009A4790" w:rsidRPr="00D017AC">
        <w:rPr>
          <w:vertAlign w:val="superscript"/>
          <w:lang w:eastAsia="en-AU"/>
        </w:rPr>
        <w:t>3</w:t>
      </w:r>
      <w:proofErr w:type="gramEnd"/>
      <w:r w:rsidR="009A4790" w:rsidRPr="00D017AC">
        <w:rPr>
          <w:lang w:eastAsia="en-AU"/>
        </w:rPr>
        <w:t>.</w:t>
      </w:r>
    </w:p>
    <w:p w:rsidR="009A4790" w:rsidRPr="008E61D0" w:rsidRDefault="009A4790" w:rsidP="00D017AC">
      <w:pPr>
        <w:pStyle w:val="Heading3"/>
        <w:spacing w:before="120" w:after="120"/>
      </w:pPr>
      <w:r w:rsidRPr="008E61D0">
        <w:t>Treatment-Naive (MERIT)</w:t>
      </w:r>
    </w:p>
    <w:p w:rsidR="006342B9" w:rsidRPr="00D017AC" w:rsidRDefault="009A4790" w:rsidP="009A4790">
      <w:pPr>
        <w:autoSpaceDE w:val="0"/>
        <w:autoSpaceDN w:val="0"/>
        <w:adjustRightInd w:val="0"/>
        <w:jc w:val="both"/>
        <w:rPr>
          <w:lang w:eastAsia="en-AU"/>
        </w:rPr>
      </w:pPr>
      <w:r w:rsidRPr="00D017AC">
        <w:rPr>
          <w:lang w:eastAsia="en-AU"/>
        </w:rPr>
        <w:t xml:space="preserve">In a 96-week study of antiretroviral treatment-naïve </w:t>
      </w:r>
      <w:r w:rsidR="00551A77" w:rsidRPr="00D017AC">
        <w:rPr>
          <w:lang w:eastAsia="en-AU"/>
        </w:rPr>
        <w:t>patients</w:t>
      </w:r>
      <w:r w:rsidRPr="00D017AC">
        <w:rPr>
          <w:lang w:eastAsia="en-AU"/>
        </w:rPr>
        <w:t>, 14% (12/85) who had CCR5-tropic virus at screening with an enhanced sensitivity tropism assay (</w:t>
      </w:r>
      <w:proofErr w:type="spellStart"/>
      <w:r w:rsidRPr="00D017AC">
        <w:rPr>
          <w:lang w:eastAsia="en-AU"/>
        </w:rPr>
        <w:t>Trofile</w:t>
      </w:r>
      <w:proofErr w:type="spellEnd"/>
      <w:r w:rsidRPr="00D017AC">
        <w:rPr>
          <w:lang w:eastAsia="en-AU"/>
        </w:rPr>
        <w:t xml:space="preserve">) and failed therapy on maraviroc had CXCR4-using virus at the time of treatment failure. A detailed </w:t>
      </w:r>
      <w:proofErr w:type="spellStart"/>
      <w:r w:rsidRPr="00D017AC">
        <w:rPr>
          <w:lang w:eastAsia="en-AU"/>
        </w:rPr>
        <w:t>clonal</w:t>
      </w:r>
      <w:proofErr w:type="spellEnd"/>
      <w:r w:rsidRPr="00D017AC">
        <w:rPr>
          <w:lang w:eastAsia="en-AU"/>
        </w:rPr>
        <w:t xml:space="preserve"> analysis was conducted in two previously antiretroviral treatment-naïve </w:t>
      </w:r>
      <w:r w:rsidR="00551A77" w:rsidRPr="00D017AC">
        <w:rPr>
          <w:lang w:eastAsia="en-AU"/>
        </w:rPr>
        <w:t>patients</w:t>
      </w:r>
      <w:r w:rsidRPr="00D017AC">
        <w:rPr>
          <w:lang w:eastAsia="en-AU"/>
        </w:rPr>
        <w:t xml:space="preserve"> enrolled in a Phase 2a monotherapy study who had CXCR4-using virus detected after 10 days treatment with maraviroc. Consistent with the detailed </w:t>
      </w:r>
      <w:proofErr w:type="spellStart"/>
      <w:r w:rsidRPr="00D017AC">
        <w:rPr>
          <w:lang w:eastAsia="en-AU"/>
        </w:rPr>
        <w:t>clonal</w:t>
      </w:r>
      <w:proofErr w:type="spellEnd"/>
      <w:r w:rsidRPr="00D017AC">
        <w:rPr>
          <w:lang w:eastAsia="en-AU"/>
        </w:rPr>
        <w:t xml:space="preserve"> analysis conducted in treatment-experienced </w:t>
      </w:r>
      <w:r w:rsidR="00551A77" w:rsidRPr="00D017AC">
        <w:rPr>
          <w:lang w:eastAsia="en-AU"/>
        </w:rPr>
        <w:t>patients</w:t>
      </w:r>
      <w:r w:rsidRPr="00D017AC">
        <w:rPr>
          <w:lang w:eastAsia="en-AU"/>
        </w:rPr>
        <w:t xml:space="preserve">, the CXCR4-using variants appear to emerge from outgrowth of a pre-existing undetected CXCR4-using virus. Screening with an enhanced sensitivity tropism assay reduced the number of </w:t>
      </w:r>
      <w:proofErr w:type="spellStart"/>
      <w:r w:rsidRPr="00D017AC">
        <w:rPr>
          <w:lang w:eastAsia="en-AU"/>
        </w:rPr>
        <w:t>maraviroc</w:t>
      </w:r>
      <w:proofErr w:type="spellEnd"/>
      <w:r w:rsidRPr="00D017AC">
        <w:rPr>
          <w:lang w:eastAsia="en-AU"/>
        </w:rPr>
        <w:t xml:space="preserve"> </w:t>
      </w:r>
      <w:proofErr w:type="spellStart"/>
      <w:r w:rsidRPr="00D017AC">
        <w:rPr>
          <w:lang w:eastAsia="en-AU"/>
        </w:rPr>
        <w:t>virologic</w:t>
      </w:r>
      <w:proofErr w:type="spellEnd"/>
      <w:r w:rsidRPr="00D017AC">
        <w:rPr>
          <w:lang w:eastAsia="en-AU"/>
        </w:rPr>
        <w:t xml:space="preserve"> failures with CXCR4- or dual/mixed-tropic virus at failure to 12 compared to 24 when screening with the original tropism assay.</w:t>
      </w:r>
    </w:p>
    <w:p w:rsidR="009A4790" w:rsidRPr="00D017AC" w:rsidRDefault="00551A77" w:rsidP="00D017AC">
      <w:pPr>
        <w:autoSpaceDE w:val="0"/>
        <w:autoSpaceDN w:val="0"/>
        <w:adjustRightInd w:val="0"/>
        <w:spacing w:before="120" w:after="240"/>
        <w:jc w:val="both"/>
        <w:rPr>
          <w:lang w:eastAsia="en-AU"/>
        </w:rPr>
      </w:pPr>
      <w:r w:rsidRPr="00D017AC">
        <w:rPr>
          <w:lang w:eastAsia="en-AU"/>
        </w:rPr>
        <w:t>Patients</w:t>
      </w:r>
      <w:r w:rsidR="009A4790" w:rsidRPr="00D017AC">
        <w:rPr>
          <w:lang w:eastAsia="en-AU"/>
        </w:rPr>
        <w:t xml:space="preserve"> who had CCR5-tropic virus at baseline and failed maraviroc therapy with CXCR4-using virus had a median increase in CD4</w:t>
      </w:r>
      <w:r w:rsidR="009A4790" w:rsidRPr="00D017AC">
        <w:rPr>
          <w:vertAlign w:val="superscript"/>
          <w:lang w:eastAsia="en-AU"/>
        </w:rPr>
        <w:t xml:space="preserve">+ </w:t>
      </w:r>
      <w:r w:rsidR="009A4790" w:rsidRPr="00D017AC">
        <w:rPr>
          <w:lang w:eastAsia="en-AU"/>
        </w:rPr>
        <w:t>cell counts from baseline of +113 cells/mm</w:t>
      </w:r>
      <w:r w:rsidR="009A4790" w:rsidRPr="00D017AC">
        <w:rPr>
          <w:vertAlign w:val="superscript"/>
          <w:lang w:eastAsia="en-AU"/>
        </w:rPr>
        <w:t xml:space="preserve">3 </w:t>
      </w:r>
      <w:r w:rsidR="009A4790" w:rsidRPr="00D017AC">
        <w:rPr>
          <w:lang w:eastAsia="en-AU"/>
        </w:rPr>
        <w:t xml:space="preserve">while those </w:t>
      </w:r>
      <w:r w:rsidRPr="00D017AC">
        <w:rPr>
          <w:lang w:eastAsia="en-AU"/>
        </w:rPr>
        <w:t>patients</w:t>
      </w:r>
      <w:r w:rsidR="009A4790" w:rsidRPr="00D017AC">
        <w:rPr>
          <w:lang w:eastAsia="en-AU"/>
        </w:rPr>
        <w:t xml:space="preserve"> failing with CCR5-tropic virus had an increase of +135 cells/mm</w:t>
      </w:r>
      <w:r w:rsidR="009A4790" w:rsidRPr="00D017AC">
        <w:rPr>
          <w:vertAlign w:val="superscript"/>
          <w:lang w:eastAsia="en-AU"/>
        </w:rPr>
        <w:t>3</w:t>
      </w:r>
      <w:r w:rsidR="009A4790" w:rsidRPr="00D017AC">
        <w:rPr>
          <w:lang w:eastAsia="en-AU"/>
        </w:rPr>
        <w:t>. The median increase in CD4</w:t>
      </w:r>
      <w:r w:rsidR="009A4790" w:rsidRPr="00D017AC">
        <w:rPr>
          <w:vertAlign w:val="superscript"/>
          <w:lang w:eastAsia="en-AU"/>
        </w:rPr>
        <w:t xml:space="preserve">+ </w:t>
      </w:r>
      <w:r w:rsidR="009A4790" w:rsidRPr="00D017AC">
        <w:rPr>
          <w:lang w:eastAsia="en-AU"/>
        </w:rPr>
        <w:t xml:space="preserve">cell count in </w:t>
      </w:r>
      <w:r w:rsidRPr="00D017AC">
        <w:rPr>
          <w:lang w:eastAsia="en-AU"/>
        </w:rPr>
        <w:t>patients</w:t>
      </w:r>
      <w:r w:rsidR="009A4790" w:rsidRPr="00D017AC">
        <w:rPr>
          <w:lang w:eastAsia="en-AU"/>
        </w:rPr>
        <w:t xml:space="preserve"> failing in the efavirenz arm was + </w:t>
      </w:r>
      <w:proofErr w:type="gramStart"/>
      <w:r w:rsidR="009A4790" w:rsidRPr="00D017AC">
        <w:rPr>
          <w:lang w:eastAsia="en-AU"/>
        </w:rPr>
        <w:t>95 cells/mm</w:t>
      </w:r>
      <w:r w:rsidR="009A4790" w:rsidRPr="00D017AC">
        <w:rPr>
          <w:vertAlign w:val="superscript"/>
          <w:lang w:eastAsia="en-AU"/>
        </w:rPr>
        <w:t>3</w:t>
      </w:r>
      <w:proofErr w:type="gramEnd"/>
      <w:r w:rsidR="007812B9" w:rsidRPr="00D017AC">
        <w:rPr>
          <w:lang w:eastAsia="en-AU"/>
        </w:rPr>
        <w:t>.</w:t>
      </w:r>
      <w:r w:rsidR="00E617CB" w:rsidRPr="00D017AC">
        <w:rPr>
          <w:lang w:eastAsia="en-AU"/>
        </w:rPr>
        <w:t xml:space="preserve"> </w:t>
      </w:r>
      <w:r w:rsidR="009A4790" w:rsidRPr="00D017AC">
        <w:rPr>
          <w:lang w:eastAsia="en-AU"/>
        </w:rPr>
        <w:t xml:space="preserve">This </w:t>
      </w:r>
      <w:r w:rsidR="009A4790" w:rsidRPr="00D017AC">
        <w:rPr>
          <w:lang w:val="en-US" w:eastAsia="en-AU"/>
        </w:rPr>
        <w:t xml:space="preserve">data is a summary for a cohort of patients identified as </w:t>
      </w:r>
      <w:proofErr w:type="spellStart"/>
      <w:r w:rsidR="009A4790" w:rsidRPr="00D017AC">
        <w:rPr>
          <w:lang w:val="en-US" w:eastAsia="en-AU"/>
        </w:rPr>
        <w:t>virologic</w:t>
      </w:r>
      <w:proofErr w:type="spellEnd"/>
      <w:r w:rsidR="009A4790" w:rsidRPr="00D017AC">
        <w:rPr>
          <w:lang w:val="en-US" w:eastAsia="en-AU"/>
        </w:rPr>
        <w:t xml:space="preserve"> failures using the TLOVR algorithm based on a response cut off of</w:t>
      </w:r>
      <w:r w:rsidR="007812B9" w:rsidRPr="00D017AC">
        <w:rPr>
          <w:lang w:val="en-US" w:eastAsia="en-AU"/>
        </w:rPr>
        <w:t xml:space="preserve"> plasma HIV-1 RNA &lt;50 copies/</w:t>
      </w:r>
      <w:proofErr w:type="spellStart"/>
      <w:r w:rsidR="007812B9" w:rsidRPr="00D017AC">
        <w:rPr>
          <w:lang w:val="en-US" w:eastAsia="en-AU"/>
        </w:rPr>
        <w:t>mL</w:t>
      </w:r>
      <w:r w:rsidR="009A4790" w:rsidRPr="00D017AC">
        <w:rPr>
          <w:lang w:val="en-US" w:eastAsia="en-AU"/>
        </w:rPr>
        <w:t>.</w:t>
      </w:r>
      <w:proofErr w:type="spellEnd"/>
    </w:p>
    <w:p w:rsidR="00E66B00" w:rsidRPr="00E70E9C" w:rsidRDefault="00E66B00" w:rsidP="004D6F00">
      <w:pPr>
        <w:pStyle w:val="Heading1"/>
        <w:rPr>
          <w:lang w:val="en-GB" w:eastAsia="en-AU"/>
        </w:rPr>
      </w:pPr>
      <w:r w:rsidRPr="00564C8A">
        <w:t>INDICATIONS</w:t>
      </w:r>
    </w:p>
    <w:p w:rsidR="009C54F6" w:rsidRDefault="009C54F6" w:rsidP="009C54F6">
      <w:pPr>
        <w:spacing w:after="240"/>
        <w:jc w:val="both"/>
        <w:rPr>
          <w:lang w:val="en-GB" w:eastAsia="en-AU"/>
        </w:rPr>
      </w:pPr>
      <w:r w:rsidRPr="00564C8A">
        <w:rPr>
          <w:lang w:val="en-GB" w:eastAsia="en-AU"/>
        </w:rPr>
        <w:t>CELSENTRI, in combination with other antiretroviral medicinal products, is indicated for adult patients infected with</w:t>
      </w:r>
      <w:r>
        <w:rPr>
          <w:lang w:val="en-GB" w:eastAsia="en-AU"/>
        </w:rPr>
        <w:t xml:space="preserve"> only</w:t>
      </w:r>
      <w:r w:rsidRPr="00564C8A">
        <w:rPr>
          <w:lang w:val="en-GB" w:eastAsia="en-AU"/>
        </w:rPr>
        <w:t xml:space="preserve"> CCR5-tropic HIV-1</w:t>
      </w:r>
      <w:r>
        <w:rPr>
          <w:lang w:val="en-GB" w:eastAsia="en-AU"/>
        </w:rPr>
        <w:t>.</w:t>
      </w:r>
    </w:p>
    <w:p w:rsidR="007C5F5E" w:rsidRDefault="009C54F6" w:rsidP="009C54F6">
      <w:pPr>
        <w:spacing w:after="240"/>
        <w:jc w:val="both"/>
        <w:rPr>
          <w:lang w:val="en-GB" w:eastAsia="en-AU"/>
        </w:rPr>
      </w:pPr>
      <w:r>
        <w:rPr>
          <w:lang w:val="en-GB" w:eastAsia="en-AU"/>
        </w:rPr>
        <w:t>The use of other active agents with CELSENTRI is associated with a greater likelihood of treatment response.</w:t>
      </w:r>
    </w:p>
    <w:p w:rsidR="00E66B00" w:rsidRPr="00E70E9C" w:rsidRDefault="00E66B00" w:rsidP="004D6F00">
      <w:pPr>
        <w:pStyle w:val="Heading1"/>
        <w:rPr>
          <w:noProof/>
        </w:rPr>
      </w:pPr>
      <w:r w:rsidRPr="00564C8A">
        <w:t>CONTRAINDICATIONS</w:t>
      </w:r>
    </w:p>
    <w:p w:rsidR="00E66B00" w:rsidRPr="00564C8A" w:rsidRDefault="00E66B00" w:rsidP="00DA40D3">
      <w:pPr>
        <w:pStyle w:val="ListBullet"/>
        <w:numPr>
          <w:ilvl w:val="0"/>
          <w:numId w:val="0"/>
        </w:numPr>
        <w:spacing w:after="240"/>
        <w:rPr>
          <w:noProof/>
        </w:rPr>
      </w:pPr>
      <w:r w:rsidRPr="00564C8A">
        <w:rPr>
          <w:noProof/>
        </w:rPr>
        <w:t>Hypersensitivity to the active substance or to any of the excipients.</w:t>
      </w:r>
    </w:p>
    <w:p w:rsidR="00E66B00" w:rsidRPr="0051388B" w:rsidRDefault="00E66B00" w:rsidP="004D6F00">
      <w:pPr>
        <w:pStyle w:val="Heading1"/>
      </w:pPr>
      <w:r w:rsidRPr="0051388B">
        <w:t>PRECAUTIONS</w:t>
      </w:r>
    </w:p>
    <w:p w:rsidR="00E66B00" w:rsidRDefault="002E31AD" w:rsidP="003624FC">
      <w:pPr>
        <w:spacing w:after="240"/>
        <w:jc w:val="both"/>
        <w:rPr>
          <w:szCs w:val="22"/>
        </w:rPr>
      </w:pPr>
      <w:r w:rsidRPr="0051388B">
        <w:rPr>
          <w:u w:val="single"/>
        </w:rPr>
        <w:t>Tropism:</w:t>
      </w:r>
      <w:r w:rsidRPr="0051388B">
        <w:t xml:space="preserve"> </w:t>
      </w:r>
      <w:r w:rsidR="00E66B00" w:rsidRPr="0051388B">
        <w:t xml:space="preserve">CELSENTRI </w:t>
      </w:r>
      <w:r w:rsidR="00E66B00" w:rsidRPr="0051388B">
        <w:rPr>
          <w:szCs w:val="22"/>
        </w:rPr>
        <w:t xml:space="preserve">should be taken as part of an antiretroviral combination regimen. </w:t>
      </w:r>
      <w:r w:rsidR="00E66B00" w:rsidRPr="0051388B">
        <w:t xml:space="preserve">CELSENTRI </w:t>
      </w:r>
      <w:r w:rsidR="00E66B00" w:rsidRPr="0051388B">
        <w:rPr>
          <w:szCs w:val="22"/>
        </w:rPr>
        <w:t xml:space="preserve">should optimally be combined with other </w:t>
      </w:r>
      <w:proofErr w:type="spellStart"/>
      <w:r w:rsidR="00E66B00" w:rsidRPr="0051388B">
        <w:rPr>
          <w:szCs w:val="22"/>
        </w:rPr>
        <w:t>antiretrovirals</w:t>
      </w:r>
      <w:proofErr w:type="spellEnd"/>
      <w:r w:rsidR="00E66B00" w:rsidRPr="0051388B">
        <w:rPr>
          <w:szCs w:val="22"/>
        </w:rPr>
        <w:t xml:space="preserve"> to which the patient's virus is sensitive (see PHARMACOLOGY, </w:t>
      </w:r>
      <w:r w:rsidR="00E66B00" w:rsidRPr="0051388B">
        <w:t>Pharmacological actions</w:t>
      </w:r>
      <w:r w:rsidR="00E66B00" w:rsidRPr="0051388B">
        <w:rPr>
          <w:szCs w:val="22"/>
        </w:rPr>
        <w:t>).</w:t>
      </w:r>
    </w:p>
    <w:p w:rsidR="00B377BA" w:rsidRPr="00E70E9C" w:rsidRDefault="00B377BA" w:rsidP="00B377BA">
      <w:pPr>
        <w:pStyle w:val="BodyTextIndent"/>
        <w:spacing w:after="240"/>
        <w:ind w:left="0"/>
        <w:jc w:val="both"/>
      </w:pPr>
      <w:r w:rsidRPr="003E1F66">
        <w:t>Changes in viral tropism occur over time in HIV-1 infected patients. Therefore there is a need to start therapy shortly after a tropism test.</w:t>
      </w:r>
    </w:p>
    <w:p w:rsidR="006F5F75" w:rsidRPr="00CA5920" w:rsidRDefault="00B377BA" w:rsidP="006F5F75">
      <w:pPr>
        <w:spacing w:after="240"/>
        <w:jc w:val="both"/>
      </w:pPr>
      <w:r>
        <w:rPr>
          <w:u w:val="single"/>
        </w:rPr>
        <w:lastRenderedPageBreak/>
        <w:t>Initiating Therapy:</w:t>
      </w:r>
      <w:r>
        <w:t xml:space="preserve"> </w:t>
      </w:r>
      <w:r w:rsidR="006F5F75" w:rsidRPr="00CA5920">
        <w:t>The following points should be considered when initiating therapy with CELSENTRI</w:t>
      </w:r>
      <w:r w:rsidR="008512CB">
        <w:t xml:space="preserve"> </w:t>
      </w:r>
      <w:r w:rsidR="008512CB" w:rsidRPr="006342B9">
        <w:t xml:space="preserve">(see INDICATIONS, DOSAGE AND ADMINISTRATION, and </w:t>
      </w:r>
      <w:r w:rsidR="008512CB" w:rsidRPr="006342B9">
        <w:rPr>
          <w:szCs w:val="22"/>
        </w:rPr>
        <w:t xml:space="preserve">PHARMACOLOGY, </w:t>
      </w:r>
      <w:r w:rsidR="008512CB" w:rsidRPr="006342B9">
        <w:t>Pharmacological actions)</w:t>
      </w:r>
      <w:r w:rsidR="006F5F75" w:rsidRPr="00CA5920">
        <w:t>:</w:t>
      </w:r>
    </w:p>
    <w:p w:rsidR="006F5F75" w:rsidRDefault="006F5F75" w:rsidP="006F5F75">
      <w:pPr>
        <w:numPr>
          <w:ilvl w:val="0"/>
          <w:numId w:val="7"/>
        </w:numPr>
        <w:tabs>
          <w:tab w:val="num" w:pos="284"/>
        </w:tabs>
        <w:spacing w:after="240"/>
        <w:ind w:left="284" w:hanging="284"/>
        <w:jc w:val="both"/>
      </w:pPr>
      <w:r w:rsidRPr="00CA5920">
        <w:t>Tropism testing, resistance testing and treatment history should guide the use of CELSENTRI.</w:t>
      </w:r>
    </w:p>
    <w:p w:rsidR="00B377BA" w:rsidRPr="00CA5920" w:rsidRDefault="00B377BA" w:rsidP="006F5F75">
      <w:pPr>
        <w:numPr>
          <w:ilvl w:val="0"/>
          <w:numId w:val="7"/>
        </w:numPr>
        <w:tabs>
          <w:tab w:val="num" w:pos="284"/>
        </w:tabs>
        <w:spacing w:after="240"/>
        <w:ind w:left="284" w:hanging="284"/>
        <w:jc w:val="both"/>
      </w:pPr>
      <w:r w:rsidRPr="006342B9">
        <w:t>The viral</w:t>
      </w:r>
      <w:r w:rsidRPr="003E1F66">
        <w:t xml:space="preserve"> tropism cannot be predicted by treatment history or assessment of stored samples</w:t>
      </w:r>
      <w:r>
        <w:t>.</w:t>
      </w:r>
    </w:p>
    <w:p w:rsidR="006F5F75" w:rsidRPr="00CA5920" w:rsidRDefault="006F5F75" w:rsidP="006F5F75">
      <w:pPr>
        <w:numPr>
          <w:ilvl w:val="0"/>
          <w:numId w:val="7"/>
        </w:numPr>
        <w:tabs>
          <w:tab w:val="num" w:pos="284"/>
        </w:tabs>
        <w:spacing w:after="240"/>
        <w:ind w:left="284" w:hanging="284"/>
        <w:jc w:val="both"/>
      </w:pPr>
      <w:r w:rsidRPr="00CA5920">
        <w:t>Adult patients infected with only CCR5-tropic HIV-1 should use CELSENTRI.</w:t>
      </w:r>
    </w:p>
    <w:p w:rsidR="006F5F75" w:rsidRPr="00CA5920" w:rsidRDefault="006F5F75" w:rsidP="006F5F75">
      <w:pPr>
        <w:numPr>
          <w:ilvl w:val="0"/>
          <w:numId w:val="7"/>
        </w:numPr>
        <w:tabs>
          <w:tab w:val="num" w:pos="284"/>
        </w:tabs>
        <w:spacing w:after="240"/>
        <w:ind w:left="284" w:hanging="284"/>
        <w:jc w:val="both"/>
      </w:pPr>
      <w:r w:rsidRPr="00CA5920">
        <w:t xml:space="preserve">CCR5 tropism should be confirmed using a highly sensitive tropism assay prior to initiation of CELSENTRI therapy. Outgrowth of pre-existing low-level CXCR4- or dual/mixed tropic HIV-1 not detected by tropism testing at screening has been associated with </w:t>
      </w:r>
      <w:proofErr w:type="spellStart"/>
      <w:r w:rsidRPr="00CA5920">
        <w:t>virologic</w:t>
      </w:r>
      <w:proofErr w:type="spellEnd"/>
      <w:r w:rsidRPr="00CA5920">
        <w:t xml:space="preserve"> failure on CELSENTRI.</w:t>
      </w:r>
    </w:p>
    <w:p w:rsidR="006F5F75" w:rsidRPr="00CA5920" w:rsidRDefault="006F5F75" w:rsidP="006F5F75">
      <w:pPr>
        <w:numPr>
          <w:ilvl w:val="0"/>
          <w:numId w:val="7"/>
        </w:numPr>
        <w:tabs>
          <w:tab w:val="num" w:pos="284"/>
        </w:tabs>
        <w:spacing w:after="240"/>
        <w:ind w:left="284" w:hanging="284"/>
        <w:jc w:val="both"/>
      </w:pPr>
      <w:r w:rsidRPr="00CA5920">
        <w:rPr>
          <w:rFonts w:cs="Arial"/>
          <w:color w:val="000000"/>
        </w:rPr>
        <w:t>CELSENTRI is not recommended in patients with dual/mixed or CXCR4-tropic HIV-1.</w:t>
      </w:r>
    </w:p>
    <w:p w:rsidR="006F5F75" w:rsidRPr="00B377BA" w:rsidRDefault="006F5F75" w:rsidP="006F5F75">
      <w:pPr>
        <w:numPr>
          <w:ilvl w:val="0"/>
          <w:numId w:val="7"/>
        </w:numPr>
        <w:tabs>
          <w:tab w:val="num" w:pos="284"/>
        </w:tabs>
        <w:spacing w:after="240"/>
        <w:ind w:left="284" w:hanging="284"/>
        <w:jc w:val="both"/>
      </w:pPr>
      <w:r w:rsidRPr="00CA5920">
        <w:rPr>
          <w:rFonts w:cs="Arial"/>
          <w:color w:val="000000"/>
        </w:rPr>
        <w:t xml:space="preserve">In treatment-naive subjects, more subjects treated with CELSENTRI experienced </w:t>
      </w:r>
      <w:proofErr w:type="spellStart"/>
      <w:r w:rsidRPr="00CA5920">
        <w:rPr>
          <w:rFonts w:cs="Arial"/>
          <w:color w:val="000000"/>
        </w:rPr>
        <w:t>virologic</w:t>
      </w:r>
      <w:proofErr w:type="spellEnd"/>
      <w:r w:rsidRPr="00CA5920">
        <w:rPr>
          <w:rFonts w:cs="Arial"/>
          <w:color w:val="000000"/>
        </w:rPr>
        <w:t xml:space="preserve"> failure and developed lamivudine resistance compared to efavirenz</w:t>
      </w:r>
      <w:r>
        <w:rPr>
          <w:rFonts w:cs="Arial"/>
          <w:color w:val="000000"/>
        </w:rPr>
        <w:t>.</w:t>
      </w:r>
      <w:r w:rsidR="00F4056B" w:rsidRPr="00F4056B">
        <w:rPr>
          <w:rFonts w:ascii="TimesNewRomanPSMT" w:hAnsi="TimesNewRomanPSMT" w:cs="TimesNewRomanPSMT"/>
          <w:lang w:eastAsia="en-AU"/>
        </w:rPr>
        <w:t xml:space="preserve"> </w:t>
      </w:r>
      <w:r w:rsidR="00F4056B">
        <w:rPr>
          <w:rFonts w:cs="Arial"/>
          <w:color w:val="000000"/>
        </w:rPr>
        <w:t>T</w:t>
      </w:r>
      <w:r w:rsidR="00F4056B" w:rsidRPr="00F4056B">
        <w:rPr>
          <w:rFonts w:cs="Arial"/>
          <w:color w:val="000000"/>
        </w:rPr>
        <w:t>he main reason for discontinuation</w:t>
      </w:r>
      <w:r w:rsidR="00F4056B">
        <w:rPr>
          <w:rFonts w:cs="Arial"/>
          <w:color w:val="000000"/>
        </w:rPr>
        <w:t>s</w:t>
      </w:r>
      <w:r w:rsidR="00F4056B" w:rsidRPr="00F4056B">
        <w:rPr>
          <w:rFonts w:cs="Arial"/>
          <w:color w:val="000000"/>
        </w:rPr>
        <w:t xml:space="preserve"> in the efavirenz group was treatment-related adverse events</w:t>
      </w:r>
      <w:r w:rsidR="00F4056B">
        <w:rPr>
          <w:rFonts w:cs="Arial"/>
          <w:color w:val="000000"/>
        </w:rPr>
        <w:t xml:space="preserve"> </w:t>
      </w:r>
      <w:r w:rsidR="00F4056B">
        <w:t>(see CLINICAL TRIAL</w:t>
      </w:r>
      <w:r w:rsidR="00F4056B" w:rsidRPr="006342B9">
        <w:t>S</w:t>
      </w:r>
      <w:r w:rsidR="00F4056B">
        <w:t>, Table 6)</w:t>
      </w:r>
      <w:r w:rsidR="00324855">
        <w:t>.</w:t>
      </w:r>
    </w:p>
    <w:p w:rsidR="00324855" w:rsidRDefault="00B377BA" w:rsidP="003624FC">
      <w:pPr>
        <w:spacing w:after="240"/>
        <w:jc w:val="both"/>
        <w:rPr>
          <w:rFonts w:cs="Arial"/>
          <w:color w:val="000000"/>
        </w:rPr>
      </w:pPr>
      <w:r w:rsidRPr="00B377BA">
        <w:rPr>
          <w:rFonts w:cs="Arial"/>
          <w:color w:val="000000"/>
        </w:rPr>
        <w:t>The safety and efficacy of CELSENTRI have not been established in paediatric patients.</w:t>
      </w:r>
    </w:p>
    <w:p w:rsidR="00E66B00" w:rsidRPr="00564C8A" w:rsidRDefault="00E66B00" w:rsidP="003624FC">
      <w:pPr>
        <w:spacing w:after="240"/>
        <w:jc w:val="both"/>
        <w:rPr>
          <w:szCs w:val="22"/>
        </w:rPr>
      </w:pPr>
      <w:r w:rsidRPr="00564C8A">
        <w:rPr>
          <w:szCs w:val="22"/>
          <w:u w:val="single"/>
        </w:rPr>
        <w:t>Dose Adjustment:</w:t>
      </w:r>
      <w:r w:rsidRPr="00564C8A">
        <w:rPr>
          <w:szCs w:val="22"/>
        </w:rPr>
        <w:t xml:space="preserve"> </w:t>
      </w:r>
      <w:r w:rsidR="005501AD">
        <w:t>P</w:t>
      </w:r>
      <w:r w:rsidRPr="00564C8A">
        <w:t>hysicians should ensure that appropriate dose adjustment of CELSENTRI is made when CELSENTRI is co-administered with CYP3A4 inhibitors and/or inducers since maraviroc concentrations and its therapeutic effects may be affected (</w:t>
      </w:r>
      <w:r w:rsidRPr="00BF6F85">
        <w:t>see DOSAGE AND ADMINISTRATION and INTERACTIONS WITH OTHER MEDICINES</w:t>
      </w:r>
      <w:r w:rsidRPr="00564C8A">
        <w:t xml:space="preserve">). </w:t>
      </w:r>
      <w:r w:rsidR="007E3779">
        <w:rPr>
          <w:szCs w:val="22"/>
        </w:rPr>
        <w:t>R</w:t>
      </w:r>
      <w:r w:rsidRPr="00564C8A">
        <w:rPr>
          <w:szCs w:val="22"/>
        </w:rPr>
        <w:t>efer to the respective prescribing information of the other medicinal pr</w:t>
      </w:r>
      <w:r w:rsidR="00E70E9C">
        <w:rPr>
          <w:szCs w:val="22"/>
        </w:rPr>
        <w:t>oducts used in combination</w:t>
      </w:r>
      <w:r w:rsidR="007E3779">
        <w:rPr>
          <w:szCs w:val="22"/>
        </w:rPr>
        <w:t xml:space="preserve"> with CELSENTRI</w:t>
      </w:r>
      <w:r w:rsidR="00E70E9C">
        <w:rPr>
          <w:szCs w:val="22"/>
        </w:rPr>
        <w:t>.</w:t>
      </w:r>
    </w:p>
    <w:p w:rsidR="00E66B00" w:rsidRPr="006342B9" w:rsidRDefault="00E66B00" w:rsidP="003624FC">
      <w:pPr>
        <w:spacing w:after="240"/>
        <w:jc w:val="both"/>
        <w:rPr>
          <w:szCs w:val="22"/>
        </w:rPr>
      </w:pPr>
      <w:r w:rsidRPr="00564C8A">
        <w:rPr>
          <w:szCs w:val="22"/>
          <w:u w:val="single"/>
        </w:rPr>
        <w:t>Information for Patients:</w:t>
      </w:r>
      <w:r w:rsidRPr="00564C8A">
        <w:rPr>
          <w:szCs w:val="22"/>
        </w:rPr>
        <w:t xml:space="preserve"> </w:t>
      </w:r>
      <w:r w:rsidR="005501AD">
        <w:rPr>
          <w:szCs w:val="22"/>
        </w:rPr>
        <w:t>P</w:t>
      </w:r>
      <w:r w:rsidRPr="00564C8A">
        <w:rPr>
          <w:szCs w:val="22"/>
        </w:rPr>
        <w:t xml:space="preserve">atients should be advised that antiretroviral therapies including </w:t>
      </w:r>
      <w:r w:rsidRPr="00564C8A">
        <w:t>CELSENTRI</w:t>
      </w:r>
      <w:r w:rsidRPr="00564C8A">
        <w:rPr>
          <w:vertAlign w:val="superscript"/>
        </w:rPr>
        <w:t xml:space="preserve"> </w:t>
      </w:r>
      <w:r w:rsidRPr="00564C8A">
        <w:rPr>
          <w:szCs w:val="22"/>
        </w:rPr>
        <w:t>have not been shown to prevent the risk of transmission of HIV to others through sexual contact or contamination</w:t>
      </w:r>
      <w:r>
        <w:rPr>
          <w:szCs w:val="22"/>
        </w:rPr>
        <w:t xml:space="preserve"> with blood</w:t>
      </w:r>
      <w:r w:rsidRPr="00564C8A">
        <w:rPr>
          <w:szCs w:val="22"/>
        </w:rPr>
        <w:t xml:space="preserve">. They should continue to use appropriate precautions. Patients should also be informed that </w:t>
      </w:r>
      <w:r w:rsidRPr="006342B9">
        <w:t>CELSENTRI</w:t>
      </w:r>
      <w:r w:rsidRPr="006342B9">
        <w:rPr>
          <w:vertAlign w:val="superscript"/>
        </w:rPr>
        <w:t xml:space="preserve"> </w:t>
      </w:r>
      <w:r w:rsidRPr="006342B9">
        <w:rPr>
          <w:szCs w:val="22"/>
        </w:rPr>
        <w:t>is not a cure for HIV-1 infection.</w:t>
      </w:r>
    </w:p>
    <w:p w:rsidR="00434B21" w:rsidRPr="006342B9" w:rsidRDefault="00434B21" w:rsidP="003624FC">
      <w:pPr>
        <w:spacing w:after="240"/>
        <w:jc w:val="both"/>
        <w:rPr>
          <w:bCs/>
          <w:iCs/>
          <w:szCs w:val="22"/>
          <w:lang w:val="en-GB"/>
        </w:rPr>
      </w:pPr>
      <w:r w:rsidRPr="0051388B">
        <w:rPr>
          <w:szCs w:val="22"/>
          <w:u w:val="single"/>
        </w:rPr>
        <w:t>Severe Skin and Hypersensitivity Reactions:</w:t>
      </w:r>
      <w:r w:rsidRPr="0051388B">
        <w:rPr>
          <w:szCs w:val="22"/>
        </w:rPr>
        <w:t xml:space="preserve"> Hypersensitivity reactions including severe and potentially life threatening events have been reported in patients taking </w:t>
      </w:r>
      <w:r w:rsidR="00BA7718" w:rsidRPr="0051388B">
        <w:rPr>
          <w:szCs w:val="22"/>
        </w:rPr>
        <w:t>CELSENTRI</w:t>
      </w:r>
      <w:r w:rsidRPr="0051388B">
        <w:rPr>
          <w:szCs w:val="22"/>
        </w:rPr>
        <w:t xml:space="preserve">, in most cases concomitantly with other drugs associated with these reactions. These reactions were characterised by features including rash, constitutional findings, and sometimes organ dysfunction and hepatic failure. Cases of Stevens-Johnson syndrome (SJS), toxic epidermal </w:t>
      </w:r>
      <w:proofErr w:type="spellStart"/>
      <w:r w:rsidRPr="0051388B">
        <w:rPr>
          <w:szCs w:val="22"/>
        </w:rPr>
        <w:t>necrolysis</w:t>
      </w:r>
      <w:proofErr w:type="spellEnd"/>
      <w:r w:rsidRPr="0051388B">
        <w:rPr>
          <w:szCs w:val="22"/>
        </w:rPr>
        <w:t xml:space="preserve"> (TEN) and drug rash with </w:t>
      </w:r>
      <w:proofErr w:type="spellStart"/>
      <w:r w:rsidRPr="0051388B">
        <w:rPr>
          <w:szCs w:val="22"/>
        </w:rPr>
        <w:t>eosinophilia</w:t>
      </w:r>
      <w:proofErr w:type="spellEnd"/>
      <w:r w:rsidRPr="0051388B">
        <w:rPr>
          <w:szCs w:val="22"/>
        </w:rPr>
        <w:t xml:space="preserve"> and systemic symptoms (DRESS) have been reported (see ADVERSE EFFECTS). Discontinue maraviroc and other suspect agents immediately if signs or symptoms of severe skin or hypersensitivity reactions develop. Delay in </w:t>
      </w:r>
      <w:r w:rsidRPr="0051388B">
        <w:rPr>
          <w:szCs w:val="22"/>
        </w:rPr>
        <w:lastRenderedPageBreak/>
        <w:t xml:space="preserve">stopping maraviroc treatment or other suspect drugs after the onset of rash may result in a life-threatening reaction. Clinical status including liver </w:t>
      </w:r>
      <w:proofErr w:type="spellStart"/>
      <w:r w:rsidRPr="0051388B">
        <w:rPr>
          <w:szCs w:val="22"/>
        </w:rPr>
        <w:t>aminotransferases</w:t>
      </w:r>
      <w:proofErr w:type="spellEnd"/>
      <w:r w:rsidRPr="0051388B">
        <w:rPr>
          <w:szCs w:val="22"/>
        </w:rPr>
        <w:t xml:space="preserve"> should be monitored and appropriate therapy initiated.</w:t>
      </w:r>
    </w:p>
    <w:p w:rsidR="009C54F6" w:rsidRPr="00564C8A" w:rsidRDefault="009C54F6" w:rsidP="009C54F6">
      <w:pPr>
        <w:spacing w:after="240"/>
        <w:jc w:val="both"/>
        <w:rPr>
          <w:szCs w:val="22"/>
        </w:rPr>
      </w:pPr>
      <w:r w:rsidRPr="006342B9">
        <w:rPr>
          <w:u w:val="single"/>
          <w:lang w:val="en-US"/>
        </w:rPr>
        <w:t>Cardiovascular Safety:</w:t>
      </w:r>
      <w:r w:rsidRPr="006342B9">
        <w:rPr>
          <w:lang w:val="en-US"/>
        </w:rPr>
        <w:t xml:space="preserve"> Use with caution in patients at increased risk for cardiovascular events</w:t>
      </w:r>
      <w:r w:rsidRPr="006342B9">
        <w:rPr>
          <w:bCs/>
          <w:lang w:val="en-US"/>
        </w:rPr>
        <w:t xml:space="preserve">. Eleven </w:t>
      </w:r>
      <w:r w:rsidR="00551A77" w:rsidRPr="006342B9">
        <w:rPr>
          <w:bCs/>
          <w:lang w:val="en-US"/>
        </w:rPr>
        <w:t>patients</w:t>
      </w:r>
      <w:r w:rsidRPr="006342B9">
        <w:rPr>
          <w:bCs/>
          <w:lang w:val="en-US"/>
        </w:rPr>
        <w:t xml:space="preserve"> (1.3%) who received CELSENTRI had cardiovascular events that may</w:t>
      </w:r>
      <w:r>
        <w:rPr>
          <w:bCs/>
          <w:lang w:val="en-US"/>
        </w:rPr>
        <w:t xml:space="preserve"> be linked to coronary heart diseases </w:t>
      </w:r>
      <w:r w:rsidRPr="00573D14">
        <w:rPr>
          <w:bCs/>
          <w:lang w:val="en-US"/>
        </w:rPr>
        <w:t xml:space="preserve">including myocardial ischemia and/or infarction during the Phase 3 studies </w:t>
      </w:r>
      <w:r>
        <w:rPr>
          <w:bCs/>
          <w:lang w:val="en-US"/>
        </w:rPr>
        <w:t>in CCR5 tropic patients in treatment-experienced studies [</w:t>
      </w:r>
      <w:r w:rsidRPr="00573D14">
        <w:rPr>
          <w:bCs/>
          <w:lang w:val="en-US"/>
        </w:rPr>
        <w:t xml:space="preserve">total exposure </w:t>
      </w:r>
      <w:r>
        <w:rPr>
          <w:bCs/>
          <w:lang w:val="en-US"/>
        </w:rPr>
        <w:t>of 609 patient-years (309</w:t>
      </w:r>
      <w:r w:rsidRPr="00573D14">
        <w:rPr>
          <w:bCs/>
          <w:lang w:val="en-US"/>
        </w:rPr>
        <w:t xml:space="preserve"> patient-years</w:t>
      </w:r>
      <w:r>
        <w:rPr>
          <w:bCs/>
          <w:lang w:val="en-US"/>
        </w:rPr>
        <w:t xml:space="preserve"> for BD + 300 patient-years for OD</w:t>
      </w:r>
      <w:r w:rsidRPr="00573D14">
        <w:rPr>
          <w:bCs/>
          <w:lang w:val="en-US"/>
        </w:rPr>
        <w:t>)</w:t>
      </w:r>
      <w:r>
        <w:rPr>
          <w:bCs/>
          <w:lang w:val="en-US"/>
        </w:rPr>
        <w:t>]</w:t>
      </w:r>
      <w:r w:rsidRPr="00573D14">
        <w:rPr>
          <w:bCs/>
          <w:lang w:val="en-US"/>
        </w:rPr>
        <w:t xml:space="preserve">, while no </w:t>
      </w:r>
      <w:r w:rsidR="00551A77">
        <w:rPr>
          <w:bCs/>
          <w:lang w:val="en-US"/>
        </w:rPr>
        <w:t>patients</w:t>
      </w:r>
      <w:r w:rsidRPr="00573D14">
        <w:rPr>
          <w:bCs/>
          <w:lang w:val="en-US"/>
        </w:rPr>
        <w:t xml:space="preserve"> who received placebo had such events (tot</w:t>
      </w:r>
      <w:r>
        <w:rPr>
          <w:bCs/>
          <w:lang w:val="en-US"/>
        </w:rPr>
        <w:t xml:space="preserve">al exposure 111 patient-years). </w:t>
      </w:r>
      <w:r w:rsidRPr="00573D14">
        <w:rPr>
          <w:bCs/>
          <w:lang w:val="en-US"/>
        </w:rPr>
        <w:t xml:space="preserve">These </w:t>
      </w:r>
      <w:r w:rsidR="00551A77">
        <w:rPr>
          <w:bCs/>
          <w:lang w:val="en-US"/>
        </w:rPr>
        <w:t>patients</w:t>
      </w:r>
      <w:r w:rsidRPr="00573D14">
        <w:rPr>
          <w:bCs/>
          <w:lang w:val="en-US"/>
        </w:rPr>
        <w:t xml:space="preserve"> generally had cardiac disease or cardiac risk factors prior to </w:t>
      </w:r>
      <w:r>
        <w:rPr>
          <w:bCs/>
          <w:lang w:val="en-US"/>
        </w:rPr>
        <w:t>CELSENTRI</w:t>
      </w:r>
      <w:r w:rsidRPr="00573D14">
        <w:rPr>
          <w:bCs/>
          <w:lang w:val="en-US"/>
        </w:rPr>
        <w:t xml:space="preserve"> use, and the relative contribution of </w:t>
      </w:r>
      <w:r>
        <w:rPr>
          <w:bCs/>
          <w:lang w:val="en-US"/>
        </w:rPr>
        <w:t>CELSENTRI</w:t>
      </w:r>
      <w:r w:rsidRPr="00573D14">
        <w:rPr>
          <w:bCs/>
          <w:lang w:val="en-US"/>
        </w:rPr>
        <w:t xml:space="preserve"> to these events is not known.</w:t>
      </w:r>
    </w:p>
    <w:p w:rsidR="00E66B00" w:rsidRPr="00564C8A" w:rsidRDefault="00E66B00" w:rsidP="003624FC">
      <w:pPr>
        <w:autoSpaceDE w:val="0"/>
        <w:autoSpaceDN w:val="0"/>
        <w:adjustRightInd w:val="0"/>
        <w:spacing w:after="240"/>
        <w:jc w:val="both"/>
        <w:rPr>
          <w:szCs w:val="22"/>
        </w:rPr>
      </w:pPr>
      <w:r>
        <w:rPr>
          <w:szCs w:val="22"/>
        </w:rPr>
        <w:t>W</w:t>
      </w:r>
      <w:r w:rsidRPr="00564C8A">
        <w:rPr>
          <w:szCs w:val="22"/>
        </w:rPr>
        <w:t xml:space="preserve">hen CELSENTRI was administered in studies </w:t>
      </w:r>
      <w:r>
        <w:rPr>
          <w:szCs w:val="22"/>
        </w:rPr>
        <w:t xml:space="preserve">with healthy volunteers </w:t>
      </w:r>
      <w:r w:rsidRPr="00564C8A">
        <w:rPr>
          <w:szCs w:val="22"/>
        </w:rPr>
        <w:t>at doses higher than the recommended dose, cases of symptomatic postural hypotension were seen at a greater frequency than</w:t>
      </w:r>
      <w:r>
        <w:rPr>
          <w:szCs w:val="22"/>
        </w:rPr>
        <w:t xml:space="preserve"> with</w:t>
      </w:r>
      <w:r w:rsidRPr="00564C8A">
        <w:rPr>
          <w:szCs w:val="22"/>
        </w:rPr>
        <w:t xml:space="preserve"> placebo. However, when CELSENTRI was given at the recommended dose in HIV infected patients in Phase 3 studies, postural hypotension was seen at a similar rate compared to placebo (approximately 0.5%). Caution should be used when administering CELSENTRI in patients with a history of postural hypotension or on concomitant </w:t>
      </w:r>
      <w:r>
        <w:rPr>
          <w:szCs w:val="22"/>
        </w:rPr>
        <w:t xml:space="preserve">medicinal products </w:t>
      </w:r>
      <w:r w:rsidRPr="00564C8A">
        <w:rPr>
          <w:szCs w:val="22"/>
        </w:rPr>
        <w:t>known to lower blood pressure.</w:t>
      </w:r>
    </w:p>
    <w:p w:rsidR="0051388B" w:rsidRDefault="00E66B00" w:rsidP="003624FC">
      <w:pPr>
        <w:autoSpaceDE w:val="0"/>
        <w:autoSpaceDN w:val="0"/>
        <w:adjustRightInd w:val="0"/>
        <w:spacing w:after="240"/>
        <w:jc w:val="both"/>
        <w:rPr>
          <w:szCs w:val="22"/>
        </w:rPr>
      </w:pPr>
      <w:r w:rsidRPr="00564C8A">
        <w:rPr>
          <w:bCs/>
          <w:u w:val="single"/>
        </w:rPr>
        <w:t>Immune Reconstitution Syndrome</w:t>
      </w:r>
      <w:r w:rsidRPr="00712827">
        <w:rPr>
          <w:bCs/>
          <w:u w:val="single"/>
        </w:rPr>
        <w:t>:</w:t>
      </w:r>
      <w:r>
        <w:rPr>
          <w:bCs/>
        </w:rPr>
        <w:t xml:space="preserve"> </w:t>
      </w:r>
      <w:r w:rsidR="007E3779" w:rsidRPr="00B60752">
        <w:rPr>
          <w:szCs w:val="22"/>
        </w:rPr>
        <w:t>In HIV infected patients with severe i</w:t>
      </w:r>
      <w:r w:rsidR="007E3779">
        <w:rPr>
          <w:szCs w:val="22"/>
        </w:rPr>
        <w:t>mmune deficiency at the time of</w:t>
      </w:r>
      <w:r w:rsidR="007E3779" w:rsidRPr="00B60752">
        <w:rPr>
          <w:szCs w:val="22"/>
        </w:rPr>
        <w:t xml:space="preserve"> </w:t>
      </w:r>
      <w:r w:rsidR="007E3779">
        <w:rPr>
          <w:szCs w:val="22"/>
        </w:rPr>
        <w:t>starting</w:t>
      </w:r>
      <w:r w:rsidR="007E3779" w:rsidRPr="00B60752">
        <w:rPr>
          <w:szCs w:val="22"/>
        </w:rPr>
        <w:t xml:space="preserve"> highly active antiretroviral therapy (HAART), </w:t>
      </w:r>
      <w:r w:rsidR="007E3779">
        <w:rPr>
          <w:szCs w:val="22"/>
        </w:rPr>
        <w:t xml:space="preserve">including maraviroc, </w:t>
      </w:r>
      <w:r w:rsidR="007E3779" w:rsidRPr="00B60752">
        <w:rPr>
          <w:szCs w:val="22"/>
        </w:rPr>
        <w:t xml:space="preserve">an inflammatory reaction to asymptomatic or residual opportunistic pathogens may arise and cause serious clinical conditions, or aggravation of symptoms. Typically, such reactions have been observed within the first few weeks or months of initiation of HAART. Relevant examples are cytomegalovirus retinitis, generalised and/or focal </w:t>
      </w:r>
      <w:proofErr w:type="spellStart"/>
      <w:r w:rsidR="007E3779" w:rsidRPr="00B60752">
        <w:rPr>
          <w:szCs w:val="22"/>
        </w:rPr>
        <w:t>mycobacterial</w:t>
      </w:r>
      <w:proofErr w:type="spellEnd"/>
      <w:r w:rsidR="007E3779" w:rsidRPr="00B60752">
        <w:rPr>
          <w:szCs w:val="22"/>
        </w:rPr>
        <w:t xml:space="preserve"> infections, and pneumonia caused by </w:t>
      </w:r>
      <w:proofErr w:type="spellStart"/>
      <w:r w:rsidR="007E3779" w:rsidRPr="00B60752">
        <w:rPr>
          <w:szCs w:val="22"/>
        </w:rPr>
        <w:t>Pneumocystis</w:t>
      </w:r>
      <w:proofErr w:type="spellEnd"/>
      <w:r w:rsidR="007E3779" w:rsidRPr="00B60752">
        <w:rPr>
          <w:szCs w:val="22"/>
        </w:rPr>
        <w:t xml:space="preserve"> </w:t>
      </w:r>
      <w:proofErr w:type="spellStart"/>
      <w:r w:rsidR="007E3779" w:rsidRPr="00B60752">
        <w:rPr>
          <w:szCs w:val="22"/>
        </w:rPr>
        <w:t>jiroveci</w:t>
      </w:r>
      <w:proofErr w:type="spellEnd"/>
      <w:r w:rsidR="007E3779" w:rsidRPr="00B60752">
        <w:rPr>
          <w:szCs w:val="22"/>
        </w:rPr>
        <w:t xml:space="preserve"> (formerly known as </w:t>
      </w:r>
      <w:proofErr w:type="spellStart"/>
      <w:r w:rsidR="007E3779" w:rsidRPr="00B60752">
        <w:rPr>
          <w:szCs w:val="22"/>
        </w:rPr>
        <w:t>Pneumocystis</w:t>
      </w:r>
      <w:proofErr w:type="spellEnd"/>
      <w:r w:rsidR="007E3779" w:rsidRPr="00B60752">
        <w:rPr>
          <w:szCs w:val="22"/>
        </w:rPr>
        <w:t xml:space="preserve"> </w:t>
      </w:r>
      <w:proofErr w:type="spellStart"/>
      <w:r w:rsidR="007E3779" w:rsidRPr="00B60752">
        <w:rPr>
          <w:szCs w:val="22"/>
        </w:rPr>
        <w:t>carinii</w:t>
      </w:r>
      <w:proofErr w:type="spellEnd"/>
      <w:r w:rsidR="007E3779" w:rsidRPr="00B60752">
        <w:rPr>
          <w:szCs w:val="22"/>
        </w:rPr>
        <w:t>). Any inflammatory symptoms should be evaluated and treatment initiated when necessary</w:t>
      </w:r>
    </w:p>
    <w:p w:rsidR="00712827" w:rsidRPr="00562B3C" w:rsidRDefault="00712827" w:rsidP="003624FC">
      <w:pPr>
        <w:autoSpaceDE w:val="0"/>
        <w:autoSpaceDN w:val="0"/>
        <w:adjustRightInd w:val="0"/>
        <w:spacing w:after="240"/>
        <w:jc w:val="both"/>
      </w:pPr>
      <w:r w:rsidRPr="00712827">
        <w:rPr>
          <w:u w:val="single"/>
        </w:rPr>
        <w:t>Potential Risk of Infections:</w:t>
      </w:r>
      <w:r w:rsidRPr="00562B3C">
        <w:t xml:space="preserve"> CELSENTRI antagonises the CCR5 co-receptor located on some immune cells, and therefore could potentially increase the risk of developing infections. The overall incidence and severity of infections, as well as AIDS-defining category C infections, was comparable in the treatment groups during the Phase 3 </w:t>
      </w:r>
      <w:r w:rsidR="002A3D44" w:rsidRPr="00562B3C">
        <w:t>studies of CELSENTRI. Patients s</w:t>
      </w:r>
      <w:r w:rsidRPr="00562B3C">
        <w:t>hould</w:t>
      </w:r>
      <w:r w:rsidR="002A3D44" w:rsidRPr="00562B3C">
        <w:t xml:space="preserve"> be monitored closely for evidence of infections while receiving CELSENTRI.</w:t>
      </w:r>
    </w:p>
    <w:p w:rsidR="002A3D44" w:rsidRPr="00562B3C" w:rsidRDefault="00562B3C" w:rsidP="003624FC">
      <w:pPr>
        <w:autoSpaceDE w:val="0"/>
        <w:autoSpaceDN w:val="0"/>
        <w:adjustRightInd w:val="0"/>
        <w:spacing w:after="240"/>
        <w:jc w:val="both"/>
        <w:rPr>
          <w:color w:val="000000"/>
        </w:rPr>
      </w:pPr>
      <w:r>
        <w:rPr>
          <w:color w:val="000000"/>
          <w:u w:val="single"/>
        </w:rPr>
        <w:t>Potential Risk of Malignancy:</w:t>
      </w:r>
      <w:r w:rsidRPr="00562B3C">
        <w:rPr>
          <w:color w:val="000000"/>
        </w:rPr>
        <w:t xml:space="preserve"> W</w:t>
      </w:r>
      <w:r>
        <w:rPr>
          <w:color w:val="000000"/>
        </w:rPr>
        <w:t xml:space="preserve">hile no increase in malignancy has been observed in </w:t>
      </w:r>
      <w:r w:rsidR="00306C28">
        <w:rPr>
          <w:color w:val="000000"/>
        </w:rPr>
        <w:t>patients</w:t>
      </w:r>
      <w:r>
        <w:rPr>
          <w:color w:val="000000"/>
        </w:rPr>
        <w:t xml:space="preserve"> receiving CELSENTRI in Phase 3 studies, due to this drug’s mechanism of action it could affect immune surveillance and lead to an increase</w:t>
      </w:r>
      <w:r w:rsidR="00516E0E">
        <w:rPr>
          <w:color w:val="000000"/>
        </w:rPr>
        <w:t>d</w:t>
      </w:r>
      <w:r>
        <w:rPr>
          <w:color w:val="000000"/>
        </w:rPr>
        <w:t xml:space="preserve"> risk of malignancy. Long-term follow-up is required to more fully assess whether CELSENTRI increases the risk of malignancy.</w:t>
      </w:r>
    </w:p>
    <w:p w:rsidR="009343B3" w:rsidRPr="0060384F" w:rsidRDefault="00E66B00" w:rsidP="009343B3">
      <w:pPr>
        <w:autoSpaceDE w:val="0"/>
        <w:autoSpaceDN w:val="0"/>
        <w:adjustRightInd w:val="0"/>
        <w:spacing w:after="240"/>
        <w:jc w:val="both"/>
      </w:pPr>
      <w:r w:rsidRPr="0060384F">
        <w:rPr>
          <w:iCs/>
          <w:u w:val="single"/>
        </w:rPr>
        <w:t>Hepatic safety:</w:t>
      </w:r>
      <w:r w:rsidRPr="0060384F">
        <w:rPr>
          <w:iCs/>
        </w:rPr>
        <w:t xml:space="preserve"> </w:t>
      </w:r>
      <w:r w:rsidR="009343B3" w:rsidRPr="0060384F">
        <w:rPr>
          <w:iCs/>
        </w:rPr>
        <w:t>An i</w:t>
      </w:r>
      <w:r w:rsidR="009343B3" w:rsidRPr="0060384F">
        <w:t xml:space="preserve">ncrease in hepatic adverse reactions with CELSENTRI was observed during studies of treatment-experienced patients with HIV </w:t>
      </w:r>
      <w:proofErr w:type="gramStart"/>
      <w:r w:rsidR="009343B3" w:rsidRPr="0060384F">
        <w:t>infection,</w:t>
      </w:r>
      <w:proofErr w:type="gramEnd"/>
      <w:r w:rsidR="009343B3" w:rsidRPr="0060384F">
        <w:t xml:space="preserve"> </w:t>
      </w:r>
      <w:r w:rsidR="009343B3" w:rsidRPr="0060384F">
        <w:lastRenderedPageBreak/>
        <w:t>although there was no overall increase in ACTG Grade 3/4 liver function test abnormalities (see ADVERSE EFFECTS).</w:t>
      </w:r>
    </w:p>
    <w:p w:rsidR="009343B3" w:rsidRPr="0060384F" w:rsidRDefault="00997047" w:rsidP="00997047">
      <w:pPr>
        <w:spacing w:after="240"/>
        <w:jc w:val="both"/>
      </w:pPr>
      <w:r w:rsidRPr="00997047">
        <w:rPr>
          <w:color w:val="000000"/>
        </w:rPr>
        <w:t xml:space="preserve">Hepatotoxicity accompanied by severe rash or systemic allergic reaction including potentially life-threatening events has been reported. Hepatic laboratory parameters including ALT, AST, and bilirubin should be obtained prior to starting </w:t>
      </w:r>
      <w:r>
        <w:rPr>
          <w:color w:val="000000"/>
        </w:rPr>
        <w:t>C</w:t>
      </w:r>
      <w:r w:rsidRPr="00997047">
        <w:rPr>
          <w:color w:val="000000"/>
        </w:rPr>
        <w:t>EL</w:t>
      </w:r>
      <w:r>
        <w:rPr>
          <w:color w:val="000000"/>
        </w:rPr>
        <w:t>S</w:t>
      </w:r>
      <w:r w:rsidRPr="00997047">
        <w:rPr>
          <w:color w:val="000000"/>
        </w:rPr>
        <w:t>ENTR</w:t>
      </w:r>
      <w:r>
        <w:rPr>
          <w:color w:val="000000"/>
        </w:rPr>
        <w:t>I</w:t>
      </w:r>
      <w:r w:rsidRPr="00997047">
        <w:rPr>
          <w:color w:val="000000"/>
        </w:rPr>
        <w:t xml:space="preserve"> and at other time points during treatment as clinically indicated. If rash or symptoms or signs of hepatitis or allergic reaction develop, hepatic laboratory parameters should be monitored. </w:t>
      </w:r>
      <w:r w:rsidR="009343B3" w:rsidRPr="0060384F">
        <w:t xml:space="preserve">Discontinuation of CELSENTRI should be strongly considered in any patient with signs or symptoms of acute hepatitis, in particular if drug-related hypersensitivity is suspected or with increased liver </w:t>
      </w:r>
      <w:proofErr w:type="spellStart"/>
      <w:r w:rsidR="009343B3" w:rsidRPr="0060384F">
        <w:t>transaminases</w:t>
      </w:r>
      <w:proofErr w:type="spellEnd"/>
      <w:r w:rsidR="009343B3" w:rsidRPr="0060384F">
        <w:t xml:space="preserve"> combined with rash or other systemic symptoms of potential hypersensitivity (e.g. </w:t>
      </w:r>
      <w:proofErr w:type="spellStart"/>
      <w:r w:rsidR="009343B3" w:rsidRPr="0060384F">
        <w:t>pruritic</w:t>
      </w:r>
      <w:proofErr w:type="spellEnd"/>
      <w:r w:rsidR="009343B3" w:rsidRPr="0060384F">
        <w:t xml:space="preserve"> rash, </w:t>
      </w:r>
      <w:proofErr w:type="spellStart"/>
      <w:r w:rsidR="009343B3" w:rsidRPr="0060384F">
        <w:t>eosinophila</w:t>
      </w:r>
      <w:proofErr w:type="spellEnd"/>
      <w:r w:rsidR="009343B3" w:rsidRPr="0060384F">
        <w:t xml:space="preserve"> or elevated </w:t>
      </w:r>
      <w:proofErr w:type="spellStart"/>
      <w:r w:rsidR="009343B3" w:rsidRPr="0060384F">
        <w:t>IgE</w:t>
      </w:r>
      <w:proofErr w:type="spellEnd"/>
      <w:r w:rsidR="009343B3" w:rsidRPr="0060384F">
        <w:t>).</w:t>
      </w:r>
    </w:p>
    <w:p w:rsidR="009343B3" w:rsidRPr="0060384F" w:rsidRDefault="009343B3" w:rsidP="009343B3">
      <w:pPr>
        <w:spacing w:after="240"/>
        <w:jc w:val="both"/>
      </w:pPr>
      <w:r w:rsidRPr="0060384F">
        <w:t xml:space="preserve">Since there are very limited data in patients with hepatitis B/C co-infection, </w:t>
      </w:r>
      <w:r w:rsidR="00CB6F00">
        <w:t>use</w:t>
      </w:r>
      <w:r w:rsidR="00CB6F00" w:rsidRPr="0060384F">
        <w:t xml:space="preserve"> </w:t>
      </w:r>
      <w:r w:rsidRPr="0060384F">
        <w:t>caution when treating these patients with CELSENTRI.</w:t>
      </w:r>
      <w:r w:rsidRPr="0060384F">
        <w:rPr>
          <w:color w:val="000000"/>
        </w:rPr>
        <w:t xml:space="preserve"> In case of concomitant antiviral therapy for hepatitis B and/or C, please refer also to the relevant prescribing information for these medicinal products.</w:t>
      </w:r>
      <w:r w:rsidRPr="0060384F">
        <w:t xml:space="preserve"> </w:t>
      </w:r>
    </w:p>
    <w:p w:rsidR="009343B3" w:rsidRPr="0060384F" w:rsidRDefault="00CB6F00" w:rsidP="009343B3">
      <w:pPr>
        <w:spacing w:after="240"/>
        <w:jc w:val="both"/>
      </w:pPr>
      <w:r w:rsidRPr="00CB6F00">
        <w:t xml:space="preserve">Use caution when administering </w:t>
      </w:r>
      <w:r>
        <w:t>CELSENTRI</w:t>
      </w:r>
      <w:r w:rsidRPr="00CB6F00">
        <w:t xml:space="preserve"> to patients with pre-existing liver dysfunction</w:t>
      </w:r>
      <w:r w:rsidR="009343B3" w:rsidRPr="0060384F">
        <w:t xml:space="preserve">, including chronic active hepatitis, </w:t>
      </w:r>
      <w:r>
        <w:t xml:space="preserve">as these patients </w:t>
      </w:r>
      <w:r w:rsidR="009343B3" w:rsidRPr="0060384F">
        <w:t>can have an increased frequency of liver function abnormalities during combination antiretroviral therapy and should be monitored according to standard practice.</w:t>
      </w:r>
    </w:p>
    <w:p w:rsidR="009343B3" w:rsidRPr="0060384F" w:rsidRDefault="009343B3" w:rsidP="009343B3">
      <w:pPr>
        <w:spacing w:after="240"/>
        <w:jc w:val="both"/>
        <w:rPr>
          <w:color w:val="000000"/>
        </w:rPr>
      </w:pPr>
      <w:r w:rsidRPr="0060384F">
        <w:rPr>
          <w:color w:val="000000"/>
        </w:rPr>
        <w:t xml:space="preserve">The safety and efficacy of </w:t>
      </w:r>
      <w:r w:rsidRPr="0060384F">
        <w:t>CELSENTRI</w:t>
      </w:r>
      <w:r w:rsidRPr="0060384F">
        <w:rPr>
          <w:vertAlign w:val="superscript"/>
        </w:rPr>
        <w:t xml:space="preserve"> </w:t>
      </w:r>
      <w:r w:rsidRPr="0060384F">
        <w:rPr>
          <w:color w:val="000000"/>
        </w:rPr>
        <w:t xml:space="preserve">have not been specifically studied in patients with significant underlying liver disorders. Since there is limited experience in patients with reduced hepatic function, therefore </w:t>
      </w:r>
      <w:r w:rsidRPr="0060384F">
        <w:t>CELSENTRI</w:t>
      </w:r>
      <w:r w:rsidRPr="0060384F">
        <w:rPr>
          <w:vertAlign w:val="superscript"/>
        </w:rPr>
        <w:t xml:space="preserve"> </w:t>
      </w:r>
      <w:r w:rsidRPr="0060384F">
        <w:rPr>
          <w:color w:val="000000"/>
        </w:rPr>
        <w:t>should be used with caution in this population (</w:t>
      </w:r>
      <w:r w:rsidRPr="0060384F">
        <w:rPr>
          <w:iCs/>
          <w:szCs w:val="18"/>
        </w:rPr>
        <w:t xml:space="preserve">see </w:t>
      </w:r>
      <w:r w:rsidRPr="0060384F">
        <w:t>DOSAGE AND ADMINISTRATION and PHARMACOLOGY, Pharmacokinetics).</w:t>
      </w:r>
    </w:p>
    <w:p w:rsidR="00E66B00" w:rsidRPr="005501AD" w:rsidRDefault="00E66B00" w:rsidP="009343B3">
      <w:pPr>
        <w:autoSpaceDE w:val="0"/>
        <w:autoSpaceDN w:val="0"/>
        <w:adjustRightInd w:val="0"/>
        <w:spacing w:after="240"/>
        <w:jc w:val="both"/>
        <w:rPr>
          <w:color w:val="000000"/>
        </w:rPr>
      </w:pPr>
      <w:r w:rsidRPr="00564C8A">
        <w:rPr>
          <w:rFonts w:ascii="TimesNewRomanPS-BoldMT" w:hAnsi="TimesNewRomanPS-BoldMT"/>
          <w:bCs/>
          <w:u w:val="single"/>
        </w:rPr>
        <w:t>Renal impairment</w:t>
      </w:r>
      <w:r w:rsidRPr="005501AD">
        <w:rPr>
          <w:rFonts w:ascii="TimesNewRomanPS-BoldMT" w:hAnsi="TimesNewRomanPS-BoldMT"/>
          <w:bCs/>
          <w:u w:val="single"/>
        </w:rPr>
        <w:t>:</w:t>
      </w:r>
      <w:r w:rsidRPr="005501AD">
        <w:rPr>
          <w:rFonts w:ascii="TimesNewRomanPS-BoldMT" w:hAnsi="TimesNewRomanPS-BoldMT"/>
          <w:bCs/>
        </w:rPr>
        <w:t xml:space="preserve"> the safety and efficacy of </w:t>
      </w:r>
      <w:r w:rsidRPr="005501AD">
        <w:t>CELSENTRI</w:t>
      </w:r>
      <w:r w:rsidRPr="005501AD">
        <w:rPr>
          <w:vertAlign w:val="superscript"/>
        </w:rPr>
        <w:t xml:space="preserve"> </w:t>
      </w:r>
      <w:r w:rsidRPr="005501AD">
        <w:rPr>
          <w:rFonts w:ascii="TimesNewRomanPS-BoldMT" w:hAnsi="TimesNewRomanPS-BoldMT"/>
          <w:bCs/>
        </w:rPr>
        <w:t xml:space="preserve">have not been specifically studied in patients with renal </w:t>
      </w:r>
      <w:r w:rsidR="00324855" w:rsidRPr="005501AD">
        <w:rPr>
          <w:rFonts w:ascii="TimesNewRomanPS-BoldMT" w:hAnsi="TimesNewRomanPS-BoldMT"/>
          <w:bCs/>
        </w:rPr>
        <w:t>impairment</w:t>
      </w:r>
      <w:r w:rsidR="00324855" w:rsidRPr="005501AD">
        <w:rPr>
          <w:color w:val="000000"/>
        </w:rPr>
        <w:t>;</w:t>
      </w:r>
      <w:r w:rsidRPr="005501AD">
        <w:rPr>
          <w:color w:val="000000"/>
        </w:rPr>
        <w:t xml:space="preserve"> therefore </w:t>
      </w:r>
      <w:r w:rsidRPr="005501AD">
        <w:t>CELSENTRI</w:t>
      </w:r>
      <w:r w:rsidRPr="005501AD">
        <w:rPr>
          <w:vertAlign w:val="superscript"/>
        </w:rPr>
        <w:t xml:space="preserve"> </w:t>
      </w:r>
      <w:r w:rsidRPr="005501AD">
        <w:rPr>
          <w:color w:val="000000"/>
        </w:rPr>
        <w:t>should be used with caution in this population.</w:t>
      </w:r>
    </w:p>
    <w:p w:rsidR="00AE1575" w:rsidRPr="005501AD" w:rsidRDefault="00AE1575" w:rsidP="00C92756">
      <w:pPr>
        <w:pStyle w:val="Paragraph"/>
        <w:jc w:val="both"/>
      </w:pPr>
      <w:r w:rsidRPr="005501AD">
        <w:t>S</w:t>
      </w:r>
      <w:r w:rsidR="00C92756" w:rsidRPr="005501AD">
        <w:t>tudy</w:t>
      </w:r>
      <w:r w:rsidRPr="005501AD">
        <w:t xml:space="preserve"> A4001075</w:t>
      </w:r>
      <w:r w:rsidR="00C92756" w:rsidRPr="005501AD">
        <w:t xml:space="preserve"> evaluated the pharmacokinetics and safety of CELSENTRI in </w:t>
      </w:r>
      <w:r w:rsidRPr="005501AD">
        <w:t xml:space="preserve">combination with </w:t>
      </w:r>
      <w:proofErr w:type="spellStart"/>
      <w:r w:rsidRPr="005501AD">
        <w:t>saquinavir</w:t>
      </w:r>
      <w:proofErr w:type="spellEnd"/>
      <w:r w:rsidRPr="005501AD">
        <w:t>/</w:t>
      </w:r>
      <w:proofErr w:type="spellStart"/>
      <w:r w:rsidRPr="005501AD">
        <w:t>ritonavir</w:t>
      </w:r>
      <w:proofErr w:type="spellEnd"/>
      <w:r w:rsidRPr="005501AD">
        <w:t xml:space="preserve"> in participants</w:t>
      </w:r>
      <w:r w:rsidR="00C92756" w:rsidRPr="005501AD">
        <w:t xml:space="preserve"> with </w:t>
      </w:r>
      <w:r w:rsidRPr="005501AD">
        <w:t>mild and moderate</w:t>
      </w:r>
      <w:r w:rsidR="00C92756" w:rsidRPr="005501AD">
        <w:t xml:space="preserve"> renal impairment compared to healthy </w:t>
      </w:r>
      <w:r w:rsidRPr="005501AD">
        <w:t xml:space="preserve">adult </w:t>
      </w:r>
      <w:r w:rsidR="00C92756" w:rsidRPr="005501AD">
        <w:t>volunteers</w:t>
      </w:r>
      <w:r w:rsidRPr="005501AD">
        <w:t xml:space="preserve"> (See PHARMACOLOGY, Pharmacokinetics, </w:t>
      </w:r>
      <w:proofErr w:type="gramStart"/>
      <w:r w:rsidRPr="005501AD">
        <w:t>Renal</w:t>
      </w:r>
      <w:proofErr w:type="gramEnd"/>
      <w:r w:rsidRPr="005501AD">
        <w:t xml:space="preserve"> Impairment)</w:t>
      </w:r>
      <w:r w:rsidR="00C92756" w:rsidRPr="005501AD">
        <w:t xml:space="preserve">. </w:t>
      </w:r>
    </w:p>
    <w:p w:rsidR="00AE1575" w:rsidRPr="005501AD" w:rsidRDefault="00AE1575" w:rsidP="00C92756">
      <w:pPr>
        <w:pStyle w:val="Paragraph"/>
        <w:jc w:val="both"/>
      </w:pPr>
      <w:r w:rsidRPr="005501AD">
        <w:t xml:space="preserve">All 18 participants received </w:t>
      </w:r>
      <w:proofErr w:type="spellStart"/>
      <w:r w:rsidRPr="005501AD">
        <w:t>saquinavir</w:t>
      </w:r>
      <w:proofErr w:type="spellEnd"/>
      <w:r w:rsidRPr="005501AD">
        <w:t>/</w:t>
      </w:r>
      <w:proofErr w:type="spellStart"/>
      <w:r w:rsidRPr="005501AD">
        <w:t>ritonavir</w:t>
      </w:r>
      <w:proofErr w:type="spellEnd"/>
      <w:r w:rsidRPr="005501AD">
        <w:t xml:space="preserve"> 1000/100 mg in addition to 150 mg </w:t>
      </w:r>
      <w:proofErr w:type="spellStart"/>
      <w:r w:rsidRPr="005501AD">
        <w:t>maraviroc</w:t>
      </w:r>
      <w:proofErr w:type="spellEnd"/>
      <w:r w:rsidRPr="005501AD">
        <w:t xml:space="preserve"> at different dose frequencies: healthy volunteers – every 12 hours (n=6); mild renal impairment – every 24 hours (n=6); moderate renal impairment – every 48 hours (n=6). Treatment duration was 7 days.</w:t>
      </w:r>
    </w:p>
    <w:p w:rsidR="005D7BCA" w:rsidRPr="005501AD" w:rsidRDefault="005D7BCA" w:rsidP="00C92756">
      <w:pPr>
        <w:pStyle w:val="Paragraph"/>
        <w:jc w:val="both"/>
      </w:pPr>
      <w:r w:rsidRPr="005501AD">
        <w:t xml:space="preserve">The most frequently reported treatment related adverse event by preferred term was blood </w:t>
      </w:r>
      <w:proofErr w:type="spellStart"/>
      <w:r w:rsidRPr="005501AD">
        <w:t>creatinine</w:t>
      </w:r>
      <w:proofErr w:type="spellEnd"/>
      <w:r w:rsidRPr="005501AD">
        <w:t xml:space="preserve"> increased, reported in eight (8) of the twelve (12) participants with mild and moderate renal impairment. </w:t>
      </w:r>
      <w:proofErr w:type="spellStart"/>
      <w:r w:rsidRPr="005501AD">
        <w:t>Nocturia</w:t>
      </w:r>
      <w:proofErr w:type="spellEnd"/>
      <w:r w:rsidRPr="005501AD">
        <w:t xml:space="preserve">, considered study drug related, was reported by 6 of the 12 participants with mild and moderate renal impairment. Patients in the study with normal renal function demonstrated a decrease in mean </w:t>
      </w:r>
      <w:proofErr w:type="spellStart"/>
      <w:r w:rsidRPr="005501AD">
        <w:lastRenderedPageBreak/>
        <w:t>creatinine</w:t>
      </w:r>
      <w:proofErr w:type="spellEnd"/>
      <w:r w:rsidRPr="005501AD">
        <w:t xml:space="preserve"> clearance over the course of the study, though no patient with normal function had decreased </w:t>
      </w:r>
      <w:proofErr w:type="spellStart"/>
      <w:r w:rsidRPr="005501AD">
        <w:t>creatinine</w:t>
      </w:r>
      <w:proofErr w:type="spellEnd"/>
      <w:r w:rsidRPr="005501AD">
        <w:t xml:space="preserve"> clearance reported as an adverse event.</w:t>
      </w:r>
    </w:p>
    <w:p w:rsidR="005D7BCA" w:rsidRPr="005501AD" w:rsidRDefault="005D7BCA" w:rsidP="00C92756">
      <w:pPr>
        <w:pStyle w:val="Paragraph"/>
        <w:jc w:val="both"/>
      </w:pPr>
      <w:r w:rsidRPr="005501AD">
        <w:t xml:space="preserve">On the basis of these results it is recommended that renal function is monitored if patients on </w:t>
      </w:r>
      <w:proofErr w:type="spellStart"/>
      <w:r w:rsidRPr="005501AD">
        <w:t>maraviroc</w:t>
      </w:r>
      <w:proofErr w:type="spellEnd"/>
      <w:r w:rsidRPr="005501AD">
        <w:t xml:space="preserve"> are co-administered </w:t>
      </w:r>
      <w:proofErr w:type="spellStart"/>
      <w:r w:rsidRPr="005501AD">
        <w:t>saquinavir</w:t>
      </w:r>
      <w:proofErr w:type="spellEnd"/>
      <w:r w:rsidRPr="005501AD">
        <w:t>/</w:t>
      </w:r>
      <w:proofErr w:type="spellStart"/>
      <w:r w:rsidRPr="005501AD">
        <w:t>ritonavir</w:t>
      </w:r>
      <w:proofErr w:type="spellEnd"/>
      <w:r w:rsidRPr="005501AD">
        <w:t xml:space="preserve">. The effect of this drug interaction on renal function in patients with severe renal failure has not been studied. The effect of multiple dose treatment with </w:t>
      </w:r>
      <w:proofErr w:type="spellStart"/>
      <w:r w:rsidRPr="005501AD">
        <w:t>maraviroc</w:t>
      </w:r>
      <w:proofErr w:type="spellEnd"/>
      <w:r w:rsidRPr="005501AD">
        <w:t xml:space="preserve"> without </w:t>
      </w:r>
      <w:proofErr w:type="gramStart"/>
      <w:r w:rsidRPr="005501AD">
        <w:t>concomitant  CYP3A4</w:t>
      </w:r>
      <w:proofErr w:type="gramEnd"/>
      <w:r w:rsidRPr="005501AD">
        <w:t xml:space="preserve"> has not been studied.</w:t>
      </w:r>
    </w:p>
    <w:p w:rsidR="00306DB8" w:rsidRPr="005501AD" w:rsidRDefault="00306DB8" w:rsidP="00C92756">
      <w:pPr>
        <w:pStyle w:val="Paragraph"/>
        <w:jc w:val="both"/>
      </w:pPr>
      <w:r w:rsidRPr="005501AD">
        <w:t xml:space="preserve">An increased risk of postural hypotension may occur in patients with severe renal insufficiency who are treated with boosted protease inhibitors (PIs) and CELSENTRI.  This risk is due to potential increases in </w:t>
      </w:r>
      <w:proofErr w:type="spellStart"/>
      <w:r w:rsidRPr="005501AD">
        <w:t>maraviroc</w:t>
      </w:r>
      <w:proofErr w:type="spellEnd"/>
      <w:r w:rsidRPr="005501AD">
        <w:t xml:space="preserve"> maximum concentrations when </w:t>
      </w:r>
      <w:proofErr w:type="spellStart"/>
      <w:r w:rsidRPr="005501AD">
        <w:t>maraviroc</w:t>
      </w:r>
      <w:proofErr w:type="spellEnd"/>
      <w:r w:rsidRPr="005501AD">
        <w:t xml:space="preserve"> is co-administered with boosted PIs in these patients.  The risk of postural hypotension is highest when </w:t>
      </w:r>
      <w:proofErr w:type="spellStart"/>
      <w:r w:rsidRPr="005501AD">
        <w:t>maraviroc</w:t>
      </w:r>
      <w:proofErr w:type="spellEnd"/>
      <w:r w:rsidRPr="005501AD">
        <w:t xml:space="preserve"> is co-administered with PIs having the most potent CYP3A4 inhibitory effect (</w:t>
      </w:r>
      <w:proofErr w:type="spellStart"/>
      <w:r w:rsidRPr="005501AD">
        <w:t>saquinavir</w:t>
      </w:r>
      <w:proofErr w:type="spellEnd"/>
      <w:r w:rsidRPr="005501AD">
        <w:t>/</w:t>
      </w:r>
      <w:proofErr w:type="spellStart"/>
      <w:r w:rsidRPr="005501AD">
        <w:t>ritonavir</w:t>
      </w:r>
      <w:proofErr w:type="spellEnd"/>
      <w:r w:rsidRPr="005501AD">
        <w:t xml:space="preserve">, </w:t>
      </w:r>
      <w:proofErr w:type="spellStart"/>
      <w:r w:rsidRPr="005501AD">
        <w:t>darunavir</w:t>
      </w:r>
      <w:proofErr w:type="spellEnd"/>
      <w:r w:rsidRPr="005501AD">
        <w:t>/</w:t>
      </w:r>
      <w:proofErr w:type="spellStart"/>
      <w:r w:rsidRPr="005501AD">
        <w:t>ritonavir</w:t>
      </w:r>
      <w:proofErr w:type="spellEnd"/>
      <w:r w:rsidRPr="005501AD">
        <w:t xml:space="preserve">, </w:t>
      </w:r>
      <w:proofErr w:type="spellStart"/>
      <w:proofErr w:type="gramStart"/>
      <w:r w:rsidRPr="005501AD">
        <w:t>lopinavir</w:t>
      </w:r>
      <w:proofErr w:type="spellEnd"/>
      <w:proofErr w:type="gramEnd"/>
      <w:r w:rsidRPr="005501AD">
        <w:t>/</w:t>
      </w:r>
      <w:proofErr w:type="spellStart"/>
      <w:r w:rsidRPr="005501AD">
        <w:t>ritonavir</w:t>
      </w:r>
      <w:proofErr w:type="spellEnd"/>
      <w:r w:rsidRPr="005501AD">
        <w:t xml:space="preserve">).  </w:t>
      </w:r>
      <w:r w:rsidR="003E36DF" w:rsidRPr="005501AD">
        <w:t>Caution should be used when administering CELSENTRI in patients with a history of postural hypotension or on concomitant medication known to reduce blood pressure.</w:t>
      </w:r>
      <w:r w:rsidR="00637551">
        <w:t xml:space="preserve"> </w:t>
      </w:r>
      <w:r w:rsidRPr="005501AD">
        <w:t xml:space="preserve">Patients with impaired renal function may frequently have cardiovascular co-morbidities, and could be at increased risk of cardiovascular adverse events triggered by postural hypotension.  No studies have been performed in </w:t>
      </w:r>
      <w:r w:rsidR="00306C28">
        <w:t>patients</w:t>
      </w:r>
      <w:r w:rsidRPr="005501AD">
        <w:t xml:space="preserve"> with severe renal impairment co-treated with potent CYP3A4 inhibitors.  </w:t>
      </w:r>
    </w:p>
    <w:p w:rsidR="00C92756" w:rsidRPr="00E70E9C" w:rsidRDefault="00C92756" w:rsidP="00C92756">
      <w:pPr>
        <w:spacing w:after="240"/>
        <w:jc w:val="both"/>
        <w:rPr>
          <w:color w:val="000000"/>
        </w:rPr>
      </w:pPr>
      <w:r w:rsidRPr="005501AD">
        <w:t xml:space="preserve">Table </w:t>
      </w:r>
      <w:r w:rsidR="00306DB8" w:rsidRPr="005501AD">
        <w:t>1</w:t>
      </w:r>
      <w:r w:rsidR="00404D67">
        <w:t>3</w:t>
      </w:r>
      <w:r w:rsidRPr="005501AD">
        <w:t xml:space="preserve"> provides dose and/or interval adjustment guidelines for patients with renal impairment with and without co-administered potent CYP3A4 inhibitors (see DOSAGE AND ADMINISTRATION, </w:t>
      </w:r>
      <w:r w:rsidRPr="005501AD">
        <w:rPr>
          <w:color w:val="000000"/>
        </w:rPr>
        <w:t>INTERACTIONS WITH OTHER MEDICINES and PHARMACOLOGY, Pharmacokinetics</w:t>
      </w:r>
      <w:r w:rsidRPr="005501AD">
        <w:t>).</w:t>
      </w:r>
    </w:p>
    <w:p w:rsidR="00E66B00" w:rsidRPr="00EB4A2C" w:rsidRDefault="00E66B00" w:rsidP="00F97C78">
      <w:pPr>
        <w:pStyle w:val="Heading2"/>
      </w:pPr>
      <w:r w:rsidRPr="00EB4A2C">
        <w:t>Effects on ability to drive and use machines</w:t>
      </w:r>
    </w:p>
    <w:p w:rsidR="00E66B00" w:rsidRPr="00E70E9C" w:rsidRDefault="00B75587" w:rsidP="003624FC">
      <w:pPr>
        <w:spacing w:after="240"/>
        <w:jc w:val="both"/>
        <w:rPr>
          <w:color w:val="000000"/>
        </w:rPr>
      </w:pPr>
      <w:r>
        <w:rPr>
          <w:color w:val="000000"/>
        </w:rPr>
        <w:t>There have been n</w:t>
      </w:r>
      <w:r w:rsidR="00E66B00" w:rsidRPr="00EB4A2C">
        <w:rPr>
          <w:color w:val="000000"/>
        </w:rPr>
        <w:t xml:space="preserve">o studies </w:t>
      </w:r>
      <w:r>
        <w:rPr>
          <w:color w:val="000000"/>
        </w:rPr>
        <w:t xml:space="preserve">to </w:t>
      </w:r>
      <w:proofErr w:type="gramStart"/>
      <w:r>
        <w:rPr>
          <w:color w:val="000000"/>
        </w:rPr>
        <w:t xml:space="preserve">investigate </w:t>
      </w:r>
      <w:r w:rsidR="00E66B00" w:rsidRPr="00EB4A2C">
        <w:rPr>
          <w:color w:val="000000"/>
        </w:rPr>
        <w:t xml:space="preserve"> the</w:t>
      </w:r>
      <w:proofErr w:type="gramEnd"/>
      <w:r w:rsidR="00E66B00" w:rsidRPr="00EB4A2C">
        <w:rPr>
          <w:color w:val="000000"/>
        </w:rPr>
        <w:t xml:space="preserve"> effect </w:t>
      </w:r>
      <w:r w:rsidR="00F8026B">
        <w:rPr>
          <w:color w:val="000000"/>
        </w:rPr>
        <w:t xml:space="preserve">of CELSENTRI </w:t>
      </w:r>
      <w:r w:rsidR="00E66B00" w:rsidRPr="00EB4A2C">
        <w:rPr>
          <w:color w:val="000000"/>
        </w:rPr>
        <w:t xml:space="preserve">on the ability to </w:t>
      </w:r>
      <w:r w:rsidR="003F53D7">
        <w:rPr>
          <w:color w:val="000000"/>
        </w:rPr>
        <w:t>perform tasks that require judgement, motor or cognitive skills. However,</w:t>
      </w:r>
      <w:r w:rsidR="00E66B00" w:rsidRPr="00EB4A2C">
        <w:rPr>
          <w:color w:val="000000"/>
        </w:rPr>
        <w:t xml:space="preserve"> </w:t>
      </w:r>
      <w:r w:rsidR="003F53D7">
        <w:rPr>
          <w:color w:val="000000"/>
        </w:rPr>
        <w:t>p</w:t>
      </w:r>
      <w:r w:rsidR="00E66B00" w:rsidRPr="00EB4A2C">
        <w:rPr>
          <w:color w:val="000000"/>
        </w:rPr>
        <w:t xml:space="preserve">atients should be </w:t>
      </w:r>
      <w:r w:rsidR="003F53D7">
        <w:rPr>
          <w:color w:val="000000"/>
        </w:rPr>
        <w:t>informed about the possible occurrence of symptoms related to postural hypotension such as</w:t>
      </w:r>
      <w:r w:rsidR="00E66B00" w:rsidRPr="00EB4A2C">
        <w:rPr>
          <w:color w:val="000000"/>
        </w:rPr>
        <w:t xml:space="preserve"> dizziness </w:t>
      </w:r>
      <w:r w:rsidR="003F53D7">
        <w:rPr>
          <w:color w:val="000000"/>
        </w:rPr>
        <w:t>when taking CELSENTRI.</w:t>
      </w:r>
      <w:r w:rsidR="00E66B00" w:rsidRPr="00EB4A2C">
        <w:rPr>
          <w:color w:val="000000"/>
        </w:rPr>
        <w:t xml:space="preserve"> </w:t>
      </w:r>
      <w:r w:rsidR="003F53D7">
        <w:rPr>
          <w:color w:val="000000"/>
        </w:rPr>
        <w:t xml:space="preserve">If affected, patients should avoid </w:t>
      </w:r>
      <w:r w:rsidR="00E66B00" w:rsidRPr="00EB4A2C">
        <w:rPr>
          <w:color w:val="000000"/>
        </w:rPr>
        <w:t>potentially hazardous tasks such as driving or operating machinery.</w:t>
      </w:r>
    </w:p>
    <w:p w:rsidR="00E66B00" w:rsidRPr="00564C8A" w:rsidRDefault="00E66B00" w:rsidP="00F97C78">
      <w:pPr>
        <w:pStyle w:val="Heading2"/>
      </w:pPr>
      <w:r w:rsidRPr="00564C8A">
        <w:t>Effects on fertility</w:t>
      </w:r>
    </w:p>
    <w:p w:rsidR="009F7C7D" w:rsidRDefault="006B6FB1" w:rsidP="00DC00FF">
      <w:pPr>
        <w:spacing w:after="240"/>
        <w:jc w:val="both"/>
        <w:rPr>
          <w:bCs/>
        </w:rPr>
      </w:pPr>
      <w:r w:rsidRPr="00564C8A">
        <w:rPr>
          <w:bCs/>
        </w:rPr>
        <w:t>Maraviroc did not impair mating or fertility of male or female rats, and did not affect sperm of male rats</w:t>
      </w:r>
      <w:r>
        <w:rPr>
          <w:bCs/>
        </w:rPr>
        <w:t xml:space="preserve"> at oral doses</w:t>
      </w:r>
      <w:r w:rsidRPr="00564C8A">
        <w:rPr>
          <w:bCs/>
        </w:rPr>
        <w:t xml:space="preserve"> up to 1000 mg/kg</w:t>
      </w:r>
      <w:r>
        <w:rPr>
          <w:bCs/>
        </w:rPr>
        <w:t>/day</w:t>
      </w:r>
      <w:r w:rsidRPr="00564C8A">
        <w:rPr>
          <w:bCs/>
        </w:rPr>
        <w:t xml:space="preserve">. </w:t>
      </w:r>
      <w:r>
        <w:rPr>
          <w:bCs/>
        </w:rPr>
        <w:t xml:space="preserve">Systemic </w:t>
      </w:r>
      <w:r w:rsidRPr="00564C8A">
        <w:rPr>
          <w:bCs/>
        </w:rPr>
        <w:t>exposure</w:t>
      </w:r>
      <w:r>
        <w:rPr>
          <w:bCs/>
        </w:rPr>
        <w:t xml:space="preserve"> to free maraviroc</w:t>
      </w:r>
      <w:r w:rsidRPr="00564C8A">
        <w:rPr>
          <w:bCs/>
        </w:rPr>
        <w:t xml:space="preserve"> at this dose level </w:t>
      </w:r>
      <w:r>
        <w:rPr>
          <w:bCs/>
        </w:rPr>
        <w:t xml:space="preserve">was </w:t>
      </w:r>
      <w:r w:rsidRPr="00564C8A">
        <w:rPr>
          <w:bCs/>
        </w:rPr>
        <w:t xml:space="preserve">39-fold </w:t>
      </w:r>
      <w:r>
        <w:rPr>
          <w:bCs/>
        </w:rPr>
        <w:t xml:space="preserve">higher than </w:t>
      </w:r>
      <w:r w:rsidRPr="00564C8A">
        <w:rPr>
          <w:bCs/>
        </w:rPr>
        <w:t>the estimated free clinical AUC</w:t>
      </w:r>
      <w:r w:rsidRPr="001D5E33">
        <w:rPr>
          <w:bCs/>
          <w:vertAlign w:val="subscript"/>
        </w:rPr>
        <w:t>0-24 h</w:t>
      </w:r>
      <w:r w:rsidRPr="00564C8A">
        <w:rPr>
          <w:bCs/>
        </w:rPr>
        <w:t xml:space="preserve"> for a 300 mg twice daily dose.</w:t>
      </w:r>
    </w:p>
    <w:p w:rsidR="009F7C7D" w:rsidRDefault="00E66B00" w:rsidP="00F97C78">
      <w:pPr>
        <w:pStyle w:val="Heading2"/>
      </w:pPr>
      <w:r w:rsidRPr="00564C8A">
        <w:t>Use in pregnancy</w:t>
      </w:r>
    </w:p>
    <w:p w:rsidR="009F7C7D" w:rsidRDefault="00E66B00" w:rsidP="009F7C7D">
      <w:pPr>
        <w:spacing w:after="240"/>
        <w:jc w:val="both"/>
        <w:rPr>
          <w:color w:val="000000"/>
        </w:rPr>
      </w:pPr>
      <w:r w:rsidRPr="00564C8A">
        <w:t>Pregnancy Cate</w:t>
      </w:r>
      <w:r w:rsidRPr="004C4541">
        <w:rPr>
          <w:color w:val="000000"/>
        </w:rPr>
        <w:t>gory: B1</w:t>
      </w:r>
    </w:p>
    <w:p w:rsidR="00086C66" w:rsidRPr="009F7C7D" w:rsidRDefault="00086C66" w:rsidP="009F7C7D">
      <w:pPr>
        <w:spacing w:after="240"/>
        <w:jc w:val="both"/>
        <w:rPr>
          <w:color w:val="000000"/>
        </w:rPr>
      </w:pPr>
      <w:proofErr w:type="spellStart"/>
      <w:r w:rsidRPr="00564C8A">
        <w:rPr>
          <w:bCs/>
        </w:rPr>
        <w:t>Embryofetal</w:t>
      </w:r>
      <w:proofErr w:type="spellEnd"/>
      <w:r w:rsidRPr="00564C8A">
        <w:rPr>
          <w:bCs/>
        </w:rPr>
        <w:t xml:space="preserve"> development studies were conducted in rats and rabbits at </w:t>
      </w:r>
      <w:r>
        <w:rPr>
          <w:bCs/>
        </w:rPr>
        <w:t xml:space="preserve">oral </w:t>
      </w:r>
      <w:r w:rsidRPr="00564C8A">
        <w:rPr>
          <w:bCs/>
        </w:rPr>
        <w:t>doses up to</w:t>
      </w:r>
      <w:r>
        <w:rPr>
          <w:bCs/>
        </w:rPr>
        <w:t xml:space="preserve"> 1000 and 200 mg/kg/day, respectively. Systemic exposure to free maraviroc at these doses was 40- (rats) and 35-times (rabbits) the </w:t>
      </w:r>
      <w:r w:rsidRPr="00564C8A">
        <w:rPr>
          <w:bCs/>
        </w:rPr>
        <w:t>free clinical AUC</w:t>
      </w:r>
      <w:r w:rsidRPr="00E97592">
        <w:rPr>
          <w:bCs/>
          <w:vertAlign w:val="subscript"/>
        </w:rPr>
        <w:t>0-24 h</w:t>
      </w:r>
      <w:r w:rsidRPr="00564C8A">
        <w:rPr>
          <w:bCs/>
        </w:rPr>
        <w:t xml:space="preserve"> for a 300 mg twice daily dose. The animal studies revealed no evidence of harm to the </w:t>
      </w:r>
      <w:r w:rsidR="00E11AC4" w:rsidRPr="00FA1339">
        <w:rPr>
          <w:rFonts w:eastAsia="Times New Roman"/>
          <w:bCs/>
          <w:color w:val="000000"/>
          <w:lang w:val="en-GB" w:eastAsia="en-GB"/>
        </w:rPr>
        <w:lastRenderedPageBreak/>
        <w:t>embryo or</w:t>
      </w:r>
      <w:r w:rsidR="00E11AC4" w:rsidRPr="00FA1339">
        <w:rPr>
          <w:rFonts w:eastAsia="Times New Roman"/>
          <w:color w:val="000000"/>
          <w:lang w:val="en-GB" w:eastAsia="en-GB"/>
        </w:rPr>
        <w:t xml:space="preserve"> </w:t>
      </w:r>
      <w:r w:rsidRPr="00564C8A">
        <w:rPr>
          <w:bCs/>
        </w:rPr>
        <w:t xml:space="preserve">fetus </w:t>
      </w:r>
      <w:r>
        <w:rPr>
          <w:bCs/>
        </w:rPr>
        <w:t>except for an increase in pre-implantation loss in rats dosed with maravir</w:t>
      </w:r>
      <w:r w:rsidRPr="00FA1339">
        <w:rPr>
          <w:bCs/>
          <w:color w:val="000000"/>
        </w:rPr>
        <w:t xml:space="preserve">oc at </w:t>
      </w:r>
      <w:r w:rsidR="00E11AC4" w:rsidRPr="00FA1339">
        <w:rPr>
          <w:rFonts w:eastAsia="Times New Roman"/>
          <w:bCs/>
          <w:color w:val="000000"/>
          <w:lang w:val="en-GB" w:eastAsia="en-GB"/>
        </w:rPr>
        <w:t xml:space="preserve">a </w:t>
      </w:r>
      <w:proofErr w:type="spellStart"/>
      <w:r w:rsidR="00E11AC4" w:rsidRPr="00FA1339">
        <w:rPr>
          <w:rFonts w:eastAsia="Times New Roman"/>
          <w:bCs/>
          <w:color w:val="000000"/>
          <w:lang w:val="en-GB" w:eastAsia="en-GB"/>
        </w:rPr>
        <w:t>maternotoxic</w:t>
      </w:r>
      <w:proofErr w:type="spellEnd"/>
      <w:r w:rsidR="00E11AC4" w:rsidRPr="00FA1339">
        <w:rPr>
          <w:rFonts w:eastAsia="Times New Roman"/>
          <w:bCs/>
          <w:color w:val="000000"/>
          <w:lang w:val="en-GB" w:eastAsia="en-GB"/>
        </w:rPr>
        <w:t xml:space="preserve"> dose of </w:t>
      </w:r>
      <w:r w:rsidRPr="00FA1339">
        <w:rPr>
          <w:bCs/>
          <w:color w:val="000000"/>
        </w:rPr>
        <w:t>1</w:t>
      </w:r>
      <w:r>
        <w:rPr>
          <w:bCs/>
        </w:rPr>
        <w:t>000 mg/kg/day from 2 weeks prior to mating to gestation day 7.</w:t>
      </w:r>
    </w:p>
    <w:p w:rsidR="0085022D" w:rsidRPr="00564C8A" w:rsidRDefault="0085022D" w:rsidP="003624FC">
      <w:pPr>
        <w:spacing w:after="240"/>
        <w:jc w:val="both"/>
        <w:rPr>
          <w:b/>
          <w:bCs/>
        </w:rPr>
      </w:pPr>
      <w:r w:rsidRPr="00564C8A">
        <w:rPr>
          <w:bCs/>
        </w:rPr>
        <w:t>Pre- and postnatal development studies were performed in rats at</w:t>
      </w:r>
      <w:r>
        <w:rPr>
          <w:bCs/>
        </w:rPr>
        <w:t xml:space="preserve"> oral</w:t>
      </w:r>
      <w:r w:rsidRPr="00564C8A">
        <w:rPr>
          <w:bCs/>
        </w:rPr>
        <w:t xml:space="preserve"> doses up to</w:t>
      </w:r>
      <w:r>
        <w:rPr>
          <w:bCs/>
        </w:rPr>
        <w:t xml:space="preserve"> 1000 mg/kg/day (relative exposure to free maraviroc, 28)</w:t>
      </w:r>
      <w:r w:rsidRPr="00564C8A">
        <w:rPr>
          <w:bCs/>
        </w:rPr>
        <w:t>. The only effect in the offspring was a slight increase in motor activity in high-dose male rats at both weaning and as adults, while no effects were seen in females. Other developmental parameters of these offspring, including fertility and reproductive performance, were not affected by the maternal administration of maraviroc.</w:t>
      </w:r>
    </w:p>
    <w:p w:rsidR="00E66B00" w:rsidRPr="00E70E9C" w:rsidRDefault="00E66B00" w:rsidP="003624FC">
      <w:pPr>
        <w:spacing w:after="240"/>
        <w:jc w:val="both"/>
      </w:pPr>
      <w:r w:rsidRPr="00564C8A">
        <w:rPr>
          <w:noProof/>
        </w:rPr>
        <w:t>No meaningful clinical data on exposure during pregnancy are available. Animal studies do not indicate direct or indirect harmful effects with respect to pregnancy</w:t>
      </w:r>
      <w:r w:rsidRPr="00564C8A">
        <w:rPr>
          <w:b/>
          <w:noProof/>
        </w:rPr>
        <w:t xml:space="preserve">, </w:t>
      </w:r>
      <w:r w:rsidRPr="00564C8A">
        <w:rPr>
          <w:noProof/>
        </w:rPr>
        <w:t>embryofetal development, parturiti</w:t>
      </w:r>
      <w:r>
        <w:rPr>
          <w:noProof/>
        </w:rPr>
        <w:t>on or postnatal development</w:t>
      </w:r>
      <w:r w:rsidRPr="00564C8A">
        <w:rPr>
          <w:noProof/>
        </w:rPr>
        <w:t xml:space="preserve">. </w:t>
      </w:r>
      <w:r w:rsidRPr="00564C8A">
        <w:t>CELSENTRI</w:t>
      </w:r>
      <w:r w:rsidRPr="00564C8A">
        <w:rPr>
          <w:vertAlign w:val="superscript"/>
        </w:rPr>
        <w:t xml:space="preserve"> </w:t>
      </w:r>
      <w:r w:rsidRPr="00564C8A">
        <w:rPr>
          <w:szCs w:val="22"/>
        </w:rPr>
        <w:t>should be used during pregnancy only if the potential benefit justifies the potential risk to the fetus.</w:t>
      </w:r>
    </w:p>
    <w:p w:rsidR="00E66B00" w:rsidRPr="00564C8A" w:rsidRDefault="00E66B00" w:rsidP="00F97C78">
      <w:pPr>
        <w:pStyle w:val="Heading2"/>
      </w:pPr>
      <w:r w:rsidRPr="00564C8A">
        <w:t>Use in lactation</w:t>
      </w:r>
    </w:p>
    <w:p w:rsidR="00AE6B09" w:rsidRPr="00AE6B09" w:rsidRDefault="00AE6B09" w:rsidP="003624FC">
      <w:pPr>
        <w:spacing w:after="240"/>
        <w:jc w:val="both"/>
      </w:pPr>
      <w:r w:rsidRPr="00564C8A">
        <w:rPr>
          <w:rFonts w:cs="Arial"/>
        </w:rPr>
        <w:t>Studies in lactating rats indicate that maraviroc</w:t>
      </w:r>
      <w:r>
        <w:rPr>
          <w:rFonts w:cs="Arial"/>
        </w:rPr>
        <w:t xml:space="preserve"> and its metabolites are</w:t>
      </w:r>
      <w:r w:rsidRPr="00564C8A">
        <w:rPr>
          <w:rFonts w:cs="Arial"/>
        </w:rPr>
        <w:t xml:space="preserve"> extensively </w:t>
      </w:r>
      <w:r>
        <w:rPr>
          <w:rFonts w:cs="Arial"/>
        </w:rPr>
        <w:t xml:space="preserve">excreted </w:t>
      </w:r>
      <w:r w:rsidRPr="00564C8A">
        <w:rPr>
          <w:rFonts w:cs="Arial"/>
        </w:rPr>
        <w:t>into rat milk</w:t>
      </w:r>
      <w:r w:rsidRPr="00564C8A">
        <w:t xml:space="preserve">. It is </w:t>
      </w:r>
      <w:r w:rsidR="003F53D7">
        <w:t>un</w:t>
      </w:r>
      <w:r w:rsidRPr="00564C8A">
        <w:t xml:space="preserve">known whether maraviroc is </w:t>
      </w:r>
      <w:r>
        <w:t xml:space="preserve">excreted </w:t>
      </w:r>
      <w:r w:rsidRPr="00564C8A">
        <w:t xml:space="preserve">in human milk. </w:t>
      </w:r>
      <w:r w:rsidRPr="00961EDA">
        <w:rPr>
          <w:szCs w:val="22"/>
        </w:rPr>
        <w:t xml:space="preserve">Mothers </w:t>
      </w:r>
      <w:r w:rsidR="00AC309C" w:rsidRPr="00961EDA">
        <w:rPr>
          <w:szCs w:val="22"/>
        </w:rPr>
        <w:t>should</w:t>
      </w:r>
      <w:r w:rsidRPr="00961EDA">
        <w:rPr>
          <w:szCs w:val="22"/>
        </w:rPr>
        <w:t xml:space="preserve"> be instructed not to breast-feed if they are receiving</w:t>
      </w:r>
      <w:r w:rsidRPr="00564C8A">
        <w:rPr>
          <w:szCs w:val="22"/>
        </w:rPr>
        <w:t xml:space="preserve"> </w:t>
      </w:r>
      <w:r w:rsidRPr="00564C8A">
        <w:t>CELSENTRI</w:t>
      </w:r>
      <w:r>
        <w:t xml:space="preserve"> </w:t>
      </w:r>
      <w:r w:rsidRPr="00564C8A">
        <w:rPr>
          <w:szCs w:val="22"/>
        </w:rPr>
        <w:t>because of the potential for HIV transmission and possible adverse effects in breast-fed infants.</w:t>
      </w:r>
    </w:p>
    <w:p w:rsidR="00E66B00" w:rsidRPr="00EB4A2C" w:rsidRDefault="00E66B00" w:rsidP="00F97C78">
      <w:pPr>
        <w:pStyle w:val="Heading2"/>
      </w:pPr>
      <w:r w:rsidRPr="00EB4A2C">
        <w:t>Paediatric use</w:t>
      </w:r>
    </w:p>
    <w:p w:rsidR="00E66B00" w:rsidRPr="00EB4A2C" w:rsidRDefault="00E66B00" w:rsidP="003624FC">
      <w:pPr>
        <w:spacing w:after="240"/>
        <w:jc w:val="both"/>
        <w:rPr>
          <w:b/>
          <w:bCs/>
          <w:color w:val="000000"/>
        </w:rPr>
      </w:pPr>
      <w:r w:rsidRPr="00EB4A2C">
        <w:rPr>
          <w:color w:val="000000"/>
        </w:rPr>
        <w:t xml:space="preserve">The safety and efficacy of CELSENTRI </w:t>
      </w:r>
      <w:r w:rsidRPr="00EB4A2C">
        <w:rPr>
          <w:iCs/>
          <w:color w:val="000000"/>
          <w:szCs w:val="18"/>
        </w:rPr>
        <w:t xml:space="preserve">in paediatric patients </w:t>
      </w:r>
      <w:r w:rsidRPr="00EB4A2C">
        <w:rPr>
          <w:color w:val="000000"/>
        </w:rPr>
        <w:t>have not been established</w:t>
      </w:r>
      <w:r w:rsidRPr="00EB4A2C">
        <w:rPr>
          <w:noProof/>
          <w:color w:val="000000"/>
        </w:rPr>
        <w:t xml:space="preserve">, therefore use in children is not recommended (see </w:t>
      </w:r>
      <w:r w:rsidRPr="00EB4A2C">
        <w:rPr>
          <w:color w:val="000000"/>
        </w:rPr>
        <w:t>DOSAGE AND ADMINISTRATION and PHARMACOLOGY, Pharmacokinetics</w:t>
      </w:r>
      <w:r w:rsidRPr="00EB4A2C">
        <w:rPr>
          <w:noProof/>
          <w:color w:val="000000"/>
        </w:rPr>
        <w:t>)</w:t>
      </w:r>
      <w:r w:rsidR="00F97C78">
        <w:rPr>
          <w:noProof/>
          <w:color w:val="000000"/>
        </w:rPr>
        <w:t>.</w:t>
      </w:r>
    </w:p>
    <w:p w:rsidR="00E66B00" w:rsidRPr="00EB4A2C" w:rsidRDefault="00E66B00" w:rsidP="00F97C78">
      <w:pPr>
        <w:pStyle w:val="Heading2"/>
      </w:pPr>
      <w:r w:rsidRPr="00EB4A2C">
        <w:t>Use in the elderly</w:t>
      </w:r>
    </w:p>
    <w:p w:rsidR="00E66B00" w:rsidRPr="00EB4A2C" w:rsidRDefault="00E66B00" w:rsidP="003624FC">
      <w:pPr>
        <w:spacing w:after="240"/>
        <w:jc w:val="both"/>
        <w:rPr>
          <w:b/>
          <w:bCs/>
          <w:color w:val="000000"/>
        </w:rPr>
      </w:pPr>
      <w:r w:rsidRPr="00EB4A2C">
        <w:rPr>
          <w:color w:val="000000"/>
        </w:rPr>
        <w:t xml:space="preserve">There were insufficient numbers of </w:t>
      </w:r>
      <w:r w:rsidR="00306C28">
        <w:rPr>
          <w:color w:val="000000"/>
        </w:rPr>
        <w:t>patients</w:t>
      </w:r>
      <w:r w:rsidRPr="00EB4A2C">
        <w:rPr>
          <w:color w:val="000000"/>
        </w:rPr>
        <w:t xml:space="preserve"> aged 65 and over in the clinical studies to determine whether they respond differently from younger </w:t>
      </w:r>
      <w:r w:rsidR="00306C28">
        <w:rPr>
          <w:color w:val="000000"/>
        </w:rPr>
        <w:t>patients</w:t>
      </w:r>
      <w:r w:rsidRPr="00EB4A2C">
        <w:rPr>
          <w:color w:val="000000"/>
        </w:rPr>
        <w:t>. In general, caution should be exercised when administering CELSENTRI in elderly patients, also reflecting the greater frequency of decreased hepatic and renal function, of concomitant disease and other drug therapy (</w:t>
      </w:r>
      <w:r w:rsidRPr="00EB4A2C">
        <w:rPr>
          <w:iCs/>
          <w:color w:val="000000"/>
          <w:szCs w:val="18"/>
        </w:rPr>
        <w:t xml:space="preserve">see </w:t>
      </w:r>
      <w:r w:rsidRPr="00EB4A2C">
        <w:rPr>
          <w:color w:val="000000"/>
        </w:rPr>
        <w:t>DOSAGE AND ADMINISTRATION and PHARMACOLOGY, Pharmacokinetics).</w:t>
      </w:r>
    </w:p>
    <w:p w:rsidR="00E66B00" w:rsidRPr="00EB4A2C" w:rsidRDefault="00E66B00" w:rsidP="00F97C78">
      <w:pPr>
        <w:pStyle w:val="Heading2"/>
      </w:pPr>
      <w:r w:rsidRPr="00EB4A2C">
        <w:t>Carcinogenicity</w:t>
      </w:r>
    </w:p>
    <w:p w:rsidR="00294C23" w:rsidRPr="006E2CF7" w:rsidRDefault="00294C23" w:rsidP="003624FC">
      <w:pPr>
        <w:spacing w:after="240"/>
        <w:jc w:val="both"/>
      </w:pPr>
      <w:r w:rsidRPr="00EB4A2C">
        <w:rPr>
          <w:bCs/>
          <w:color w:val="000000"/>
        </w:rPr>
        <w:t xml:space="preserve">Maraviroc was evaluated for carcinogenic potential </w:t>
      </w:r>
      <w:r>
        <w:rPr>
          <w:bCs/>
          <w:color w:val="000000"/>
        </w:rPr>
        <w:t xml:space="preserve">in </w:t>
      </w:r>
      <w:r w:rsidRPr="00EB4A2C">
        <w:rPr>
          <w:bCs/>
          <w:color w:val="000000"/>
        </w:rPr>
        <w:t xml:space="preserve">a </w:t>
      </w:r>
      <w:r w:rsidR="003F53D7">
        <w:rPr>
          <w:bCs/>
          <w:color w:val="000000"/>
        </w:rPr>
        <w:t>six</w:t>
      </w:r>
      <w:r w:rsidRPr="00EB4A2C">
        <w:rPr>
          <w:bCs/>
          <w:color w:val="000000"/>
        </w:rPr>
        <w:t xml:space="preserve"> month transgenic mouse study and a 24 month study in rat</w:t>
      </w:r>
      <w:r>
        <w:rPr>
          <w:bCs/>
          <w:color w:val="000000"/>
        </w:rPr>
        <w:t>s</w:t>
      </w:r>
      <w:r w:rsidRPr="00EB4A2C">
        <w:rPr>
          <w:bCs/>
          <w:color w:val="000000"/>
        </w:rPr>
        <w:t>. In mice, maraviroc did not cause a statistically significant increase in the incidence of any tumour type at</w:t>
      </w:r>
      <w:r>
        <w:rPr>
          <w:bCs/>
          <w:color w:val="000000"/>
        </w:rPr>
        <w:t xml:space="preserve"> oral doses up to 1500 mg/kg/day, producing</w:t>
      </w:r>
      <w:r w:rsidRPr="00EB4A2C">
        <w:rPr>
          <w:bCs/>
          <w:color w:val="000000"/>
        </w:rPr>
        <w:t xml:space="preserve"> systemic exposure</w:t>
      </w:r>
      <w:r>
        <w:rPr>
          <w:bCs/>
          <w:color w:val="000000"/>
        </w:rPr>
        <w:t xml:space="preserve"> to unbound maraviroc</w:t>
      </w:r>
      <w:r w:rsidRPr="00EB4A2C">
        <w:rPr>
          <w:bCs/>
          <w:color w:val="000000"/>
        </w:rPr>
        <w:t xml:space="preserve"> 39-</w:t>
      </w:r>
      <w:r>
        <w:rPr>
          <w:bCs/>
          <w:color w:val="000000"/>
        </w:rPr>
        <w:t>(males) or 72-</w:t>
      </w:r>
      <w:r w:rsidRPr="00EB4A2C">
        <w:rPr>
          <w:bCs/>
          <w:color w:val="000000"/>
        </w:rPr>
        <w:t>times</w:t>
      </w:r>
      <w:r>
        <w:rPr>
          <w:bCs/>
          <w:color w:val="000000"/>
        </w:rPr>
        <w:t xml:space="preserve"> (females)</w:t>
      </w:r>
      <w:r w:rsidRPr="00EB4A2C">
        <w:rPr>
          <w:bCs/>
          <w:color w:val="000000"/>
        </w:rPr>
        <w:t xml:space="preserve"> </w:t>
      </w:r>
      <w:r>
        <w:rPr>
          <w:bCs/>
          <w:color w:val="000000"/>
        </w:rPr>
        <w:t xml:space="preserve">higher than that obtained in humans </w:t>
      </w:r>
      <w:r w:rsidRPr="00EB4A2C">
        <w:rPr>
          <w:bCs/>
          <w:color w:val="000000"/>
        </w:rPr>
        <w:t xml:space="preserve">at the </w:t>
      </w:r>
      <w:r>
        <w:rPr>
          <w:bCs/>
          <w:color w:val="000000"/>
        </w:rPr>
        <w:t xml:space="preserve">standard clinical </w:t>
      </w:r>
      <w:r w:rsidRPr="00EB4A2C">
        <w:rPr>
          <w:bCs/>
          <w:color w:val="000000"/>
        </w:rPr>
        <w:t xml:space="preserve">dose of 300 mg twice daily. In rats, administration of maraviroc produced thyroid adenomas, associated with adaptive liver </w:t>
      </w:r>
      <w:proofErr w:type="gramStart"/>
      <w:r w:rsidRPr="00EB4A2C">
        <w:rPr>
          <w:bCs/>
          <w:color w:val="000000"/>
        </w:rPr>
        <w:t>changes,</w:t>
      </w:r>
      <w:proofErr w:type="gramEnd"/>
      <w:r w:rsidRPr="00EB4A2C">
        <w:rPr>
          <w:bCs/>
          <w:color w:val="000000"/>
        </w:rPr>
        <w:t xml:space="preserve"> at</w:t>
      </w:r>
      <w:r>
        <w:rPr>
          <w:bCs/>
          <w:color w:val="000000"/>
        </w:rPr>
        <w:t xml:space="preserve"> 900 mg/kg/day </w:t>
      </w:r>
      <w:smartTag w:uri="urn:schemas-microsoft-com:office:smarttags" w:element="place">
        <w:r>
          <w:rPr>
            <w:bCs/>
            <w:color w:val="000000"/>
          </w:rPr>
          <w:t>PO</w:t>
        </w:r>
      </w:smartTag>
      <w:r>
        <w:rPr>
          <w:bCs/>
          <w:color w:val="000000"/>
        </w:rPr>
        <w:t xml:space="preserve"> (relative exposure based </w:t>
      </w:r>
      <w:r>
        <w:rPr>
          <w:bCs/>
          <w:color w:val="000000"/>
        </w:rPr>
        <w:lastRenderedPageBreak/>
        <w:t>on AUC</w:t>
      </w:r>
      <w:r w:rsidRPr="004E7F51">
        <w:rPr>
          <w:bCs/>
          <w:color w:val="000000"/>
          <w:vertAlign w:val="subscript"/>
        </w:rPr>
        <w:t>0-24 h</w:t>
      </w:r>
      <w:r>
        <w:rPr>
          <w:bCs/>
          <w:color w:val="000000"/>
        </w:rPr>
        <w:t xml:space="preserve"> for free maraviroc, 18-25)</w:t>
      </w:r>
      <w:r w:rsidRPr="00EB4A2C">
        <w:rPr>
          <w:bCs/>
          <w:color w:val="000000"/>
        </w:rPr>
        <w:t xml:space="preserve">. </w:t>
      </w:r>
      <w:r>
        <w:rPr>
          <w:bCs/>
          <w:color w:val="000000"/>
        </w:rPr>
        <w:t>The thyroid tumours in rats are unlikely to be of human relevance</w:t>
      </w:r>
      <w:r w:rsidR="00B905E3">
        <w:rPr>
          <w:bCs/>
          <w:color w:val="000000"/>
        </w:rPr>
        <w:t>.</w:t>
      </w:r>
    </w:p>
    <w:p w:rsidR="00E66B00" w:rsidRPr="00EB4A2C" w:rsidRDefault="00E66B00" w:rsidP="00F97C78">
      <w:pPr>
        <w:pStyle w:val="Heading2"/>
      </w:pPr>
      <w:proofErr w:type="spellStart"/>
      <w:r w:rsidRPr="00EB4A2C">
        <w:t>Genotoxicity</w:t>
      </w:r>
      <w:proofErr w:type="spellEnd"/>
    </w:p>
    <w:p w:rsidR="006E2CF7" w:rsidRDefault="006E2CF7" w:rsidP="003624FC">
      <w:pPr>
        <w:spacing w:after="240"/>
        <w:jc w:val="both"/>
        <w:rPr>
          <w:bCs/>
          <w:color w:val="000000"/>
        </w:rPr>
      </w:pPr>
      <w:r w:rsidRPr="00EB4A2C">
        <w:rPr>
          <w:bCs/>
          <w:color w:val="000000"/>
        </w:rPr>
        <w:t xml:space="preserve">Maraviroc was not mutagenic or </w:t>
      </w:r>
      <w:proofErr w:type="spellStart"/>
      <w:r>
        <w:rPr>
          <w:bCs/>
          <w:color w:val="000000"/>
        </w:rPr>
        <w:t>clastogenic</w:t>
      </w:r>
      <w:proofErr w:type="spellEnd"/>
      <w:r>
        <w:rPr>
          <w:bCs/>
          <w:color w:val="000000"/>
        </w:rPr>
        <w:t xml:space="preserve"> </w:t>
      </w:r>
      <w:r w:rsidRPr="00EB4A2C">
        <w:rPr>
          <w:bCs/>
          <w:color w:val="000000"/>
        </w:rPr>
        <w:t xml:space="preserve">in a battery of in vitro and in vivo assays including bacterial reverse mutation, chromosome aberrations in human lymphocytes and </w:t>
      </w:r>
      <w:r>
        <w:rPr>
          <w:bCs/>
          <w:color w:val="000000"/>
        </w:rPr>
        <w:t xml:space="preserve">mouse </w:t>
      </w:r>
      <w:r w:rsidRPr="00EB4A2C">
        <w:rPr>
          <w:bCs/>
          <w:color w:val="000000"/>
        </w:rPr>
        <w:t>bone marrow micronucleus.</w:t>
      </w:r>
    </w:p>
    <w:p w:rsidR="00E66B00" w:rsidRPr="00EB4A2C" w:rsidRDefault="00E66B00" w:rsidP="004D6F00">
      <w:pPr>
        <w:pStyle w:val="Heading1"/>
      </w:pPr>
      <w:r w:rsidRPr="00EB4A2C">
        <w:t>INTERACTIONS WITH OTHER MEDICINES</w:t>
      </w:r>
    </w:p>
    <w:p w:rsidR="00E66B00" w:rsidRPr="00EB4A2C" w:rsidRDefault="00E66B00" w:rsidP="003624FC">
      <w:pPr>
        <w:spacing w:after="240"/>
        <w:jc w:val="both"/>
        <w:rPr>
          <w:color w:val="000000"/>
        </w:rPr>
      </w:pPr>
      <w:r w:rsidRPr="00EB4A2C">
        <w:rPr>
          <w:color w:val="000000"/>
        </w:rPr>
        <w:t>Maraviroc is a substrate of cytochrome P450 CYP3A4. Co-administration of CELSENTRI</w:t>
      </w:r>
      <w:r w:rsidRPr="00EB4A2C">
        <w:rPr>
          <w:color w:val="000000"/>
          <w:vertAlign w:val="superscript"/>
        </w:rPr>
        <w:t xml:space="preserve"> </w:t>
      </w:r>
      <w:r w:rsidRPr="00EB4A2C">
        <w:rPr>
          <w:color w:val="000000"/>
        </w:rPr>
        <w:t>with medicinal products that induce CYP3A4 may decrease maraviroc concentrations and reduce its therapeutic effects. Co-administration of CELSENTRI</w:t>
      </w:r>
      <w:r w:rsidRPr="00EB4A2C">
        <w:rPr>
          <w:color w:val="000000"/>
          <w:vertAlign w:val="superscript"/>
        </w:rPr>
        <w:t xml:space="preserve"> </w:t>
      </w:r>
      <w:r w:rsidRPr="00EB4A2C">
        <w:rPr>
          <w:color w:val="000000"/>
        </w:rPr>
        <w:t>with medicinal products that inhibit CYP3A4 may increase maraviroc plasma concentrations. Dose adjustment of CELSENTRI</w:t>
      </w:r>
      <w:r w:rsidRPr="00EB4A2C">
        <w:rPr>
          <w:color w:val="000000"/>
          <w:vertAlign w:val="superscript"/>
        </w:rPr>
        <w:t xml:space="preserve"> </w:t>
      </w:r>
      <w:r w:rsidRPr="00EB4A2C">
        <w:rPr>
          <w:color w:val="000000"/>
        </w:rPr>
        <w:t>is recommended when CELSENTRI is co-administered with CYP3A4 inhibitors and/or inducers. Further details for concomitantly administered medicinal products are provided below</w:t>
      </w:r>
      <w:r>
        <w:rPr>
          <w:color w:val="000000"/>
        </w:rPr>
        <w:t xml:space="preserve"> </w:t>
      </w:r>
      <w:r w:rsidRPr="00EB4A2C">
        <w:rPr>
          <w:color w:val="000000"/>
        </w:rPr>
        <w:t>(see</w:t>
      </w:r>
      <w:r>
        <w:rPr>
          <w:color w:val="000000"/>
        </w:rPr>
        <w:t xml:space="preserve"> </w:t>
      </w:r>
      <w:r w:rsidRPr="0058239B">
        <w:rPr>
          <w:color w:val="000000"/>
        </w:rPr>
        <w:t xml:space="preserve">Table </w:t>
      </w:r>
      <w:r w:rsidR="004D0B3F">
        <w:rPr>
          <w:color w:val="000000"/>
        </w:rPr>
        <w:t>7</w:t>
      </w:r>
      <w:r w:rsidRPr="00EB4A2C">
        <w:rPr>
          <w:color w:val="000000"/>
        </w:rPr>
        <w:t xml:space="preserve"> </w:t>
      </w:r>
      <w:r>
        <w:rPr>
          <w:color w:val="000000"/>
        </w:rPr>
        <w:t xml:space="preserve">and </w:t>
      </w:r>
      <w:r w:rsidRPr="00EB4A2C">
        <w:rPr>
          <w:color w:val="000000"/>
        </w:rPr>
        <w:t>DOSAGE AND ADMINISTRATION</w:t>
      </w:r>
      <w:r>
        <w:rPr>
          <w:color w:val="000000"/>
        </w:rPr>
        <w:t xml:space="preserve">, </w:t>
      </w:r>
      <w:r w:rsidRPr="00F04013">
        <w:rPr>
          <w:color w:val="000000"/>
        </w:rPr>
        <w:t xml:space="preserve">Table </w:t>
      </w:r>
      <w:r w:rsidR="004D0B3F">
        <w:rPr>
          <w:color w:val="000000"/>
        </w:rPr>
        <w:t>12</w:t>
      </w:r>
      <w:r w:rsidRPr="00EB4A2C">
        <w:rPr>
          <w:color w:val="000000"/>
        </w:rPr>
        <w:t>)</w:t>
      </w:r>
      <w:r w:rsidR="00E70E9C">
        <w:rPr>
          <w:color w:val="000000"/>
        </w:rPr>
        <w:t>.</w:t>
      </w:r>
    </w:p>
    <w:p w:rsidR="006B7CD7" w:rsidRDefault="00E66B00" w:rsidP="00F97C78">
      <w:pPr>
        <w:autoSpaceDE w:val="0"/>
        <w:autoSpaceDN w:val="0"/>
        <w:adjustRightInd w:val="0"/>
        <w:spacing w:after="240"/>
        <w:jc w:val="both"/>
        <w:rPr>
          <w:color w:val="000000"/>
        </w:rPr>
      </w:pPr>
      <w:r w:rsidRPr="00EB4A2C">
        <w:rPr>
          <w:color w:val="000000"/>
        </w:rPr>
        <w:t xml:space="preserve">Studies in human liver microsomes and recombinant enzyme systems have shown that maraviroc does not inhibit any of the major P450 enzymes at clinically relevant concentrations (CYP1A2, CYP2B6, CYP2C8, CYP2C9, CYP2C19, CYP2D6 and CYP3A4). Maraviroc had no clinically relevant effect on the pharmacokinetics of </w:t>
      </w:r>
      <w:proofErr w:type="spellStart"/>
      <w:r w:rsidRPr="00EB4A2C">
        <w:rPr>
          <w:color w:val="000000"/>
        </w:rPr>
        <w:t>midazolam</w:t>
      </w:r>
      <w:proofErr w:type="spellEnd"/>
      <w:r w:rsidRPr="00EB4A2C">
        <w:rPr>
          <w:color w:val="000000"/>
        </w:rPr>
        <w:t xml:space="preserve">, the oral contraceptives </w:t>
      </w:r>
      <w:proofErr w:type="spellStart"/>
      <w:r w:rsidRPr="00EB4A2C">
        <w:rPr>
          <w:color w:val="000000"/>
        </w:rPr>
        <w:t>ethinylestradiol</w:t>
      </w:r>
      <w:proofErr w:type="spellEnd"/>
      <w:r w:rsidRPr="00EB4A2C">
        <w:rPr>
          <w:color w:val="000000"/>
        </w:rPr>
        <w:t xml:space="preserve"> and </w:t>
      </w:r>
      <w:proofErr w:type="spellStart"/>
      <w:r w:rsidRPr="00EB4A2C">
        <w:rPr>
          <w:color w:val="000000"/>
        </w:rPr>
        <w:t>levonorgestrel</w:t>
      </w:r>
      <w:proofErr w:type="spellEnd"/>
      <w:r w:rsidRPr="00EB4A2C">
        <w:rPr>
          <w:color w:val="000000"/>
        </w:rPr>
        <w:t>, or urinary 6β-hydroxycortisol/</w:t>
      </w:r>
      <w:proofErr w:type="spellStart"/>
      <w:r w:rsidRPr="00EB4A2C">
        <w:rPr>
          <w:color w:val="000000"/>
        </w:rPr>
        <w:t>cortisol</w:t>
      </w:r>
      <w:proofErr w:type="spellEnd"/>
      <w:r w:rsidRPr="00EB4A2C">
        <w:rPr>
          <w:color w:val="000000"/>
        </w:rPr>
        <w:t xml:space="preserve"> ratio, suggesting no inhibition or induction of CYP3A4 in vivo</w:t>
      </w:r>
      <w:r w:rsidRPr="00961EDA">
        <w:rPr>
          <w:color w:val="000000"/>
        </w:rPr>
        <w:t xml:space="preserve">. </w:t>
      </w:r>
      <w:proofErr w:type="gramStart"/>
      <w:r w:rsidR="00B659F5" w:rsidRPr="00961EDA">
        <w:rPr>
          <w:lang w:val="en-US"/>
        </w:rPr>
        <w:t>a</w:t>
      </w:r>
      <w:r w:rsidRPr="00961EDA">
        <w:rPr>
          <w:lang w:val="en-US"/>
        </w:rPr>
        <w:t>t</w:t>
      </w:r>
      <w:proofErr w:type="gramEnd"/>
      <w:r>
        <w:rPr>
          <w:lang w:val="en-US"/>
        </w:rPr>
        <w:t xml:space="preserve"> higher exposure of </w:t>
      </w:r>
      <w:proofErr w:type="spellStart"/>
      <w:r>
        <w:rPr>
          <w:lang w:val="en-US"/>
        </w:rPr>
        <w:t>maraviroc</w:t>
      </w:r>
      <w:proofErr w:type="spellEnd"/>
      <w:r>
        <w:rPr>
          <w:lang w:val="en-US"/>
        </w:rPr>
        <w:t xml:space="preserve"> a potential inhibition of CYP2D6 cannot be excluded.</w:t>
      </w:r>
      <w:r w:rsidRPr="00EB4A2C">
        <w:rPr>
          <w:color w:val="000000"/>
        </w:rPr>
        <w:t xml:space="preserve"> Based on the in vitro and clinical data, the potential for maraviroc to affect the pharmacokinetics of co-administered medicinal products is low.</w:t>
      </w:r>
    </w:p>
    <w:p w:rsidR="007C5F5E" w:rsidRPr="006B7CD7" w:rsidRDefault="00E66B00" w:rsidP="006B7CD7">
      <w:pPr>
        <w:autoSpaceDE w:val="0"/>
        <w:autoSpaceDN w:val="0"/>
        <w:adjustRightInd w:val="0"/>
        <w:jc w:val="both"/>
        <w:rPr>
          <w:color w:val="000000"/>
        </w:rPr>
      </w:pPr>
      <w:r w:rsidRPr="00EB4A2C">
        <w:rPr>
          <w:color w:val="000000"/>
        </w:rPr>
        <w:t>Renal clearance accounts for approximately 23% of total clearance of maraviroc</w:t>
      </w:r>
      <w:r>
        <w:rPr>
          <w:color w:val="000000"/>
        </w:rPr>
        <w:t xml:space="preserve"> </w:t>
      </w:r>
      <w:r>
        <w:rPr>
          <w:lang w:val="en-US"/>
        </w:rPr>
        <w:t xml:space="preserve">when </w:t>
      </w:r>
      <w:proofErr w:type="spellStart"/>
      <w:r>
        <w:rPr>
          <w:lang w:val="en-US"/>
        </w:rPr>
        <w:t>maraviroc</w:t>
      </w:r>
      <w:proofErr w:type="spellEnd"/>
      <w:r>
        <w:rPr>
          <w:lang w:val="en-US"/>
        </w:rPr>
        <w:t xml:space="preserve"> is administered without CYP3A4 inhibitors</w:t>
      </w:r>
      <w:r w:rsidRPr="00EB4A2C">
        <w:rPr>
          <w:color w:val="000000"/>
        </w:rPr>
        <w:t xml:space="preserve">. As both passive and active processes are involved, there is the potential for competition for elimination with other </w:t>
      </w:r>
      <w:proofErr w:type="spellStart"/>
      <w:r w:rsidRPr="00EB4A2C">
        <w:rPr>
          <w:color w:val="000000"/>
        </w:rPr>
        <w:t>renally</w:t>
      </w:r>
      <w:proofErr w:type="spellEnd"/>
      <w:r w:rsidRPr="00EB4A2C">
        <w:rPr>
          <w:color w:val="000000"/>
        </w:rPr>
        <w:t xml:space="preserve"> eliminated active substances. However, co-administration of CELSENTRI</w:t>
      </w:r>
      <w:r w:rsidRPr="00EB4A2C">
        <w:rPr>
          <w:color w:val="000000"/>
          <w:vertAlign w:val="superscript"/>
        </w:rPr>
        <w:t xml:space="preserve"> </w:t>
      </w:r>
      <w:r w:rsidRPr="00EB4A2C">
        <w:rPr>
          <w:color w:val="000000"/>
        </w:rPr>
        <w:t xml:space="preserve">with </w:t>
      </w:r>
      <w:proofErr w:type="spellStart"/>
      <w:r w:rsidRPr="00EB4A2C">
        <w:rPr>
          <w:color w:val="000000"/>
        </w:rPr>
        <w:t>tenofovir</w:t>
      </w:r>
      <w:proofErr w:type="spellEnd"/>
      <w:r w:rsidRPr="00EB4A2C">
        <w:rPr>
          <w:color w:val="000000"/>
        </w:rPr>
        <w:t xml:space="preserve"> (substrate</w:t>
      </w:r>
      <w:r>
        <w:rPr>
          <w:color w:val="000000"/>
        </w:rPr>
        <w:t xml:space="preserve"> for renal elimination</w:t>
      </w:r>
      <w:r w:rsidRPr="00EB4A2C">
        <w:rPr>
          <w:color w:val="000000"/>
        </w:rPr>
        <w:t xml:space="preserve">) and </w:t>
      </w:r>
      <w:proofErr w:type="spellStart"/>
      <w:r w:rsidRPr="00EB4A2C">
        <w:rPr>
          <w:color w:val="000000"/>
        </w:rPr>
        <w:t>Cotrimoxazole</w:t>
      </w:r>
      <w:proofErr w:type="spellEnd"/>
      <w:r w:rsidRPr="00EB4A2C">
        <w:rPr>
          <w:color w:val="000000"/>
        </w:rPr>
        <w:t xml:space="preserve"> (contains </w:t>
      </w:r>
      <w:proofErr w:type="spellStart"/>
      <w:r w:rsidRPr="00EB4A2C">
        <w:rPr>
          <w:color w:val="000000"/>
        </w:rPr>
        <w:t>trimethoprim</w:t>
      </w:r>
      <w:proofErr w:type="spellEnd"/>
      <w:r w:rsidRPr="00EB4A2C">
        <w:rPr>
          <w:color w:val="000000"/>
        </w:rPr>
        <w:t xml:space="preserve">, a renal </w:t>
      </w:r>
      <w:proofErr w:type="spellStart"/>
      <w:r w:rsidRPr="00EB4A2C">
        <w:rPr>
          <w:color w:val="000000"/>
        </w:rPr>
        <w:t>cation</w:t>
      </w:r>
      <w:proofErr w:type="spellEnd"/>
      <w:r w:rsidRPr="00EB4A2C">
        <w:rPr>
          <w:color w:val="000000"/>
        </w:rPr>
        <w:t xml:space="preserve"> transport inhibitor), showed no effect on the pharmacokinetics of maraviroc. In addition, co-administration of CELSENTRI</w:t>
      </w:r>
      <w:r w:rsidRPr="00EB4A2C">
        <w:rPr>
          <w:color w:val="000000"/>
          <w:vertAlign w:val="superscript"/>
        </w:rPr>
        <w:t xml:space="preserve"> </w:t>
      </w:r>
      <w:r w:rsidRPr="00EB4A2C">
        <w:rPr>
          <w:color w:val="000000"/>
        </w:rPr>
        <w:t xml:space="preserve">with lamivudine/zidovudine showed no effect of maraviroc on </w:t>
      </w:r>
      <w:proofErr w:type="spellStart"/>
      <w:r w:rsidRPr="00EB4A2C">
        <w:rPr>
          <w:color w:val="000000"/>
        </w:rPr>
        <w:t>lamivudine</w:t>
      </w:r>
      <w:proofErr w:type="spellEnd"/>
      <w:r w:rsidRPr="00EB4A2C">
        <w:rPr>
          <w:color w:val="000000"/>
        </w:rPr>
        <w:t xml:space="preserve"> (primarily </w:t>
      </w:r>
      <w:proofErr w:type="spellStart"/>
      <w:r w:rsidRPr="00EB4A2C">
        <w:rPr>
          <w:color w:val="000000"/>
        </w:rPr>
        <w:t>renally</w:t>
      </w:r>
      <w:proofErr w:type="spellEnd"/>
      <w:r w:rsidRPr="00EB4A2C">
        <w:rPr>
          <w:color w:val="000000"/>
        </w:rPr>
        <w:t xml:space="preserve"> cleared) or </w:t>
      </w:r>
      <w:proofErr w:type="spellStart"/>
      <w:r w:rsidRPr="00EB4A2C">
        <w:rPr>
          <w:color w:val="000000"/>
        </w:rPr>
        <w:t>zidovudine</w:t>
      </w:r>
      <w:proofErr w:type="spellEnd"/>
      <w:r w:rsidRPr="00EB4A2C">
        <w:rPr>
          <w:color w:val="000000"/>
        </w:rPr>
        <w:t xml:space="preserve"> (non-P450 metabolism and renal clearance) pharmacokinetics.</w:t>
      </w:r>
      <w:r w:rsidRPr="002A17AB">
        <w:rPr>
          <w:color w:val="000000"/>
        </w:rPr>
        <w:t xml:space="preserve"> </w:t>
      </w:r>
      <w:proofErr w:type="spellStart"/>
      <w:r w:rsidR="00BB2A53">
        <w:rPr>
          <w:rFonts w:eastAsia="Times New Roman"/>
          <w:bCs/>
          <w:color w:val="000000"/>
          <w:lang w:eastAsia="en-AU"/>
        </w:rPr>
        <w:t>Maraviroc</w:t>
      </w:r>
      <w:proofErr w:type="spellEnd"/>
      <w:r w:rsidR="00BB2A53">
        <w:rPr>
          <w:rFonts w:eastAsia="Times New Roman"/>
          <w:bCs/>
          <w:color w:val="000000"/>
          <w:lang w:eastAsia="en-AU"/>
        </w:rPr>
        <w:t xml:space="preserve"> inhibit</w:t>
      </w:r>
      <w:r w:rsidR="0012096B" w:rsidRPr="002A17AB">
        <w:rPr>
          <w:rFonts w:eastAsia="Times New Roman"/>
          <w:bCs/>
          <w:color w:val="000000"/>
          <w:lang w:eastAsia="en-AU"/>
        </w:rPr>
        <w:t>s P</w:t>
      </w:r>
      <w:r w:rsidR="00EC6F56">
        <w:rPr>
          <w:rFonts w:eastAsia="Times New Roman"/>
          <w:bCs/>
          <w:color w:val="000000"/>
          <w:lang w:eastAsia="en-AU"/>
        </w:rPr>
        <w:t>-</w:t>
      </w:r>
      <w:r w:rsidR="0012096B" w:rsidRPr="002A17AB">
        <w:rPr>
          <w:rFonts w:eastAsia="Times New Roman"/>
          <w:bCs/>
          <w:color w:val="000000"/>
          <w:lang w:eastAsia="en-AU"/>
        </w:rPr>
        <w:t>glycoprotein</w:t>
      </w:r>
      <w:r w:rsidR="0053636D" w:rsidRPr="002A17AB">
        <w:rPr>
          <w:rFonts w:eastAsia="Times New Roman"/>
          <w:bCs/>
          <w:color w:val="000000"/>
          <w:lang w:eastAsia="en-AU"/>
        </w:rPr>
        <w:t xml:space="preserve"> (P-</w:t>
      </w:r>
      <w:proofErr w:type="spellStart"/>
      <w:r w:rsidR="0053636D" w:rsidRPr="002A17AB">
        <w:rPr>
          <w:rFonts w:eastAsia="Times New Roman"/>
          <w:bCs/>
          <w:color w:val="000000"/>
          <w:lang w:eastAsia="en-AU"/>
        </w:rPr>
        <w:t>gp</w:t>
      </w:r>
      <w:proofErr w:type="spellEnd"/>
      <w:r w:rsidR="0053636D" w:rsidRPr="002A17AB">
        <w:rPr>
          <w:rFonts w:eastAsia="Times New Roman"/>
          <w:bCs/>
          <w:color w:val="000000"/>
          <w:lang w:eastAsia="en-AU"/>
        </w:rPr>
        <w:t>)</w:t>
      </w:r>
      <w:r w:rsidR="0012096B" w:rsidRPr="002A17AB">
        <w:rPr>
          <w:rFonts w:eastAsia="Times New Roman"/>
          <w:bCs/>
          <w:color w:val="000000"/>
          <w:lang w:eastAsia="en-AU"/>
        </w:rPr>
        <w:t xml:space="preserve"> in vitro (IC</w:t>
      </w:r>
      <w:r w:rsidR="0012096B" w:rsidRPr="002A17AB">
        <w:rPr>
          <w:rFonts w:eastAsia="Times New Roman"/>
          <w:bCs/>
          <w:color w:val="000000"/>
          <w:vertAlign w:val="subscript"/>
          <w:lang w:eastAsia="en-AU"/>
        </w:rPr>
        <w:t xml:space="preserve">50 </w:t>
      </w:r>
      <w:r w:rsidR="00EC6F56" w:rsidRPr="00EC6F56">
        <w:rPr>
          <w:rFonts w:eastAsia="Times New Roman"/>
          <w:bCs/>
          <w:color w:val="000000"/>
          <w:lang w:eastAsia="en-AU"/>
        </w:rPr>
        <w:t xml:space="preserve">is </w:t>
      </w:r>
      <w:r w:rsidR="0012096B" w:rsidRPr="002A17AB">
        <w:rPr>
          <w:rFonts w:eastAsia="Times New Roman"/>
          <w:bCs/>
          <w:color w:val="000000"/>
          <w:lang w:eastAsia="en-AU"/>
        </w:rPr>
        <w:t xml:space="preserve">183 </w:t>
      </w:r>
      <w:r w:rsidR="00EC6F56" w:rsidRPr="00961EDA">
        <w:rPr>
          <w:rFonts w:eastAsia="Times New Roman"/>
          <w:bCs/>
          <w:color w:val="000000"/>
          <w:lang w:eastAsia="en-AU"/>
        </w:rPr>
        <w:sym w:font="Symbol" w:char="F06D"/>
      </w:r>
      <w:r w:rsidR="0012096B" w:rsidRPr="00961EDA">
        <w:rPr>
          <w:rFonts w:eastAsia="Times New Roman"/>
          <w:bCs/>
          <w:color w:val="000000"/>
          <w:lang w:eastAsia="en-AU"/>
        </w:rPr>
        <w:t>M). Systemic effects on P</w:t>
      </w:r>
      <w:r w:rsidR="0053636D" w:rsidRPr="00961EDA">
        <w:rPr>
          <w:rFonts w:eastAsia="Times New Roman"/>
          <w:bCs/>
          <w:color w:val="000000"/>
          <w:lang w:eastAsia="en-AU"/>
        </w:rPr>
        <w:t>-</w:t>
      </w:r>
      <w:proofErr w:type="spellStart"/>
      <w:r w:rsidR="0053636D" w:rsidRPr="00961EDA">
        <w:rPr>
          <w:rFonts w:eastAsia="Times New Roman"/>
          <w:bCs/>
          <w:color w:val="000000"/>
          <w:lang w:eastAsia="en-AU"/>
        </w:rPr>
        <w:t>gp</w:t>
      </w:r>
      <w:proofErr w:type="spellEnd"/>
      <w:r w:rsidR="0012096B" w:rsidRPr="00961EDA">
        <w:rPr>
          <w:rFonts w:eastAsia="Times New Roman"/>
          <w:bCs/>
          <w:color w:val="000000"/>
          <w:lang w:eastAsia="en-AU"/>
        </w:rPr>
        <w:t xml:space="preserve"> </w:t>
      </w:r>
      <w:r w:rsidR="00EC6F56" w:rsidRPr="00961EDA">
        <w:rPr>
          <w:rFonts w:eastAsia="Times New Roman"/>
          <w:bCs/>
          <w:color w:val="000000"/>
          <w:lang w:eastAsia="en-AU"/>
        </w:rPr>
        <w:t>are</w:t>
      </w:r>
      <w:r w:rsidR="0053636D" w:rsidRPr="00961EDA">
        <w:rPr>
          <w:rFonts w:eastAsia="Times New Roman"/>
          <w:bCs/>
          <w:color w:val="000000"/>
          <w:lang w:eastAsia="en-AU"/>
        </w:rPr>
        <w:t xml:space="preserve"> unlikely to be of relevance.</w:t>
      </w:r>
      <w:r w:rsidR="0012096B" w:rsidRPr="00961EDA">
        <w:rPr>
          <w:rFonts w:eastAsia="Times New Roman"/>
          <w:bCs/>
          <w:color w:val="000000"/>
          <w:lang w:eastAsia="en-AU"/>
        </w:rPr>
        <w:t xml:space="preserve"> </w:t>
      </w:r>
      <w:proofErr w:type="spellStart"/>
      <w:r w:rsidR="0012096B" w:rsidRPr="00961EDA">
        <w:rPr>
          <w:rFonts w:eastAsia="Times New Roman"/>
          <w:bCs/>
          <w:color w:val="000000"/>
          <w:lang w:eastAsia="en-AU"/>
        </w:rPr>
        <w:t>Maraviroc</w:t>
      </w:r>
      <w:proofErr w:type="spellEnd"/>
      <w:r w:rsidR="0012096B" w:rsidRPr="00961EDA">
        <w:rPr>
          <w:rFonts w:eastAsia="Times New Roman"/>
          <w:bCs/>
          <w:color w:val="000000"/>
          <w:lang w:eastAsia="en-AU"/>
        </w:rPr>
        <w:t xml:space="preserve"> could</w:t>
      </w:r>
      <w:r w:rsidR="0012096B" w:rsidRPr="002A17AB">
        <w:rPr>
          <w:rFonts w:eastAsia="Times New Roman"/>
          <w:bCs/>
          <w:color w:val="000000"/>
          <w:lang w:eastAsia="en-AU"/>
        </w:rPr>
        <w:t xml:space="preserve"> inhibit P-</w:t>
      </w:r>
      <w:proofErr w:type="spellStart"/>
      <w:r w:rsidR="0012096B" w:rsidRPr="002A17AB">
        <w:rPr>
          <w:rFonts w:eastAsia="Times New Roman"/>
          <w:bCs/>
          <w:color w:val="000000"/>
          <w:lang w:eastAsia="en-AU"/>
        </w:rPr>
        <w:t>gp</w:t>
      </w:r>
      <w:proofErr w:type="spellEnd"/>
      <w:r w:rsidR="0012096B" w:rsidRPr="002A17AB">
        <w:rPr>
          <w:rFonts w:eastAsia="Times New Roman"/>
          <w:bCs/>
          <w:color w:val="000000"/>
          <w:lang w:eastAsia="en-AU"/>
        </w:rPr>
        <w:t xml:space="preserve"> in the gut and may thus affect the bioavailability of certain drugs.</w:t>
      </w:r>
    </w:p>
    <w:p w:rsidR="0058239B" w:rsidRPr="00E70E9C" w:rsidRDefault="00CA7010" w:rsidP="003538E7">
      <w:pPr>
        <w:keepNext/>
        <w:keepLines/>
        <w:ind w:right="357"/>
        <w:jc w:val="both"/>
        <w:rPr>
          <w:color w:val="000000"/>
        </w:rPr>
      </w:pPr>
      <w:proofErr w:type="gramStart"/>
      <w:r>
        <w:rPr>
          <w:b/>
        </w:rPr>
        <w:lastRenderedPageBreak/>
        <w:t xml:space="preserve">Table </w:t>
      </w:r>
      <w:r w:rsidR="009C54F6">
        <w:rPr>
          <w:b/>
        </w:rPr>
        <w:t>7</w:t>
      </w:r>
      <w:r w:rsidR="0058239B">
        <w:rPr>
          <w:b/>
        </w:rPr>
        <w:t>.</w:t>
      </w:r>
      <w:proofErr w:type="gramEnd"/>
      <w:r w:rsidR="0058239B">
        <w:rPr>
          <w:b/>
        </w:rPr>
        <w:t xml:space="preserve"> Interactions and dose recommendations with other medicinal products</w:t>
      </w:r>
    </w:p>
    <w:tbl>
      <w:tblPr>
        <w:tblW w:w="5167" w:type="pct"/>
        <w:tblInd w:w="-1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BF"/>
      </w:tblPr>
      <w:tblGrid>
        <w:gridCol w:w="2408"/>
        <w:gridCol w:w="3538"/>
        <w:gridCol w:w="2834"/>
      </w:tblGrid>
      <w:tr w:rsidR="0058239B" w:rsidTr="00DB3E4D">
        <w:tc>
          <w:tcPr>
            <w:tcW w:w="1371" w:type="pct"/>
            <w:tcBorders>
              <w:bottom w:val="single" w:sz="4" w:space="0" w:color="auto"/>
              <w:right w:val="single" w:sz="4" w:space="0" w:color="auto"/>
            </w:tcBorders>
          </w:tcPr>
          <w:p w:rsidR="0058239B" w:rsidRDefault="0058239B" w:rsidP="00440DF7">
            <w:pPr>
              <w:keepNext/>
              <w:keepLines/>
              <w:tabs>
                <w:tab w:val="left" w:pos="567"/>
              </w:tabs>
              <w:rPr>
                <w:b/>
                <w:sz w:val="20"/>
              </w:rPr>
            </w:pPr>
            <w:r>
              <w:rPr>
                <w:b/>
                <w:sz w:val="20"/>
              </w:rPr>
              <w:t>Medicinal product by therapeutic areas</w:t>
            </w:r>
          </w:p>
          <w:p w:rsidR="0058239B" w:rsidRDefault="0058239B" w:rsidP="00440DF7">
            <w:pPr>
              <w:keepNext/>
              <w:keepLines/>
              <w:tabs>
                <w:tab w:val="left" w:pos="567"/>
              </w:tabs>
              <w:rPr>
                <w:b/>
                <w:sz w:val="20"/>
              </w:rPr>
            </w:pPr>
            <w:r>
              <w:rPr>
                <w:b/>
                <w:sz w:val="20"/>
              </w:rPr>
              <w:t>(dose of maraviroc used in study)</w:t>
            </w:r>
          </w:p>
        </w:tc>
        <w:tc>
          <w:tcPr>
            <w:tcW w:w="2015" w:type="pct"/>
            <w:tcBorders>
              <w:left w:val="single" w:sz="4" w:space="0" w:color="auto"/>
              <w:bottom w:val="single" w:sz="4" w:space="0" w:color="auto"/>
              <w:right w:val="single" w:sz="4" w:space="0" w:color="auto"/>
            </w:tcBorders>
          </w:tcPr>
          <w:p w:rsidR="0058239B" w:rsidRDefault="0058239B" w:rsidP="00440DF7">
            <w:pPr>
              <w:keepNext/>
              <w:keepLines/>
              <w:tabs>
                <w:tab w:val="left" w:pos="567"/>
              </w:tabs>
              <w:rPr>
                <w:b/>
                <w:sz w:val="20"/>
              </w:rPr>
            </w:pPr>
            <w:r>
              <w:rPr>
                <w:b/>
                <w:sz w:val="20"/>
              </w:rPr>
              <w:t>Effects on drug levels</w:t>
            </w:r>
            <w:r>
              <w:rPr>
                <w:b/>
                <w:sz w:val="20"/>
              </w:rPr>
              <w:br/>
              <w:t xml:space="preserve">Geometric mean ratio </w:t>
            </w:r>
            <w:r w:rsidR="00E44B95" w:rsidRPr="00E44B95">
              <w:rPr>
                <w:color w:val="000000"/>
                <w:sz w:val="20"/>
                <w:szCs w:val="20"/>
                <w:lang w:val="en-GB"/>
              </w:rPr>
              <w:t>[90% Confidence Interval (CI)]</w:t>
            </w:r>
            <w:r w:rsidR="00E44B95" w:rsidRPr="00E44B95">
              <w:rPr>
                <w:b/>
                <w:sz w:val="20"/>
                <w:szCs w:val="20"/>
              </w:rPr>
              <w:t xml:space="preserve"> </w:t>
            </w:r>
            <w:r>
              <w:rPr>
                <w:b/>
                <w:sz w:val="20"/>
              </w:rPr>
              <w:t>if not stated otherwise</w:t>
            </w:r>
          </w:p>
        </w:tc>
        <w:tc>
          <w:tcPr>
            <w:tcW w:w="1614" w:type="pct"/>
            <w:tcBorders>
              <w:left w:val="single" w:sz="4" w:space="0" w:color="auto"/>
              <w:bottom w:val="single" w:sz="4" w:space="0" w:color="auto"/>
            </w:tcBorders>
          </w:tcPr>
          <w:p w:rsidR="0058239B" w:rsidRDefault="0058239B" w:rsidP="00440DF7">
            <w:pPr>
              <w:keepNext/>
              <w:keepLines/>
              <w:tabs>
                <w:tab w:val="left" w:pos="567"/>
              </w:tabs>
              <w:rPr>
                <w:b/>
                <w:sz w:val="20"/>
              </w:rPr>
            </w:pPr>
            <w:r>
              <w:rPr>
                <w:b/>
                <w:sz w:val="20"/>
              </w:rPr>
              <w:t>Recommendations concerning co-administration</w:t>
            </w:r>
          </w:p>
        </w:tc>
      </w:tr>
      <w:tr w:rsidR="0058239B" w:rsidTr="00DB3E4D">
        <w:tc>
          <w:tcPr>
            <w:tcW w:w="1371" w:type="pct"/>
            <w:tcBorders>
              <w:right w:val="nil"/>
            </w:tcBorders>
          </w:tcPr>
          <w:p w:rsidR="0058239B" w:rsidRDefault="0058239B" w:rsidP="00440DF7">
            <w:pPr>
              <w:keepNext/>
              <w:keepLines/>
              <w:tabs>
                <w:tab w:val="left" w:pos="567"/>
              </w:tabs>
              <w:rPr>
                <w:b/>
                <w:i/>
                <w:sz w:val="20"/>
              </w:rPr>
            </w:pPr>
            <w:r>
              <w:rPr>
                <w:b/>
                <w:i/>
                <w:sz w:val="20"/>
              </w:rPr>
              <w:t>ANTI-INFECTIVES</w:t>
            </w:r>
          </w:p>
        </w:tc>
        <w:tc>
          <w:tcPr>
            <w:tcW w:w="2015" w:type="pct"/>
            <w:tcBorders>
              <w:left w:val="nil"/>
              <w:right w:val="nil"/>
            </w:tcBorders>
          </w:tcPr>
          <w:p w:rsidR="0058239B" w:rsidRDefault="0058239B" w:rsidP="00440DF7">
            <w:pPr>
              <w:keepNext/>
              <w:keepLines/>
              <w:tabs>
                <w:tab w:val="left" w:pos="567"/>
              </w:tabs>
              <w:rPr>
                <w:sz w:val="20"/>
              </w:rPr>
            </w:pPr>
          </w:p>
        </w:tc>
        <w:tc>
          <w:tcPr>
            <w:tcW w:w="1614" w:type="pct"/>
            <w:tcBorders>
              <w:left w:val="nil"/>
            </w:tcBorders>
          </w:tcPr>
          <w:p w:rsidR="0058239B" w:rsidRDefault="0058239B" w:rsidP="00440DF7">
            <w:pPr>
              <w:keepNext/>
              <w:keepLines/>
              <w:tabs>
                <w:tab w:val="left" w:pos="567"/>
              </w:tabs>
              <w:rPr>
                <w:sz w:val="20"/>
              </w:rPr>
            </w:pPr>
          </w:p>
        </w:tc>
      </w:tr>
      <w:tr w:rsidR="0058239B" w:rsidTr="00DB3E4D">
        <w:tc>
          <w:tcPr>
            <w:tcW w:w="1371" w:type="pct"/>
            <w:tcBorders>
              <w:bottom w:val="single" w:sz="4" w:space="0" w:color="auto"/>
              <w:right w:val="nil"/>
            </w:tcBorders>
          </w:tcPr>
          <w:p w:rsidR="0058239B" w:rsidRDefault="0058239B" w:rsidP="00440DF7">
            <w:pPr>
              <w:keepNext/>
              <w:keepLines/>
              <w:tabs>
                <w:tab w:val="left" w:pos="567"/>
              </w:tabs>
              <w:rPr>
                <w:b/>
                <w:sz w:val="20"/>
              </w:rPr>
            </w:pPr>
            <w:proofErr w:type="spellStart"/>
            <w:r>
              <w:rPr>
                <w:b/>
                <w:sz w:val="20"/>
              </w:rPr>
              <w:t>Antiretrovirals</w:t>
            </w:r>
            <w:proofErr w:type="spellEnd"/>
          </w:p>
        </w:tc>
        <w:tc>
          <w:tcPr>
            <w:tcW w:w="2015" w:type="pct"/>
            <w:tcBorders>
              <w:left w:val="nil"/>
              <w:bottom w:val="single" w:sz="4" w:space="0" w:color="auto"/>
              <w:right w:val="nil"/>
            </w:tcBorders>
          </w:tcPr>
          <w:p w:rsidR="0058239B" w:rsidRDefault="0058239B" w:rsidP="00440DF7">
            <w:pPr>
              <w:keepNext/>
              <w:keepLines/>
              <w:tabs>
                <w:tab w:val="left" w:pos="567"/>
              </w:tabs>
              <w:rPr>
                <w:sz w:val="20"/>
              </w:rPr>
            </w:pPr>
          </w:p>
        </w:tc>
        <w:tc>
          <w:tcPr>
            <w:tcW w:w="1614" w:type="pct"/>
            <w:tcBorders>
              <w:left w:val="nil"/>
              <w:bottom w:val="single" w:sz="4" w:space="0" w:color="auto"/>
            </w:tcBorders>
          </w:tcPr>
          <w:p w:rsidR="0058239B" w:rsidRDefault="0058239B" w:rsidP="00440DF7">
            <w:pPr>
              <w:keepNext/>
              <w:keepLines/>
              <w:tabs>
                <w:tab w:val="left" w:pos="567"/>
              </w:tabs>
              <w:rPr>
                <w:sz w:val="20"/>
              </w:rPr>
            </w:pPr>
          </w:p>
        </w:tc>
      </w:tr>
      <w:tr w:rsidR="0058239B" w:rsidTr="00DB3E4D">
        <w:tc>
          <w:tcPr>
            <w:tcW w:w="1371" w:type="pct"/>
            <w:tcBorders>
              <w:right w:val="nil"/>
            </w:tcBorders>
          </w:tcPr>
          <w:p w:rsidR="0058239B" w:rsidRDefault="0058239B" w:rsidP="00440DF7">
            <w:pPr>
              <w:keepNext/>
              <w:keepLines/>
              <w:tabs>
                <w:tab w:val="left" w:pos="567"/>
              </w:tabs>
              <w:rPr>
                <w:b/>
                <w:i/>
                <w:sz w:val="20"/>
              </w:rPr>
            </w:pPr>
            <w:r>
              <w:rPr>
                <w:b/>
                <w:i/>
                <w:sz w:val="20"/>
              </w:rPr>
              <w:t>NRTIs</w:t>
            </w:r>
          </w:p>
        </w:tc>
        <w:tc>
          <w:tcPr>
            <w:tcW w:w="2015" w:type="pct"/>
            <w:tcBorders>
              <w:left w:val="nil"/>
              <w:right w:val="nil"/>
            </w:tcBorders>
          </w:tcPr>
          <w:p w:rsidR="0058239B" w:rsidRDefault="0058239B" w:rsidP="00440DF7">
            <w:pPr>
              <w:keepNext/>
              <w:keepLines/>
              <w:tabs>
                <w:tab w:val="left" w:pos="567"/>
              </w:tabs>
              <w:rPr>
                <w:sz w:val="20"/>
              </w:rPr>
            </w:pPr>
          </w:p>
        </w:tc>
        <w:tc>
          <w:tcPr>
            <w:tcW w:w="1614" w:type="pct"/>
            <w:tcBorders>
              <w:left w:val="nil"/>
            </w:tcBorders>
          </w:tcPr>
          <w:p w:rsidR="0058239B" w:rsidRDefault="0058239B" w:rsidP="00440DF7">
            <w:pPr>
              <w:keepNext/>
              <w:keepLines/>
              <w:tabs>
                <w:tab w:val="left" w:pos="567"/>
              </w:tabs>
              <w:rPr>
                <w:sz w:val="20"/>
              </w:rPr>
            </w:pPr>
          </w:p>
        </w:tc>
      </w:tr>
      <w:tr w:rsidR="0058239B" w:rsidTr="00DB3E4D">
        <w:trPr>
          <w:cantSplit/>
        </w:trPr>
        <w:tc>
          <w:tcPr>
            <w:tcW w:w="1371" w:type="pct"/>
            <w:tcBorders>
              <w:right w:val="single" w:sz="4" w:space="0" w:color="auto"/>
            </w:tcBorders>
          </w:tcPr>
          <w:p w:rsidR="0058239B" w:rsidRDefault="0058239B" w:rsidP="00440DF7">
            <w:pPr>
              <w:keepNext/>
              <w:keepLines/>
              <w:tabs>
                <w:tab w:val="left" w:pos="567"/>
              </w:tabs>
              <w:rPr>
                <w:sz w:val="20"/>
              </w:rPr>
            </w:pPr>
            <w:r>
              <w:rPr>
                <w:sz w:val="20"/>
              </w:rPr>
              <w:t xml:space="preserve">Lamivudine 150 mg </w:t>
            </w:r>
            <w:r w:rsidR="003E36DF">
              <w:rPr>
                <w:sz w:val="20"/>
              </w:rPr>
              <w:t xml:space="preserve"> twice daily</w:t>
            </w:r>
          </w:p>
          <w:p w:rsidR="0058239B" w:rsidRDefault="0058239B" w:rsidP="00440DF7">
            <w:pPr>
              <w:keepNext/>
              <w:keepLines/>
              <w:tabs>
                <w:tab w:val="left" w:pos="567"/>
              </w:tabs>
              <w:rPr>
                <w:sz w:val="20"/>
              </w:rPr>
            </w:pPr>
            <w:r>
              <w:rPr>
                <w:sz w:val="20"/>
              </w:rPr>
              <w:t xml:space="preserve">(maraviroc 300 mg </w:t>
            </w:r>
            <w:r w:rsidR="003E36DF">
              <w:rPr>
                <w:sz w:val="20"/>
              </w:rPr>
              <w:t>twice daily</w:t>
            </w:r>
            <w:r>
              <w:rPr>
                <w:sz w:val="20"/>
              </w:rPr>
              <w:t>)</w:t>
            </w:r>
          </w:p>
        </w:tc>
        <w:tc>
          <w:tcPr>
            <w:tcW w:w="2015" w:type="pct"/>
            <w:tcBorders>
              <w:left w:val="single" w:sz="4" w:space="0" w:color="auto"/>
              <w:right w:val="single" w:sz="4" w:space="0" w:color="auto"/>
            </w:tcBorders>
          </w:tcPr>
          <w:p w:rsidR="0058239B" w:rsidRDefault="0058239B" w:rsidP="00440DF7">
            <w:pPr>
              <w:pStyle w:val="TableTextCentered"/>
              <w:keepNext/>
              <w:keepLines/>
              <w:tabs>
                <w:tab w:val="left" w:pos="567"/>
              </w:tabs>
              <w:jc w:val="left"/>
              <w:rPr>
                <w:lang w:val="en-GB"/>
              </w:rPr>
            </w:pPr>
            <w:proofErr w:type="spellStart"/>
            <w:r>
              <w:rPr>
                <w:lang w:val="en-GB"/>
              </w:rPr>
              <w:t>Lamivudine</w:t>
            </w:r>
            <w:proofErr w:type="spellEnd"/>
            <w:r>
              <w:rPr>
                <w:lang w:val="en-GB"/>
              </w:rPr>
              <w:t xml:space="preserve">  </w:t>
            </w:r>
            <w:r>
              <w:t>AUC</w:t>
            </w:r>
            <w:r>
              <w:rPr>
                <w:vertAlign w:val="subscript"/>
              </w:rPr>
              <w:t>12</w:t>
            </w:r>
            <w:r>
              <w:t xml:space="preserve">: ↔ 1.13 </w:t>
            </w:r>
            <w:r w:rsidR="00D05729">
              <w:t xml:space="preserve"> (0.98, 1.32)</w:t>
            </w:r>
            <w:proofErr w:type="spellStart"/>
            <w:r>
              <w:rPr>
                <w:lang w:val="en-GB"/>
              </w:rPr>
              <w:t>Lamivudine</w:t>
            </w:r>
            <w:proofErr w:type="spellEnd"/>
            <w:r>
              <w:rPr>
                <w:lang w:val="en-GB"/>
              </w:rPr>
              <w:t xml:space="preserve">  </w:t>
            </w:r>
            <w:proofErr w:type="spellStart"/>
            <w:r>
              <w:t>C</w:t>
            </w:r>
            <w:r>
              <w:rPr>
                <w:vertAlign w:val="subscript"/>
              </w:rPr>
              <w:t>max</w:t>
            </w:r>
            <w:proofErr w:type="spellEnd"/>
            <w:r>
              <w:t xml:space="preserve">: ↔ 1.16 </w:t>
            </w:r>
            <w:r w:rsidR="00D05729">
              <w:t xml:space="preserve"> </w:t>
            </w:r>
            <w:r w:rsidR="00D05729" w:rsidRPr="00DB485E">
              <w:rPr>
                <w:color w:val="000000"/>
                <w:lang w:val="en-GB"/>
              </w:rPr>
              <w:t>(0.88, 1.54)</w:t>
            </w:r>
          </w:p>
          <w:p w:rsidR="0058239B" w:rsidRDefault="0058239B" w:rsidP="00440DF7">
            <w:pPr>
              <w:pStyle w:val="TableTextCentered"/>
              <w:keepNext/>
              <w:keepLines/>
              <w:tabs>
                <w:tab w:val="left" w:pos="567"/>
              </w:tabs>
              <w:jc w:val="left"/>
              <w:rPr>
                <w:lang w:val="en-GB"/>
              </w:rPr>
            </w:pPr>
            <w:proofErr w:type="spellStart"/>
            <w:r>
              <w:rPr>
                <w:lang w:val="en-GB"/>
              </w:rPr>
              <w:t>Maraviroc</w:t>
            </w:r>
            <w:proofErr w:type="spellEnd"/>
            <w:r>
              <w:rPr>
                <w:lang w:val="en-GB"/>
              </w:rPr>
              <w:t xml:space="preserve"> concentrations not measured, no effect is expected.</w:t>
            </w:r>
          </w:p>
        </w:tc>
        <w:tc>
          <w:tcPr>
            <w:tcW w:w="1614" w:type="pct"/>
            <w:vMerge w:val="restart"/>
            <w:tcBorders>
              <w:left w:val="single" w:sz="4" w:space="0" w:color="auto"/>
            </w:tcBorders>
          </w:tcPr>
          <w:p w:rsidR="00411430" w:rsidRDefault="0058239B" w:rsidP="00440DF7">
            <w:pPr>
              <w:keepNext/>
              <w:keepLines/>
              <w:tabs>
                <w:tab w:val="left" w:pos="567"/>
              </w:tabs>
              <w:rPr>
                <w:b/>
                <w:sz w:val="20"/>
              </w:rPr>
            </w:pPr>
            <w:r>
              <w:rPr>
                <w:sz w:val="20"/>
              </w:rPr>
              <w:t>No significant interaction seen/expected.</w:t>
            </w:r>
            <w:r>
              <w:rPr>
                <w:b/>
                <w:sz w:val="20"/>
              </w:rPr>
              <w:t xml:space="preserve"> </w:t>
            </w:r>
          </w:p>
          <w:p w:rsidR="00411430" w:rsidRDefault="00411430" w:rsidP="00440DF7">
            <w:pPr>
              <w:keepNext/>
              <w:keepLines/>
              <w:tabs>
                <w:tab w:val="left" w:pos="567"/>
              </w:tabs>
              <w:rPr>
                <w:b/>
                <w:sz w:val="20"/>
              </w:rPr>
            </w:pPr>
          </w:p>
          <w:p w:rsidR="0058239B" w:rsidRDefault="0058239B" w:rsidP="00440DF7">
            <w:pPr>
              <w:keepNext/>
              <w:keepLines/>
              <w:tabs>
                <w:tab w:val="left" w:pos="567"/>
              </w:tabs>
              <w:rPr>
                <w:sz w:val="20"/>
              </w:rPr>
            </w:pPr>
            <w:r>
              <w:rPr>
                <w:b/>
                <w:sz w:val="20"/>
              </w:rPr>
              <w:t>Maraviroc 300 mg twice daily and NRTIs can be co-administered without dose adjustment.</w:t>
            </w:r>
          </w:p>
        </w:tc>
      </w:tr>
      <w:tr w:rsidR="0058239B" w:rsidTr="00DB3E4D">
        <w:trPr>
          <w:cantSplit/>
        </w:trPr>
        <w:tc>
          <w:tcPr>
            <w:tcW w:w="1371" w:type="pct"/>
            <w:tcBorders>
              <w:right w:val="single" w:sz="4" w:space="0" w:color="auto"/>
            </w:tcBorders>
          </w:tcPr>
          <w:p w:rsidR="0058239B" w:rsidRPr="006C3517" w:rsidRDefault="0058239B" w:rsidP="00440DF7">
            <w:pPr>
              <w:tabs>
                <w:tab w:val="left" w:pos="567"/>
              </w:tabs>
              <w:rPr>
                <w:sz w:val="20"/>
                <w:lang w:val="fr-FR"/>
              </w:rPr>
            </w:pPr>
            <w:r w:rsidRPr="006C3517">
              <w:rPr>
                <w:sz w:val="20"/>
                <w:lang w:val="fr-FR"/>
              </w:rPr>
              <w:t xml:space="preserve">Tenofovir 300 mg </w:t>
            </w:r>
            <w:r w:rsidR="003E36DF">
              <w:rPr>
                <w:sz w:val="20"/>
                <w:lang w:val="fr-FR"/>
              </w:rPr>
              <w:t>once daily</w:t>
            </w:r>
          </w:p>
          <w:p w:rsidR="0058239B" w:rsidRPr="006C3517" w:rsidRDefault="0058239B" w:rsidP="00440DF7">
            <w:pPr>
              <w:tabs>
                <w:tab w:val="left" w:pos="567"/>
              </w:tabs>
              <w:rPr>
                <w:sz w:val="20"/>
                <w:lang w:val="fr-FR"/>
              </w:rPr>
            </w:pPr>
            <w:r w:rsidRPr="006C3517">
              <w:rPr>
                <w:sz w:val="20"/>
                <w:lang w:val="fr-FR"/>
              </w:rPr>
              <w:t xml:space="preserve">(maraviroc 300 mg </w:t>
            </w:r>
            <w:r w:rsidR="003E36DF">
              <w:rPr>
                <w:sz w:val="20"/>
              </w:rPr>
              <w:t>twice daily</w:t>
            </w:r>
            <w:r w:rsidRPr="006C3517">
              <w:rPr>
                <w:sz w:val="20"/>
                <w:lang w:val="fr-FR"/>
              </w:rPr>
              <w:t>)</w:t>
            </w:r>
          </w:p>
        </w:tc>
        <w:tc>
          <w:tcPr>
            <w:tcW w:w="2015" w:type="pct"/>
            <w:tcBorders>
              <w:left w:val="single" w:sz="4" w:space="0" w:color="auto"/>
              <w:right w:val="single" w:sz="4" w:space="0" w:color="auto"/>
            </w:tcBorders>
          </w:tcPr>
          <w:p w:rsidR="0058239B" w:rsidRDefault="0058239B" w:rsidP="00440DF7">
            <w:pPr>
              <w:tabs>
                <w:tab w:val="left" w:pos="567"/>
              </w:tabs>
              <w:rPr>
                <w:sz w:val="20"/>
              </w:rPr>
            </w:pPr>
            <w:r>
              <w:rPr>
                <w:sz w:val="20"/>
              </w:rPr>
              <w:t>Maraviroc AUC</w:t>
            </w:r>
            <w:r>
              <w:rPr>
                <w:sz w:val="20"/>
                <w:vertAlign w:val="subscript"/>
              </w:rPr>
              <w:t>12</w:t>
            </w:r>
            <w:r>
              <w:rPr>
                <w:sz w:val="20"/>
              </w:rPr>
              <w:t xml:space="preserve">: ↔ 1.03 </w:t>
            </w:r>
            <w:r w:rsidR="00D05729">
              <w:rPr>
                <w:sz w:val="20"/>
              </w:rPr>
              <w:t xml:space="preserve"> </w:t>
            </w:r>
            <w:r w:rsidR="00D05729" w:rsidRPr="00D05729">
              <w:rPr>
                <w:color w:val="000000"/>
                <w:sz w:val="20"/>
                <w:szCs w:val="20"/>
                <w:lang w:val="en-GB"/>
              </w:rPr>
              <w:t>(0.98, 1.09)</w:t>
            </w:r>
            <w:proofErr w:type="spellStart"/>
            <w:r>
              <w:rPr>
                <w:sz w:val="20"/>
              </w:rPr>
              <w:t>Maraviroc</w:t>
            </w:r>
            <w:proofErr w:type="spellEnd"/>
            <w:r>
              <w:rPr>
                <w:sz w:val="20"/>
              </w:rPr>
              <w:t xml:space="preserve"> </w:t>
            </w:r>
            <w:proofErr w:type="spellStart"/>
            <w:r>
              <w:rPr>
                <w:sz w:val="20"/>
              </w:rPr>
              <w:t>C</w:t>
            </w:r>
            <w:r>
              <w:rPr>
                <w:sz w:val="20"/>
                <w:vertAlign w:val="subscript"/>
              </w:rPr>
              <w:t>max</w:t>
            </w:r>
            <w:proofErr w:type="spellEnd"/>
            <w:r>
              <w:rPr>
                <w:sz w:val="20"/>
              </w:rPr>
              <w:t xml:space="preserve">: ↔ 1.03 </w:t>
            </w:r>
            <w:r w:rsidR="00E44B95">
              <w:rPr>
                <w:sz w:val="20"/>
              </w:rPr>
              <w:t xml:space="preserve"> </w:t>
            </w:r>
            <w:r w:rsidR="00E44B95" w:rsidRPr="00E44B95">
              <w:rPr>
                <w:color w:val="000000"/>
                <w:sz w:val="20"/>
                <w:szCs w:val="20"/>
                <w:lang w:val="en-GB"/>
              </w:rPr>
              <w:t>(0.90, 1.19)</w:t>
            </w:r>
          </w:p>
          <w:p w:rsidR="0058239B" w:rsidRDefault="0058239B" w:rsidP="00440DF7">
            <w:pPr>
              <w:tabs>
                <w:tab w:val="left" w:pos="567"/>
              </w:tabs>
              <w:rPr>
                <w:sz w:val="20"/>
              </w:rPr>
            </w:pPr>
            <w:proofErr w:type="spellStart"/>
            <w:r>
              <w:rPr>
                <w:sz w:val="20"/>
              </w:rPr>
              <w:t>Tenofovir</w:t>
            </w:r>
            <w:proofErr w:type="spellEnd"/>
            <w:r>
              <w:rPr>
                <w:sz w:val="20"/>
              </w:rPr>
              <w:t xml:space="preserve"> concentrations not measured, no effect is expected.</w:t>
            </w:r>
          </w:p>
        </w:tc>
        <w:tc>
          <w:tcPr>
            <w:tcW w:w="1614" w:type="pct"/>
            <w:vMerge/>
            <w:tcBorders>
              <w:left w:val="single" w:sz="4" w:space="0" w:color="auto"/>
            </w:tcBorders>
          </w:tcPr>
          <w:p w:rsidR="0058239B" w:rsidRDefault="0058239B" w:rsidP="00440DF7">
            <w:pPr>
              <w:tabs>
                <w:tab w:val="left" w:pos="567"/>
              </w:tabs>
              <w:rPr>
                <w:sz w:val="20"/>
              </w:rPr>
            </w:pPr>
          </w:p>
        </w:tc>
      </w:tr>
      <w:tr w:rsidR="0058239B" w:rsidTr="00DB3E4D">
        <w:trPr>
          <w:cantSplit/>
        </w:trPr>
        <w:tc>
          <w:tcPr>
            <w:tcW w:w="1371" w:type="pct"/>
            <w:tcBorders>
              <w:bottom w:val="single" w:sz="4" w:space="0" w:color="auto"/>
              <w:right w:val="single" w:sz="4" w:space="0" w:color="auto"/>
            </w:tcBorders>
          </w:tcPr>
          <w:p w:rsidR="0058239B" w:rsidRDefault="0058239B" w:rsidP="00440DF7">
            <w:pPr>
              <w:tabs>
                <w:tab w:val="left" w:pos="567"/>
              </w:tabs>
              <w:rPr>
                <w:sz w:val="20"/>
              </w:rPr>
            </w:pPr>
            <w:r>
              <w:rPr>
                <w:sz w:val="20"/>
              </w:rPr>
              <w:t xml:space="preserve">Zidovudine 300 mg </w:t>
            </w:r>
            <w:r w:rsidR="003E36DF">
              <w:rPr>
                <w:sz w:val="20"/>
              </w:rPr>
              <w:t>twice daily</w:t>
            </w:r>
          </w:p>
          <w:p w:rsidR="0058239B" w:rsidRDefault="0058239B" w:rsidP="00440DF7">
            <w:pPr>
              <w:tabs>
                <w:tab w:val="left" w:pos="567"/>
              </w:tabs>
              <w:rPr>
                <w:sz w:val="20"/>
              </w:rPr>
            </w:pPr>
            <w:r>
              <w:rPr>
                <w:sz w:val="20"/>
              </w:rPr>
              <w:t xml:space="preserve">(maraviroc 300 mg </w:t>
            </w:r>
            <w:r w:rsidR="003E36DF">
              <w:rPr>
                <w:sz w:val="20"/>
              </w:rPr>
              <w:t>twice daily</w:t>
            </w:r>
            <w:r>
              <w:rPr>
                <w:sz w:val="20"/>
              </w:rPr>
              <w:t>)</w:t>
            </w:r>
          </w:p>
        </w:tc>
        <w:tc>
          <w:tcPr>
            <w:tcW w:w="2015" w:type="pct"/>
            <w:tcBorders>
              <w:left w:val="single" w:sz="4" w:space="0" w:color="auto"/>
              <w:bottom w:val="single" w:sz="4" w:space="0" w:color="auto"/>
              <w:right w:val="single" w:sz="4" w:space="0" w:color="auto"/>
            </w:tcBorders>
          </w:tcPr>
          <w:p w:rsidR="0058239B" w:rsidRDefault="0058239B" w:rsidP="00440DF7">
            <w:pPr>
              <w:pStyle w:val="TableTextCentered"/>
              <w:keepNext/>
              <w:tabs>
                <w:tab w:val="left" w:pos="567"/>
              </w:tabs>
              <w:jc w:val="left"/>
              <w:rPr>
                <w:lang w:val="en-GB"/>
              </w:rPr>
            </w:pPr>
            <w:proofErr w:type="spellStart"/>
            <w:r>
              <w:rPr>
                <w:lang w:val="en-GB"/>
              </w:rPr>
              <w:t>Zidovudine</w:t>
            </w:r>
            <w:proofErr w:type="spellEnd"/>
            <w:r>
              <w:rPr>
                <w:lang w:val="en-GB"/>
              </w:rPr>
              <w:t xml:space="preserve"> </w:t>
            </w:r>
            <w:r>
              <w:t>AUC</w:t>
            </w:r>
            <w:r>
              <w:rPr>
                <w:vertAlign w:val="subscript"/>
              </w:rPr>
              <w:t>12</w:t>
            </w:r>
            <w:r>
              <w:t xml:space="preserve">: ↔ 0.98 </w:t>
            </w:r>
            <w:r w:rsidR="00E44B95">
              <w:t xml:space="preserve"> </w:t>
            </w:r>
            <w:r w:rsidR="00E44B95" w:rsidRPr="00DB485E">
              <w:rPr>
                <w:color w:val="000000"/>
                <w:lang w:val="en-GB"/>
              </w:rPr>
              <w:t>(0.79, 1.22)</w:t>
            </w:r>
          </w:p>
          <w:p w:rsidR="0058239B" w:rsidRDefault="0058239B" w:rsidP="00440DF7">
            <w:pPr>
              <w:pStyle w:val="TableTextCentered"/>
              <w:keepNext/>
              <w:tabs>
                <w:tab w:val="left" w:pos="567"/>
              </w:tabs>
              <w:jc w:val="left"/>
              <w:rPr>
                <w:lang w:val="en-GB"/>
              </w:rPr>
            </w:pPr>
            <w:proofErr w:type="spellStart"/>
            <w:r>
              <w:rPr>
                <w:lang w:val="en-GB"/>
              </w:rPr>
              <w:t>Zidovudine</w:t>
            </w:r>
            <w:proofErr w:type="spellEnd"/>
            <w:r>
              <w:rPr>
                <w:lang w:val="en-GB"/>
              </w:rPr>
              <w:t xml:space="preserve"> </w:t>
            </w:r>
            <w:proofErr w:type="spellStart"/>
            <w:r>
              <w:t>C</w:t>
            </w:r>
            <w:r>
              <w:rPr>
                <w:vertAlign w:val="subscript"/>
              </w:rPr>
              <w:t>max</w:t>
            </w:r>
            <w:proofErr w:type="spellEnd"/>
            <w:r>
              <w:t>: ↔ 0.9</w:t>
            </w:r>
            <w:r w:rsidR="001D1D37">
              <w:t>2</w:t>
            </w:r>
            <w:r>
              <w:t xml:space="preserve"> </w:t>
            </w:r>
            <w:r w:rsidR="00E44B95">
              <w:t xml:space="preserve"> </w:t>
            </w:r>
            <w:r w:rsidR="00E44B95" w:rsidRPr="00DB485E">
              <w:rPr>
                <w:color w:val="000000"/>
                <w:lang w:val="en-GB"/>
              </w:rPr>
              <w:t>(0.68, 1.24)</w:t>
            </w:r>
          </w:p>
          <w:p w:rsidR="0058239B" w:rsidRDefault="0058239B" w:rsidP="00440DF7">
            <w:pPr>
              <w:pStyle w:val="TableTextCentered"/>
              <w:keepNext/>
              <w:tabs>
                <w:tab w:val="left" w:pos="567"/>
              </w:tabs>
              <w:jc w:val="left"/>
              <w:rPr>
                <w:lang w:val="en-GB"/>
              </w:rPr>
            </w:pPr>
            <w:proofErr w:type="spellStart"/>
            <w:r>
              <w:rPr>
                <w:lang w:val="en-GB"/>
              </w:rPr>
              <w:t>Maraviroc</w:t>
            </w:r>
            <w:proofErr w:type="spellEnd"/>
            <w:r>
              <w:rPr>
                <w:lang w:val="en-GB"/>
              </w:rPr>
              <w:t xml:space="preserve"> concentrations not measured, no effect is expected.</w:t>
            </w:r>
          </w:p>
        </w:tc>
        <w:tc>
          <w:tcPr>
            <w:tcW w:w="1614" w:type="pct"/>
            <w:vMerge/>
            <w:tcBorders>
              <w:left w:val="single" w:sz="4" w:space="0" w:color="auto"/>
              <w:bottom w:val="single" w:sz="4" w:space="0" w:color="auto"/>
            </w:tcBorders>
          </w:tcPr>
          <w:p w:rsidR="0058239B" w:rsidRDefault="0058239B" w:rsidP="00440DF7">
            <w:pPr>
              <w:tabs>
                <w:tab w:val="left" w:pos="567"/>
              </w:tabs>
              <w:rPr>
                <w:sz w:val="20"/>
              </w:rPr>
            </w:pPr>
          </w:p>
        </w:tc>
      </w:tr>
      <w:tr w:rsidR="00AC381E" w:rsidRPr="00961EDA" w:rsidTr="00411430">
        <w:trPr>
          <w:trHeight w:val="268"/>
        </w:trPr>
        <w:tc>
          <w:tcPr>
            <w:tcW w:w="1371" w:type="pct"/>
            <w:tcBorders>
              <w:bottom w:val="single" w:sz="4" w:space="0" w:color="auto"/>
              <w:right w:val="nil"/>
            </w:tcBorders>
          </w:tcPr>
          <w:p w:rsidR="00AC381E" w:rsidRPr="00961EDA" w:rsidRDefault="00AC381E" w:rsidP="00440DF7">
            <w:pPr>
              <w:tabs>
                <w:tab w:val="left" w:pos="567"/>
              </w:tabs>
              <w:rPr>
                <w:b/>
                <w:i/>
                <w:sz w:val="20"/>
              </w:rPr>
            </w:pPr>
            <w:proofErr w:type="spellStart"/>
            <w:r w:rsidRPr="00961EDA">
              <w:rPr>
                <w:b/>
                <w:i/>
                <w:sz w:val="20"/>
              </w:rPr>
              <w:t>Integrase</w:t>
            </w:r>
            <w:proofErr w:type="spellEnd"/>
            <w:r w:rsidRPr="00961EDA">
              <w:rPr>
                <w:b/>
                <w:i/>
                <w:sz w:val="20"/>
              </w:rPr>
              <w:t xml:space="preserve"> Inhibitors</w:t>
            </w:r>
          </w:p>
          <w:p w:rsidR="00AC381E" w:rsidRPr="00961EDA" w:rsidRDefault="00AC381E" w:rsidP="00440DF7">
            <w:pPr>
              <w:tabs>
                <w:tab w:val="left" w:pos="567"/>
              </w:tabs>
              <w:rPr>
                <w:b/>
                <w:i/>
                <w:sz w:val="20"/>
              </w:rPr>
            </w:pPr>
          </w:p>
        </w:tc>
        <w:tc>
          <w:tcPr>
            <w:tcW w:w="2015" w:type="pct"/>
            <w:tcBorders>
              <w:left w:val="nil"/>
              <w:bottom w:val="single" w:sz="4" w:space="0" w:color="auto"/>
              <w:right w:val="nil"/>
            </w:tcBorders>
          </w:tcPr>
          <w:p w:rsidR="00AC381E" w:rsidRPr="00961EDA" w:rsidRDefault="00AC381E" w:rsidP="00440DF7">
            <w:pPr>
              <w:pStyle w:val="TableTextCentered"/>
              <w:keepNext/>
              <w:tabs>
                <w:tab w:val="left" w:pos="567"/>
              </w:tabs>
              <w:jc w:val="left"/>
              <w:rPr>
                <w:lang w:val="en-GB"/>
              </w:rPr>
            </w:pPr>
          </w:p>
        </w:tc>
        <w:tc>
          <w:tcPr>
            <w:tcW w:w="1614" w:type="pct"/>
            <w:tcBorders>
              <w:left w:val="nil"/>
            </w:tcBorders>
          </w:tcPr>
          <w:p w:rsidR="00AC381E" w:rsidRPr="00961EDA" w:rsidRDefault="00AC381E" w:rsidP="00440DF7">
            <w:pPr>
              <w:tabs>
                <w:tab w:val="left" w:pos="567"/>
              </w:tabs>
              <w:rPr>
                <w:sz w:val="20"/>
              </w:rPr>
            </w:pPr>
          </w:p>
        </w:tc>
      </w:tr>
      <w:tr w:rsidR="00AC381E" w:rsidRPr="00961EDA" w:rsidTr="00411430">
        <w:tc>
          <w:tcPr>
            <w:tcW w:w="1371" w:type="pct"/>
            <w:tcBorders>
              <w:right w:val="single" w:sz="4" w:space="0" w:color="auto"/>
            </w:tcBorders>
          </w:tcPr>
          <w:p w:rsidR="00AC381E" w:rsidRPr="00961EDA" w:rsidRDefault="00AC381E" w:rsidP="00440DF7">
            <w:pPr>
              <w:autoSpaceDE w:val="0"/>
              <w:autoSpaceDN w:val="0"/>
              <w:adjustRightInd w:val="0"/>
              <w:rPr>
                <w:rFonts w:eastAsia="Times New Roman"/>
                <w:sz w:val="20"/>
                <w:szCs w:val="20"/>
                <w:lang w:eastAsia="en-AU"/>
              </w:rPr>
            </w:pPr>
            <w:proofErr w:type="spellStart"/>
            <w:r w:rsidRPr="00961EDA">
              <w:rPr>
                <w:rFonts w:eastAsia="Times New Roman"/>
                <w:sz w:val="20"/>
                <w:szCs w:val="20"/>
                <w:lang w:eastAsia="en-AU"/>
              </w:rPr>
              <w:t>Raltegravir</w:t>
            </w:r>
            <w:proofErr w:type="spellEnd"/>
            <w:r w:rsidRPr="00961EDA">
              <w:rPr>
                <w:rFonts w:eastAsia="Times New Roman"/>
                <w:sz w:val="20"/>
                <w:szCs w:val="20"/>
                <w:lang w:eastAsia="en-AU"/>
              </w:rPr>
              <w:t xml:space="preserve"> 400 mg </w:t>
            </w:r>
            <w:r w:rsidR="003E36DF" w:rsidRPr="00961EDA">
              <w:rPr>
                <w:sz w:val="20"/>
                <w:szCs w:val="20"/>
              </w:rPr>
              <w:t>twice daily</w:t>
            </w:r>
          </w:p>
          <w:p w:rsidR="00AC381E" w:rsidRPr="00961EDA" w:rsidRDefault="00AC381E" w:rsidP="00440DF7">
            <w:pPr>
              <w:autoSpaceDE w:val="0"/>
              <w:autoSpaceDN w:val="0"/>
              <w:adjustRightInd w:val="0"/>
              <w:rPr>
                <w:rFonts w:eastAsia="Times New Roman"/>
                <w:sz w:val="20"/>
                <w:szCs w:val="20"/>
                <w:lang w:eastAsia="en-AU"/>
              </w:rPr>
            </w:pPr>
            <w:r w:rsidRPr="00961EDA">
              <w:rPr>
                <w:rFonts w:eastAsia="Times New Roman"/>
                <w:sz w:val="20"/>
                <w:szCs w:val="20"/>
                <w:lang w:eastAsia="en-AU"/>
              </w:rPr>
              <w:t xml:space="preserve">(maraviroc 300 mg </w:t>
            </w:r>
            <w:r w:rsidR="003E36DF" w:rsidRPr="00961EDA">
              <w:rPr>
                <w:sz w:val="20"/>
                <w:szCs w:val="20"/>
              </w:rPr>
              <w:t>twice daily</w:t>
            </w:r>
            <w:r w:rsidRPr="00961EDA">
              <w:rPr>
                <w:rFonts w:eastAsia="Times New Roman"/>
                <w:sz w:val="20"/>
                <w:szCs w:val="20"/>
                <w:lang w:eastAsia="en-AU"/>
              </w:rPr>
              <w:t>)</w:t>
            </w:r>
          </w:p>
          <w:p w:rsidR="00AC381E" w:rsidRPr="00961EDA" w:rsidRDefault="00AC381E" w:rsidP="00440DF7">
            <w:pPr>
              <w:tabs>
                <w:tab w:val="left" w:pos="567"/>
              </w:tabs>
              <w:rPr>
                <w:b/>
                <w:i/>
                <w:sz w:val="20"/>
                <w:szCs w:val="20"/>
              </w:rPr>
            </w:pPr>
          </w:p>
        </w:tc>
        <w:tc>
          <w:tcPr>
            <w:tcW w:w="2015" w:type="pct"/>
            <w:tcBorders>
              <w:left w:val="single" w:sz="4" w:space="0" w:color="auto"/>
              <w:right w:val="single" w:sz="4" w:space="0" w:color="auto"/>
            </w:tcBorders>
          </w:tcPr>
          <w:p w:rsidR="00AC381E" w:rsidRPr="00961EDA" w:rsidRDefault="00AC381E" w:rsidP="00440DF7">
            <w:pPr>
              <w:autoSpaceDE w:val="0"/>
              <w:autoSpaceDN w:val="0"/>
              <w:adjustRightInd w:val="0"/>
              <w:rPr>
                <w:rFonts w:eastAsia="Times New Roman"/>
                <w:sz w:val="20"/>
                <w:szCs w:val="20"/>
                <w:lang w:val="fr-FR" w:eastAsia="en-AU"/>
              </w:rPr>
            </w:pPr>
            <w:r w:rsidRPr="00961EDA">
              <w:rPr>
                <w:rFonts w:eastAsia="Times New Roman"/>
                <w:sz w:val="20"/>
                <w:szCs w:val="20"/>
                <w:lang w:val="fr-FR" w:eastAsia="en-AU"/>
              </w:rPr>
              <w:t>Maraviroc AUC</w:t>
            </w:r>
            <w:r w:rsidRPr="00961EDA">
              <w:rPr>
                <w:rFonts w:eastAsia="Times New Roman"/>
                <w:sz w:val="20"/>
                <w:szCs w:val="20"/>
                <w:vertAlign w:val="subscript"/>
                <w:lang w:val="fr-FR" w:eastAsia="en-AU"/>
              </w:rPr>
              <w:t>12</w:t>
            </w:r>
            <w:r w:rsidRPr="00961EDA">
              <w:rPr>
                <w:rFonts w:eastAsia="Times New Roman"/>
                <w:sz w:val="20"/>
                <w:szCs w:val="20"/>
                <w:lang w:val="fr-FR" w:eastAsia="en-AU"/>
              </w:rPr>
              <w:t xml:space="preserve">: ↓ 0.86 </w:t>
            </w:r>
            <w:r w:rsidR="00E44B95" w:rsidRPr="00961EDA">
              <w:rPr>
                <w:color w:val="000000"/>
                <w:sz w:val="20"/>
                <w:szCs w:val="20"/>
                <w:lang w:val="en-GB"/>
              </w:rPr>
              <w:t>(0.80, 0.92)</w:t>
            </w:r>
          </w:p>
          <w:p w:rsidR="00AC381E" w:rsidRPr="00961EDA" w:rsidRDefault="00AC381E" w:rsidP="00440DF7">
            <w:pPr>
              <w:autoSpaceDE w:val="0"/>
              <w:autoSpaceDN w:val="0"/>
              <w:adjustRightInd w:val="0"/>
              <w:rPr>
                <w:rFonts w:eastAsia="Times New Roman"/>
                <w:sz w:val="20"/>
                <w:szCs w:val="20"/>
                <w:lang w:val="it-IT" w:eastAsia="en-AU"/>
              </w:rPr>
            </w:pPr>
            <w:r w:rsidRPr="00961EDA">
              <w:rPr>
                <w:rFonts w:eastAsia="Times New Roman"/>
                <w:sz w:val="20"/>
                <w:szCs w:val="20"/>
                <w:lang w:val="fr-FR" w:eastAsia="en-AU"/>
              </w:rPr>
              <w:t>Maraviroc C</w:t>
            </w:r>
            <w:r w:rsidRPr="00961EDA">
              <w:rPr>
                <w:rFonts w:eastAsia="Times New Roman"/>
                <w:sz w:val="20"/>
                <w:szCs w:val="20"/>
                <w:vertAlign w:val="subscript"/>
                <w:lang w:val="fr-FR" w:eastAsia="en-AU"/>
              </w:rPr>
              <w:t>max</w:t>
            </w:r>
            <w:r w:rsidRPr="00961EDA">
              <w:rPr>
                <w:rFonts w:eastAsia="Times New Roman"/>
                <w:sz w:val="20"/>
                <w:szCs w:val="20"/>
                <w:lang w:val="fr-FR" w:eastAsia="en-AU"/>
              </w:rPr>
              <w:t xml:space="preserve">: ↓ 0.79 </w:t>
            </w:r>
            <w:r w:rsidR="00E44B95" w:rsidRPr="00961EDA">
              <w:rPr>
                <w:color w:val="000000"/>
                <w:sz w:val="20"/>
                <w:szCs w:val="20"/>
                <w:lang w:val="en-GB"/>
              </w:rPr>
              <w:t>(0.67, 0.94)</w:t>
            </w:r>
          </w:p>
          <w:p w:rsidR="00AE734B" w:rsidRPr="00961EDA" w:rsidRDefault="00AE734B" w:rsidP="00440DF7">
            <w:pPr>
              <w:autoSpaceDE w:val="0"/>
              <w:autoSpaceDN w:val="0"/>
              <w:adjustRightInd w:val="0"/>
              <w:rPr>
                <w:rFonts w:eastAsia="Times New Roman"/>
                <w:sz w:val="20"/>
                <w:szCs w:val="20"/>
                <w:lang w:val="it-IT" w:eastAsia="en-AU"/>
              </w:rPr>
            </w:pPr>
          </w:p>
          <w:p w:rsidR="00AC381E" w:rsidRPr="00961EDA" w:rsidRDefault="00AC381E" w:rsidP="00440DF7">
            <w:pPr>
              <w:autoSpaceDE w:val="0"/>
              <w:autoSpaceDN w:val="0"/>
              <w:adjustRightInd w:val="0"/>
              <w:rPr>
                <w:rFonts w:eastAsia="Times New Roman"/>
                <w:sz w:val="20"/>
                <w:szCs w:val="20"/>
                <w:lang w:val="it-IT" w:eastAsia="en-AU"/>
              </w:rPr>
            </w:pPr>
            <w:r w:rsidRPr="00961EDA">
              <w:rPr>
                <w:rFonts w:eastAsia="Times New Roman"/>
                <w:sz w:val="20"/>
                <w:szCs w:val="20"/>
                <w:lang w:val="it-IT" w:eastAsia="en-AU"/>
              </w:rPr>
              <w:t>Raltegravir AUC</w:t>
            </w:r>
            <w:r w:rsidRPr="00961EDA">
              <w:rPr>
                <w:rFonts w:eastAsia="Times New Roman"/>
                <w:sz w:val="20"/>
                <w:szCs w:val="20"/>
                <w:vertAlign w:val="subscript"/>
                <w:lang w:val="it-IT" w:eastAsia="en-AU"/>
              </w:rPr>
              <w:t>12</w:t>
            </w:r>
            <w:r w:rsidRPr="00961EDA">
              <w:rPr>
                <w:rFonts w:eastAsia="Times New Roman"/>
                <w:sz w:val="20"/>
                <w:szCs w:val="20"/>
                <w:lang w:val="it-IT" w:eastAsia="en-AU"/>
              </w:rPr>
              <w:t xml:space="preserve">: ↓ 0.63 </w:t>
            </w:r>
            <w:r w:rsidR="00E44B95" w:rsidRPr="00961EDA">
              <w:rPr>
                <w:color w:val="000000"/>
                <w:sz w:val="20"/>
                <w:szCs w:val="20"/>
                <w:lang w:val="en-GB"/>
              </w:rPr>
              <w:t>(0.44, 0.90)</w:t>
            </w:r>
          </w:p>
          <w:p w:rsidR="00AC381E" w:rsidRPr="00961EDA" w:rsidRDefault="00AC381E" w:rsidP="00440DF7">
            <w:pPr>
              <w:autoSpaceDE w:val="0"/>
              <w:autoSpaceDN w:val="0"/>
              <w:adjustRightInd w:val="0"/>
              <w:rPr>
                <w:rFonts w:eastAsia="Times New Roman"/>
                <w:sz w:val="20"/>
                <w:szCs w:val="20"/>
                <w:lang w:eastAsia="en-AU"/>
              </w:rPr>
            </w:pPr>
            <w:r w:rsidRPr="00961EDA">
              <w:rPr>
                <w:rFonts w:eastAsia="Times New Roman"/>
                <w:sz w:val="20"/>
                <w:szCs w:val="20"/>
                <w:lang w:val="it-IT" w:eastAsia="en-AU"/>
              </w:rPr>
              <w:t>Raltegravir C</w:t>
            </w:r>
            <w:r w:rsidRPr="00961EDA">
              <w:rPr>
                <w:rFonts w:eastAsia="Times New Roman"/>
                <w:sz w:val="20"/>
                <w:szCs w:val="20"/>
                <w:vertAlign w:val="subscript"/>
                <w:lang w:val="it-IT" w:eastAsia="en-AU"/>
              </w:rPr>
              <w:t>max</w:t>
            </w:r>
            <w:r w:rsidRPr="00961EDA">
              <w:rPr>
                <w:rFonts w:eastAsia="Times New Roman"/>
                <w:sz w:val="20"/>
                <w:szCs w:val="20"/>
                <w:lang w:val="it-IT" w:eastAsia="en-AU"/>
              </w:rPr>
              <w:t xml:space="preserve">: ↔ 0.67 </w:t>
            </w:r>
            <w:r w:rsidR="00E44B95" w:rsidRPr="00961EDA">
              <w:rPr>
                <w:color w:val="000000"/>
                <w:sz w:val="20"/>
                <w:szCs w:val="20"/>
                <w:lang w:val="en-GB"/>
              </w:rPr>
              <w:t>(0.41, 1.08)</w:t>
            </w:r>
          </w:p>
          <w:p w:rsidR="00AC381E" w:rsidRPr="00961EDA" w:rsidRDefault="00AC381E" w:rsidP="00F97C78">
            <w:pPr>
              <w:autoSpaceDE w:val="0"/>
              <w:autoSpaceDN w:val="0"/>
              <w:adjustRightInd w:val="0"/>
              <w:rPr>
                <w:lang w:val="en-GB"/>
              </w:rPr>
            </w:pPr>
            <w:proofErr w:type="spellStart"/>
            <w:r w:rsidRPr="00961EDA">
              <w:rPr>
                <w:rFonts w:eastAsia="Times New Roman"/>
                <w:sz w:val="20"/>
                <w:szCs w:val="20"/>
                <w:lang w:eastAsia="en-AU"/>
              </w:rPr>
              <w:t>Raltegravir</w:t>
            </w:r>
            <w:proofErr w:type="spellEnd"/>
            <w:r w:rsidRPr="00961EDA">
              <w:rPr>
                <w:rFonts w:eastAsia="Times New Roman"/>
                <w:sz w:val="20"/>
                <w:szCs w:val="20"/>
                <w:lang w:eastAsia="en-AU"/>
              </w:rPr>
              <w:t xml:space="preserve"> C</w:t>
            </w:r>
            <w:r w:rsidRPr="00961EDA">
              <w:rPr>
                <w:rFonts w:eastAsia="Times New Roman"/>
                <w:sz w:val="20"/>
                <w:szCs w:val="20"/>
                <w:vertAlign w:val="subscript"/>
                <w:lang w:eastAsia="en-AU"/>
              </w:rPr>
              <w:t>12</w:t>
            </w:r>
            <w:r w:rsidRPr="00961EDA">
              <w:rPr>
                <w:rFonts w:eastAsia="Times New Roman"/>
                <w:sz w:val="20"/>
                <w:szCs w:val="20"/>
                <w:lang w:eastAsia="en-AU"/>
              </w:rPr>
              <w:t xml:space="preserve">: ↓ 0.72 </w:t>
            </w:r>
            <w:r w:rsidR="00E44B95" w:rsidRPr="00961EDA">
              <w:rPr>
                <w:color w:val="000000"/>
                <w:sz w:val="20"/>
                <w:szCs w:val="20"/>
                <w:lang w:val="en-GB"/>
              </w:rPr>
              <w:t>(0.58, 0.90)</w:t>
            </w:r>
          </w:p>
        </w:tc>
        <w:tc>
          <w:tcPr>
            <w:tcW w:w="1614" w:type="pct"/>
            <w:tcBorders>
              <w:left w:val="single" w:sz="4" w:space="0" w:color="auto"/>
            </w:tcBorders>
          </w:tcPr>
          <w:p w:rsidR="00AC381E" w:rsidRPr="00961EDA" w:rsidRDefault="00AC381E" w:rsidP="00440DF7">
            <w:pPr>
              <w:autoSpaceDE w:val="0"/>
              <w:autoSpaceDN w:val="0"/>
              <w:adjustRightInd w:val="0"/>
              <w:rPr>
                <w:rFonts w:eastAsia="Times New Roman"/>
                <w:sz w:val="20"/>
                <w:szCs w:val="20"/>
                <w:lang w:eastAsia="en-AU"/>
              </w:rPr>
            </w:pPr>
            <w:r w:rsidRPr="00961EDA">
              <w:rPr>
                <w:rFonts w:eastAsia="Times New Roman"/>
                <w:sz w:val="20"/>
                <w:szCs w:val="20"/>
                <w:lang w:eastAsia="en-AU"/>
              </w:rPr>
              <w:t>No clinically significant</w:t>
            </w:r>
          </w:p>
          <w:p w:rsidR="00AC381E" w:rsidRPr="00961EDA" w:rsidRDefault="00AC381E" w:rsidP="00440DF7">
            <w:pPr>
              <w:autoSpaceDE w:val="0"/>
              <w:autoSpaceDN w:val="0"/>
              <w:adjustRightInd w:val="0"/>
              <w:rPr>
                <w:rFonts w:eastAsia="Times New Roman"/>
                <w:b/>
                <w:bCs/>
                <w:sz w:val="20"/>
                <w:szCs w:val="20"/>
                <w:lang w:eastAsia="en-AU"/>
              </w:rPr>
            </w:pPr>
            <w:proofErr w:type="gramStart"/>
            <w:r w:rsidRPr="00961EDA">
              <w:rPr>
                <w:rFonts w:eastAsia="Times New Roman"/>
                <w:sz w:val="20"/>
                <w:szCs w:val="20"/>
                <w:lang w:eastAsia="en-AU"/>
              </w:rPr>
              <w:t>interaction</w:t>
            </w:r>
            <w:proofErr w:type="gramEnd"/>
            <w:r w:rsidRPr="00961EDA">
              <w:rPr>
                <w:rFonts w:eastAsia="Times New Roman"/>
                <w:sz w:val="20"/>
                <w:szCs w:val="20"/>
                <w:lang w:eastAsia="en-AU"/>
              </w:rPr>
              <w:t xml:space="preserve"> seen. </w:t>
            </w:r>
            <w:r w:rsidRPr="00961EDA">
              <w:rPr>
                <w:rFonts w:eastAsia="Times New Roman"/>
                <w:b/>
                <w:bCs/>
                <w:sz w:val="20"/>
                <w:szCs w:val="20"/>
                <w:lang w:eastAsia="en-AU"/>
              </w:rPr>
              <w:t>Maraviroc</w:t>
            </w:r>
          </w:p>
          <w:p w:rsidR="00AC381E" w:rsidRPr="00961EDA" w:rsidRDefault="00AC381E" w:rsidP="00440DF7">
            <w:pPr>
              <w:autoSpaceDE w:val="0"/>
              <w:autoSpaceDN w:val="0"/>
              <w:adjustRightInd w:val="0"/>
              <w:rPr>
                <w:rFonts w:eastAsia="Times New Roman"/>
                <w:b/>
                <w:bCs/>
                <w:sz w:val="20"/>
                <w:szCs w:val="20"/>
                <w:lang w:eastAsia="en-AU"/>
              </w:rPr>
            </w:pPr>
            <w:r w:rsidRPr="00961EDA">
              <w:rPr>
                <w:rFonts w:eastAsia="Times New Roman"/>
                <w:b/>
                <w:bCs/>
                <w:sz w:val="20"/>
                <w:szCs w:val="20"/>
                <w:lang w:eastAsia="en-AU"/>
              </w:rPr>
              <w:t>300 mg twice daily and</w:t>
            </w:r>
          </w:p>
          <w:p w:rsidR="00AC381E" w:rsidRPr="00961EDA" w:rsidRDefault="00AC381E" w:rsidP="00440DF7">
            <w:pPr>
              <w:autoSpaceDE w:val="0"/>
              <w:autoSpaceDN w:val="0"/>
              <w:adjustRightInd w:val="0"/>
              <w:rPr>
                <w:rFonts w:eastAsia="Times New Roman"/>
                <w:b/>
                <w:bCs/>
                <w:sz w:val="20"/>
                <w:szCs w:val="20"/>
                <w:lang w:eastAsia="en-AU"/>
              </w:rPr>
            </w:pPr>
            <w:proofErr w:type="spellStart"/>
            <w:r w:rsidRPr="00961EDA">
              <w:rPr>
                <w:rFonts w:eastAsia="Times New Roman"/>
                <w:b/>
                <w:bCs/>
                <w:sz w:val="20"/>
                <w:szCs w:val="20"/>
                <w:lang w:eastAsia="en-AU"/>
              </w:rPr>
              <w:t>raltegravir</w:t>
            </w:r>
            <w:proofErr w:type="spellEnd"/>
            <w:r w:rsidRPr="00961EDA">
              <w:rPr>
                <w:rFonts w:eastAsia="Times New Roman"/>
                <w:b/>
                <w:bCs/>
                <w:sz w:val="20"/>
                <w:szCs w:val="20"/>
                <w:lang w:eastAsia="en-AU"/>
              </w:rPr>
              <w:t xml:space="preserve"> can be co</w:t>
            </w:r>
            <w:r w:rsidR="006B68BF" w:rsidRPr="00961EDA">
              <w:rPr>
                <w:rFonts w:eastAsia="Times New Roman"/>
                <w:b/>
                <w:bCs/>
                <w:sz w:val="20"/>
                <w:szCs w:val="20"/>
                <w:lang w:eastAsia="en-AU"/>
              </w:rPr>
              <w:t>-</w:t>
            </w:r>
            <w:r w:rsidRPr="00961EDA">
              <w:rPr>
                <w:rFonts w:eastAsia="Times New Roman"/>
                <w:b/>
                <w:bCs/>
                <w:sz w:val="20"/>
                <w:szCs w:val="20"/>
                <w:lang w:eastAsia="en-AU"/>
              </w:rPr>
              <w:t>administered</w:t>
            </w:r>
            <w:r w:rsidR="006B68BF" w:rsidRPr="00961EDA">
              <w:rPr>
                <w:rFonts w:eastAsia="Times New Roman"/>
                <w:b/>
                <w:bCs/>
                <w:sz w:val="20"/>
                <w:szCs w:val="20"/>
                <w:lang w:eastAsia="en-AU"/>
              </w:rPr>
              <w:t xml:space="preserve"> </w:t>
            </w:r>
            <w:r w:rsidRPr="00961EDA">
              <w:rPr>
                <w:rFonts w:eastAsia="Times New Roman"/>
                <w:b/>
                <w:bCs/>
                <w:sz w:val="20"/>
                <w:szCs w:val="20"/>
                <w:lang w:eastAsia="en-AU"/>
              </w:rPr>
              <w:t>without dose</w:t>
            </w:r>
          </w:p>
          <w:p w:rsidR="00AC381E" w:rsidRPr="00961EDA" w:rsidRDefault="00AC381E" w:rsidP="00F97C78">
            <w:pPr>
              <w:autoSpaceDE w:val="0"/>
              <w:autoSpaceDN w:val="0"/>
              <w:adjustRightInd w:val="0"/>
              <w:rPr>
                <w:sz w:val="20"/>
                <w:szCs w:val="20"/>
              </w:rPr>
            </w:pPr>
            <w:proofErr w:type="gramStart"/>
            <w:r w:rsidRPr="00961EDA">
              <w:rPr>
                <w:rFonts w:eastAsia="Times New Roman"/>
                <w:b/>
                <w:bCs/>
                <w:sz w:val="20"/>
                <w:szCs w:val="20"/>
                <w:lang w:eastAsia="en-AU"/>
              </w:rPr>
              <w:t>adjustment</w:t>
            </w:r>
            <w:proofErr w:type="gramEnd"/>
            <w:r w:rsidRPr="00961EDA">
              <w:rPr>
                <w:rFonts w:eastAsia="Times New Roman"/>
                <w:b/>
                <w:bCs/>
                <w:sz w:val="20"/>
                <w:szCs w:val="20"/>
                <w:lang w:eastAsia="en-AU"/>
              </w:rPr>
              <w:t>.</w:t>
            </w:r>
          </w:p>
        </w:tc>
      </w:tr>
      <w:tr w:rsidR="0058239B" w:rsidTr="00DB3E4D">
        <w:tc>
          <w:tcPr>
            <w:tcW w:w="1371" w:type="pct"/>
            <w:tcBorders>
              <w:right w:val="nil"/>
            </w:tcBorders>
          </w:tcPr>
          <w:p w:rsidR="0058239B" w:rsidRDefault="0058239B" w:rsidP="00440DF7">
            <w:pPr>
              <w:tabs>
                <w:tab w:val="left" w:pos="567"/>
              </w:tabs>
              <w:rPr>
                <w:b/>
                <w:i/>
                <w:sz w:val="20"/>
              </w:rPr>
            </w:pPr>
            <w:r>
              <w:rPr>
                <w:b/>
                <w:i/>
                <w:sz w:val="20"/>
              </w:rPr>
              <w:t>NNRTIs</w:t>
            </w:r>
          </w:p>
        </w:tc>
        <w:tc>
          <w:tcPr>
            <w:tcW w:w="2015" w:type="pct"/>
            <w:tcBorders>
              <w:left w:val="nil"/>
              <w:right w:val="nil"/>
            </w:tcBorders>
          </w:tcPr>
          <w:p w:rsidR="0058239B" w:rsidRDefault="0058239B" w:rsidP="00440DF7">
            <w:pPr>
              <w:pStyle w:val="TableTextCentered"/>
              <w:keepNext/>
              <w:tabs>
                <w:tab w:val="left" w:pos="567"/>
              </w:tabs>
              <w:jc w:val="left"/>
              <w:rPr>
                <w:lang w:val="en-GB"/>
              </w:rPr>
            </w:pPr>
          </w:p>
        </w:tc>
        <w:tc>
          <w:tcPr>
            <w:tcW w:w="1614" w:type="pct"/>
            <w:tcBorders>
              <w:left w:val="nil"/>
            </w:tcBorders>
          </w:tcPr>
          <w:p w:rsidR="0058239B" w:rsidRDefault="0058239B" w:rsidP="00440DF7">
            <w:pPr>
              <w:tabs>
                <w:tab w:val="left" w:pos="567"/>
              </w:tabs>
              <w:rPr>
                <w:sz w:val="20"/>
              </w:rPr>
            </w:pPr>
          </w:p>
        </w:tc>
      </w:tr>
      <w:tr w:rsidR="0058239B" w:rsidTr="00DB3E4D">
        <w:tc>
          <w:tcPr>
            <w:tcW w:w="1371" w:type="pct"/>
            <w:tcBorders>
              <w:right w:val="single" w:sz="4" w:space="0" w:color="auto"/>
            </w:tcBorders>
          </w:tcPr>
          <w:p w:rsidR="0058239B" w:rsidRDefault="0058239B" w:rsidP="00440DF7">
            <w:pPr>
              <w:tabs>
                <w:tab w:val="left" w:pos="567"/>
              </w:tabs>
              <w:rPr>
                <w:sz w:val="20"/>
              </w:rPr>
            </w:pPr>
            <w:r>
              <w:rPr>
                <w:sz w:val="20"/>
              </w:rPr>
              <w:t xml:space="preserve">Efavirenz 600 mg </w:t>
            </w:r>
            <w:r w:rsidR="003E36DF">
              <w:rPr>
                <w:sz w:val="20"/>
              </w:rPr>
              <w:t>once daily</w:t>
            </w:r>
          </w:p>
          <w:p w:rsidR="0058239B" w:rsidRDefault="0058239B" w:rsidP="00440DF7">
            <w:pPr>
              <w:tabs>
                <w:tab w:val="left" w:pos="567"/>
              </w:tabs>
              <w:rPr>
                <w:sz w:val="20"/>
              </w:rPr>
            </w:pPr>
            <w:r>
              <w:rPr>
                <w:sz w:val="20"/>
              </w:rPr>
              <w:t xml:space="preserve">(maraviroc 100 mg </w:t>
            </w:r>
            <w:r w:rsidR="003E36DF">
              <w:rPr>
                <w:sz w:val="20"/>
              </w:rPr>
              <w:t>twice daily</w:t>
            </w:r>
            <w:r>
              <w:rPr>
                <w:sz w:val="20"/>
              </w:rPr>
              <w:t>)</w:t>
            </w:r>
          </w:p>
        </w:tc>
        <w:tc>
          <w:tcPr>
            <w:tcW w:w="2015" w:type="pct"/>
            <w:tcBorders>
              <w:left w:val="single" w:sz="4" w:space="0" w:color="auto"/>
              <w:right w:val="single" w:sz="4" w:space="0" w:color="auto"/>
            </w:tcBorders>
          </w:tcPr>
          <w:p w:rsidR="0058239B" w:rsidRDefault="0058239B" w:rsidP="00440DF7">
            <w:pPr>
              <w:tabs>
                <w:tab w:val="left" w:pos="567"/>
              </w:tabs>
              <w:rPr>
                <w:sz w:val="20"/>
              </w:rPr>
            </w:pPr>
            <w:r>
              <w:rPr>
                <w:sz w:val="20"/>
                <w:lang w:val="fr-FR"/>
              </w:rPr>
              <w:t>Maraviroc AUC</w:t>
            </w:r>
            <w:r>
              <w:rPr>
                <w:sz w:val="20"/>
                <w:vertAlign w:val="subscript"/>
                <w:lang w:val="fr-FR"/>
              </w:rPr>
              <w:t>12</w:t>
            </w:r>
            <w:r>
              <w:rPr>
                <w:sz w:val="20"/>
                <w:lang w:val="fr-FR"/>
              </w:rPr>
              <w:t>: ↓ 0.55 (0.49, 0.62)Maraviroc C</w:t>
            </w:r>
            <w:r w:rsidRPr="001316C5">
              <w:rPr>
                <w:sz w:val="20"/>
                <w:vertAlign w:val="subscript"/>
                <w:lang w:val="fr-FR"/>
              </w:rPr>
              <w:t>max</w:t>
            </w:r>
            <w:r>
              <w:rPr>
                <w:sz w:val="20"/>
                <w:lang w:val="fr-FR"/>
              </w:rPr>
              <w:t>: ↓ 0.49 (0.38, 0.63)</w:t>
            </w:r>
            <w:r>
              <w:rPr>
                <w:sz w:val="20"/>
              </w:rPr>
              <w:t>Efavirenz concentrations not measured, no effect is expected.</w:t>
            </w:r>
          </w:p>
        </w:tc>
        <w:tc>
          <w:tcPr>
            <w:tcW w:w="1614" w:type="pct"/>
            <w:tcBorders>
              <w:left w:val="single" w:sz="4" w:space="0" w:color="auto"/>
            </w:tcBorders>
          </w:tcPr>
          <w:p w:rsidR="0058239B" w:rsidRDefault="0058239B" w:rsidP="00440DF7">
            <w:pPr>
              <w:autoSpaceDE w:val="0"/>
              <w:autoSpaceDN w:val="0"/>
              <w:adjustRightInd w:val="0"/>
              <w:rPr>
                <w:sz w:val="20"/>
              </w:rPr>
            </w:pPr>
            <w:r>
              <w:rPr>
                <w:b/>
                <w:sz w:val="20"/>
              </w:rPr>
              <w:t xml:space="preserve">Maraviroc dose should be increased to 600 mg twice daily when co-administered with efavirenz in the </w:t>
            </w:r>
            <w:r w:rsidRPr="003631B9">
              <w:rPr>
                <w:b/>
                <w:sz w:val="20"/>
              </w:rPr>
              <w:t>absence</w:t>
            </w:r>
            <w:r>
              <w:rPr>
                <w:b/>
                <w:sz w:val="20"/>
              </w:rPr>
              <w:t xml:space="preserve"> of a </w:t>
            </w:r>
            <w:r w:rsidRPr="00961EDA">
              <w:rPr>
                <w:b/>
                <w:sz w:val="20"/>
              </w:rPr>
              <w:t>potent CYP3A4 inhibitor.</w:t>
            </w:r>
            <w:r w:rsidRPr="00CF1D31">
              <w:rPr>
                <w:sz w:val="20"/>
                <w:highlight w:val="yellow"/>
              </w:rPr>
              <w:t xml:space="preserve"> </w:t>
            </w:r>
            <w:r w:rsidRPr="00961EDA">
              <w:rPr>
                <w:sz w:val="20"/>
              </w:rPr>
              <w:t xml:space="preserve">For combination with efavirenz + PI, see </w:t>
            </w:r>
            <w:r w:rsidR="002933F3" w:rsidRPr="00961EDA">
              <w:rPr>
                <w:sz w:val="20"/>
              </w:rPr>
              <w:t>separate recommendations</w:t>
            </w:r>
            <w:r w:rsidR="002933F3">
              <w:rPr>
                <w:sz w:val="20"/>
              </w:rPr>
              <w:t xml:space="preserve"> </w:t>
            </w:r>
            <w:r>
              <w:rPr>
                <w:sz w:val="20"/>
              </w:rPr>
              <w:t>below.</w:t>
            </w:r>
          </w:p>
        </w:tc>
      </w:tr>
      <w:tr w:rsidR="006B68BF" w:rsidRPr="003631B9" w:rsidTr="00DB3E4D">
        <w:tc>
          <w:tcPr>
            <w:tcW w:w="1371" w:type="pct"/>
            <w:tcBorders>
              <w:bottom w:val="single" w:sz="4" w:space="0" w:color="auto"/>
              <w:right w:val="single" w:sz="4" w:space="0" w:color="auto"/>
            </w:tcBorders>
          </w:tcPr>
          <w:p w:rsidR="006B68BF" w:rsidRPr="00961EDA" w:rsidRDefault="003631B9" w:rsidP="00440DF7">
            <w:pPr>
              <w:autoSpaceDE w:val="0"/>
              <w:autoSpaceDN w:val="0"/>
              <w:adjustRightInd w:val="0"/>
              <w:rPr>
                <w:rFonts w:eastAsia="Times New Roman"/>
                <w:sz w:val="20"/>
                <w:szCs w:val="20"/>
                <w:lang w:eastAsia="en-AU"/>
              </w:rPr>
            </w:pPr>
            <w:proofErr w:type="spellStart"/>
            <w:r w:rsidRPr="00961EDA">
              <w:rPr>
                <w:rFonts w:eastAsia="Times New Roman"/>
                <w:sz w:val="20"/>
                <w:szCs w:val="20"/>
                <w:lang w:eastAsia="en-AU"/>
              </w:rPr>
              <w:t>Etravirine</w:t>
            </w:r>
            <w:proofErr w:type="spellEnd"/>
            <w:r w:rsidRPr="00961EDA">
              <w:rPr>
                <w:rFonts w:eastAsia="Times New Roman"/>
                <w:sz w:val="20"/>
                <w:szCs w:val="20"/>
                <w:lang w:eastAsia="en-AU"/>
              </w:rPr>
              <w:t xml:space="preserve"> 200 mg </w:t>
            </w:r>
            <w:r w:rsidR="003E36DF" w:rsidRPr="00961EDA">
              <w:rPr>
                <w:sz w:val="20"/>
              </w:rPr>
              <w:t>twice daily</w:t>
            </w:r>
          </w:p>
          <w:p w:rsidR="006B68BF" w:rsidRPr="00961EDA" w:rsidRDefault="003631B9" w:rsidP="00440DF7">
            <w:pPr>
              <w:autoSpaceDE w:val="0"/>
              <w:autoSpaceDN w:val="0"/>
              <w:adjustRightInd w:val="0"/>
              <w:rPr>
                <w:rFonts w:eastAsia="Times New Roman"/>
                <w:sz w:val="20"/>
                <w:szCs w:val="20"/>
                <w:lang w:eastAsia="en-AU"/>
              </w:rPr>
            </w:pPr>
            <w:r w:rsidRPr="00961EDA">
              <w:rPr>
                <w:rFonts w:eastAsia="Times New Roman"/>
                <w:sz w:val="20"/>
                <w:szCs w:val="20"/>
                <w:lang w:eastAsia="en-AU"/>
              </w:rPr>
              <w:t xml:space="preserve">(maraviroc 300 mg </w:t>
            </w:r>
            <w:r w:rsidR="003E36DF" w:rsidRPr="00961EDA">
              <w:rPr>
                <w:sz w:val="20"/>
              </w:rPr>
              <w:t>twice daily</w:t>
            </w:r>
            <w:r w:rsidR="006B68BF" w:rsidRPr="00961EDA">
              <w:rPr>
                <w:rFonts w:eastAsia="Times New Roman"/>
                <w:sz w:val="20"/>
                <w:szCs w:val="20"/>
                <w:lang w:eastAsia="en-AU"/>
              </w:rPr>
              <w:t>)</w:t>
            </w:r>
          </w:p>
          <w:p w:rsidR="006B68BF" w:rsidRPr="00961EDA" w:rsidRDefault="006B68BF" w:rsidP="00440DF7">
            <w:pPr>
              <w:tabs>
                <w:tab w:val="left" w:pos="567"/>
              </w:tabs>
              <w:rPr>
                <w:sz w:val="20"/>
                <w:szCs w:val="20"/>
              </w:rPr>
            </w:pPr>
          </w:p>
        </w:tc>
        <w:tc>
          <w:tcPr>
            <w:tcW w:w="2015" w:type="pct"/>
            <w:tcBorders>
              <w:left w:val="single" w:sz="4" w:space="0" w:color="auto"/>
              <w:bottom w:val="single" w:sz="4" w:space="0" w:color="auto"/>
              <w:right w:val="single" w:sz="4" w:space="0" w:color="auto"/>
            </w:tcBorders>
          </w:tcPr>
          <w:p w:rsidR="006B68BF" w:rsidRPr="00961EDA" w:rsidRDefault="006B68BF" w:rsidP="00440DF7">
            <w:pPr>
              <w:autoSpaceDE w:val="0"/>
              <w:autoSpaceDN w:val="0"/>
              <w:adjustRightInd w:val="0"/>
              <w:rPr>
                <w:rFonts w:eastAsia="Times New Roman"/>
                <w:sz w:val="20"/>
                <w:szCs w:val="20"/>
                <w:lang w:eastAsia="en-AU"/>
              </w:rPr>
            </w:pPr>
            <w:r w:rsidRPr="00961EDA">
              <w:rPr>
                <w:rFonts w:eastAsia="Times New Roman"/>
                <w:sz w:val="20"/>
                <w:szCs w:val="20"/>
                <w:lang w:val="fr-FR" w:eastAsia="en-AU"/>
              </w:rPr>
              <w:t>Maraviroc AUC</w:t>
            </w:r>
            <w:r w:rsidRPr="00961EDA">
              <w:rPr>
                <w:rFonts w:eastAsia="Times New Roman"/>
                <w:sz w:val="20"/>
                <w:szCs w:val="20"/>
                <w:vertAlign w:val="subscript"/>
                <w:lang w:val="fr-FR" w:eastAsia="en-AU"/>
              </w:rPr>
              <w:t>12</w:t>
            </w:r>
            <w:r w:rsidRPr="00961EDA">
              <w:rPr>
                <w:rFonts w:eastAsia="Times New Roman"/>
                <w:sz w:val="20"/>
                <w:szCs w:val="20"/>
                <w:lang w:val="fr-FR" w:eastAsia="en-AU"/>
              </w:rPr>
              <w:t xml:space="preserve">: ↓ 0.47 </w:t>
            </w:r>
            <w:r w:rsidR="00E44B95" w:rsidRPr="00961EDA">
              <w:rPr>
                <w:rFonts w:eastAsia="Times New Roman"/>
                <w:sz w:val="20"/>
                <w:szCs w:val="20"/>
                <w:lang w:val="fr-FR" w:eastAsia="en-AU"/>
              </w:rPr>
              <w:t xml:space="preserve"> (0.38, 0.58)</w:t>
            </w:r>
            <w:r w:rsidRPr="00961EDA">
              <w:rPr>
                <w:rFonts w:eastAsia="Times New Roman"/>
                <w:sz w:val="20"/>
                <w:szCs w:val="20"/>
                <w:lang w:val="fr-FR" w:eastAsia="en-AU"/>
              </w:rPr>
              <w:t>Maraviroc C</w:t>
            </w:r>
            <w:r w:rsidRPr="00961EDA">
              <w:rPr>
                <w:rFonts w:eastAsia="Times New Roman"/>
                <w:sz w:val="20"/>
                <w:szCs w:val="20"/>
                <w:vertAlign w:val="subscript"/>
                <w:lang w:val="fr-FR" w:eastAsia="en-AU"/>
              </w:rPr>
              <w:t>max</w:t>
            </w:r>
            <w:r w:rsidRPr="00961EDA">
              <w:rPr>
                <w:rFonts w:eastAsia="Times New Roman"/>
                <w:sz w:val="20"/>
                <w:szCs w:val="20"/>
                <w:lang w:val="fr-FR" w:eastAsia="en-AU"/>
              </w:rPr>
              <w:t xml:space="preserve">: ↓ 0.40 </w:t>
            </w:r>
            <w:r w:rsidR="00E44B95" w:rsidRPr="00961EDA">
              <w:rPr>
                <w:rFonts w:eastAsia="Times New Roman"/>
                <w:sz w:val="20"/>
                <w:szCs w:val="20"/>
                <w:lang w:eastAsia="en-AU"/>
              </w:rPr>
              <w:t xml:space="preserve"> (0.28, 0.57)</w:t>
            </w:r>
          </w:p>
          <w:p w:rsidR="009D563D" w:rsidRPr="00961EDA" w:rsidRDefault="009D563D" w:rsidP="00440DF7">
            <w:pPr>
              <w:autoSpaceDE w:val="0"/>
              <w:autoSpaceDN w:val="0"/>
              <w:adjustRightInd w:val="0"/>
              <w:rPr>
                <w:rFonts w:eastAsia="Times New Roman"/>
                <w:sz w:val="20"/>
                <w:szCs w:val="20"/>
                <w:lang w:val="fr-FR" w:eastAsia="en-AU"/>
              </w:rPr>
            </w:pPr>
          </w:p>
          <w:p w:rsidR="00D864EF" w:rsidRPr="00961EDA" w:rsidRDefault="00D864EF" w:rsidP="00440DF7">
            <w:pPr>
              <w:pStyle w:val="TableText0"/>
              <w:rPr>
                <w:rFonts w:cs="Times New Roman"/>
                <w:lang w:val="fr-FR" w:eastAsia="en-AU"/>
              </w:rPr>
            </w:pPr>
            <w:r w:rsidRPr="00961EDA">
              <w:rPr>
                <w:rFonts w:cs="Times New Roman"/>
                <w:lang w:val="fr-FR" w:eastAsia="en-AU"/>
              </w:rPr>
              <w:t>Etravirine AUC</w:t>
            </w:r>
            <w:r w:rsidRPr="00961EDA">
              <w:rPr>
                <w:rFonts w:cs="Times New Roman"/>
                <w:vertAlign w:val="subscript"/>
                <w:lang w:val="fr-FR" w:eastAsia="en-AU"/>
              </w:rPr>
              <w:t>12</w:t>
            </w:r>
            <w:r w:rsidRPr="00961EDA">
              <w:rPr>
                <w:rFonts w:cs="Times New Roman"/>
                <w:lang w:val="fr-FR" w:eastAsia="en-AU"/>
              </w:rPr>
              <w:t xml:space="preserve">:  ↔ 1.06 </w:t>
            </w:r>
            <w:r w:rsidR="00E44B95" w:rsidRPr="00961EDA">
              <w:rPr>
                <w:rFonts w:cs="Times New Roman"/>
                <w:lang w:val="fr-FR" w:eastAsia="en-AU"/>
              </w:rPr>
              <w:t xml:space="preserve"> (0.99, 1.14)</w:t>
            </w:r>
          </w:p>
          <w:p w:rsidR="00D864EF" w:rsidRPr="00961EDA" w:rsidRDefault="00D864EF" w:rsidP="00440DF7">
            <w:pPr>
              <w:pStyle w:val="TableText0"/>
              <w:rPr>
                <w:rFonts w:cs="Times New Roman"/>
                <w:lang w:val="fr-FR" w:eastAsia="en-AU"/>
              </w:rPr>
            </w:pPr>
            <w:r w:rsidRPr="00961EDA">
              <w:rPr>
                <w:rFonts w:cs="Times New Roman"/>
                <w:lang w:val="fr-FR" w:eastAsia="en-AU"/>
              </w:rPr>
              <w:t>Etravirine C</w:t>
            </w:r>
            <w:r w:rsidRPr="00961EDA">
              <w:rPr>
                <w:rFonts w:cs="Times New Roman"/>
                <w:vertAlign w:val="subscript"/>
                <w:lang w:val="fr-FR" w:eastAsia="en-AU"/>
              </w:rPr>
              <w:t>max</w:t>
            </w:r>
            <w:r w:rsidRPr="00961EDA">
              <w:rPr>
                <w:rFonts w:cs="Times New Roman"/>
                <w:lang w:val="fr-FR" w:eastAsia="en-AU"/>
              </w:rPr>
              <w:t xml:space="preserve">: ↔ 1.05 </w:t>
            </w:r>
            <w:r w:rsidR="00E44B95" w:rsidRPr="00961EDA">
              <w:rPr>
                <w:rFonts w:cs="Times New Roman"/>
                <w:lang w:val="fr-FR" w:eastAsia="en-AU"/>
              </w:rPr>
              <w:t xml:space="preserve"> (0.95, 1.17)</w:t>
            </w:r>
          </w:p>
          <w:p w:rsidR="006B68BF" w:rsidRPr="00961EDA" w:rsidRDefault="00D864EF" w:rsidP="00440DF7">
            <w:pPr>
              <w:autoSpaceDE w:val="0"/>
              <w:autoSpaceDN w:val="0"/>
              <w:adjustRightInd w:val="0"/>
              <w:rPr>
                <w:rFonts w:eastAsia="Times New Roman"/>
                <w:sz w:val="20"/>
                <w:szCs w:val="20"/>
                <w:lang w:val="fr-FR" w:eastAsia="en-AU"/>
              </w:rPr>
            </w:pPr>
            <w:r w:rsidRPr="00961EDA">
              <w:rPr>
                <w:rFonts w:eastAsia="Times New Roman"/>
                <w:sz w:val="20"/>
                <w:szCs w:val="20"/>
                <w:lang w:val="fr-FR" w:eastAsia="en-AU"/>
              </w:rPr>
              <w:t>Etravirine C</w:t>
            </w:r>
            <w:r w:rsidRPr="00961EDA">
              <w:rPr>
                <w:rFonts w:eastAsia="Times New Roman"/>
                <w:sz w:val="20"/>
                <w:szCs w:val="20"/>
                <w:vertAlign w:val="subscript"/>
                <w:lang w:val="fr-FR" w:eastAsia="en-AU"/>
              </w:rPr>
              <w:t>12</w:t>
            </w:r>
            <w:r w:rsidRPr="00961EDA">
              <w:rPr>
                <w:rFonts w:eastAsia="Times New Roman"/>
                <w:sz w:val="20"/>
                <w:szCs w:val="20"/>
                <w:lang w:val="fr-FR" w:eastAsia="en-AU"/>
              </w:rPr>
              <w:t xml:space="preserve">: ↔ 1.08 </w:t>
            </w:r>
            <w:r w:rsidR="00E44B95" w:rsidRPr="00961EDA">
              <w:rPr>
                <w:rFonts w:eastAsia="Times New Roman"/>
                <w:sz w:val="20"/>
                <w:szCs w:val="20"/>
                <w:lang w:val="fr-FR" w:eastAsia="en-AU"/>
              </w:rPr>
              <w:t xml:space="preserve"> (0.98, 1.19)</w:t>
            </w:r>
          </w:p>
          <w:p w:rsidR="006B68BF" w:rsidRPr="00961EDA" w:rsidRDefault="006B68BF" w:rsidP="00440DF7">
            <w:pPr>
              <w:tabs>
                <w:tab w:val="left" w:pos="567"/>
              </w:tabs>
              <w:rPr>
                <w:sz w:val="20"/>
                <w:szCs w:val="20"/>
              </w:rPr>
            </w:pPr>
          </w:p>
        </w:tc>
        <w:tc>
          <w:tcPr>
            <w:tcW w:w="1614" w:type="pct"/>
            <w:tcBorders>
              <w:left w:val="single" w:sz="4" w:space="0" w:color="auto"/>
              <w:bottom w:val="single" w:sz="4" w:space="0" w:color="auto"/>
            </w:tcBorders>
          </w:tcPr>
          <w:p w:rsidR="006B68BF" w:rsidRPr="00961EDA" w:rsidRDefault="006B68BF" w:rsidP="00440DF7">
            <w:pPr>
              <w:autoSpaceDE w:val="0"/>
              <w:autoSpaceDN w:val="0"/>
              <w:adjustRightInd w:val="0"/>
              <w:rPr>
                <w:rFonts w:eastAsia="Times New Roman"/>
                <w:b/>
                <w:bCs/>
                <w:sz w:val="20"/>
                <w:szCs w:val="20"/>
                <w:lang w:eastAsia="en-AU"/>
              </w:rPr>
            </w:pPr>
            <w:r w:rsidRPr="00961EDA">
              <w:rPr>
                <w:rFonts w:eastAsia="Times New Roman"/>
                <w:b/>
                <w:bCs/>
                <w:sz w:val="20"/>
                <w:szCs w:val="20"/>
                <w:lang w:eastAsia="en-AU"/>
              </w:rPr>
              <w:t>Maraviroc dose should be</w:t>
            </w:r>
          </w:p>
          <w:p w:rsidR="006B68BF" w:rsidRPr="00961EDA" w:rsidRDefault="006B68BF" w:rsidP="00440DF7">
            <w:pPr>
              <w:autoSpaceDE w:val="0"/>
              <w:autoSpaceDN w:val="0"/>
              <w:adjustRightInd w:val="0"/>
              <w:rPr>
                <w:rFonts w:eastAsia="Times New Roman"/>
                <w:b/>
                <w:bCs/>
                <w:sz w:val="20"/>
                <w:szCs w:val="20"/>
                <w:lang w:eastAsia="en-AU"/>
              </w:rPr>
            </w:pPr>
            <w:r w:rsidRPr="00961EDA">
              <w:rPr>
                <w:rFonts w:eastAsia="Times New Roman"/>
                <w:b/>
                <w:bCs/>
                <w:sz w:val="20"/>
                <w:szCs w:val="20"/>
                <w:lang w:eastAsia="en-AU"/>
              </w:rPr>
              <w:t>increased to 600 mg twice</w:t>
            </w:r>
          </w:p>
          <w:p w:rsidR="006B68BF" w:rsidRPr="00961EDA" w:rsidRDefault="006B68BF" w:rsidP="00440DF7">
            <w:pPr>
              <w:autoSpaceDE w:val="0"/>
              <w:autoSpaceDN w:val="0"/>
              <w:adjustRightInd w:val="0"/>
              <w:rPr>
                <w:rFonts w:eastAsia="Times New Roman"/>
                <w:b/>
                <w:bCs/>
                <w:sz w:val="20"/>
                <w:szCs w:val="20"/>
                <w:lang w:eastAsia="en-AU"/>
              </w:rPr>
            </w:pPr>
            <w:r w:rsidRPr="00961EDA">
              <w:rPr>
                <w:rFonts w:eastAsia="Times New Roman"/>
                <w:b/>
                <w:bCs/>
                <w:sz w:val="20"/>
                <w:szCs w:val="20"/>
                <w:lang w:eastAsia="en-AU"/>
              </w:rPr>
              <w:t>daily when co</w:t>
            </w:r>
            <w:r w:rsidR="003631B9" w:rsidRPr="00961EDA">
              <w:rPr>
                <w:rFonts w:eastAsia="Times New Roman"/>
                <w:b/>
                <w:bCs/>
                <w:sz w:val="20"/>
                <w:szCs w:val="20"/>
                <w:lang w:eastAsia="en-AU"/>
              </w:rPr>
              <w:t>-</w:t>
            </w:r>
            <w:r w:rsidRPr="00961EDA">
              <w:rPr>
                <w:rFonts w:eastAsia="Times New Roman"/>
                <w:b/>
                <w:bCs/>
                <w:sz w:val="20"/>
                <w:szCs w:val="20"/>
                <w:lang w:eastAsia="en-AU"/>
              </w:rPr>
              <w:t>administered</w:t>
            </w:r>
          </w:p>
          <w:p w:rsidR="006B68BF" w:rsidRPr="00961EDA" w:rsidRDefault="006B68BF" w:rsidP="00440DF7">
            <w:pPr>
              <w:autoSpaceDE w:val="0"/>
              <w:autoSpaceDN w:val="0"/>
              <w:adjustRightInd w:val="0"/>
              <w:rPr>
                <w:rFonts w:eastAsia="Times New Roman"/>
                <w:b/>
                <w:bCs/>
                <w:sz w:val="20"/>
                <w:szCs w:val="20"/>
                <w:lang w:eastAsia="en-AU"/>
              </w:rPr>
            </w:pPr>
            <w:r w:rsidRPr="00961EDA">
              <w:rPr>
                <w:rFonts w:eastAsia="Times New Roman"/>
                <w:b/>
                <w:bCs/>
                <w:sz w:val="20"/>
                <w:szCs w:val="20"/>
                <w:lang w:eastAsia="en-AU"/>
              </w:rPr>
              <w:t>with</w:t>
            </w:r>
            <w:r w:rsidR="003631B9" w:rsidRPr="00961EDA">
              <w:rPr>
                <w:rFonts w:eastAsia="Times New Roman"/>
                <w:b/>
                <w:bCs/>
                <w:sz w:val="20"/>
                <w:szCs w:val="20"/>
                <w:lang w:eastAsia="en-AU"/>
              </w:rPr>
              <w:t xml:space="preserve"> </w:t>
            </w:r>
            <w:proofErr w:type="spellStart"/>
            <w:r w:rsidR="003631B9" w:rsidRPr="00961EDA">
              <w:rPr>
                <w:rFonts w:eastAsia="Times New Roman"/>
                <w:b/>
                <w:bCs/>
                <w:sz w:val="20"/>
                <w:szCs w:val="20"/>
                <w:lang w:eastAsia="en-AU"/>
              </w:rPr>
              <w:t>etravirine</w:t>
            </w:r>
            <w:proofErr w:type="spellEnd"/>
            <w:r w:rsidR="003631B9" w:rsidRPr="00961EDA">
              <w:rPr>
                <w:rFonts w:eastAsia="Times New Roman"/>
                <w:b/>
                <w:bCs/>
                <w:sz w:val="20"/>
                <w:szCs w:val="20"/>
                <w:lang w:eastAsia="en-AU"/>
              </w:rPr>
              <w:t xml:space="preserve"> in the </w:t>
            </w:r>
            <w:r w:rsidRPr="00961EDA">
              <w:rPr>
                <w:rFonts w:eastAsia="Times New Roman"/>
                <w:b/>
                <w:bCs/>
                <w:sz w:val="20"/>
                <w:szCs w:val="20"/>
                <w:lang w:eastAsia="en-AU"/>
              </w:rPr>
              <w:t>absence of</w:t>
            </w:r>
            <w:r w:rsidR="003631B9" w:rsidRPr="00961EDA">
              <w:rPr>
                <w:rFonts w:eastAsia="Times New Roman"/>
                <w:b/>
                <w:bCs/>
                <w:sz w:val="20"/>
                <w:szCs w:val="20"/>
                <w:lang w:eastAsia="en-AU"/>
              </w:rPr>
              <w:t xml:space="preserve"> </w:t>
            </w:r>
            <w:r w:rsidRPr="00961EDA">
              <w:rPr>
                <w:rFonts w:eastAsia="Times New Roman"/>
                <w:b/>
                <w:bCs/>
                <w:sz w:val="20"/>
                <w:szCs w:val="20"/>
                <w:lang w:eastAsia="en-AU"/>
              </w:rPr>
              <w:t>a PI (except</w:t>
            </w:r>
          </w:p>
          <w:p w:rsidR="006B68BF" w:rsidRPr="00961EDA" w:rsidRDefault="006B68BF" w:rsidP="00440DF7">
            <w:pPr>
              <w:autoSpaceDE w:val="0"/>
              <w:autoSpaceDN w:val="0"/>
              <w:adjustRightInd w:val="0"/>
              <w:rPr>
                <w:rFonts w:eastAsia="Times New Roman"/>
                <w:b/>
                <w:bCs/>
                <w:sz w:val="20"/>
                <w:szCs w:val="20"/>
                <w:lang w:eastAsia="en-AU"/>
              </w:rPr>
            </w:pPr>
            <w:proofErr w:type="spellStart"/>
            <w:r w:rsidRPr="00961EDA">
              <w:rPr>
                <w:rFonts w:eastAsia="Times New Roman"/>
                <w:b/>
                <w:bCs/>
                <w:sz w:val="20"/>
                <w:szCs w:val="20"/>
                <w:lang w:eastAsia="en-AU"/>
              </w:rPr>
              <w:t>tipranavir</w:t>
            </w:r>
            <w:proofErr w:type="spellEnd"/>
            <w:r w:rsidRPr="00961EDA">
              <w:rPr>
                <w:rFonts w:eastAsia="Times New Roman"/>
                <w:b/>
                <w:bCs/>
                <w:sz w:val="20"/>
                <w:szCs w:val="20"/>
                <w:lang w:eastAsia="en-AU"/>
              </w:rPr>
              <w:t>/</w:t>
            </w:r>
            <w:proofErr w:type="spellStart"/>
            <w:r w:rsidRPr="00961EDA">
              <w:rPr>
                <w:rFonts w:eastAsia="Times New Roman"/>
                <w:b/>
                <w:bCs/>
                <w:sz w:val="20"/>
                <w:szCs w:val="20"/>
                <w:lang w:eastAsia="en-AU"/>
              </w:rPr>
              <w:t>ritonavir</w:t>
            </w:r>
            <w:proofErr w:type="spellEnd"/>
            <w:r w:rsidR="009D563D" w:rsidRPr="00961EDA">
              <w:rPr>
                <w:rFonts w:eastAsia="Times New Roman"/>
                <w:b/>
                <w:bCs/>
                <w:sz w:val="20"/>
                <w:szCs w:val="20"/>
                <w:lang w:eastAsia="en-AU"/>
              </w:rPr>
              <w:t xml:space="preserve"> or </w:t>
            </w:r>
            <w:proofErr w:type="spellStart"/>
            <w:r w:rsidR="009D563D" w:rsidRPr="00961EDA">
              <w:rPr>
                <w:rFonts w:eastAsia="Times New Roman"/>
                <w:b/>
                <w:bCs/>
                <w:sz w:val="20"/>
                <w:szCs w:val="20"/>
                <w:lang w:eastAsia="en-AU"/>
              </w:rPr>
              <w:t>fosamprenavir</w:t>
            </w:r>
            <w:proofErr w:type="spellEnd"/>
            <w:r w:rsidR="009D563D" w:rsidRPr="00961EDA">
              <w:rPr>
                <w:rFonts w:eastAsia="Times New Roman"/>
                <w:b/>
                <w:bCs/>
                <w:sz w:val="20"/>
                <w:szCs w:val="20"/>
                <w:lang w:eastAsia="en-AU"/>
              </w:rPr>
              <w:t>/</w:t>
            </w:r>
            <w:proofErr w:type="spellStart"/>
            <w:r w:rsidR="009D563D" w:rsidRPr="00961EDA">
              <w:rPr>
                <w:rFonts w:eastAsia="Times New Roman"/>
                <w:b/>
                <w:bCs/>
                <w:sz w:val="20"/>
                <w:szCs w:val="20"/>
                <w:lang w:eastAsia="en-AU"/>
              </w:rPr>
              <w:t>ritonavir</w:t>
            </w:r>
            <w:proofErr w:type="spellEnd"/>
            <w:r w:rsidRPr="00961EDA">
              <w:rPr>
                <w:rFonts w:eastAsia="Times New Roman"/>
                <w:b/>
                <w:bCs/>
                <w:sz w:val="20"/>
                <w:szCs w:val="20"/>
                <w:lang w:eastAsia="en-AU"/>
              </w:rPr>
              <w:t>) or</w:t>
            </w:r>
          </w:p>
          <w:p w:rsidR="006B68BF" w:rsidRPr="00961EDA" w:rsidRDefault="006B68BF" w:rsidP="00440DF7">
            <w:pPr>
              <w:autoSpaceDE w:val="0"/>
              <w:autoSpaceDN w:val="0"/>
              <w:adjustRightInd w:val="0"/>
              <w:rPr>
                <w:rFonts w:eastAsia="Times New Roman"/>
                <w:b/>
                <w:bCs/>
                <w:sz w:val="20"/>
                <w:szCs w:val="20"/>
                <w:lang w:eastAsia="en-AU"/>
              </w:rPr>
            </w:pPr>
            <w:r w:rsidRPr="00961EDA">
              <w:rPr>
                <w:rFonts w:eastAsia="Times New Roman"/>
                <w:b/>
                <w:bCs/>
                <w:sz w:val="20"/>
                <w:szCs w:val="20"/>
                <w:lang w:eastAsia="en-AU"/>
              </w:rPr>
              <w:t>other potent CYP3A4</w:t>
            </w:r>
          </w:p>
          <w:p w:rsidR="006B68BF" w:rsidRPr="00961EDA" w:rsidRDefault="006B68BF" w:rsidP="00440DF7">
            <w:pPr>
              <w:autoSpaceDE w:val="0"/>
              <w:autoSpaceDN w:val="0"/>
              <w:adjustRightInd w:val="0"/>
              <w:rPr>
                <w:rFonts w:eastAsia="Times New Roman"/>
                <w:sz w:val="20"/>
                <w:szCs w:val="20"/>
                <w:lang w:eastAsia="en-AU"/>
              </w:rPr>
            </w:pPr>
            <w:proofErr w:type="gramStart"/>
            <w:r w:rsidRPr="00961EDA">
              <w:rPr>
                <w:rFonts w:eastAsia="Times New Roman"/>
                <w:b/>
                <w:bCs/>
                <w:sz w:val="20"/>
                <w:szCs w:val="20"/>
                <w:lang w:eastAsia="en-AU"/>
              </w:rPr>
              <w:t>inhibitor</w:t>
            </w:r>
            <w:proofErr w:type="gramEnd"/>
            <w:r w:rsidRPr="00961EDA">
              <w:rPr>
                <w:rFonts w:eastAsia="Times New Roman"/>
                <w:sz w:val="20"/>
                <w:szCs w:val="20"/>
                <w:lang w:eastAsia="en-AU"/>
              </w:rPr>
              <w:t>. For combination</w:t>
            </w:r>
          </w:p>
          <w:p w:rsidR="006B68BF" w:rsidRPr="00961EDA" w:rsidRDefault="006B68BF" w:rsidP="00440DF7">
            <w:pPr>
              <w:autoSpaceDE w:val="0"/>
              <w:autoSpaceDN w:val="0"/>
              <w:adjustRightInd w:val="0"/>
              <w:rPr>
                <w:rFonts w:eastAsia="Times New Roman"/>
                <w:sz w:val="20"/>
                <w:szCs w:val="20"/>
                <w:lang w:eastAsia="en-AU"/>
              </w:rPr>
            </w:pPr>
            <w:r w:rsidRPr="00961EDA">
              <w:rPr>
                <w:rFonts w:eastAsia="Times New Roman"/>
                <w:sz w:val="20"/>
                <w:szCs w:val="20"/>
                <w:lang w:eastAsia="en-AU"/>
              </w:rPr>
              <w:t xml:space="preserve">with </w:t>
            </w:r>
            <w:proofErr w:type="spellStart"/>
            <w:r w:rsidRPr="00961EDA">
              <w:rPr>
                <w:rFonts w:eastAsia="Times New Roman"/>
                <w:sz w:val="20"/>
                <w:szCs w:val="20"/>
                <w:lang w:eastAsia="en-AU"/>
              </w:rPr>
              <w:t>etravirine</w:t>
            </w:r>
            <w:proofErr w:type="spellEnd"/>
            <w:r w:rsidRPr="00961EDA">
              <w:rPr>
                <w:rFonts w:eastAsia="Times New Roman"/>
                <w:sz w:val="20"/>
                <w:szCs w:val="20"/>
                <w:lang w:eastAsia="en-AU"/>
              </w:rPr>
              <w:t xml:space="preserve"> + PI, see</w:t>
            </w:r>
          </w:p>
          <w:p w:rsidR="006B68BF" w:rsidRPr="00961EDA" w:rsidRDefault="006B68BF" w:rsidP="00F97C78">
            <w:pPr>
              <w:autoSpaceDE w:val="0"/>
              <w:autoSpaceDN w:val="0"/>
              <w:adjustRightInd w:val="0"/>
              <w:rPr>
                <w:sz w:val="20"/>
                <w:szCs w:val="20"/>
              </w:rPr>
            </w:pPr>
            <w:proofErr w:type="gramStart"/>
            <w:r w:rsidRPr="00961EDA">
              <w:rPr>
                <w:rFonts w:eastAsia="Times New Roman"/>
                <w:sz w:val="20"/>
                <w:szCs w:val="20"/>
                <w:lang w:eastAsia="en-AU"/>
              </w:rPr>
              <w:t>below</w:t>
            </w:r>
            <w:proofErr w:type="gramEnd"/>
            <w:r w:rsidRPr="00961EDA">
              <w:rPr>
                <w:rFonts w:eastAsia="Times New Roman"/>
                <w:sz w:val="20"/>
                <w:szCs w:val="20"/>
                <w:lang w:eastAsia="en-AU"/>
              </w:rPr>
              <w:t>.</w:t>
            </w:r>
          </w:p>
        </w:tc>
      </w:tr>
      <w:tr w:rsidR="0058239B" w:rsidTr="00DB3E4D">
        <w:tc>
          <w:tcPr>
            <w:tcW w:w="1371" w:type="pct"/>
            <w:tcBorders>
              <w:bottom w:val="single" w:sz="4" w:space="0" w:color="auto"/>
              <w:right w:val="single" w:sz="4" w:space="0" w:color="auto"/>
            </w:tcBorders>
          </w:tcPr>
          <w:p w:rsidR="0058239B" w:rsidRDefault="0058239B" w:rsidP="00440DF7">
            <w:pPr>
              <w:tabs>
                <w:tab w:val="left" w:pos="567"/>
              </w:tabs>
              <w:rPr>
                <w:sz w:val="20"/>
              </w:rPr>
            </w:pPr>
            <w:proofErr w:type="spellStart"/>
            <w:r>
              <w:rPr>
                <w:sz w:val="20"/>
              </w:rPr>
              <w:t>Nevirapine</w:t>
            </w:r>
            <w:proofErr w:type="spellEnd"/>
            <w:r>
              <w:rPr>
                <w:sz w:val="20"/>
              </w:rPr>
              <w:t xml:space="preserve"> 200 mg </w:t>
            </w:r>
            <w:r w:rsidR="003E36DF">
              <w:rPr>
                <w:sz w:val="20"/>
              </w:rPr>
              <w:t>twice daily</w:t>
            </w:r>
          </w:p>
          <w:p w:rsidR="0058239B" w:rsidRDefault="0058239B" w:rsidP="00440DF7">
            <w:pPr>
              <w:tabs>
                <w:tab w:val="left" w:pos="567"/>
              </w:tabs>
              <w:rPr>
                <w:sz w:val="20"/>
              </w:rPr>
            </w:pPr>
            <w:r>
              <w:rPr>
                <w:sz w:val="20"/>
              </w:rPr>
              <w:t xml:space="preserve">(maraviroc 300 mg </w:t>
            </w:r>
            <w:r w:rsidR="005A22DB">
              <w:rPr>
                <w:sz w:val="20"/>
              </w:rPr>
              <w:t>s</w:t>
            </w:r>
            <w:r>
              <w:rPr>
                <w:sz w:val="20"/>
              </w:rPr>
              <w:t xml:space="preserve">ingle </w:t>
            </w:r>
            <w:r w:rsidR="005A22DB">
              <w:rPr>
                <w:sz w:val="20"/>
              </w:rPr>
              <w:t>d</w:t>
            </w:r>
            <w:r>
              <w:rPr>
                <w:sz w:val="20"/>
              </w:rPr>
              <w:t>ose)</w:t>
            </w:r>
          </w:p>
        </w:tc>
        <w:tc>
          <w:tcPr>
            <w:tcW w:w="2015" w:type="pct"/>
            <w:tcBorders>
              <w:left w:val="single" w:sz="4" w:space="0" w:color="auto"/>
              <w:bottom w:val="single" w:sz="4" w:space="0" w:color="auto"/>
              <w:right w:val="single" w:sz="4" w:space="0" w:color="auto"/>
            </w:tcBorders>
          </w:tcPr>
          <w:p w:rsidR="0058239B" w:rsidRDefault="0058239B" w:rsidP="00440DF7">
            <w:pPr>
              <w:tabs>
                <w:tab w:val="left" w:pos="567"/>
              </w:tabs>
              <w:rPr>
                <w:sz w:val="20"/>
              </w:rPr>
            </w:pPr>
            <w:r>
              <w:rPr>
                <w:sz w:val="20"/>
              </w:rPr>
              <w:t>Maraviroc AUC</w:t>
            </w:r>
            <w:r>
              <w:rPr>
                <w:sz w:val="20"/>
                <w:vertAlign w:val="subscript"/>
              </w:rPr>
              <w:t>12</w:t>
            </w:r>
            <w:r>
              <w:rPr>
                <w:sz w:val="20"/>
              </w:rPr>
              <w:t>: ↔ compared to historical controls</w:t>
            </w:r>
          </w:p>
          <w:p w:rsidR="0058239B" w:rsidRDefault="0058239B" w:rsidP="00440DF7">
            <w:pPr>
              <w:tabs>
                <w:tab w:val="left" w:pos="567"/>
              </w:tabs>
              <w:rPr>
                <w:sz w:val="20"/>
              </w:rPr>
            </w:pPr>
            <w:proofErr w:type="spellStart"/>
            <w:r>
              <w:rPr>
                <w:sz w:val="20"/>
              </w:rPr>
              <w:t>Maraviroc</w:t>
            </w:r>
            <w:proofErr w:type="spellEnd"/>
            <w:r>
              <w:rPr>
                <w:sz w:val="20"/>
              </w:rPr>
              <w:t xml:space="preserve"> </w:t>
            </w:r>
            <w:proofErr w:type="spellStart"/>
            <w:r>
              <w:rPr>
                <w:sz w:val="20"/>
              </w:rPr>
              <w:t>C</w:t>
            </w:r>
            <w:r>
              <w:rPr>
                <w:sz w:val="20"/>
                <w:vertAlign w:val="subscript"/>
              </w:rPr>
              <w:t>max</w:t>
            </w:r>
            <w:proofErr w:type="spellEnd"/>
            <w:r>
              <w:rPr>
                <w:sz w:val="20"/>
              </w:rPr>
              <w:t>: ↑ compared to historical controls</w:t>
            </w:r>
          </w:p>
          <w:p w:rsidR="0058239B" w:rsidRDefault="0058239B" w:rsidP="00440DF7">
            <w:pPr>
              <w:tabs>
                <w:tab w:val="left" w:pos="567"/>
              </w:tabs>
              <w:rPr>
                <w:strike/>
                <w:sz w:val="20"/>
              </w:rPr>
            </w:pPr>
            <w:proofErr w:type="spellStart"/>
            <w:r>
              <w:rPr>
                <w:sz w:val="20"/>
              </w:rPr>
              <w:t>Nevirapine</w:t>
            </w:r>
            <w:proofErr w:type="spellEnd"/>
            <w:r>
              <w:rPr>
                <w:sz w:val="20"/>
              </w:rPr>
              <w:t xml:space="preserve"> concentrations not measured, no effect is expected.</w:t>
            </w:r>
          </w:p>
        </w:tc>
        <w:tc>
          <w:tcPr>
            <w:tcW w:w="1614" w:type="pct"/>
            <w:tcBorders>
              <w:left w:val="single" w:sz="4" w:space="0" w:color="auto"/>
              <w:bottom w:val="single" w:sz="4" w:space="0" w:color="auto"/>
            </w:tcBorders>
          </w:tcPr>
          <w:p w:rsidR="0058239B" w:rsidRDefault="0058239B" w:rsidP="00440DF7">
            <w:pPr>
              <w:tabs>
                <w:tab w:val="left" w:pos="567"/>
              </w:tabs>
              <w:rPr>
                <w:strike/>
                <w:sz w:val="20"/>
              </w:rPr>
            </w:pPr>
            <w:r>
              <w:rPr>
                <w:sz w:val="20"/>
              </w:rPr>
              <w:t xml:space="preserve">Comparison to exposure in historical controls suggests that </w:t>
            </w:r>
            <w:r>
              <w:rPr>
                <w:b/>
                <w:sz w:val="20"/>
              </w:rPr>
              <w:t xml:space="preserve">maraviroc 300 mg twice daily and </w:t>
            </w:r>
            <w:proofErr w:type="spellStart"/>
            <w:r>
              <w:rPr>
                <w:b/>
                <w:sz w:val="20"/>
              </w:rPr>
              <w:t>nevirapine</w:t>
            </w:r>
            <w:proofErr w:type="spellEnd"/>
            <w:r>
              <w:rPr>
                <w:b/>
                <w:sz w:val="20"/>
              </w:rPr>
              <w:t xml:space="preserve"> can be co-administered without dose adjustment.</w:t>
            </w:r>
            <w:r>
              <w:rPr>
                <w:strike/>
                <w:sz w:val="20"/>
              </w:rPr>
              <w:t xml:space="preserve"> </w:t>
            </w:r>
          </w:p>
        </w:tc>
      </w:tr>
      <w:tr w:rsidR="0058239B" w:rsidTr="00DB3E4D">
        <w:tc>
          <w:tcPr>
            <w:tcW w:w="1371" w:type="pct"/>
            <w:tcBorders>
              <w:bottom w:val="single" w:sz="4" w:space="0" w:color="auto"/>
              <w:right w:val="single" w:sz="4" w:space="0" w:color="auto"/>
            </w:tcBorders>
          </w:tcPr>
          <w:p w:rsidR="0058239B" w:rsidRDefault="0058239B" w:rsidP="00440DF7">
            <w:pPr>
              <w:tabs>
                <w:tab w:val="left" w:pos="567"/>
              </w:tabs>
              <w:rPr>
                <w:sz w:val="20"/>
              </w:rPr>
            </w:pPr>
            <w:proofErr w:type="spellStart"/>
            <w:r>
              <w:rPr>
                <w:sz w:val="20"/>
              </w:rPr>
              <w:lastRenderedPageBreak/>
              <w:t>Delavirdine</w:t>
            </w:r>
            <w:proofErr w:type="spellEnd"/>
          </w:p>
        </w:tc>
        <w:tc>
          <w:tcPr>
            <w:tcW w:w="2015" w:type="pct"/>
            <w:tcBorders>
              <w:left w:val="single" w:sz="4" w:space="0" w:color="auto"/>
              <w:bottom w:val="single" w:sz="4" w:space="0" w:color="auto"/>
              <w:right w:val="single" w:sz="4" w:space="0" w:color="auto"/>
            </w:tcBorders>
          </w:tcPr>
          <w:p w:rsidR="0058239B" w:rsidRPr="00D13CCE" w:rsidRDefault="0058239B" w:rsidP="00440DF7">
            <w:pPr>
              <w:tabs>
                <w:tab w:val="left" w:pos="567"/>
              </w:tabs>
              <w:rPr>
                <w:sz w:val="20"/>
              </w:rPr>
            </w:pPr>
            <w:r w:rsidRPr="00D13CCE">
              <w:rPr>
                <w:sz w:val="20"/>
              </w:rPr>
              <w:t xml:space="preserve">Limited data are available for co-administration with </w:t>
            </w:r>
            <w:proofErr w:type="spellStart"/>
            <w:r w:rsidRPr="00D13CCE">
              <w:rPr>
                <w:sz w:val="20"/>
              </w:rPr>
              <w:t>delavi</w:t>
            </w:r>
            <w:r w:rsidR="00257947">
              <w:rPr>
                <w:sz w:val="20"/>
              </w:rPr>
              <w:t>r</w:t>
            </w:r>
            <w:r w:rsidRPr="00D13CCE">
              <w:rPr>
                <w:sz w:val="20"/>
              </w:rPr>
              <w:t>dine</w:t>
            </w:r>
            <w:proofErr w:type="spellEnd"/>
            <w:r w:rsidRPr="00D13CCE">
              <w:rPr>
                <w:sz w:val="20"/>
              </w:rPr>
              <w:t xml:space="preserve">.  </w:t>
            </w:r>
            <w:proofErr w:type="spellStart"/>
            <w:r w:rsidRPr="00D13CCE">
              <w:rPr>
                <w:sz w:val="20"/>
              </w:rPr>
              <w:t>Delavirdine</w:t>
            </w:r>
            <w:proofErr w:type="spellEnd"/>
            <w:r w:rsidRPr="00D13CCE">
              <w:rPr>
                <w:sz w:val="20"/>
              </w:rPr>
              <w:t xml:space="preserve"> is a potent CYP3A4 inhibitor. Population PK analysis in phase 3 studies suggests dose reduction of maraviroc when co</w:t>
            </w:r>
            <w:r>
              <w:rPr>
                <w:sz w:val="20"/>
              </w:rPr>
              <w:t>-</w:t>
            </w:r>
            <w:r w:rsidRPr="00D13CCE">
              <w:rPr>
                <w:sz w:val="20"/>
              </w:rPr>
              <w:t xml:space="preserve">administered with </w:t>
            </w:r>
            <w:proofErr w:type="spellStart"/>
            <w:r w:rsidRPr="00D13CCE">
              <w:rPr>
                <w:sz w:val="20"/>
              </w:rPr>
              <w:t>delavirdine</w:t>
            </w:r>
            <w:proofErr w:type="spellEnd"/>
            <w:r w:rsidRPr="00D13CCE">
              <w:rPr>
                <w:sz w:val="20"/>
              </w:rPr>
              <w:t xml:space="preserve"> gives appropriate </w:t>
            </w:r>
            <w:proofErr w:type="spellStart"/>
            <w:r w:rsidRPr="00D13CCE">
              <w:rPr>
                <w:sz w:val="20"/>
              </w:rPr>
              <w:t>maraviroc</w:t>
            </w:r>
            <w:proofErr w:type="spellEnd"/>
            <w:r w:rsidRPr="00D13CCE">
              <w:rPr>
                <w:sz w:val="20"/>
              </w:rPr>
              <w:t xml:space="preserve"> exposure</w:t>
            </w:r>
            <w:r w:rsidR="00257947">
              <w:rPr>
                <w:sz w:val="20"/>
              </w:rPr>
              <w:t>.</w:t>
            </w:r>
          </w:p>
          <w:p w:rsidR="0058239B" w:rsidRDefault="0058239B" w:rsidP="00440DF7">
            <w:pPr>
              <w:tabs>
                <w:tab w:val="left" w:pos="567"/>
              </w:tabs>
              <w:rPr>
                <w:sz w:val="20"/>
              </w:rPr>
            </w:pPr>
          </w:p>
        </w:tc>
        <w:tc>
          <w:tcPr>
            <w:tcW w:w="1614" w:type="pct"/>
            <w:tcBorders>
              <w:left w:val="single" w:sz="4" w:space="0" w:color="auto"/>
              <w:bottom w:val="single" w:sz="4" w:space="0" w:color="auto"/>
            </w:tcBorders>
          </w:tcPr>
          <w:p w:rsidR="0058239B" w:rsidRPr="006F5CFC" w:rsidRDefault="0058239B" w:rsidP="00440DF7">
            <w:pPr>
              <w:tabs>
                <w:tab w:val="left" w:pos="567"/>
              </w:tabs>
              <w:rPr>
                <w:b/>
                <w:sz w:val="20"/>
              </w:rPr>
            </w:pPr>
            <w:r w:rsidRPr="006F5CFC">
              <w:rPr>
                <w:b/>
                <w:sz w:val="20"/>
              </w:rPr>
              <w:t xml:space="preserve">Maraviroc dose should be decreased to 150 mg twice daily when co-administered with </w:t>
            </w:r>
            <w:proofErr w:type="spellStart"/>
            <w:r w:rsidRPr="006F5CFC">
              <w:rPr>
                <w:b/>
                <w:sz w:val="20"/>
              </w:rPr>
              <w:t>delavirdine</w:t>
            </w:r>
            <w:proofErr w:type="spellEnd"/>
            <w:r w:rsidRPr="006F5CFC">
              <w:rPr>
                <w:b/>
                <w:sz w:val="20"/>
              </w:rPr>
              <w:t>.</w:t>
            </w:r>
          </w:p>
        </w:tc>
      </w:tr>
      <w:tr w:rsidR="0058239B" w:rsidTr="00DB3E4D">
        <w:tc>
          <w:tcPr>
            <w:tcW w:w="1371" w:type="pct"/>
            <w:tcBorders>
              <w:right w:val="nil"/>
            </w:tcBorders>
          </w:tcPr>
          <w:p w:rsidR="0058239B" w:rsidRDefault="0058239B" w:rsidP="00440DF7">
            <w:pPr>
              <w:tabs>
                <w:tab w:val="left" w:pos="567"/>
              </w:tabs>
              <w:rPr>
                <w:b/>
                <w:i/>
                <w:sz w:val="20"/>
              </w:rPr>
            </w:pPr>
            <w:r>
              <w:rPr>
                <w:b/>
                <w:i/>
                <w:sz w:val="20"/>
              </w:rPr>
              <w:t>PIs</w:t>
            </w:r>
          </w:p>
        </w:tc>
        <w:tc>
          <w:tcPr>
            <w:tcW w:w="2015" w:type="pct"/>
            <w:tcBorders>
              <w:left w:val="nil"/>
              <w:right w:val="nil"/>
            </w:tcBorders>
          </w:tcPr>
          <w:p w:rsidR="0058239B" w:rsidRDefault="0058239B" w:rsidP="00440DF7">
            <w:pPr>
              <w:tabs>
                <w:tab w:val="left" w:pos="567"/>
              </w:tabs>
              <w:rPr>
                <w:sz w:val="20"/>
              </w:rPr>
            </w:pPr>
          </w:p>
        </w:tc>
        <w:tc>
          <w:tcPr>
            <w:tcW w:w="1614" w:type="pct"/>
            <w:tcBorders>
              <w:left w:val="nil"/>
            </w:tcBorders>
          </w:tcPr>
          <w:p w:rsidR="0058239B" w:rsidRDefault="0058239B" w:rsidP="00440DF7">
            <w:pPr>
              <w:tabs>
                <w:tab w:val="left" w:pos="567"/>
              </w:tabs>
              <w:rPr>
                <w:sz w:val="20"/>
              </w:rPr>
            </w:pPr>
          </w:p>
        </w:tc>
      </w:tr>
      <w:tr w:rsidR="00411430" w:rsidTr="00DB3E4D">
        <w:trPr>
          <w:cantSplit/>
        </w:trPr>
        <w:tc>
          <w:tcPr>
            <w:tcW w:w="1371" w:type="pct"/>
            <w:tcBorders>
              <w:right w:val="single" w:sz="4" w:space="0" w:color="auto"/>
            </w:tcBorders>
          </w:tcPr>
          <w:p w:rsidR="00411430" w:rsidRDefault="00411430" w:rsidP="00440DF7">
            <w:pPr>
              <w:tabs>
                <w:tab w:val="left" w:pos="567"/>
              </w:tabs>
              <w:rPr>
                <w:sz w:val="20"/>
              </w:rPr>
            </w:pPr>
            <w:proofErr w:type="spellStart"/>
            <w:r>
              <w:rPr>
                <w:sz w:val="20"/>
              </w:rPr>
              <w:t>Atazanavir</w:t>
            </w:r>
            <w:proofErr w:type="spellEnd"/>
            <w:r>
              <w:rPr>
                <w:sz w:val="20"/>
              </w:rPr>
              <w:t xml:space="preserve"> 400 mg </w:t>
            </w:r>
            <w:r w:rsidR="0003660E">
              <w:rPr>
                <w:sz w:val="20"/>
              </w:rPr>
              <w:t>once daily</w:t>
            </w:r>
          </w:p>
          <w:p w:rsidR="00411430" w:rsidRDefault="00411430" w:rsidP="00440DF7">
            <w:pPr>
              <w:tabs>
                <w:tab w:val="left" w:pos="567"/>
              </w:tabs>
              <w:rPr>
                <w:sz w:val="20"/>
              </w:rPr>
            </w:pPr>
            <w:r>
              <w:rPr>
                <w:sz w:val="20"/>
              </w:rPr>
              <w:t xml:space="preserve">(maraviroc 300 mg </w:t>
            </w:r>
            <w:r w:rsidR="0003660E">
              <w:rPr>
                <w:sz w:val="20"/>
              </w:rPr>
              <w:t>twice daily</w:t>
            </w:r>
            <w:r>
              <w:rPr>
                <w:sz w:val="20"/>
              </w:rPr>
              <w:t>)</w:t>
            </w:r>
          </w:p>
        </w:tc>
        <w:tc>
          <w:tcPr>
            <w:tcW w:w="2015" w:type="pct"/>
            <w:tcBorders>
              <w:left w:val="single" w:sz="4" w:space="0" w:color="auto"/>
              <w:right w:val="single" w:sz="4" w:space="0" w:color="auto"/>
            </w:tcBorders>
          </w:tcPr>
          <w:p w:rsidR="00411430" w:rsidRDefault="00411430" w:rsidP="00440DF7">
            <w:pPr>
              <w:tabs>
                <w:tab w:val="left" w:pos="567"/>
              </w:tabs>
              <w:rPr>
                <w:sz w:val="20"/>
              </w:rPr>
            </w:pPr>
            <w:r>
              <w:rPr>
                <w:sz w:val="20"/>
              </w:rPr>
              <w:t>Maraviroc AUC</w:t>
            </w:r>
            <w:r>
              <w:rPr>
                <w:sz w:val="20"/>
                <w:vertAlign w:val="subscript"/>
              </w:rPr>
              <w:t>12</w:t>
            </w:r>
            <w:r>
              <w:rPr>
                <w:sz w:val="20"/>
              </w:rPr>
              <w:t xml:space="preserve">: ↑ 3.57 </w:t>
            </w:r>
            <w:r w:rsidR="00E44B95">
              <w:rPr>
                <w:sz w:val="20"/>
              </w:rPr>
              <w:t xml:space="preserve"> </w:t>
            </w:r>
            <w:r w:rsidR="00E44B95" w:rsidRPr="00DB485E">
              <w:rPr>
                <w:color w:val="000000"/>
                <w:sz w:val="20"/>
                <w:szCs w:val="20"/>
              </w:rPr>
              <w:t>(3.30, 3.87)</w:t>
            </w:r>
          </w:p>
          <w:p w:rsidR="00411430" w:rsidRDefault="00411430" w:rsidP="00440DF7">
            <w:pPr>
              <w:tabs>
                <w:tab w:val="left" w:pos="567"/>
              </w:tabs>
              <w:rPr>
                <w:sz w:val="20"/>
              </w:rPr>
            </w:pPr>
            <w:proofErr w:type="spellStart"/>
            <w:r>
              <w:rPr>
                <w:sz w:val="20"/>
              </w:rPr>
              <w:t>Maraviroc</w:t>
            </w:r>
            <w:proofErr w:type="spellEnd"/>
            <w:r>
              <w:rPr>
                <w:sz w:val="20"/>
              </w:rPr>
              <w:t xml:space="preserve"> </w:t>
            </w:r>
            <w:proofErr w:type="spellStart"/>
            <w:r>
              <w:rPr>
                <w:sz w:val="20"/>
              </w:rPr>
              <w:t>C</w:t>
            </w:r>
            <w:r>
              <w:rPr>
                <w:sz w:val="20"/>
                <w:vertAlign w:val="subscript"/>
              </w:rPr>
              <w:t>max</w:t>
            </w:r>
            <w:proofErr w:type="spellEnd"/>
            <w:r>
              <w:rPr>
                <w:sz w:val="20"/>
              </w:rPr>
              <w:t xml:space="preserve">: ↑ 2.09 </w:t>
            </w:r>
            <w:r w:rsidR="00E44B95">
              <w:rPr>
                <w:sz w:val="20"/>
              </w:rPr>
              <w:t xml:space="preserve"> </w:t>
            </w:r>
            <w:r w:rsidR="00E44B95" w:rsidRPr="00E44B95">
              <w:rPr>
                <w:color w:val="000000"/>
                <w:sz w:val="20"/>
                <w:szCs w:val="20"/>
              </w:rPr>
              <w:t>(1.31, 4.19)</w:t>
            </w:r>
          </w:p>
          <w:p w:rsidR="00411430" w:rsidRDefault="00411430" w:rsidP="00440DF7">
            <w:pPr>
              <w:tabs>
                <w:tab w:val="left" w:pos="567"/>
              </w:tabs>
              <w:rPr>
                <w:sz w:val="20"/>
              </w:rPr>
            </w:pPr>
            <w:proofErr w:type="spellStart"/>
            <w:r>
              <w:rPr>
                <w:sz w:val="20"/>
              </w:rPr>
              <w:t>Atazanavir</w:t>
            </w:r>
            <w:proofErr w:type="spellEnd"/>
            <w:r>
              <w:rPr>
                <w:sz w:val="20"/>
              </w:rPr>
              <w:t xml:space="preserve"> concentrations not measured, no effect is expected.</w:t>
            </w:r>
          </w:p>
        </w:tc>
        <w:tc>
          <w:tcPr>
            <w:tcW w:w="1614" w:type="pct"/>
            <w:tcBorders>
              <w:left w:val="single" w:sz="4" w:space="0" w:color="auto"/>
            </w:tcBorders>
          </w:tcPr>
          <w:p w:rsidR="00411430" w:rsidRDefault="00411430" w:rsidP="00440DF7">
            <w:pPr>
              <w:tabs>
                <w:tab w:val="left" w:pos="567"/>
              </w:tabs>
              <w:rPr>
                <w:b/>
                <w:sz w:val="20"/>
              </w:rPr>
            </w:pPr>
            <w:r>
              <w:rPr>
                <w:b/>
                <w:sz w:val="20"/>
              </w:rPr>
              <w:t xml:space="preserve">Maraviroc dose should be decreased to 150 mg twice daily when co-administered with </w:t>
            </w:r>
            <w:proofErr w:type="spellStart"/>
            <w:r>
              <w:rPr>
                <w:b/>
                <w:sz w:val="20"/>
              </w:rPr>
              <w:t>atazanavir</w:t>
            </w:r>
            <w:proofErr w:type="spellEnd"/>
            <w:r>
              <w:rPr>
                <w:b/>
                <w:sz w:val="20"/>
              </w:rPr>
              <w:t>.</w:t>
            </w:r>
          </w:p>
          <w:p w:rsidR="00411430" w:rsidRDefault="00411430" w:rsidP="00440DF7">
            <w:pPr>
              <w:tabs>
                <w:tab w:val="left" w:pos="567"/>
              </w:tabs>
              <w:rPr>
                <w:sz w:val="20"/>
              </w:rPr>
            </w:pPr>
            <w:r>
              <w:rPr>
                <w:sz w:val="20"/>
              </w:rPr>
              <w:t xml:space="preserve">Maraviroc does not significantly affect PI drug levels. </w:t>
            </w:r>
          </w:p>
        </w:tc>
      </w:tr>
      <w:tr w:rsidR="00411430" w:rsidTr="00DB3E4D">
        <w:trPr>
          <w:cantSplit/>
        </w:trPr>
        <w:tc>
          <w:tcPr>
            <w:tcW w:w="1371" w:type="pct"/>
            <w:tcBorders>
              <w:right w:val="single" w:sz="4" w:space="0" w:color="auto"/>
            </w:tcBorders>
          </w:tcPr>
          <w:p w:rsidR="00411430" w:rsidRPr="00975F0B" w:rsidRDefault="00411430" w:rsidP="00440DF7">
            <w:pPr>
              <w:tabs>
                <w:tab w:val="left" w:pos="567"/>
              </w:tabs>
              <w:rPr>
                <w:sz w:val="20"/>
              </w:rPr>
            </w:pPr>
            <w:proofErr w:type="spellStart"/>
            <w:r w:rsidRPr="00975F0B">
              <w:rPr>
                <w:sz w:val="20"/>
              </w:rPr>
              <w:t>Atazanavir</w:t>
            </w:r>
            <w:proofErr w:type="spellEnd"/>
            <w:r w:rsidRPr="00975F0B">
              <w:rPr>
                <w:sz w:val="20"/>
              </w:rPr>
              <w:t>/</w:t>
            </w:r>
            <w:proofErr w:type="spellStart"/>
            <w:r w:rsidRPr="00975F0B">
              <w:rPr>
                <w:sz w:val="20"/>
              </w:rPr>
              <w:t>ritonavir</w:t>
            </w:r>
            <w:proofErr w:type="spellEnd"/>
            <w:r w:rsidRPr="00975F0B">
              <w:rPr>
                <w:sz w:val="20"/>
              </w:rPr>
              <w:t xml:space="preserve"> 300 mg/100 mg </w:t>
            </w:r>
            <w:r w:rsidR="0003660E">
              <w:rPr>
                <w:sz w:val="20"/>
              </w:rPr>
              <w:t>once daily</w:t>
            </w:r>
          </w:p>
          <w:p w:rsidR="00411430" w:rsidRDefault="00411430" w:rsidP="00440DF7">
            <w:pPr>
              <w:tabs>
                <w:tab w:val="left" w:pos="567"/>
              </w:tabs>
              <w:rPr>
                <w:sz w:val="20"/>
              </w:rPr>
            </w:pPr>
            <w:r>
              <w:rPr>
                <w:sz w:val="20"/>
              </w:rPr>
              <w:t xml:space="preserve">(maraviroc 300 mg </w:t>
            </w:r>
            <w:r w:rsidR="0003660E">
              <w:rPr>
                <w:sz w:val="20"/>
              </w:rPr>
              <w:t>twice daily</w:t>
            </w:r>
            <w:r>
              <w:rPr>
                <w:sz w:val="20"/>
              </w:rPr>
              <w:t>)</w:t>
            </w:r>
          </w:p>
        </w:tc>
        <w:tc>
          <w:tcPr>
            <w:tcW w:w="2015" w:type="pct"/>
            <w:tcBorders>
              <w:left w:val="single" w:sz="4" w:space="0" w:color="auto"/>
              <w:right w:val="single" w:sz="4" w:space="0" w:color="auto"/>
            </w:tcBorders>
          </w:tcPr>
          <w:p w:rsidR="00411430" w:rsidRDefault="00411430" w:rsidP="00440DF7">
            <w:pPr>
              <w:tabs>
                <w:tab w:val="left" w:pos="567"/>
              </w:tabs>
              <w:rPr>
                <w:sz w:val="20"/>
              </w:rPr>
            </w:pPr>
            <w:r>
              <w:rPr>
                <w:sz w:val="20"/>
              </w:rPr>
              <w:t>Maraviroc AUC</w:t>
            </w:r>
            <w:r>
              <w:rPr>
                <w:sz w:val="20"/>
                <w:vertAlign w:val="subscript"/>
              </w:rPr>
              <w:t>12</w:t>
            </w:r>
            <w:r>
              <w:rPr>
                <w:sz w:val="20"/>
              </w:rPr>
              <w:t xml:space="preserve">: ↑ 4.88 </w:t>
            </w:r>
            <w:r w:rsidR="00E44B95">
              <w:rPr>
                <w:sz w:val="20"/>
              </w:rPr>
              <w:t xml:space="preserve"> </w:t>
            </w:r>
            <w:r w:rsidR="00E44B95" w:rsidRPr="00E44B95">
              <w:rPr>
                <w:color w:val="000000"/>
                <w:sz w:val="20"/>
                <w:szCs w:val="20"/>
                <w:lang w:val="en-GB"/>
              </w:rPr>
              <w:t>(3.28, 6.49)</w:t>
            </w:r>
          </w:p>
          <w:p w:rsidR="00411430" w:rsidRDefault="00411430" w:rsidP="00440DF7">
            <w:pPr>
              <w:tabs>
                <w:tab w:val="left" w:pos="567"/>
              </w:tabs>
              <w:rPr>
                <w:sz w:val="20"/>
              </w:rPr>
            </w:pPr>
            <w:proofErr w:type="spellStart"/>
            <w:r>
              <w:rPr>
                <w:sz w:val="20"/>
              </w:rPr>
              <w:t>Maraviroc</w:t>
            </w:r>
            <w:proofErr w:type="spellEnd"/>
            <w:r>
              <w:rPr>
                <w:sz w:val="20"/>
              </w:rPr>
              <w:t xml:space="preserve"> </w:t>
            </w:r>
            <w:proofErr w:type="spellStart"/>
            <w:r>
              <w:rPr>
                <w:sz w:val="20"/>
              </w:rPr>
              <w:t>C</w:t>
            </w:r>
            <w:r>
              <w:rPr>
                <w:sz w:val="20"/>
                <w:vertAlign w:val="subscript"/>
              </w:rPr>
              <w:t>max</w:t>
            </w:r>
            <w:proofErr w:type="spellEnd"/>
            <w:r>
              <w:rPr>
                <w:sz w:val="20"/>
              </w:rPr>
              <w:t xml:space="preserve">: ↑ 2.67 </w:t>
            </w:r>
            <w:r w:rsidR="00E44B95">
              <w:rPr>
                <w:sz w:val="20"/>
              </w:rPr>
              <w:t xml:space="preserve"> </w:t>
            </w:r>
            <w:r w:rsidR="00E44B95" w:rsidRPr="00E44B95">
              <w:rPr>
                <w:color w:val="000000"/>
                <w:sz w:val="20"/>
                <w:szCs w:val="20"/>
                <w:lang w:val="en-GB"/>
              </w:rPr>
              <w:t>(1.72, 2.55)</w:t>
            </w:r>
          </w:p>
          <w:p w:rsidR="00411430" w:rsidRDefault="00411430" w:rsidP="00440DF7">
            <w:pPr>
              <w:tabs>
                <w:tab w:val="left" w:pos="567"/>
              </w:tabs>
              <w:rPr>
                <w:sz w:val="20"/>
              </w:rPr>
            </w:pPr>
            <w:proofErr w:type="spellStart"/>
            <w:r>
              <w:rPr>
                <w:sz w:val="20"/>
              </w:rPr>
              <w:t>Atazanavir</w:t>
            </w:r>
            <w:proofErr w:type="spellEnd"/>
            <w:r>
              <w:rPr>
                <w:sz w:val="20"/>
              </w:rPr>
              <w:t>/</w:t>
            </w:r>
            <w:proofErr w:type="spellStart"/>
            <w:r>
              <w:rPr>
                <w:sz w:val="20"/>
              </w:rPr>
              <w:t>ritonavir</w:t>
            </w:r>
            <w:proofErr w:type="spellEnd"/>
            <w:r>
              <w:rPr>
                <w:sz w:val="20"/>
              </w:rPr>
              <w:t xml:space="preserve"> concentrations not measured, no effect is expected.</w:t>
            </w:r>
          </w:p>
        </w:tc>
        <w:tc>
          <w:tcPr>
            <w:tcW w:w="1614" w:type="pct"/>
            <w:tcBorders>
              <w:left w:val="single" w:sz="4" w:space="0" w:color="auto"/>
            </w:tcBorders>
          </w:tcPr>
          <w:p w:rsidR="00411430" w:rsidRDefault="00411430" w:rsidP="00440DF7">
            <w:pPr>
              <w:tabs>
                <w:tab w:val="left" w:pos="567"/>
              </w:tabs>
              <w:rPr>
                <w:b/>
                <w:sz w:val="20"/>
              </w:rPr>
            </w:pPr>
            <w:r>
              <w:rPr>
                <w:b/>
                <w:sz w:val="20"/>
              </w:rPr>
              <w:t xml:space="preserve">Maraviroc dose should be decreased to 150 mg twice daily when co-administered with </w:t>
            </w:r>
            <w:proofErr w:type="spellStart"/>
            <w:r>
              <w:rPr>
                <w:b/>
                <w:sz w:val="20"/>
              </w:rPr>
              <w:t>a</w:t>
            </w:r>
            <w:r w:rsidRPr="00975F0B">
              <w:rPr>
                <w:sz w:val="20"/>
              </w:rPr>
              <w:t>tazanavir</w:t>
            </w:r>
            <w:proofErr w:type="spellEnd"/>
            <w:r w:rsidRPr="00975F0B">
              <w:rPr>
                <w:sz w:val="20"/>
              </w:rPr>
              <w:t>/</w:t>
            </w:r>
            <w:proofErr w:type="spellStart"/>
            <w:r w:rsidRPr="00975F0B">
              <w:rPr>
                <w:sz w:val="20"/>
              </w:rPr>
              <w:t>ritonavir</w:t>
            </w:r>
            <w:proofErr w:type="spellEnd"/>
          </w:p>
          <w:p w:rsidR="00411430" w:rsidRDefault="00411430" w:rsidP="00440DF7">
            <w:pPr>
              <w:tabs>
                <w:tab w:val="left" w:pos="567"/>
              </w:tabs>
              <w:rPr>
                <w:sz w:val="20"/>
              </w:rPr>
            </w:pPr>
            <w:r>
              <w:rPr>
                <w:sz w:val="20"/>
              </w:rPr>
              <w:t>Maraviroc does not significantly affect PI drug levels.</w:t>
            </w:r>
          </w:p>
        </w:tc>
      </w:tr>
      <w:tr w:rsidR="00411430" w:rsidTr="00DB3E4D">
        <w:trPr>
          <w:cantSplit/>
        </w:trPr>
        <w:tc>
          <w:tcPr>
            <w:tcW w:w="1371" w:type="pct"/>
            <w:tcBorders>
              <w:right w:val="single" w:sz="4" w:space="0" w:color="auto"/>
            </w:tcBorders>
          </w:tcPr>
          <w:p w:rsidR="00411430" w:rsidRDefault="00411430" w:rsidP="00440DF7">
            <w:pPr>
              <w:tabs>
                <w:tab w:val="left" w:pos="567"/>
              </w:tabs>
              <w:rPr>
                <w:sz w:val="20"/>
              </w:rPr>
            </w:pPr>
            <w:proofErr w:type="spellStart"/>
            <w:r>
              <w:rPr>
                <w:sz w:val="20"/>
              </w:rPr>
              <w:t>Lopinavir</w:t>
            </w:r>
            <w:proofErr w:type="spellEnd"/>
            <w:r>
              <w:rPr>
                <w:sz w:val="20"/>
              </w:rPr>
              <w:t>/</w:t>
            </w:r>
            <w:proofErr w:type="spellStart"/>
            <w:r>
              <w:rPr>
                <w:sz w:val="20"/>
              </w:rPr>
              <w:t>ritonavir</w:t>
            </w:r>
            <w:proofErr w:type="spellEnd"/>
            <w:r>
              <w:rPr>
                <w:sz w:val="20"/>
              </w:rPr>
              <w:t xml:space="preserve"> 400 mg/100 mg </w:t>
            </w:r>
            <w:r w:rsidR="0003660E">
              <w:rPr>
                <w:sz w:val="20"/>
              </w:rPr>
              <w:t>twice daily</w:t>
            </w:r>
          </w:p>
          <w:p w:rsidR="00411430" w:rsidRDefault="00411430" w:rsidP="00440DF7">
            <w:pPr>
              <w:tabs>
                <w:tab w:val="left" w:pos="567"/>
              </w:tabs>
              <w:rPr>
                <w:sz w:val="20"/>
              </w:rPr>
            </w:pPr>
            <w:r>
              <w:rPr>
                <w:sz w:val="20"/>
              </w:rPr>
              <w:t xml:space="preserve">(maraviroc 300 mg </w:t>
            </w:r>
            <w:r w:rsidR="0003660E">
              <w:rPr>
                <w:sz w:val="20"/>
              </w:rPr>
              <w:t>twice daily</w:t>
            </w:r>
            <w:r>
              <w:rPr>
                <w:sz w:val="20"/>
              </w:rPr>
              <w:t>)</w:t>
            </w:r>
          </w:p>
        </w:tc>
        <w:tc>
          <w:tcPr>
            <w:tcW w:w="2015" w:type="pct"/>
            <w:tcBorders>
              <w:left w:val="single" w:sz="4" w:space="0" w:color="auto"/>
              <w:right w:val="single" w:sz="4" w:space="0" w:color="auto"/>
            </w:tcBorders>
          </w:tcPr>
          <w:p w:rsidR="00411430" w:rsidRDefault="00411430" w:rsidP="00440DF7">
            <w:pPr>
              <w:tabs>
                <w:tab w:val="left" w:pos="567"/>
              </w:tabs>
              <w:rPr>
                <w:sz w:val="20"/>
              </w:rPr>
            </w:pPr>
            <w:r>
              <w:rPr>
                <w:sz w:val="20"/>
              </w:rPr>
              <w:t>Maraviroc AUC</w:t>
            </w:r>
            <w:r>
              <w:rPr>
                <w:sz w:val="20"/>
                <w:vertAlign w:val="subscript"/>
              </w:rPr>
              <w:t>12</w:t>
            </w:r>
            <w:r>
              <w:rPr>
                <w:sz w:val="20"/>
              </w:rPr>
              <w:t xml:space="preserve">: ↑ 3.95 </w:t>
            </w:r>
            <w:r w:rsidR="00E44B95">
              <w:rPr>
                <w:sz w:val="20"/>
              </w:rPr>
              <w:t xml:space="preserve"> </w:t>
            </w:r>
            <w:r w:rsidR="00E44B95" w:rsidRPr="00E44B95">
              <w:rPr>
                <w:color w:val="000000"/>
                <w:sz w:val="20"/>
                <w:szCs w:val="20"/>
                <w:lang w:val="en-GB"/>
              </w:rPr>
              <w:t>(3.43, 4.56)</w:t>
            </w:r>
          </w:p>
          <w:p w:rsidR="00411430" w:rsidRDefault="00411430" w:rsidP="00440DF7">
            <w:pPr>
              <w:tabs>
                <w:tab w:val="left" w:pos="567"/>
              </w:tabs>
              <w:rPr>
                <w:sz w:val="20"/>
              </w:rPr>
            </w:pPr>
            <w:proofErr w:type="spellStart"/>
            <w:r>
              <w:rPr>
                <w:sz w:val="20"/>
              </w:rPr>
              <w:t>Maraviroc</w:t>
            </w:r>
            <w:proofErr w:type="spellEnd"/>
            <w:r>
              <w:rPr>
                <w:sz w:val="20"/>
              </w:rPr>
              <w:t xml:space="preserve"> </w:t>
            </w:r>
            <w:proofErr w:type="spellStart"/>
            <w:r>
              <w:rPr>
                <w:sz w:val="20"/>
              </w:rPr>
              <w:t>C</w:t>
            </w:r>
            <w:r>
              <w:rPr>
                <w:sz w:val="20"/>
                <w:vertAlign w:val="subscript"/>
              </w:rPr>
              <w:t>max</w:t>
            </w:r>
            <w:proofErr w:type="spellEnd"/>
            <w:r>
              <w:rPr>
                <w:sz w:val="20"/>
              </w:rPr>
              <w:t xml:space="preserve">: ↑ 1.97 </w:t>
            </w:r>
            <w:r w:rsidR="00E44B95">
              <w:rPr>
                <w:sz w:val="20"/>
              </w:rPr>
              <w:t xml:space="preserve"> </w:t>
            </w:r>
            <w:r w:rsidR="00E44B95" w:rsidRPr="00E44B95">
              <w:rPr>
                <w:color w:val="000000"/>
                <w:sz w:val="20"/>
                <w:szCs w:val="20"/>
                <w:lang w:val="en-GB"/>
              </w:rPr>
              <w:t>(1.66, 2.34)</w:t>
            </w:r>
          </w:p>
          <w:p w:rsidR="00411430" w:rsidRDefault="00411430" w:rsidP="00440DF7">
            <w:pPr>
              <w:tabs>
                <w:tab w:val="left" w:pos="567"/>
              </w:tabs>
              <w:rPr>
                <w:sz w:val="20"/>
              </w:rPr>
            </w:pPr>
            <w:proofErr w:type="spellStart"/>
            <w:r>
              <w:rPr>
                <w:sz w:val="20"/>
              </w:rPr>
              <w:t>Lopinavir</w:t>
            </w:r>
            <w:proofErr w:type="spellEnd"/>
            <w:r>
              <w:rPr>
                <w:sz w:val="20"/>
              </w:rPr>
              <w:t>/</w:t>
            </w:r>
            <w:proofErr w:type="spellStart"/>
            <w:r>
              <w:rPr>
                <w:sz w:val="20"/>
              </w:rPr>
              <w:t>ritonavir</w:t>
            </w:r>
            <w:proofErr w:type="spellEnd"/>
            <w:r>
              <w:rPr>
                <w:sz w:val="20"/>
              </w:rPr>
              <w:t xml:space="preserve"> concentrations not measured, no effect is expected.</w:t>
            </w:r>
          </w:p>
        </w:tc>
        <w:tc>
          <w:tcPr>
            <w:tcW w:w="1614" w:type="pct"/>
            <w:tcBorders>
              <w:left w:val="single" w:sz="4" w:space="0" w:color="auto"/>
            </w:tcBorders>
          </w:tcPr>
          <w:p w:rsidR="00411430" w:rsidRDefault="00411430" w:rsidP="00440DF7">
            <w:pPr>
              <w:tabs>
                <w:tab w:val="left" w:pos="567"/>
              </w:tabs>
              <w:rPr>
                <w:b/>
                <w:sz w:val="20"/>
              </w:rPr>
            </w:pPr>
            <w:r>
              <w:rPr>
                <w:b/>
                <w:sz w:val="20"/>
              </w:rPr>
              <w:t xml:space="preserve">Maraviroc dose should be decreased to 150 mg twice daily when co-administered with </w:t>
            </w:r>
            <w:proofErr w:type="spellStart"/>
            <w:r>
              <w:rPr>
                <w:sz w:val="20"/>
              </w:rPr>
              <w:t>lopi</w:t>
            </w:r>
            <w:r w:rsidRPr="00975F0B">
              <w:rPr>
                <w:sz w:val="20"/>
              </w:rPr>
              <w:t>navir</w:t>
            </w:r>
            <w:proofErr w:type="spellEnd"/>
            <w:r w:rsidRPr="00975F0B">
              <w:rPr>
                <w:sz w:val="20"/>
              </w:rPr>
              <w:t>/</w:t>
            </w:r>
            <w:proofErr w:type="spellStart"/>
            <w:r w:rsidRPr="00975F0B">
              <w:rPr>
                <w:sz w:val="20"/>
              </w:rPr>
              <w:t>ritonavir</w:t>
            </w:r>
            <w:proofErr w:type="spellEnd"/>
          </w:p>
          <w:p w:rsidR="00411430" w:rsidRDefault="00411430" w:rsidP="00440DF7">
            <w:pPr>
              <w:tabs>
                <w:tab w:val="left" w:pos="567"/>
              </w:tabs>
              <w:rPr>
                <w:sz w:val="20"/>
              </w:rPr>
            </w:pPr>
            <w:proofErr w:type="gramStart"/>
            <w:r>
              <w:rPr>
                <w:sz w:val="20"/>
              </w:rPr>
              <w:t>maraviroc</w:t>
            </w:r>
            <w:proofErr w:type="gramEnd"/>
            <w:r>
              <w:rPr>
                <w:sz w:val="20"/>
              </w:rPr>
              <w:t xml:space="preserve"> does not significantly affect PI drug levels.</w:t>
            </w:r>
          </w:p>
        </w:tc>
      </w:tr>
      <w:tr w:rsidR="00411430" w:rsidTr="00DB3E4D">
        <w:trPr>
          <w:cantSplit/>
        </w:trPr>
        <w:tc>
          <w:tcPr>
            <w:tcW w:w="1371" w:type="pct"/>
            <w:tcBorders>
              <w:right w:val="single" w:sz="4" w:space="0" w:color="auto"/>
            </w:tcBorders>
          </w:tcPr>
          <w:p w:rsidR="00411430" w:rsidRPr="006C3517" w:rsidRDefault="00411430" w:rsidP="00440DF7">
            <w:pPr>
              <w:tabs>
                <w:tab w:val="left" w:pos="567"/>
              </w:tabs>
              <w:rPr>
                <w:sz w:val="20"/>
                <w:lang w:val="pt-BR"/>
              </w:rPr>
            </w:pPr>
            <w:r w:rsidRPr="006C3517">
              <w:rPr>
                <w:sz w:val="20"/>
                <w:lang w:val="pt-BR"/>
              </w:rPr>
              <w:t xml:space="preserve">Saquinavir/ritonavir 1000 mg/100 mg </w:t>
            </w:r>
            <w:r w:rsidR="0003660E">
              <w:rPr>
                <w:sz w:val="20"/>
              </w:rPr>
              <w:t>twice daily</w:t>
            </w:r>
          </w:p>
          <w:p w:rsidR="00411430" w:rsidRPr="006C3517" w:rsidRDefault="00411430" w:rsidP="00440DF7">
            <w:pPr>
              <w:tabs>
                <w:tab w:val="left" w:pos="567"/>
              </w:tabs>
              <w:rPr>
                <w:sz w:val="20"/>
                <w:lang w:val="pt-BR"/>
              </w:rPr>
            </w:pPr>
            <w:r w:rsidRPr="006C3517">
              <w:rPr>
                <w:sz w:val="20"/>
                <w:lang w:val="pt-BR"/>
              </w:rPr>
              <w:t xml:space="preserve">(maraviroc 100 mg </w:t>
            </w:r>
            <w:r w:rsidR="0003660E">
              <w:rPr>
                <w:sz w:val="20"/>
              </w:rPr>
              <w:t>twice daily</w:t>
            </w:r>
            <w:r w:rsidRPr="006C3517">
              <w:rPr>
                <w:sz w:val="20"/>
                <w:lang w:val="pt-BR"/>
              </w:rPr>
              <w:t>)</w:t>
            </w:r>
          </w:p>
        </w:tc>
        <w:tc>
          <w:tcPr>
            <w:tcW w:w="2015" w:type="pct"/>
            <w:tcBorders>
              <w:left w:val="single" w:sz="4" w:space="0" w:color="auto"/>
              <w:right w:val="single" w:sz="4" w:space="0" w:color="auto"/>
            </w:tcBorders>
          </w:tcPr>
          <w:p w:rsidR="00411430" w:rsidRDefault="00411430" w:rsidP="00440DF7">
            <w:pPr>
              <w:tabs>
                <w:tab w:val="left" w:pos="567"/>
              </w:tabs>
              <w:rPr>
                <w:sz w:val="20"/>
              </w:rPr>
            </w:pPr>
            <w:r>
              <w:rPr>
                <w:sz w:val="20"/>
              </w:rPr>
              <w:t>Maraviroc AUC</w:t>
            </w:r>
            <w:r>
              <w:rPr>
                <w:sz w:val="20"/>
                <w:vertAlign w:val="subscript"/>
              </w:rPr>
              <w:t>12</w:t>
            </w:r>
            <w:r>
              <w:rPr>
                <w:sz w:val="20"/>
              </w:rPr>
              <w:t xml:space="preserve">: ↑ 9.77 </w:t>
            </w:r>
            <w:r w:rsidR="00F62A8E">
              <w:rPr>
                <w:sz w:val="20"/>
              </w:rPr>
              <w:t xml:space="preserve"> </w:t>
            </w:r>
            <w:r w:rsidR="00F62A8E" w:rsidRPr="00F62A8E">
              <w:rPr>
                <w:color w:val="000000"/>
                <w:sz w:val="20"/>
                <w:szCs w:val="20"/>
                <w:lang w:val="en-GB"/>
              </w:rPr>
              <w:t>(7.87, 12.1)</w:t>
            </w:r>
          </w:p>
          <w:p w:rsidR="00411430" w:rsidRDefault="00411430" w:rsidP="00440DF7">
            <w:pPr>
              <w:tabs>
                <w:tab w:val="left" w:pos="567"/>
              </w:tabs>
              <w:rPr>
                <w:sz w:val="20"/>
              </w:rPr>
            </w:pPr>
            <w:proofErr w:type="spellStart"/>
            <w:r>
              <w:rPr>
                <w:sz w:val="20"/>
              </w:rPr>
              <w:t>Maraviroc</w:t>
            </w:r>
            <w:proofErr w:type="spellEnd"/>
            <w:r>
              <w:rPr>
                <w:sz w:val="20"/>
              </w:rPr>
              <w:t xml:space="preserve"> </w:t>
            </w:r>
            <w:proofErr w:type="spellStart"/>
            <w:r>
              <w:rPr>
                <w:sz w:val="20"/>
              </w:rPr>
              <w:t>C</w:t>
            </w:r>
            <w:r>
              <w:rPr>
                <w:sz w:val="20"/>
                <w:vertAlign w:val="subscript"/>
              </w:rPr>
              <w:t>max</w:t>
            </w:r>
            <w:proofErr w:type="spellEnd"/>
            <w:r>
              <w:rPr>
                <w:sz w:val="20"/>
              </w:rPr>
              <w:t xml:space="preserve">: ↑ </w:t>
            </w:r>
            <w:proofErr w:type="gramStart"/>
            <w:r>
              <w:rPr>
                <w:sz w:val="20"/>
              </w:rPr>
              <w:t xml:space="preserve">4.78 </w:t>
            </w:r>
            <w:r w:rsidR="00F62A8E">
              <w:rPr>
                <w:sz w:val="20"/>
              </w:rPr>
              <w:t xml:space="preserve"> </w:t>
            </w:r>
            <w:r w:rsidR="00F62A8E" w:rsidRPr="00F62A8E">
              <w:rPr>
                <w:color w:val="000000"/>
                <w:sz w:val="20"/>
                <w:szCs w:val="20"/>
                <w:lang w:val="en-GB"/>
              </w:rPr>
              <w:t>(</w:t>
            </w:r>
            <w:proofErr w:type="gramEnd"/>
            <w:r w:rsidR="00F62A8E" w:rsidRPr="00F62A8E">
              <w:rPr>
                <w:color w:val="000000"/>
                <w:sz w:val="20"/>
                <w:szCs w:val="20"/>
                <w:lang w:val="en-GB"/>
              </w:rPr>
              <w:t>3.41, 6.71)</w:t>
            </w:r>
            <w:r>
              <w:rPr>
                <w:sz w:val="20"/>
              </w:rPr>
              <w:t>Saquinavir/ritonavir concentrations not measured, no effect is expected.</w:t>
            </w:r>
          </w:p>
        </w:tc>
        <w:tc>
          <w:tcPr>
            <w:tcW w:w="1614" w:type="pct"/>
            <w:tcBorders>
              <w:left w:val="single" w:sz="4" w:space="0" w:color="auto"/>
            </w:tcBorders>
          </w:tcPr>
          <w:p w:rsidR="00411430" w:rsidRDefault="00411430" w:rsidP="00440DF7">
            <w:pPr>
              <w:tabs>
                <w:tab w:val="left" w:pos="567"/>
              </w:tabs>
              <w:rPr>
                <w:b/>
                <w:sz w:val="20"/>
              </w:rPr>
            </w:pPr>
            <w:r>
              <w:rPr>
                <w:b/>
                <w:sz w:val="20"/>
              </w:rPr>
              <w:t xml:space="preserve">Maraviroc dose should be decreased to 150 mg twice daily when co-administered with </w:t>
            </w:r>
            <w:r>
              <w:rPr>
                <w:sz w:val="20"/>
              </w:rPr>
              <w:t>saqui</w:t>
            </w:r>
            <w:r w:rsidRPr="00975F0B">
              <w:rPr>
                <w:sz w:val="20"/>
              </w:rPr>
              <w:t>navir/ritonavir</w:t>
            </w:r>
          </w:p>
          <w:p w:rsidR="00411430" w:rsidRDefault="00411430" w:rsidP="00440DF7">
            <w:pPr>
              <w:tabs>
                <w:tab w:val="left" w:pos="567"/>
              </w:tabs>
              <w:rPr>
                <w:sz w:val="20"/>
              </w:rPr>
            </w:pPr>
            <w:proofErr w:type="gramStart"/>
            <w:r>
              <w:rPr>
                <w:sz w:val="20"/>
              </w:rPr>
              <w:t>maraviroc</w:t>
            </w:r>
            <w:proofErr w:type="gramEnd"/>
            <w:r>
              <w:rPr>
                <w:sz w:val="20"/>
              </w:rPr>
              <w:t xml:space="preserve"> does not significantly affect PI drug levels.</w:t>
            </w:r>
          </w:p>
        </w:tc>
      </w:tr>
      <w:tr w:rsidR="00411430" w:rsidTr="00DB3E4D">
        <w:trPr>
          <w:cantSplit/>
        </w:trPr>
        <w:tc>
          <w:tcPr>
            <w:tcW w:w="1371" w:type="pct"/>
            <w:tcBorders>
              <w:right w:val="single" w:sz="4" w:space="0" w:color="auto"/>
            </w:tcBorders>
          </w:tcPr>
          <w:p w:rsidR="00411430" w:rsidRPr="00961EDA" w:rsidRDefault="00411430" w:rsidP="00440DF7">
            <w:pPr>
              <w:tabs>
                <w:tab w:val="left" w:pos="567"/>
              </w:tabs>
              <w:rPr>
                <w:sz w:val="20"/>
              </w:rPr>
            </w:pPr>
            <w:proofErr w:type="spellStart"/>
            <w:r w:rsidRPr="00961EDA">
              <w:rPr>
                <w:sz w:val="20"/>
              </w:rPr>
              <w:t>Darunavir</w:t>
            </w:r>
            <w:proofErr w:type="spellEnd"/>
            <w:r w:rsidRPr="00961EDA">
              <w:rPr>
                <w:sz w:val="20"/>
              </w:rPr>
              <w:t>/</w:t>
            </w:r>
            <w:proofErr w:type="spellStart"/>
            <w:r w:rsidRPr="00961EDA">
              <w:rPr>
                <w:sz w:val="20"/>
              </w:rPr>
              <w:t>ritonavir</w:t>
            </w:r>
            <w:proofErr w:type="spellEnd"/>
          </w:p>
          <w:p w:rsidR="00411430" w:rsidRPr="00961EDA" w:rsidRDefault="00411430" w:rsidP="00440DF7">
            <w:pPr>
              <w:tabs>
                <w:tab w:val="left" w:pos="567"/>
              </w:tabs>
              <w:rPr>
                <w:sz w:val="20"/>
              </w:rPr>
            </w:pPr>
            <w:r w:rsidRPr="00961EDA">
              <w:rPr>
                <w:sz w:val="20"/>
              </w:rPr>
              <w:t xml:space="preserve">600 mg/100 mg </w:t>
            </w:r>
            <w:r w:rsidR="0003660E" w:rsidRPr="00961EDA">
              <w:rPr>
                <w:sz w:val="20"/>
              </w:rPr>
              <w:t>twice daily</w:t>
            </w:r>
          </w:p>
          <w:p w:rsidR="00411430" w:rsidRPr="00961EDA" w:rsidRDefault="00411430" w:rsidP="00440DF7">
            <w:pPr>
              <w:tabs>
                <w:tab w:val="left" w:pos="567"/>
              </w:tabs>
              <w:rPr>
                <w:sz w:val="20"/>
              </w:rPr>
            </w:pPr>
            <w:r w:rsidRPr="00961EDA">
              <w:rPr>
                <w:sz w:val="20"/>
              </w:rPr>
              <w:t xml:space="preserve">(maraviroc 150 mg </w:t>
            </w:r>
            <w:r w:rsidR="0003660E" w:rsidRPr="00961EDA">
              <w:rPr>
                <w:sz w:val="20"/>
              </w:rPr>
              <w:t>twice daily</w:t>
            </w:r>
          </w:p>
        </w:tc>
        <w:tc>
          <w:tcPr>
            <w:tcW w:w="2015" w:type="pct"/>
            <w:tcBorders>
              <w:left w:val="single" w:sz="4" w:space="0" w:color="auto"/>
              <w:right w:val="single" w:sz="4" w:space="0" w:color="auto"/>
            </w:tcBorders>
          </w:tcPr>
          <w:p w:rsidR="00411430" w:rsidRPr="00961EDA" w:rsidRDefault="00411430" w:rsidP="00440DF7">
            <w:pPr>
              <w:pStyle w:val="Paragraph"/>
              <w:spacing w:after="0"/>
              <w:rPr>
                <w:rFonts w:eastAsia="MS Mincho"/>
                <w:sz w:val="20"/>
                <w:szCs w:val="20"/>
                <w:lang w:val="en-AU" w:eastAsia="ja-JP"/>
              </w:rPr>
            </w:pPr>
            <w:r w:rsidRPr="00961EDA">
              <w:rPr>
                <w:rFonts w:eastAsia="MS Mincho"/>
                <w:sz w:val="20"/>
                <w:szCs w:val="20"/>
                <w:lang w:val="en-AU" w:eastAsia="ja-JP"/>
              </w:rPr>
              <w:t>Maraviroc AUC</w:t>
            </w:r>
            <w:r w:rsidRPr="00961EDA">
              <w:rPr>
                <w:rFonts w:eastAsia="MS Mincho"/>
                <w:sz w:val="20"/>
                <w:szCs w:val="20"/>
                <w:vertAlign w:val="subscript"/>
                <w:lang w:val="en-AU" w:eastAsia="ja-JP"/>
              </w:rPr>
              <w:t>12</w:t>
            </w:r>
            <w:r w:rsidRPr="00961EDA">
              <w:rPr>
                <w:sz w:val="20"/>
                <w:szCs w:val="20"/>
              </w:rPr>
              <w:t>:</w:t>
            </w:r>
            <w:r w:rsidRPr="00961EDA">
              <w:rPr>
                <w:rFonts w:eastAsia="MS Mincho"/>
                <w:sz w:val="20"/>
                <w:szCs w:val="20"/>
                <w:lang w:val="en-AU" w:eastAsia="ja-JP"/>
              </w:rPr>
              <w:t xml:space="preserve"> ↑ 4.05</w:t>
            </w:r>
            <w:r w:rsidR="00F62A8E" w:rsidRPr="00961EDA">
              <w:rPr>
                <w:rFonts w:eastAsia="MS Mincho"/>
                <w:sz w:val="20"/>
                <w:szCs w:val="20"/>
                <w:lang w:val="en-AU" w:eastAsia="ja-JP"/>
              </w:rPr>
              <w:t xml:space="preserve"> </w:t>
            </w:r>
            <w:r w:rsidR="00F62A8E" w:rsidRPr="00961EDA">
              <w:rPr>
                <w:color w:val="000000"/>
                <w:sz w:val="20"/>
                <w:szCs w:val="20"/>
                <w:lang w:val="en-GB"/>
              </w:rPr>
              <w:t>(2.94, 5.59)</w:t>
            </w:r>
          </w:p>
          <w:p w:rsidR="00411430" w:rsidRPr="00961EDA" w:rsidRDefault="00411430" w:rsidP="00440DF7">
            <w:pPr>
              <w:pStyle w:val="Paragraph"/>
              <w:spacing w:after="0"/>
              <w:rPr>
                <w:rFonts w:eastAsia="MS Mincho"/>
                <w:sz w:val="20"/>
                <w:szCs w:val="20"/>
                <w:lang w:val="en-AU" w:eastAsia="ja-JP"/>
              </w:rPr>
            </w:pPr>
            <w:proofErr w:type="spellStart"/>
            <w:r w:rsidRPr="00961EDA">
              <w:rPr>
                <w:sz w:val="20"/>
                <w:szCs w:val="20"/>
              </w:rPr>
              <w:t>Maraviroc</w:t>
            </w:r>
            <w:proofErr w:type="spellEnd"/>
            <w:r w:rsidRPr="00961EDA">
              <w:rPr>
                <w:sz w:val="20"/>
                <w:szCs w:val="20"/>
              </w:rPr>
              <w:t xml:space="preserve"> </w:t>
            </w:r>
            <w:proofErr w:type="spellStart"/>
            <w:r w:rsidRPr="00961EDA">
              <w:rPr>
                <w:sz w:val="20"/>
                <w:szCs w:val="20"/>
              </w:rPr>
              <w:t>C</w:t>
            </w:r>
            <w:r w:rsidRPr="00961EDA">
              <w:rPr>
                <w:sz w:val="20"/>
                <w:szCs w:val="20"/>
                <w:vertAlign w:val="subscript"/>
              </w:rPr>
              <w:t>max</w:t>
            </w:r>
            <w:proofErr w:type="spellEnd"/>
            <w:r w:rsidRPr="00961EDA">
              <w:rPr>
                <w:sz w:val="20"/>
                <w:szCs w:val="20"/>
              </w:rPr>
              <w:t xml:space="preserve">: ↑ 2.29 </w:t>
            </w:r>
            <w:r w:rsidR="00F62A8E" w:rsidRPr="00961EDA">
              <w:rPr>
                <w:color w:val="000000"/>
                <w:sz w:val="20"/>
                <w:szCs w:val="20"/>
                <w:lang w:val="en-GB"/>
              </w:rPr>
              <w:t>(1.46, 3.59)</w:t>
            </w:r>
            <w:r w:rsidR="00F62A8E" w:rsidRPr="00961EDA">
              <w:rPr>
                <w:color w:val="000000"/>
                <w:lang w:val="en-GB"/>
              </w:rPr>
              <w:t xml:space="preserve"> </w:t>
            </w:r>
            <w:proofErr w:type="spellStart"/>
            <w:r w:rsidRPr="00961EDA">
              <w:rPr>
                <w:sz w:val="20"/>
                <w:szCs w:val="20"/>
              </w:rPr>
              <w:t>Darunavir</w:t>
            </w:r>
            <w:proofErr w:type="spellEnd"/>
            <w:r w:rsidRPr="00961EDA">
              <w:rPr>
                <w:sz w:val="20"/>
                <w:szCs w:val="20"/>
              </w:rPr>
              <w:t>/</w:t>
            </w:r>
            <w:proofErr w:type="spellStart"/>
            <w:r w:rsidRPr="00961EDA">
              <w:rPr>
                <w:sz w:val="20"/>
                <w:szCs w:val="20"/>
              </w:rPr>
              <w:t>ritonavir</w:t>
            </w:r>
            <w:proofErr w:type="spellEnd"/>
            <w:r w:rsidRPr="00961EDA">
              <w:rPr>
                <w:sz w:val="20"/>
                <w:szCs w:val="20"/>
              </w:rPr>
              <w:t xml:space="preserve"> concentrations were consistent with historical data.</w:t>
            </w:r>
          </w:p>
        </w:tc>
        <w:tc>
          <w:tcPr>
            <w:tcW w:w="1614" w:type="pct"/>
            <w:tcBorders>
              <w:left w:val="single" w:sz="4" w:space="0" w:color="auto"/>
            </w:tcBorders>
          </w:tcPr>
          <w:p w:rsidR="00411430" w:rsidRDefault="00411430" w:rsidP="00440DF7">
            <w:pPr>
              <w:tabs>
                <w:tab w:val="left" w:pos="567"/>
              </w:tabs>
              <w:rPr>
                <w:b/>
                <w:sz w:val="20"/>
              </w:rPr>
            </w:pPr>
            <w:r>
              <w:rPr>
                <w:b/>
                <w:sz w:val="20"/>
              </w:rPr>
              <w:t xml:space="preserve">Maraviroc dose should be decreased to 150 mg twice daily when co-administered with </w:t>
            </w:r>
            <w:proofErr w:type="spellStart"/>
            <w:r>
              <w:rPr>
                <w:sz w:val="20"/>
              </w:rPr>
              <w:t>daru</w:t>
            </w:r>
            <w:r w:rsidRPr="00975F0B">
              <w:rPr>
                <w:sz w:val="20"/>
              </w:rPr>
              <w:t>navir</w:t>
            </w:r>
            <w:proofErr w:type="spellEnd"/>
            <w:r w:rsidRPr="00975F0B">
              <w:rPr>
                <w:sz w:val="20"/>
              </w:rPr>
              <w:t>/</w:t>
            </w:r>
            <w:proofErr w:type="spellStart"/>
            <w:r w:rsidRPr="00975F0B">
              <w:rPr>
                <w:sz w:val="20"/>
              </w:rPr>
              <w:t>ritonavir</w:t>
            </w:r>
            <w:proofErr w:type="spellEnd"/>
          </w:p>
          <w:p w:rsidR="00411430" w:rsidRDefault="00411430" w:rsidP="00440DF7">
            <w:pPr>
              <w:tabs>
                <w:tab w:val="left" w:pos="567"/>
              </w:tabs>
              <w:rPr>
                <w:sz w:val="20"/>
              </w:rPr>
            </w:pPr>
            <w:r>
              <w:rPr>
                <w:sz w:val="20"/>
              </w:rPr>
              <w:t>Maraviroc does not significantly affect PI drug levels.</w:t>
            </w:r>
          </w:p>
        </w:tc>
      </w:tr>
      <w:tr w:rsidR="00411430" w:rsidTr="00DB3E4D">
        <w:trPr>
          <w:cantSplit/>
        </w:trPr>
        <w:tc>
          <w:tcPr>
            <w:tcW w:w="1371" w:type="pct"/>
            <w:tcBorders>
              <w:right w:val="single" w:sz="4" w:space="0" w:color="auto"/>
            </w:tcBorders>
          </w:tcPr>
          <w:p w:rsidR="00411430" w:rsidRDefault="00411430" w:rsidP="00440DF7">
            <w:pPr>
              <w:tabs>
                <w:tab w:val="left" w:pos="567"/>
              </w:tabs>
              <w:rPr>
                <w:sz w:val="20"/>
              </w:rPr>
            </w:pPr>
            <w:proofErr w:type="spellStart"/>
            <w:r>
              <w:rPr>
                <w:sz w:val="20"/>
              </w:rPr>
              <w:t>Nelfinavir</w:t>
            </w:r>
            <w:proofErr w:type="spellEnd"/>
          </w:p>
          <w:p w:rsidR="00411430" w:rsidRDefault="00411430" w:rsidP="00440DF7">
            <w:pPr>
              <w:tabs>
                <w:tab w:val="left" w:pos="567"/>
              </w:tabs>
              <w:rPr>
                <w:sz w:val="20"/>
              </w:rPr>
            </w:pPr>
          </w:p>
        </w:tc>
        <w:tc>
          <w:tcPr>
            <w:tcW w:w="2015" w:type="pct"/>
            <w:tcBorders>
              <w:left w:val="single" w:sz="4" w:space="0" w:color="auto"/>
              <w:right w:val="single" w:sz="4" w:space="0" w:color="auto"/>
            </w:tcBorders>
          </w:tcPr>
          <w:p w:rsidR="00411430" w:rsidRDefault="00411430" w:rsidP="00440DF7">
            <w:pPr>
              <w:tabs>
                <w:tab w:val="left" w:pos="567"/>
              </w:tabs>
              <w:rPr>
                <w:sz w:val="20"/>
              </w:rPr>
            </w:pPr>
            <w:r>
              <w:rPr>
                <w:sz w:val="20"/>
              </w:rPr>
              <w:t xml:space="preserve">Limited data are available for co-administration with </w:t>
            </w:r>
            <w:proofErr w:type="spellStart"/>
            <w:r>
              <w:rPr>
                <w:sz w:val="20"/>
              </w:rPr>
              <w:t>nelfinavir</w:t>
            </w:r>
            <w:proofErr w:type="spellEnd"/>
            <w:r>
              <w:rPr>
                <w:sz w:val="20"/>
              </w:rPr>
              <w:t xml:space="preserve">. </w:t>
            </w:r>
          </w:p>
          <w:p w:rsidR="00411430" w:rsidRDefault="00411430" w:rsidP="00440DF7">
            <w:pPr>
              <w:tabs>
                <w:tab w:val="left" w:pos="567"/>
              </w:tabs>
              <w:rPr>
                <w:sz w:val="20"/>
              </w:rPr>
            </w:pPr>
            <w:proofErr w:type="spellStart"/>
            <w:r>
              <w:rPr>
                <w:sz w:val="20"/>
              </w:rPr>
              <w:t>Nelfinavir</w:t>
            </w:r>
            <w:proofErr w:type="spellEnd"/>
            <w:r>
              <w:rPr>
                <w:sz w:val="20"/>
              </w:rPr>
              <w:t xml:space="preserve"> is a potent CYP3A4 inhibitor and would be expected to increase maraviroc concentrations.</w:t>
            </w:r>
          </w:p>
        </w:tc>
        <w:tc>
          <w:tcPr>
            <w:tcW w:w="1614" w:type="pct"/>
            <w:tcBorders>
              <w:left w:val="single" w:sz="4" w:space="0" w:color="auto"/>
            </w:tcBorders>
          </w:tcPr>
          <w:p w:rsidR="00411430" w:rsidRDefault="00411430" w:rsidP="00440DF7">
            <w:pPr>
              <w:tabs>
                <w:tab w:val="left" w:pos="567"/>
              </w:tabs>
              <w:rPr>
                <w:b/>
                <w:sz w:val="20"/>
              </w:rPr>
            </w:pPr>
            <w:r>
              <w:rPr>
                <w:b/>
                <w:sz w:val="20"/>
              </w:rPr>
              <w:t xml:space="preserve">Maraviroc dose should be decreased to 150 mg twice daily when co-administered with </w:t>
            </w:r>
            <w:proofErr w:type="spellStart"/>
            <w:r>
              <w:rPr>
                <w:sz w:val="20"/>
              </w:rPr>
              <w:t>nelfinavir</w:t>
            </w:r>
            <w:proofErr w:type="spellEnd"/>
          </w:p>
          <w:p w:rsidR="00411430" w:rsidRDefault="00411430" w:rsidP="00440DF7">
            <w:pPr>
              <w:tabs>
                <w:tab w:val="left" w:pos="567"/>
              </w:tabs>
              <w:rPr>
                <w:sz w:val="20"/>
              </w:rPr>
            </w:pPr>
            <w:r w:rsidRPr="00961EDA">
              <w:rPr>
                <w:sz w:val="20"/>
              </w:rPr>
              <w:t>Maraviroc does not significantly affect PI drug levels.</w:t>
            </w:r>
          </w:p>
        </w:tc>
      </w:tr>
      <w:tr w:rsidR="00411430" w:rsidTr="00DB3E4D">
        <w:trPr>
          <w:cantSplit/>
        </w:trPr>
        <w:tc>
          <w:tcPr>
            <w:tcW w:w="1371" w:type="pct"/>
            <w:tcBorders>
              <w:right w:val="single" w:sz="4" w:space="0" w:color="auto"/>
            </w:tcBorders>
          </w:tcPr>
          <w:p w:rsidR="00411430" w:rsidRDefault="00411430" w:rsidP="00F97C78">
            <w:pPr>
              <w:tabs>
                <w:tab w:val="left" w:pos="567"/>
              </w:tabs>
              <w:rPr>
                <w:sz w:val="20"/>
              </w:rPr>
            </w:pPr>
            <w:proofErr w:type="spellStart"/>
            <w:r>
              <w:rPr>
                <w:sz w:val="20"/>
              </w:rPr>
              <w:t>Indinavir</w:t>
            </w:r>
            <w:proofErr w:type="spellEnd"/>
          </w:p>
        </w:tc>
        <w:tc>
          <w:tcPr>
            <w:tcW w:w="2015" w:type="pct"/>
            <w:tcBorders>
              <w:left w:val="single" w:sz="4" w:space="0" w:color="auto"/>
              <w:right w:val="single" w:sz="4" w:space="0" w:color="auto"/>
            </w:tcBorders>
          </w:tcPr>
          <w:p w:rsidR="00411430" w:rsidRDefault="00411430" w:rsidP="00440DF7">
            <w:pPr>
              <w:tabs>
                <w:tab w:val="left" w:pos="567"/>
              </w:tabs>
              <w:rPr>
                <w:sz w:val="20"/>
              </w:rPr>
            </w:pPr>
            <w:r>
              <w:rPr>
                <w:sz w:val="20"/>
              </w:rPr>
              <w:t xml:space="preserve">Limited data are available for co-administration with </w:t>
            </w:r>
            <w:proofErr w:type="spellStart"/>
            <w:r>
              <w:rPr>
                <w:sz w:val="20"/>
              </w:rPr>
              <w:t>indinavir</w:t>
            </w:r>
            <w:proofErr w:type="spellEnd"/>
            <w:r>
              <w:rPr>
                <w:sz w:val="20"/>
              </w:rPr>
              <w:t xml:space="preserve">.  </w:t>
            </w:r>
            <w:proofErr w:type="spellStart"/>
            <w:r>
              <w:rPr>
                <w:sz w:val="20"/>
              </w:rPr>
              <w:t>Indinavir</w:t>
            </w:r>
            <w:proofErr w:type="spellEnd"/>
            <w:r>
              <w:rPr>
                <w:sz w:val="20"/>
              </w:rPr>
              <w:t xml:space="preserve"> is a potent CYP3A4 inhibitor. Population PK analysis in phase 3 studies suggests dose reduction of </w:t>
            </w:r>
            <w:proofErr w:type="spellStart"/>
            <w:r>
              <w:rPr>
                <w:sz w:val="20"/>
              </w:rPr>
              <w:t>maraviroc</w:t>
            </w:r>
            <w:proofErr w:type="spellEnd"/>
            <w:r>
              <w:rPr>
                <w:sz w:val="20"/>
              </w:rPr>
              <w:t xml:space="preserve"> when </w:t>
            </w:r>
            <w:proofErr w:type="spellStart"/>
            <w:r>
              <w:rPr>
                <w:sz w:val="20"/>
              </w:rPr>
              <w:t>coadministered</w:t>
            </w:r>
            <w:proofErr w:type="spellEnd"/>
            <w:r>
              <w:rPr>
                <w:sz w:val="20"/>
              </w:rPr>
              <w:t xml:space="preserve"> with </w:t>
            </w:r>
            <w:proofErr w:type="spellStart"/>
            <w:r>
              <w:rPr>
                <w:sz w:val="20"/>
              </w:rPr>
              <w:t>indinavir</w:t>
            </w:r>
            <w:proofErr w:type="spellEnd"/>
            <w:r>
              <w:rPr>
                <w:sz w:val="20"/>
              </w:rPr>
              <w:t xml:space="preserve"> gives appropriate maraviroc exposure.</w:t>
            </w:r>
          </w:p>
        </w:tc>
        <w:tc>
          <w:tcPr>
            <w:tcW w:w="1614" w:type="pct"/>
            <w:tcBorders>
              <w:left w:val="single" w:sz="4" w:space="0" w:color="auto"/>
            </w:tcBorders>
          </w:tcPr>
          <w:p w:rsidR="00411430" w:rsidRDefault="00411430" w:rsidP="00440DF7">
            <w:pPr>
              <w:tabs>
                <w:tab w:val="left" w:pos="567"/>
              </w:tabs>
              <w:rPr>
                <w:b/>
                <w:sz w:val="20"/>
              </w:rPr>
            </w:pPr>
            <w:r>
              <w:rPr>
                <w:b/>
                <w:sz w:val="20"/>
              </w:rPr>
              <w:t xml:space="preserve">Maraviroc dose should be decreased to 150 mg twice daily when co-administered with </w:t>
            </w:r>
            <w:proofErr w:type="spellStart"/>
            <w:r>
              <w:rPr>
                <w:sz w:val="20"/>
              </w:rPr>
              <w:t>indinavir</w:t>
            </w:r>
            <w:proofErr w:type="spellEnd"/>
          </w:p>
          <w:p w:rsidR="00411430" w:rsidRDefault="00411430" w:rsidP="00440DF7">
            <w:pPr>
              <w:tabs>
                <w:tab w:val="left" w:pos="567"/>
              </w:tabs>
              <w:rPr>
                <w:sz w:val="20"/>
              </w:rPr>
            </w:pPr>
            <w:r>
              <w:rPr>
                <w:sz w:val="20"/>
              </w:rPr>
              <w:t>Maraviroc does not significantly affect PI drug levels.</w:t>
            </w:r>
          </w:p>
        </w:tc>
      </w:tr>
      <w:tr w:rsidR="00411430" w:rsidTr="00DB3E4D">
        <w:trPr>
          <w:cantSplit/>
        </w:trPr>
        <w:tc>
          <w:tcPr>
            <w:tcW w:w="1371" w:type="pct"/>
            <w:tcBorders>
              <w:bottom w:val="single" w:sz="4" w:space="0" w:color="auto"/>
              <w:right w:val="single" w:sz="4" w:space="0" w:color="auto"/>
            </w:tcBorders>
          </w:tcPr>
          <w:p w:rsidR="00411430" w:rsidRDefault="00411430" w:rsidP="00440DF7">
            <w:pPr>
              <w:tabs>
                <w:tab w:val="left" w:pos="567"/>
              </w:tabs>
              <w:rPr>
                <w:sz w:val="20"/>
              </w:rPr>
            </w:pPr>
            <w:proofErr w:type="spellStart"/>
            <w:r>
              <w:rPr>
                <w:sz w:val="20"/>
              </w:rPr>
              <w:t>Fosamprenavir</w:t>
            </w:r>
            <w:proofErr w:type="spellEnd"/>
            <w:r>
              <w:rPr>
                <w:sz w:val="20"/>
              </w:rPr>
              <w:t>/</w:t>
            </w:r>
            <w:proofErr w:type="spellStart"/>
            <w:r>
              <w:rPr>
                <w:sz w:val="20"/>
              </w:rPr>
              <w:t>ritonavir</w:t>
            </w:r>
            <w:proofErr w:type="spellEnd"/>
          </w:p>
        </w:tc>
        <w:tc>
          <w:tcPr>
            <w:tcW w:w="2015" w:type="pct"/>
            <w:tcBorders>
              <w:left w:val="single" w:sz="4" w:space="0" w:color="auto"/>
              <w:bottom w:val="single" w:sz="4" w:space="0" w:color="auto"/>
              <w:right w:val="single" w:sz="4" w:space="0" w:color="auto"/>
            </w:tcBorders>
          </w:tcPr>
          <w:p w:rsidR="00411430" w:rsidRDefault="00411430" w:rsidP="00440DF7">
            <w:pPr>
              <w:tabs>
                <w:tab w:val="left" w:pos="567"/>
              </w:tabs>
              <w:rPr>
                <w:sz w:val="20"/>
              </w:rPr>
            </w:pPr>
            <w:proofErr w:type="spellStart"/>
            <w:r>
              <w:rPr>
                <w:sz w:val="20"/>
              </w:rPr>
              <w:t>Fosamprenavir</w:t>
            </w:r>
            <w:proofErr w:type="spellEnd"/>
            <w:r>
              <w:rPr>
                <w:sz w:val="20"/>
              </w:rPr>
              <w:t xml:space="preserve"> is considered to be a moderate CYP3A4 inhibitor. Population PK studies suggest that a dose adjustment of maraviroc is not required.</w:t>
            </w:r>
          </w:p>
        </w:tc>
        <w:tc>
          <w:tcPr>
            <w:tcW w:w="1614" w:type="pct"/>
            <w:tcBorders>
              <w:left w:val="single" w:sz="4" w:space="0" w:color="auto"/>
            </w:tcBorders>
          </w:tcPr>
          <w:p w:rsidR="00411430" w:rsidRDefault="00411430" w:rsidP="00440DF7">
            <w:pPr>
              <w:tabs>
                <w:tab w:val="left" w:pos="567"/>
              </w:tabs>
              <w:rPr>
                <w:b/>
                <w:sz w:val="20"/>
              </w:rPr>
            </w:pPr>
            <w:r w:rsidRPr="001D1D37">
              <w:rPr>
                <w:b/>
                <w:sz w:val="20"/>
              </w:rPr>
              <w:t xml:space="preserve">Maraviroc 300 mg twice daily and </w:t>
            </w:r>
            <w:proofErr w:type="spellStart"/>
            <w:r w:rsidRPr="00961EDA">
              <w:rPr>
                <w:b/>
                <w:sz w:val="20"/>
              </w:rPr>
              <w:t>fosamprenavir</w:t>
            </w:r>
            <w:proofErr w:type="spellEnd"/>
            <w:r w:rsidRPr="00961EDA">
              <w:rPr>
                <w:b/>
                <w:sz w:val="20"/>
              </w:rPr>
              <w:t>/</w:t>
            </w:r>
            <w:proofErr w:type="spellStart"/>
            <w:r w:rsidRPr="00961EDA">
              <w:rPr>
                <w:b/>
                <w:sz w:val="20"/>
              </w:rPr>
              <w:t>ritonavir</w:t>
            </w:r>
            <w:proofErr w:type="spellEnd"/>
            <w:r w:rsidRPr="001D1D37">
              <w:rPr>
                <w:b/>
                <w:sz w:val="20"/>
              </w:rPr>
              <w:t xml:space="preserve"> can be co-administered without dose adjustment.</w:t>
            </w:r>
          </w:p>
          <w:p w:rsidR="00411430" w:rsidRPr="0039337B" w:rsidRDefault="00411430" w:rsidP="00440DF7">
            <w:pPr>
              <w:tabs>
                <w:tab w:val="left" w:pos="567"/>
              </w:tabs>
              <w:rPr>
                <w:b/>
                <w:color w:val="000000"/>
                <w:sz w:val="20"/>
              </w:rPr>
            </w:pPr>
          </w:p>
        </w:tc>
      </w:tr>
      <w:tr w:rsidR="00411430" w:rsidTr="00DB3E4D">
        <w:trPr>
          <w:cantSplit/>
        </w:trPr>
        <w:tc>
          <w:tcPr>
            <w:tcW w:w="1371" w:type="pct"/>
            <w:tcBorders>
              <w:bottom w:val="single" w:sz="4" w:space="0" w:color="auto"/>
              <w:right w:val="single" w:sz="4" w:space="0" w:color="auto"/>
            </w:tcBorders>
          </w:tcPr>
          <w:p w:rsidR="00411430" w:rsidRDefault="00411430" w:rsidP="00440DF7">
            <w:pPr>
              <w:tabs>
                <w:tab w:val="left" w:pos="567"/>
              </w:tabs>
              <w:rPr>
                <w:sz w:val="20"/>
              </w:rPr>
            </w:pPr>
            <w:proofErr w:type="spellStart"/>
            <w:r>
              <w:rPr>
                <w:sz w:val="20"/>
              </w:rPr>
              <w:lastRenderedPageBreak/>
              <w:t>Tipranavir</w:t>
            </w:r>
            <w:proofErr w:type="spellEnd"/>
            <w:r>
              <w:rPr>
                <w:sz w:val="20"/>
              </w:rPr>
              <w:t>/</w:t>
            </w:r>
            <w:proofErr w:type="spellStart"/>
            <w:r>
              <w:rPr>
                <w:sz w:val="20"/>
              </w:rPr>
              <w:t>ritonavir</w:t>
            </w:r>
            <w:proofErr w:type="spellEnd"/>
            <w:r>
              <w:rPr>
                <w:sz w:val="20"/>
              </w:rPr>
              <w:t xml:space="preserve"> 500 mg/200 mg </w:t>
            </w:r>
            <w:r w:rsidR="0003660E">
              <w:rPr>
                <w:sz w:val="20"/>
              </w:rPr>
              <w:t>twice daily</w:t>
            </w:r>
          </w:p>
          <w:p w:rsidR="00411430" w:rsidRDefault="00411430" w:rsidP="00440DF7">
            <w:pPr>
              <w:tabs>
                <w:tab w:val="left" w:pos="567"/>
              </w:tabs>
              <w:rPr>
                <w:sz w:val="20"/>
              </w:rPr>
            </w:pPr>
            <w:r>
              <w:rPr>
                <w:sz w:val="20"/>
              </w:rPr>
              <w:t xml:space="preserve">(maraviroc 150 mg </w:t>
            </w:r>
            <w:r w:rsidR="0003660E">
              <w:rPr>
                <w:sz w:val="20"/>
              </w:rPr>
              <w:t>twice daily</w:t>
            </w:r>
            <w:r>
              <w:rPr>
                <w:sz w:val="20"/>
              </w:rPr>
              <w:t>)</w:t>
            </w:r>
          </w:p>
        </w:tc>
        <w:tc>
          <w:tcPr>
            <w:tcW w:w="2015" w:type="pct"/>
            <w:tcBorders>
              <w:left w:val="single" w:sz="4" w:space="0" w:color="auto"/>
              <w:bottom w:val="single" w:sz="4" w:space="0" w:color="auto"/>
              <w:right w:val="single" w:sz="4" w:space="0" w:color="auto"/>
            </w:tcBorders>
          </w:tcPr>
          <w:p w:rsidR="00411430" w:rsidRPr="004C63E1" w:rsidRDefault="00411430" w:rsidP="00440DF7">
            <w:pPr>
              <w:tabs>
                <w:tab w:val="left" w:pos="567"/>
              </w:tabs>
              <w:rPr>
                <w:sz w:val="20"/>
              </w:rPr>
            </w:pPr>
            <w:r w:rsidRPr="004C63E1">
              <w:rPr>
                <w:sz w:val="20"/>
              </w:rPr>
              <w:t>Maraviroc AUC</w:t>
            </w:r>
            <w:r w:rsidRPr="004C63E1">
              <w:rPr>
                <w:sz w:val="20"/>
                <w:vertAlign w:val="subscript"/>
              </w:rPr>
              <w:t>12</w:t>
            </w:r>
            <w:r w:rsidRPr="0099609F">
              <w:rPr>
                <w:sz w:val="20"/>
                <w:szCs w:val="20"/>
              </w:rPr>
              <w:t>:</w:t>
            </w:r>
            <w:r w:rsidRPr="004C63E1">
              <w:rPr>
                <w:sz w:val="20"/>
              </w:rPr>
              <w:t xml:space="preserve"> ↔ 1.02 </w:t>
            </w:r>
            <w:r w:rsidR="008F4631" w:rsidRPr="00DB485E">
              <w:rPr>
                <w:color w:val="000000"/>
                <w:lang w:val="en-GB"/>
              </w:rPr>
              <w:t xml:space="preserve"> </w:t>
            </w:r>
            <w:r w:rsidR="008F4631" w:rsidRPr="008F4631">
              <w:rPr>
                <w:color w:val="000000"/>
                <w:sz w:val="20"/>
                <w:szCs w:val="20"/>
                <w:lang w:val="en-GB"/>
              </w:rPr>
              <w:t>(0.85, 1.23)</w:t>
            </w:r>
          </w:p>
          <w:p w:rsidR="00411430" w:rsidRPr="004C63E1" w:rsidRDefault="00411430" w:rsidP="00440DF7">
            <w:pPr>
              <w:tabs>
                <w:tab w:val="left" w:pos="567"/>
              </w:tabs>
              <w:rPr>
                <w:sz w:val="20"/>
              </w:rPr>
            </w:pPr>
            <w:proofErr w:type="spellStart"/>
            <w:r w:rsidRPr="004C63E1">
              <w:rPr>
                <w:sz w:val="20"/>
              </w:rPr>
              <w:t>Maraviroc</w:t>
            </w:r>
            <w:proofErr w:type="spellEnd"/>
            <w:r w:rsidRPr="004C63E1">
              <w:rPr>
                <w:sz w:val="20"/>
              </w:rPr>
              <w:t xml:space="preserve"> </w:t>
            </w:r>
            <w:proofErr w:type="spellStart"/>
            <w:r w:rsidRPr="004C63E1">
              <w:rPr>
                <w:sz w:val="20"/>
              </w:rPr>
              <w:t>C</w:t>
            </w:r>
            <w:r w:rsidRPr="004C63E1">
              <w:rPr>
                <w:sz w:val="20"/>
                <w:vertAlign w:val="subscript"/>
              </w:rPr>
              <w:t>max</w:t>
            </w:r>
            <w:proofErr w:type="spellEnd"/>
            <w:r w:rsidRPr="004C63E1">
              <w:rPr>
                <w:sz w:val="20"/>
              </w:rPr>
              <w:t xml:space="preserve">: ↔ 0.86 </w:t>
            </w:r>
            <w:r w:rsidR="008F4631" w:rsidRPr="00DB485E">
              <w:rPr>
                <w:color w:val="000000"/>
                <w:lang w:val="en-GB"/>
              </w:rPr>
              <w:t xml:space="preserve"> </w:t>
            </w:r>
            <w:r w:rsidR="008F4631" w:rsidRPr="008F4631">
              <w:rPr>
                <w:color w:val="000000"/>
                <w:sz w:val="20"/>
                <w:szCs w:val="20"/>
                <w:lang w:val="en-GB"/>
              </w:rPr>
              <w:t>(0.61, 1.21)</w:t>
            </w:r>
          </w:p>
          <w:p w:rsidR="00411430" w:rsidRPr="004C63E1" w:rsidRDefault="00411430" w:rsidP="00440DF7">
            <w:pPr>
              <w:tabs>
                <w:tab w:val="left" w:pos="567"/>
              </w:tabs>
              <w:rPr>
                <w:sz w:val="20"/>
              </w:rPr>
            </w:pPr>
            <w:proofErr w:type="spellStart"/>
            <w:r w:rsidRPr="004C63E1">
              <w:rPr>
                <w:sz w:val="20"/>
              </w:rPr>
              <w:t>Tipranavir</w:t>
            </w:r>
            <w:proofErr w:type="spellEnd"/>
            <w:r w:rsidRPr="004C63E1">
              <w:rPr>
                <w:sz w:val="20"/>
              </w:rPr>
              <w:t>/</w:t>
            </w:r>
            <w:proofErr w:type="spellStart"/>
            <w:r w:rsidRPr="004C63E1">
              <w:rPr>
                <w:sz w:val="20"/>
              </w:rPr>
              <w:t>ritonavir</w:t>
            </w:r>
            <w:proofErr w:type="spellEnd"/>
            <w:r w:rsidRPr="004C63E1">
              <w:rPr>
                <w:sz w:val="20"/>
              </w:rPr>
              <w:t xml:space="preserve"> concentrations were consistent with historical data.</w:t>
            </w:r>
          </w:p>
        </w:tc>
        <w:tc>
          <w:tcPr>
            <w:tcW w:w="1614" w:type="pct"/>
            <w:tcBorders>
              <w:left w:val="single" w:sz="4" w:space="0" w:color="auto"/>
              <w:bottom w:val="single" w:sz="4" w:space="0" w:color="auto"/>
            </w:tcBorders>
          </w:tcPr>
          <w:p w:rsidR="00411430" w:rsidRDefault="00411430" w:rsidP="00440DF7">
            <w:pPr>
              <w:tabs>
                <w:tab w:val="left" w:pos="567"/>
              </w:tabs>
              <w:rPr>
                <w:b/>
                <w:sz w:val="20"/>
              </w:rPr>
            </w:pPr>
            <w:r w:rsidRPr="001D1D37">
              <w:rPr>
                <w:b/>
                <w:sz w:val="20"/>
              </w:rPr>
              <w:t xml:space="preserve">Maraviroc 300 mg twice daily and </w:t>
            </w:r>
            <w:proofErr w:type="spellStart"/>
            <w:r w:rsidRPr="001D1D37">
              <w:rPr>
                <w:b/>
                <w:sz w:val="20"/>
              </w:rPr>
              <w:t>tipranavir</w:t>
            </w:r>
            <w:proofErr w:type="spellEnd"/>
            <w:r w:rsidRPr="001D1D37">
              <w:rPr>
                <w:b/>
                <w:sz w:val="20"/>
              </w:rPr>
              <w:t>/</w:t>
            </w:r>
            <w:proofErr w:type="spellStart"/>
            <w:r w:rsidRPr="001D1D37">
              <w:rPr>
                <w:b/>
                <w:sz w:val="20"/>
              </w:rPr>
              <w:t>ritonavir</w:t>
            </w:r>
            <w:proofErr w:type="spellEnd"/>
            <w:r w:rsidRPr="001D1D37">
              <w:rPr>
                <w:b/>
                <w:sz w:val="20"/>
              </w:rPr>
              <w:t xml:space="preserve"> can be co-administered without dose adjustment.</w:t>
            </w:r>
          </w:p>
          <w:p w:rsidR="00411430" w:rsidRDefault="00411430" w:rsidP="00440DF7">
            <w:pPr>
              <w:tabs>
                <w:tab w:val="left" w:pos="567"/>
              </w:tabs>
              <w:rPr>
                <w:sz w:val="20"/>
              </w:rPr>
            </w:pPr>
          </w:p>
        </w:tc>
      </w:tr>
      <w:tr w:rsidR="0039337B" w:rsidTr="00DB3E4D">
        <w:tc>
          <w:tcPr>
            <w:tcW w:w="1371" w:type="pct"/>
            <w:tcBorders>
              <w:right w:val="nil"/>
            </w:tcBorders>
          </w:tcPr>
          <w:p w:rsidR="0039337B" w:rsidRDefault="0039337B" w:rsidP="00440DF7">
            <w:pPr>
              <w:tabs>
                <w:tab w:val="left" w:pos="567"/>
              </w:tabs>
              <w:rPr>
                <w:b/>
                <w:i/>
                <w:sz w:val="20"/>
              </w:rPr>
            </w:pPr>
            <w:r>
              <w:rPr>
                <w:b/>
                <w:i/>
                <w:sz w:val="20"/>
              </w:rPr>
              <w:t>NNRTI + PI</w:t>
            </w:r>
          </w:p>
        </w:tc>
        <w:tc>
          <w:tcPr>
            <w:tcW w:w="2015" w:type="pct"/>
            <w:tcBorders>
              <w:left w:val="nil"/>
              <w:right w:val="nil"/>
            </w:tcBorders>
          </w:tcPr>
          <w:p w:rsidR="0039337B" w:rsidRDefault="0039337B" w:rsidP="00440DF7">
            <w:pPr>
              <w:tabs>
                <w:tab w:val="left" w:pos="567"/>
              </w:tabs>
              <w:rPr>
                <w:b/>
                <w:sz w:val="20"/>
              </w:rPr>
            </w:pPr>
          </w:p>
        </w:tc>
        <w:tc>
          <w:tcPr>
            <w:tcW w:w="1614" w:type="pct"/>
            <w:tcBorders>
              <w:left w:val="nil"/>
            </w:tcBorders>
          </w:tcPr>
          <w:p w:rsidR="0039337B" w:rsidRDefault="0039337B" w:rsidP="00440DF7">
            <w:pPr>
              <w:tabs>
                <w:tab w:val="left" w:pos="567"/>
              </w:tabs>
              <w:rPr>
                <w:b/>
                <w:sz w:val="20"/>
              </w:rPr>
            </w:pPr>
          </w:p>
        </w:tc>
      </w:tr>
      <w:tr w:rsidR="00DB3E4D" w:rsidTr="00DB3E4D">
        <w:trPr>
          <w:cantSplit/>
        </w:trPr>
        <w:tc>
          <w:tcPr>
            <w:tcW w:w="1371" w:type="pct"/>
            <w:tcBorders>
              <w:right w:val="single" w:sz="4" w:space="0" w:color="auto"/>
            </w:tcBorders>
          </w:tcPr>
          <w:p w:rsidR="00DB3E4D" w:rsidRDefault="00DB3E4D" w:rsidP="00440DF7">
            <w:pPr>
              <w:tabs>
                <w:tab w:val="left" w:pos="567"/>
              </w:tabs>
              <w:rPr>
                <w:sz w:val="20"/>
              </w:rPr>
            </w:pPr>
            <w:r>
              <w:rPr>
                <w:sz w:val="20"/>
              </w:rPr>
              <w:t xml:space="preserve">Efavirenz 600 mg </w:t>
            </w:r>
            <w:r w:rsidR="0003660E">
              <w:rPr>
                <w:sz w:val="20"/>
              </w:rPr>
              <w:t xml:space="preserve">once daily </w:t>
            </w:r>
            <w:r>
              <w:rPr>
                <w:sz w:val="20"/>
              </w:rPr>
              <w:t xml:space="preserve">+ </w:t>
            </w:r>
            <w:proofErr w:type="spellStart"/>
            <w:r>
              <w:rPr>
                <w:sz w:val="20"/>
              </w:rPr>
              <w:t>lopinavir</w:t>
            </w:r>
            <w:proofErr w:type="spellEnd"/>
            <w:r>
              <w:rPr>
                <w:sz w:val="20"/>
              </w:rPr>
              <w:t>/</w:t>
            </w:r>
            <w:proofErr w:type="spellStart"/>
            <w:r>
              <w:rPr>
                <w:sz w:val="20"/>
              </w:rPr>
              <w:t>ritonavir</w:t>
            </w:r>
            <w:proofErr w:type="spellEnd"/>
            <w:r>
              <w:rPr>
                <w:sz w:val="20"/>
              </w:rPr>
              <w:t xml:space="preserve"> 400 mg/100 mg </w:t>
            </w:r>
            <w:r w:rsidR="0003660E">
              <w:rPr>
                <w:sz w:val="20"/>
              </w:rPr>
              <w:t>twice daily</w:t>
            </w:r>
          </w:p>
          <w:p w:rsidR="00DB3E4D" w:rsidRDefault="00DB3E4D" w:rsidP="00440DF7">
            <w:pPr>
              <w:tabs>
                <w:tab w:val="left" w:pos="567"/>
              </w:tabs>
              <w:rPr>
                <w:sz w:val="20"/>
              </w:rPr>
            </w:pPr>
            <w:r>
              <w:rPr>
                <w:sz w:val="20"/>
              </w:rPr>
              <w:t xml:space="preserve">(maraviroc 300 mg </w:t>
            </w:r>
            <w:r w:rsidR="0003660E">
              <w:rPr>
                <w:sz w:val="20"/>
              </w:rPr>
              <w:t>twice daily</w:t>
            </w:r>
            <w:r>
              <w:rPr>
                <w:sz w:val="20"/>
              </w:rPr>
              <w:t>)</w:t>
            </w:r>
          </w:p>
        </w:tc>
        <w:tc>
          <w:tcPr>
            <w:tcW w:w="2015" w:type="pct"/>
            <w:tcBorders>
              <w:left w:val="single" w:sz="4" w:space="0" w:color="auto"/>
              <w:right w:val="single" w:sz="4" w:space="0" w:color="auto"/>
            </w:tcBorders>
          </w:tcPr>
          <w:p w:rsidR="00DB3E4D" w:rsidRDefault="00DB3E4D" w:rsidP="00440DF7">
            <w:pPr>
              <w:tabs>
                <w:tab w:val="left" w:pos="567"/>
              </w:tabs>
              <w:rPr>
                <w:sz w:val="20"/>
              </w:rPr>
            </w:pPr>
            <w:r>
              <w:rPr>
                <w:sz w:val="20"/>
              </w:rPr>
              <w:t>Maraviroc AUC</w:t>
            </w:r>
            <w:r>
              <w:rPr>
                <w:sz w:val="20"/>
                <w:vertAlign w:val="subscript"/>
              </w:rPr>
              <w:t>12</w:t>
            </w:r>
            <w:r w:rsidRPr="001316C5">
              <w:rPr>
                <w:sz w:val="20"/>
              </w:rPr>
              <w:t>:</w:t>
            </w:r>
            <w:r>
              <w:rPr>
                <w:sz w:val="20"/>
              </w:rPr>
              <w:t xml:space="preserve"> ↑ 2.53 </w:t>
            </w:r>
            <w:r w:rsidR="008F4631" w:rsidRPr="00DB485E">
              <w:rPr>
                <w:color w:val="000000"/>
                <w:lang w:val="en-GB"/>
              </w:rPr>
              <w:t xml:space="preserve"> </w:t>
            </w:r>
            <w:r w:rsidR="008F4631" w:rsidRPr="008F4631">
              <w:rPr>
                <w:color w:val="000000"/>
                <w:sz w:val="20"/>
                <w:szCs w:val="20"/>
                <w:lang w:val="en-GB"/>
              </w:rPr>
              <w:t>(2.24, 2.87)</w:t>
            </w:r>
          </w:p>
          <w:p w:rsidR="00DB3E4D" w:rsidRDefault="00DB3E4D" w:rsidP="00440DF7">
            <w:pPr>
              <w:tabs>
                <w:tab w:val="left" w:pos="567"/>
              </w:tabs>
              <w:rPr>
                <w:sz w:val="20"/>
              </w:rPr>
            </w:pPr>
            <w:proofErr w:type="spellStart"/>
            <w:r>
              <w:rPr>
                <w:sz w:val="20"/>
              </w:rPr>
              <w:t>Maraviroc</w:t>
            </w:r>
            <w:proofErr w:type="spellEnd"/>
            <w:r>
              <w:rPr>
                <w:sz w:val="20"/>
              </w:rPr>
              <w:t xml:space="preserve"> </w:t>
            </w:r>
            <w:proofErr w:type="spellStart"/>
            <w:r>
              <w:rPr>
                <w:sz w:val="20"/>
              </w:rPr>
              <w:t>C</w:t>
            </w:r>
            <w:r>
              <w:rPr>
                <w:sz w:val="20"/>
                <w:vertAlign w:val="subscript"/>
              </w:rPr>
              <w:t>max</w:t>
            </w:r>
            <w:proofErr w:type="spellEnd"/>
            <w:r>
              <w:rPr>
                <w:sz w:val="20"/>
              </w:rPr>
              <w:t xml:space="preserve">: ↑ 1.25 </w:t>
            </w:r>
            <w:r w:rsidR="008F4631" w:rsidRPr="00DB485E">
              <w:rPr>
                <w:color w:val="000000"/>
                <w:lang w:val="en-GB"/>
              </w:rPr>
              <w:t xml:space="preserve"> </w:t>
            </w:r>
            <w:r w:rsidR="008F4631" w:rsidRPr="008F4631">
              <w:rPr>
                <w:color w:val="000000"/>
                <w:sz w:val="20"/>
                <w:szCs w:val="20"/>
                <w:lang w:val="en-GB"/>
              </w:rPr>
              <w:t>(1.01, 1.55)</w:t>
            </w:r>
          </w:p>
          <w:p w:rsidR="00DB3E4D" w:rsidRDefault="00DB3E4D" w:rsidP="00440DF7">
            <w:pPr>
              <w:tabs>
                <w:tab w:val="left" w:pos="567"/>
              </w:tabs>
              <w:rPr>
                <w:sz w:val="20"/>
              </w:rPr>
            </w:pPr>
            <w:proofErr w:type="spellStart"/>
            <w:r>
              <w:rPr>
                <w:sz w:val="20"/>
              </w:rPr>
              <w:t>Efavirenz</w:t>
            </w:r>
            <w:proofErr w:type="spellEnd"/>
            <w:r>
              <w:rPr>
                <w:sz w:val="20"/>
              </w:rPr>
              <w:t xml:space="preserve">, </w:t>
            </w:r>
            <w:proofErr w:type="spellStart"/>
            <w:r>
              <w:rPr>
                <w:sz w:val="20"/>
              </w:rPr>
              <w:t>lopinavir</w:t>
            </w:r>
            <w:proofErr w:type="spellEnd"/>
            <w:r>
              <w:rPr>
                <w:sz w:val="20"/>
              </w:rPr>
              <w:t>/</w:t>
            </w:r>
            <w:proofErr w:type="spellStart"/>
            <w:r>
              <w:rPr>
                <w:sz w:val="20"/>
              </w:rPr>
              <w:t>ritonavir</w:t>
            </w:r>
            <w:proofErr w:type="spellEnd"/>
            <w:r>
              <w:rPr>
                <w:sz w:val="20"/>
              </w:rPr>
              <w:t xml:space="preserve"> concentrations not measured, no effect expected.</w:t>
            </w:r>
          </w:p>
        </w:tc>
        <w:tc>
          <w:tcPr>
            <w:tcW w:w="1614" w:type="pct"/>
            <w:tcBorders>
              <w:left w:val="single" w:sz="4" w:space="0" w:color="auto"/>
            </w:tcBorders>
          </w:tcPr>
          <w:p w:rsidR="00DB3E4D" w:rsidRPr="00A86782" w:rsidRDefault="00DB3E4D" w:rsidP="00440DF7">
            <w:pPr>
              <w:autoSpaceDE w:val="0"/>
              <w:autoSpaceDN w:val="0"/>
              <w:adjustRightInd w:val="0"/>
              <w:rPr>
                <w:rFonts w:ascii="TimesNewRoman,Bold" w:eastAsia="Times New Roman" w:hAnsi="TimesNewRoman,Bold" w:cs="TimesNewRoman,Bold"/>
                <w:sz w:val="20"/>
                <w:szCs w:val="20"/>
                <w:lang w:eastAsia="en-AU"/>
              </w:rPr>
            </w:pPr>
            <w:r>
              <w:rPr>
                <w:b/>
                <w:sz w:val="20"/>
              </w:rPr>
              <w:t xml:space="preserve">Maraviroc dose should be decreased to 150 mg twice daily when co-administered with </w:t>
            </w:r>
            <w:proofErr w:type="spellStart"/>
            <w:r>
              <w:rPr>
                <w:b/>
                <w:sz w:val="20"/>
              </w:rPr>
              <w:t>efavirenz</w:t>
            </w:r>
            <w:proofErr w:type="spellEnd"/>
            <w:r>
              <w:rPr>
                <w:b/>
                <w:sz w:val="20"/>
              </w:rPr>
              <w:t xml:space="preserve"> and </w:t>
            </w:r>
            <w:proofErr w:type="spellStart"/>
            <w:r w:rsidR="00AF367C">
              <w:rPr>
                <w:b/>
                <w:sz w:val="20"/>
              </w:rPr>
              <w:t>lopinavir</w:t>
            </w:r>
            <w:proofErr w:type="spellEnd"/>
            <w:r w:rsidR="00AF367C">
              <w:rPr>
                <w:b/>
                <w:sz w:val="20"/>
              </w:rPr>
              <w:t>/</w:t>
            </w:r>
            <w:proofErr w:type="spellStart"/>
            <w:r w:rsidR="00AF367C">
              <w:rPr>
                <w:b/>
                <w:sz w:val="20"/>
              </w:rPr>
              <w:t>ritonavir</w:t>
            </w:r>
            <w:proofErr w:type="spellEnd"/>
            <w:r>
              <w:rPr>
                <w:b/>
                <w:sz w:val="20"/>
              </w:rPr>
              <w:t xml:space="preserve"> </w:t>
            </w:r>
          </w:p>
          <w:p w:rsidR="00DB3E4D" w:rsidRDefault="00DB3E4D" w:rsidP="00440DF7">
            <w:pPr>
              <w:tabs>
                <w:tab w:val="left" w:pos="567"/>
              </w:tabs>
              <w:rPr>
                <w:b/>
                <w:strike/>
                <w:sz w:val="20"/>
              </w:rPr>
            </w:pPr>
          </w:p>
          <w:p w:rsidR="00DB3E4D" w:rsidRDefault="00DB3E4D" w:rsidP="00440DF7">
            <w:pPr>
              <w:tabs>
                <w:tab w:val="left" w:pos="567"/>
              </w:tabs>
              <w:rPr>
                <w:b/>
                <w:sz w:val="20"/>
              </w:rPr>
            </w:pPr>
          </w:p>
        </w:tc>
      </w:tr>
      <w:tr w:rsidR="00DB3E4D" w:rsidTr="00DB3E4D">
        <w:trPr>
          <w:cantSplit/>
        </w:trPr>
        <w:tc>
          <w:tcPr>
            <w:tcW w:w="1371" w:type="pct"/>
            <w:tcBorders>
              <w:right w:val="single" w:sz="4" w:space="0" w:color="auto"/>
            </w:tcBorders>
          </w:tcPr>
          <w:p w:rsidR="00DB3E4D" w:rsidRDefault="00DB3E4D" w:rsidP="00440DF7">
            <w:pPr>
              <w:tabs>
                <w:tab w:val="left" w:pos="567"/>
              </w:tabs>
              <w:rPr>
                <w:sz w:val="20"/>
              </w:rPr>
            </w:pPr>
            <w:r>
              <w:rPr>
                <w:sz w:val="20"/>
              </w:rPr>
              <w:t xml:space="preserve">Efavirenz 600 mg </w:t>
            </w:r>
            <w:r w:rsidR="0003660E">
              <w:rPr>
                <w:sz w:val="20"/>
              </w:rPr>
              <w:t xml:space="preserve">once daily </w:t>
            </w:r>
            <w:r>
              <w:rPr>
                <w:sz w:val="20"/>
              </w:rPr>
              <w:t xml:space="preserve">+ saquinavir/ritonavir 1000 mg/100 mg </w:t>
            </w:r>
            <w:r w:rsidR="0003660E">
              <w:rPr>
                <w:sz w:val="20"/>
              </w:rPr>
              <w:t>twice daily</w:t>
            </w:r>
          </w:p>
          <w:p w:rsidR="00DB3E4D" w:rsidRDefault="00DB3E4D" w:rsidP="00440DF7">
            <w:pPr>
              <w:tabs>
                <w:tab w:val="left" w:pos="567"/>
              </w:tabs>
              <w:rPr>
                <w:sz w:val="20"/>
              </w:rPr>
            </w:pPr>
            <w:r>
              <w:rPr>
                <w:sz w:val="20"/>
              </w:rPr>
              <w:t xml:space="preserve">(maraviroc 100 mg </w:t>
            </w:r>
            <w:r w:rsidR="0003660E">
              <w:rPr>
                <w:sz w:val="20"/>
              </w:rPr>
              <w:t>twice daily</w:t>
            </w:r>
            <w:r>
              <w:rPr>
                <w:sz w:val="20"/>
              </w:rPr>
              <w:t>)</w:t>
            </w:r>
          </w:p>
        </w:tc>
        <w:tc>
          <w:tcPr>
            <w:tcW w:w="2015" w:type="pct"/>
            <w:tcBorders>
              <w:left w:val="single" w:sz="4" w:space="0" w:color="auto"/>
              <w:right w:val="single" w:sz="4" w:space="0" w:color="auto"/>
            </w:tcBorders>
          </w:tcPr>
          <w:p w:rsidR="00DB3E4D" w:rsidRDefault="00DB3E4D" w:rsidP="00440DF7">
            <w:pPr>
              <w:tabs>
                <w:tab w:val="left" w:pos="567"/>
              </w:tabs>
              <w:rPr>
                <w:sz w:val="20"/>
              </w:rPr>
            </w:pPr>
            <w:r>
              <w:rPr>
                <w:sz w:val="20"/>
              </w:rPr>
              <w:t>Maraviroc AUC</w:t>
            </w:r>
            <w:r>
              <w:rPr>
                <w:sz w:val="20"/>
                <w:vertAlign w:val="subscript"/>
              </w:rPr>
              <w:t>12</w:t>
            </w:r>
            <w:r w:rsidRPr="001316C5">
              <w:rPr>
                <w:sz w:val="20"/>
              </w:rPr>
              <w:t>:</w:t>
            </w:r>
            <w:r>
              <w:rPr>
                <w:sz w:val="20"/>
              </w:rPr>
              <w:t xml:space="preserve"> ↑ 5.00 </w:t>
            </w:r>
            <w:r w:rsidR="008F4631" w:rsidRPr="00DB485E">
              <w:rPr>
                <w:color w:val="000000"/>
                <w:lang w:val="en-GB"/>
              </w:rPr>
              <w:t xml:space="preserve"> </w:t>
            </w:r>
            <w:r w:rsidR="008F4631" w:rsidRPr="008F4631">
              <w:rPr>
                <w:color w:val="000000"/>
                <w:sz w:val="20"/>
                <w:szCs w:val="20"/>
                <w:lang w:val="en-GB"/>
              </w:rPr>
              <w:t>(4.26, 5.87)</w:t>
            </w:r>
          </w:p>
          <w:p w:rsidR="00DB3E4D" w:rsidRPr="008F4631" w:rsidRDefault="00DB3E4D" w:rsidP="00440DF7">
            <w:pPr>
              <w:pStyle w:val="TableText0"/>
              <w:rPr>
                <w:rFonts w:cs="Times New Roman"/>
                <w:color w:val="000000"/>
                <w:lang w:val="en-GB"/>
              </w:rPr>
            </w:pPr>
            <w:proofErr w:type="spellStart"/>
            <w:r>
              <w:t>Maraviroc</w:t>
            </w:r>
            <w:proofErr w:type="spellEnd"/>
            <w:r>
              <w:t xml:space="preserve"> </w:t>
            </w:r>
            <w:proofErr w:type="spellStart"/>
            <w:r>
              <w:t>C</w:t>
            </w:r>
            <w:r>
              <w:rPr>
                <w:vertAlign w:val="subscript"/>
              </w:rPr>
              <w:t>max</w:t>
            </w:r>
            <w:proofErr w:type="spellEnd"/>
            <w:r>
              <w:t xml:space="preserve">: ↑ 2.26 </w:t>
            </w:r>
            <w:r w:rsidR="008F4631">
              <w:t xml:space="preserve"> </w:t>
            </w:r>
            <w:r w:rsidR="008F4631" w:rsidRPr="00DB485E">
              <w:rPr>
                <w:rFonts w:cs="Times New Roman"/>
                <w:color w:val="000000"/>
                <w:lang w:val="en-GB"/>
              </w:rPr>
              <w:t>(1.64, 3.11)</w:t>
            </w:r>
          </w:p>
          <w:p w:rsidR="00DB3E4D" w:rsidRDefault="00DB3E4D" w:rsidP="00440DF7">
            <w:pPr>
              <w:tabs>
                <w:tab w:val="left" w:pos="567"/>
              </w:tabs>
              <w:rPr>
                <w:sz w:val="20"/>
              </w:rPr>
            </w:pPr>
            <w:r>
              <w:rPr>
                <w:sz w:val="20"/>
              </w:rPr>
              <w:t>Efavirenz, saquinavir/ritonavir concentrations not measured, no effect expected.</w:t>
            </w:r>
          </w:p>
        </w:tc>
        <w:tc>
          <w:tcPr>
            <w:tcW w:w="1614" w:type="pct"/>
            <w:tcBorders>
              <w:left w:val="single" w:sz="4" w:space="0" w:color="auto"/>
            </w:tcBorders>
          </w:tcPr>
          <w:p w:rsidR="00DB3E4D" w:rsidRDefault="00DB3E4D" w:rsidP="00440DF7">
            <w:pPr>
              <w:tabs>
                <w:tab w:val="left" w:pos="567"/>
              </w:tabs>
              <w:rPr>
                <w:sz w:val="20"/>
              </w:rPr>
            </w:pPr>
            <w:r>
              <w:rPr>
                <w:b/>
                <w:sz w:val="20"/>
              </w:rPr>
              <w:t xml:space="preserve">Maraviroc dose should be decreased to 150 mg twice daily when co-administered with efavirenz and </w:t>
            </w:r>
            <w:r w:rsidR="00AF367C">
              <w:rPr>
                <w:b/>
                <w:sz w:val="20"/>
              </w:rPr>
              <w:t>saquinavir/ritonavir</w:t>
            </w:r>
          </w:p>
        </w:tc>
      </w:tr>
      <w:tr w:rsidR="00DB3E4D" w:rsidTr="00440DF7">
        <w:trPr>
          <w:cantSplit/>
        </w:trPr>
        <w:tc>
          <w:tcPr>
            <w:tcW w:w="1371" w:type="pct"/>
            <w:tcBorders>
              <w:bottom w:val="single" w:sz="4" w:space="0" w:color="auto"/>
              <w:right w:val="single" w:sz="4" w:space="0" w:color="auto"/>
            </w:tcBorders>
          </w:tcPr>
          <w:p w:rsidR="00DB3E4D" w:rsidRDefault="00DB3E4D" w:rsidP="008C1804">
            <w:pPr>
              <w:tabs>
                <w:tab w:val="left" w:pos="567"/>
              </w:tabs>
              <w:rPr>
                <w:sz w:val="20"/>
              </w:rPr>
            </w:pPr>
            <w:proofErr w:type="spellStart"/>
            <w:r>
              <w:rPr>
                <w:sz w:val="20"/>
              </w:rPr>
              <w:t>Efavirenz</w:t>
            </w:r>
            <w:proofErr w:type="spellEnd"/>
            <w:r>
              <w:rPr>
                <w:sz w:val="20"/>
              </w:rPr>
              <w:t xml:space="preserve"> and</w:t>
            </w:r>
            <w:r>
              <w:rPr>
                <w:strike/>
                <w:sz w:val="20"/>
              </w:rPr>
              <w:t xml:space="preserve"> </w:t>
            </w:r>
            <w:r w:rsidR="00AF367C">
              <w:rPr>
                <w:strike/>
                <w:sz w:val="20"/>
              </w:rPr>
              <w:t xml:space="preserve">  </w:t>
            </w:r>
            <w:proofErr w:type="spellStart"/>
            <w:r>
              <w:rPr>
                <w:sz w:val="20"/>
              </w:rPr>
              <w:t>a</w:t>
            </w:r>
            <w:r w:rsidR="00AF367C">
              <w:rPr>
                <w:sz w:val="20"/>
              </w:rPr>
              <w:t>tazanavir</w:t>
            </w:r>
            <w:proofErr w:type="spellEnd"/>
            <w:r w:rsidR="00AF367C">
              <w:rPr>
                <w:sz w:val="20"/>
              </w:rPr>
              <w:t xml:space="preserve">, </w:t>
            </w:r>
            <w:proofErr w:type="spellStart"/>
            <w:r w:rsidR="00AF367C">
              <w:rPr>
                <w:sz w:val="20"/>
              </w:rPr>
              <w:t>a</w:t>
            </w:r>
            <w:r>
              <w:rPr>
                <w:sz w:val="20"/>
              </w:rPr>
              <w:t>tazanavir</w:t>
            </w:r>
            <w:proofErr w:type="spellEnd"/>
            <w:r>
              <w:rPr>
                <w:sz w:val="20"/>
              </w:rPr>
              <w:t>/</w:t>
            </w:r>
            <w:proofErr w:type="spellStart"/>
            <w:r>
              <w:rPr>
                <w:sz w:val="20"/>
              </w:rPr>
              <w:t>ritonavir</w:t>
            </w:r>
            <w:proofErr w:type="spellEnd"/>
            <w:r w:rsidR="00AF367C">
              <w:rPr>
                <w:sz w:val="20"/>
              </w:rPr>
              <w:t xml:space="preserve">, </w:t>
            </w:r>
            <w:r>
              <w:rPr>
                <w:sz w:val="20"/>
              </w:rPr>
              <w:t xml:space="preserve"> </w:t>
            </w:r>
            <w:proofErr w:type="spellStart"/>
            <w:r>
              <w:rPr>
                <w:sz w:val="20"/>
              </w:rPr>
              <w:t>darunavir</w:t>
            </w:r>
            <w:proofErr w:type="spellEnd"/>
            <w:r>
              <w:rPr>
                <w:sz w:val="20"/>
              </w:rPr>
              <w:t>/</w:t>
            </w:r>
            <w:proofErr w:type="spellStart"/>
            <w:r>
              <w:rPr>
                <w:sz w:val="20"/>
              </w:rPr>
              <w:t>ritonavir</w:t>
            </w:r>
            <w:proofErr w:type="spellEnd"/>
            <w:r w:rsidR="008C1804">
              <w:rPr>
                <w:sz w:val="20"/>
              </w:rPr>
              <w:t xml:space="preserve">, </w:t>
            </w:r>
            <w:proofErr w:type="spellStart"/>
            <w:r w:rsidR="008C1804">
              <w:rPr>
                <w:sz w:val="20"/>
              </w:rPr>
              <w:t>indinavir</w:t>
            </w:r>
            <w:proofErr w:type="spellEnd"/>
            <w:r w:rsidR="008C1804">
              <w:rPr>
                <w:sz w:val="20"/>
              </w:rPr>
              <w:t xml:space="preserve">, or </w:t>
            </w:r>
            <w:proofErr w:type="spellStart"/>
            <w:r w:rsidR="008C1804">
              <w:rPr>
                <w:sz w:val="20"/>
              </w:rPr>
              <w:t>nelfinavir</w:t>
            </w:r>
            <w:proofErr w:type="spellEnd"/>
          </w:p>
        </w:tc>
        <w:tc>
          <w:tcPr>
            <w:tcW w:w="2015" w:type="pct"/>
            <w:tcBorders>
              <w:left w:val="single" w:sz="4" w:space="0" w:color="auto"/>
              <w:bottom w:val="single" w:sz="4" w:space="0" w:color="auto"/>
              <w:right w:val="single" w:sz="4" w:space="0" w:color="auto"/>
            </w:tcBorders>
          </w:tcPr>
          <w:p w:rsidR="00DB3E4D" w:rsidRDefault="00DB3E4D" w:rsidP="008C1804">
            <w:pPr>
              <w:tabs>
                <w:tab w:val="left" w:pos="567"/>
              </w:tabs>
              <w:rPr>
                <w:sz w:val="20"/>
              </w:rPr>
            </w:pPr>
            <w:r>
              <w:rPr>
                <w:sz w:val="20"/>
              </w:rPr>
              <w:t xml:space="preserve">Not studied. Based on the extent of inhibition by </w:t>
            </w:r>
            <w:proofErr w:type="spellStart"/>
            <w:r w:rsidR="008C1804">
              <w:rPr>
                <w:sz w:val="20"/>
              </w:rPr>
              <w:t>atazanavir</w:t>
            </w:r>
            <w:proofErr w:type="spellEnd"/>
            <w:r w:rsidR="008C1804">
              <w:rPr>
                <w:sz w:val="20"/>
              </w:rPr>
              <w:t xml:space="preserve">, </w:t>
            </w:r>
            <w:proofErr w:type="spellStart"/>
            <w:r>
              <w:rPr>
                <w:sz w:val="20"/>
              </w:rPr>
              <w:t>atazanavir</w:t>
            </w:r>
            <w:proofErr w:type="spellEnd"/>
            <w:r>
              <w:rPr>
                <w:sz w:val="20"/>
              </w:rPr>
              <w:t>/</w:t>
            </w:r>
            <w:proofErr w:type="spellStart"/>
            <w:r>
              <w:rPr>
                <w:sz w:val="20"/>
              </w:rPr>
              <w:t>ritonavir</w:t>
            </w:r>
            <w:proofErr w:type="spellEnd"/>
            <w:r w:rsidR="008C1804">
              <w:rPr>
                <w:sz w:val="20"/>
              </w:rPr>
              <w:t xml:space="preserve">, </w:t>
            </w:r>
            <w:proofErr w:type="spellStart"/>
            <w:r>
              <w:rPr>
                <w:sz w:val="20"/>
              </w:rPr>
              <w:t>darunavir</w:t>
            </w:r>
            <w:proofErr w:type="spellEnd"/>
            <w:r>
              <w:rPr>
                <w:sz w:val="20"/>
              </w:rPr>
              <w:t>/</w:t>
            </w:r>
            <w:proofErr w:type="spellStart"/>
            <w:r>
              <w:rPr>
                <w:sz w:val="20"/>
              </w:rPr>
              <w:t>ritonavir</w:t>
            </w:r>
            <w:proofErr w:type="spellEnd"/>
            <w:r w:rsidR="008C1804">
              <w:rPr>
                <w:sz w:val="20"/>
              </w:rPr>
              <w:t xml:space="preserve">, </w:t>
            </w:r>
            <w:proofErr w:type="spellStart"/>
            <w:r w:rsidR="008C1804">
              <w:rPr>
                <w:sz w:val="20"/>
              </w:rPr>
              <w:t>indinavir</w:t>
            </w:r>
            <w:proofErr w:type="spellEnd"/>
            <w:r w:rsidR="008C1804">
              <w:rPr>
                <w:sz w:val="20"/>
              </w:rPr>
              <w:t xml:space="preserve">, or </w:t>
            </w:r>
            <w:proofErr w:type="spellStart"/>
            <w:r w:rsidR="008C1804">
              <w:rPr>
                <w:sz w:val="20"/>
              </w:rPr>
              <w:t>nelfinavir</w:t>
            </w:r>
            <w:proofErr w:type="spellEnd"/>
            <w:r>
              <w:rPr>
                <w:sz w:val="20"/>
              </w:rPr>
              <w:t xml:space="preserve"> in the absence of efavirenz, an increased exposure is expected.</w:t>
            </w:r>
          </w:p>
        </w:tc>
        <w:tc>
          <w:tcPr>
            <w:tcW w:w="1614" w:type="pct"/>
            <w:tcBorders>
              <w:left w:val="single" w:sz="4" w:space="0" w:color="auto"/>
            </w:tcBorders>
          </w:tcPr>
          <w:p w:rsidR="00DB3E4D" w:rsidRDefault="00DB3E4D" w:rsidP="00D82EBF">
            <w:pPr>
              <w:tabs>
                <w:tab w:val="left" w:pos="567"/>
              </w:tabs>
              <w:rPr>
                <w:sz w:val="20"/>
              </w:rPr>
            </w:pPr>
            <w:r>
              <w:rPr>
                <w:b/>
                <w:sz w:val="20"/>
              </w:rPr>
              <w:t xml:space="preserve">Maraviroc dose should be decreased to 150 mg twice daily when co-administered with </w:t>
            </w:r>
            <w:proofErr w:type="spellStart"/>
            <w:r>
              <w:rPr>
                <w:b/>
                <w:sz w:val="20"/>
              </w:rPr>
              <w:t>efavirenz</w:t>
            </w:r>
            <w:proofErr w:type="spellEnd"/>
            <w:r>
              <w:rPr>
                <w:b/>
                <w:sz w:val="20"/>
              </w:rPr>
              <w:t xml:space="preserve"> and </w:t>
            </w:r>
            <w:proofErr w:type="spellStart"/>
            <w:r w:rsidR="008C1804" w:rsidRPr="008C1804">
              <w:rPr>
                <w:b/>
                <w:sz w:val="20"/>
              </w:rPr>
              <w:t>atazanavir</w:t>
            </w:r>
            <w:proofErr w:type="spellEnd"/>
            <w:r w:rsidR="008C1804" w:rsidRPr="008C1804">
              <w:rPr>
                <w:b/>
                <w:sz w:val="20"/>
              </w:rPr>
              <w:t xml:space="preserve">, </w:t>
            </w:r>
            <w:proofErr w:type="spellStart"/>
            <w:r w:rsidR="008C1804" w:rsidRPr="008C1804">
              <w:rPr>
                <w:b/>
                <w:sz w:val="20"/>
              </w:rPr>
              <w:t>atazanavir</w:t>
            </w:r>
            <w:proofErr w:type="spellEnd"/>
            <w:r w:rsidR="008C1804" w:rsidRPr="008C1804">
              <w:rPr>
                <w:b/>
                <w:sz w:val="20"/>
              </w:rPr>
              <w:t>/</w:t>
            </w:r>
            <w:proofErr w:type="spellStart"/>
            <w:r w:rsidR="008C1804" w:rsidRPr="008C1804">
              <w:rPr>
                <w:b/>
                <w:sz w:val="20"/>
              </w:rPr>
              <w:t>ritonavir</w:t>
            </w:r>
            <w:proofErr w:type="spellEnd"/>
            <w:r w:rsidR="008C1804" w:rsidRPr="008C1804">
              <w:rPr>
                <w:b/>
                <w:sz w:val="20"/>
              </w:rPr>
              <w:t xml:space="preserve">,  </w:t>
            </w:r>
            <w:proofErr w:type="spellStart"/>
            <w:r w:rsidR="008C1804" w:rsidRPr="008C1804">
              <w:rPr>
                <w:b/>
                <w:sz w:val="20"/>
              </w:rPr>
              <w:t>darunavir</w:t>
            </w:r>
            <w:proofErr w:type="spellEnd"/>
            <w:r w:rsidR="008C1804" w:rsidRPr="008C1804">
              <w:rPr>
                <w:b/>
                <w:sz w:val="20"/>
              </w:rPr>
              <w:t>/</w:t>
            </w:r>
            <w:proofErr w:type="spellStart"/>
            <w:r w:rsidR="008C1804" w:rsidRPr="008C1804">
              <w:rPr>
                <w:b/>
                <w:sz w:val="20"/>
              </w:rPr>
              <w:t>ritonavir</w:t>
            </w:r>
            <w:proofErr w:type="spellEnd"/>
            <w:r w:rsidR="008C1804" w:rsidRPr="008C1804">
              <w:rPr>
                <w:b/>
                <w:sz w:val="20"/>
              </w:rPr>
              <w:t xml:space="preserve">, </w:t>
            </w:r>
            <w:proofErr w:type="spellStart"/>
            <w:r w:rsidR="008C1804" w:rsidRPr="008C1804">
              <w:rPr>
                <w:b/>
                <w:sz w:val="20"/>
              </w:rPr>
              <w:t>indinavir</w:t>
            </w:r>
            <w:proofErr w:type="spellEnd"/>
            <w:r w:rsidR="008C1804" w:rsidRPr="008C1804">
              <w:rPr>
                <w:b/>
                <w:sz w:val="20"/>
              </w:rPr>
              <w:t xml:space="preserve">, or </w:t>
            </w:r>
            <w:proofErr w:type="spellStart"/>
            <w:r w:rsidR="008C1804" w:rsidRPr="008C1804">
              <w:rPr>
                <w:b/>
                <w:sz w:val="20"/>
              </w:rPr>
              <w:t>nelfinavir</w:t>
            </w:r>
            <w:proofErr w:type="spellEnd"/>
          </w:p>
        </w:tc>
      </w:tr>
      <w:tr w:rsidR="00AD2052" w:rsidRPr="00440DF7" w:rsidTr="00440DF7">
        <w:tc>
          <w:tcPr>
            <w:tcW w:w="1371" w:type="pct"/>
            <w:tcBorders>
              <w:right w:val="single" w:sz="4" w:space="0" w:color="auto"/>
            </w:tcBorders>
          </w:tcPr>
          <w:p w:rsidR="00AD2052" w:rsidRPr="00440DF7" w:rsidRDefault="00AD2052" w:rsidP="00A3283E">
            <w:pPr>
              <w:autoSpaceDE w:val="0"/>
              <w:autoSpaceDN w:val="0"/>
              <w:adjustRightInd w:val="0"/>
              <w:rPr>
                <w:rFonts w:eastAsia="Times New Roman"/>
                <w:sz w:val="20"/>
                <w:szCs w:val="20"/>
                <w:lang w:eastAsia="en-AU"/>
              </w:rPr>
            </w:pPr>
            <w:proofErr w:type="spellStart"/>
            <w:r w:rsidRPr="00440DF7">
              <w:rPr>
                <w:rFonts w:eastAsia="Times New Roman"/>
                <w:sz w:val="20"/>
                <w:szCs w:val="20"/>
                <w:lang w:eastAsia="en-AU"/>
              </w:rPr>
              <w:t>Efavirenz</w:t>
            </w:r>
            <w:proofErr w:type="spellEnd"/>
            <w:r w:rsidRPr="00440DF7">
              <w:rPr>
                <w:rFonts w:eastAsia="Times New Roman"/>
                <w:sz w:val="20"/>
                <w:szCs w:val="20"/>
                <w:lang w:eastAsia="en-AU"/>
              </w:rPr>
              <w:t xml:space="preserve"> and </w:t>
            </w:r>
            <w:proofErr w:type="spellStart"/>
            <w:r w:rsidRPr="00440DF7">
              <w:rPr>
                <w:rFonts w:eastAsia="Times New Roman"/>
                <w:sz w:val="20"/>
                <w:szCs w:val="20"/>
                <w:lang w:eastAsia="en-AU"/>
              </w:rPr>
              <w:t>fosamprenavir</w:t>
            </w:r>
            <w:proofErr w:type="spellEnd"/>
            <w:r w:rsidRPr="00440DF7">
              <w:rPr>
                <w:rFonts w:eastAsia="Times New Roman"/>
                <w:sz w:val="20"/>
                <w:szCs w:val="20"/>
                <w:lang w:eastAsia="en-AU"/>
              </w:rPr>
              <w:t>/</w:t>
            </w:r>
            <w:proofErr w:type="spellStart"/>
            <w:r w:rsidRPr="00440DF7">
              <w:rPr>
                <w:rFonts w:eastAsia="Times New Roman"/>
                <w:sz w:val="20"/>
                <w:szCs w:val="20"/>
                <w:lang w:eastAsia="en-AU"/>
              </w:rPr>
              <w:t>ritonavir</w:t>
            </w:r>
            <w:proofErr w:type="spellEnd"/>
          </w:p>
        </w:tc>
        <w:tc>
          <w:tcPr>
            <w:tcW w:w="2015" w:type="pct"/>
            <w:tcBorders>
              <w:left w:val="single" w:sz="4" w:space="0" w:color="auto"/>
              <w:right w:val="single" w:sz="4" w:space="0" w:color="auto"/>
            </w:tcBorders>
          </w:tcPr>
          <w:p w:rsidR="00AD2052" w:rsidRPr="00440DF7" w:rsidRDefault="00AD2052" w:rsidP="00AD2052">
            <w:pPr>
              <w:autoSpaceDE w:val="0"/>
              <w:autoSpaceDN w:val="0"/>
              <w:adjustRightInd w:val="0"/>
              <w:rPr>
                <w:rFonts w:eastAsia="Times New Roman"/>
                <w:sz w:val="20"/>
                <w:szCs w:val="20"/>
                <w:highlight w:val="yellow"/>
                <w:lang w:eastAsia="en-AU"/>
              </w:rPr>
            </w:pPr>
            <w:r w:rsidRPr="00440DF7">
              <w:rPr>
                <w:sz w:val="20"/>
              </w:rPr>
              <w:t xml:space="preserve">Not studied. Based on the extent of inhibition by </w:t>
            </w:r>
            <w:proofErr w:type="spellStart"/>
            <w:r w:rsidRPr="00440DF7">
              <w:rPr>
                <w:sz w:val="20"/>
              </w:rPr>
              <w:t>fosamprenavir</w:t>
            </w:r>
            <w:proofErr w:type="spellEnd"/>
            <w:r w:rsidRPr="00440DF7">
              <w:rPr>
                <w:sz w:val="20"/>
              </w:rPr>
              <w:t>/</w:t>
            </w:r>
            <w:proofErr w:type="spellStart"/>
            <w:r w:rsidRPr="00440DF7">
              <w:rPr>
                <w:sz w:val="20"/>
              </w:rPr>
              <w:t>ritonavir</w:t>
            </w:r>
            <w:proofErr w:type="spellEnd"/>
            <w:r w:rsidRPr="00440DF7">
              <w:rPr>
                <w:sz w:val="20"/>
              </w:rPr>
              <w:t>, in the absence of efavirenz</w:t>
            </w:r>
            <w:r w:rsidR="002E787E" w:rsidRPr="00440DF7">
              <w:rPr>
                <w:sz w:val="20"/>
              </w:rPr>
              <w:t>, no clinically significant change in exposure is expected</w:t>
            </w:r>
            <w:r w:rsidRPr="00440DF7">
              <w:rPr>
                <w:sz w:val="20"/>
              </w:rPr>
              <w:t>.</w:t>
            </w:r>
          </w:p>
        </w:tc>
        <w:tc>
          <w:tcPr>
            <w:tcW w:w="1614" w:type="pct"/>
            <w:tcBorders>
              <w:left w:val="single" w:sz="4" w:space="0" w:color="auto"/>
            </w:tcBorders>
          </w:tcPr>
          <w:p w:rsidR="00AD2052" w:rsidRPr="00440DF7" w:rsidRDefault="00AD2052" w:rsidP="008C1804">
            <w:pPr>
              <w:tabs>
                <w:tab w:val="left" w:pos="567"/>
              </w:tabs>
              <w:rPr>
                <w:b/>
                <w:sz w:val="20"/>
              </w:rPr>
            </w:pPr>
            <w:r w:rsidRPr="00440DF7">
              <w:rPr>
                <w:b/>
                <w:sz w:val="20"/>
              </w:rPr>
              <w:t xml:space="preserve">Maraviroc 300 mg twice daily </w:t>
            </w:r>
            <w:r w:rsidR="00207E2D" w:rsidRPr="00440DF7">
              <w:rPr>
                <w:b/>
                <w:sz w:val="20"/>
              </w:rPr>
              <w:t xml:space="preserve">when co-administered with </w:t>
            </w:r>
            <w:proofErr w:type="spellStart"/>
            <w:r w:rsidR="00207E2D" w:rsidRPr="00440DF7">
              <w:rPr>
                <w:b/>
                <w:sz w:val="20"/>
              </w:rPr>
              <w:t>efavirenz</w:t>
            </w:r>
            <w:proofErr w:type="spellEnd"/>
            <w:r w:rsidR="00207E2D" w:rsidRPr="00440DF7">
              <w:rPr>
                <w:b/>
                <w:sz w:val="20"/>
              </w:rPr>
              <w:t xml:space="preserve"> </w:t>
            </w:r>
            <w:r w:rsidRPr="00440DF7">
              <w:rPr>
                <w:b/>
                <w:sz w:val="20"/>
              </w:rPr>
              <w:t xml:space="preserve">and </w:t>
            </w:r>
            <w:proofErr w:type="spellStart"/>
            <w:r w:rsidRPr="00440DF7">
              <w:rPr>
                <w:b/>
                <w:sz w:val="20"/>
              </w:rPr>
              <w:t>fosamprenavir</w:t>
            </w:r>
            <w:proofErr w:type="spellEnd"/>
            <w:r w:rsidRPr="00440DF7">
              <w:rPr>
                <w:b/>
                <w:sz w:val="20"/>
              </w:rPr>
              <w:t>/</w:t>
            </w:r>
            <w:proofErr w:type="spellStart"/>
            <w:r w:rsidRPr="00440DF7">
              <w:rPr>
                <w:b/>
                <w:sz w:val="20"/>
              </w:rPr>
              <w:t>ritonavir</w:t>
            </w:r>
            <w:proofErr w:type="spellEnd"/>
            <w:r w:rsidRPr="00440DF7">
              <w:rPr>
                <w:b/>
                <w:sz w:val="20"/>
              </w:rPr>
              <w:t xml:space="preserve"> can be co-administered without dose adjustment.</w:t>
            </w:r>
          </w:p>
        </w:tc>
      </w:tr>
      <w:tr w:rsidR="00AD2052" w:rsidRPr="00440DF7" w:rsidTr="00440DF7">
        <w:tc>
          <w:tcPr>
            <w:tcW w:w="1371" w:type="pct"/>
            <w:tcBorders>
              <w:bottom w:val="single" w:sz="4" w:space="0" w:color="auto"/>
              <w:right w:val="single" w:sz="4" w:space="0" w:color="auto"/>
            </w:tcBorders>
          </w:tcPr>
          <w:p w:rsidR="00AD2052" w:rsidRPr="00440DF7" w:rsidRDefault="00AD2052" w:rsidP="00AD2052">
            <w:pPr>
              <w:autoSpaceDE w:val="0"/>
              <w:autoSpaceDN w:val="0"/>
              <w:adjustRightInd w:val="0"/>
              <w:rPr>
                <w:rFonts w:eastAsia="Times New Roman"/>
                <w:sz w:val="20"/>
                <w:szCs w:val="20"/>
                <w:lang w:eastAsia="en-AU"/>
              </w:rPr>
            </w:pPr>
            <w:proofErr w:type="spellStart"/>
            <w:r w:rsidRPr="00440DF7">
              <w:rPr>
                <w:rFonts w:eastAsia="Times New Roman"/>
                <w:sz w:val="20"/>
                <w:szCs w:val="20"/>
                <w:lang w:eastAsia="en-AU"/>
              </w:rPr>
              <w:t>Efavirenz</w:t>
            </w:r>
            <w:proofErr w:type="spellEnd"/>
            <w:r w:rsidRPr="00440DF7">
              <w:rPr>
                <w:rFonts w:eastAsia="Times New Roman"/>
                <w:sz w:val="20"/>
                <w:szCs w:val="20"/>
                <w:lang w:eastAsia="en-AU"/>
              </w:rPr>
              <w:t xml:space="preserve"> and </w:t>
            </w:r>
            <w:proofErr w:type="spellStart"/>
            <w:r w:rsidRPr="00440DF7">
              <w:rPr>
                <w:rFonts w:eastAsia="Times New Roman"/>
                <w:sz w:val="20"/>
                <w:szCs w:val="20"/>
                <w:lang w:eastAsia="en-AU"/>
              </w:rPr>
              <w:t>tipranavir</w:t>
            </w:r>
            <w:proofErr w:type="spellEnd"/>
            <w:r w:rsidRPr="00440DF7">
              <w:rPr>
                <w:rFonts w:eastAsia="Times New Roman"/>
                <w:sz w:val="20"/>
                <w:szCs w:val="20"/>
                <w:lang w:eastAsia="en-AU"/>
              </w:rPr>
              <w:t>/</w:t>
            </w:r>
            <w:proofErr w:type="spellStart"/>
            <w:r w:rsidRPr="00440DF7">
              <w:rPr>
                <w:rFonts w:eastAsia="Times New Roman"/>
                <w:sz w:val="20"/>
                <w:szCs w:val="20"/>
                <w:lang w:eastAsia="en-AU"/>
              </w:rPr>
              <w:t>ritonavir</w:t>
            </w:r>
            <w:proofErr w:type="spellEnd"/>
          </w:p>
        </w:tc>
        <w:tc>
          <w:tcPr>
            <w:tcW w:w="2015" w:type="pct"/>
            <w:tcBorders>
              <w:left w:val="single" w:sz="4" w:space="0" w:color="auto"/>
              <w:right w:val="single" w:sz="4" w:space="0" w:color="auto"/>
            </w:tcBorders>
          </w:tcPr>
          <w:p w:rsidR="00AD2052" w:rsidRPr="00440DF7" w:rsidRDefault="00AD2052" w:rsidP="00AD2052">
            <w:pPr>
              <w:autoSpaceDE w:val="0"/>
              <w:autoSpaceDN w:val="0"/>
              <w:adjustRightInd w:val="0"/>
              <w:rPr>
                <w:rFonts w:eastAsia="Times New Roman"/>
                <w:sz w:val="20"/>
                <w:szCs w:val="20"/>
                <w:highlight w:val="yellow"/>
                <w:lang w:eastAsia="en-AU"/>
              </w:rPr>
            </w:pPr>
            <w:r w:rsidRPr="00440DF7">
              <w:rPr>
                <w:sz w:val="20"/>
              </w:rPr>
              <w:t xml:space="preserve">Not studied. Based on the absence of an effect with </w:t>
            </w:r>
            <w:proofErr w:type="spellStart"/>
            <w:r w:rsidRPr="00440DF7">
              <w:rPr>
                <w:sz w:val="20"/>
              </w:rPr>
              <w:t>tipranavir</w:t>
            </w:r>
            <w:proofErr w:type="spellEnd"/>
            <w:r w:rsidRPr="00440DF7">
              <w:rPr>
                <w:sz w:val="20"/>
              </w:rPr>
              <w:t>/</w:t>
            </w:r>
            <w:proofErr w:type="spellStart"/>
            <w:r w:rsidRPr="00440DF7">
              <w:rPr>
                <w:sz w:val="20"/>
              </w:rPr>
              <w:t>ritonavir</w:t>
            </w:r>
            <w:proofErr w:type="spellEnd"/>
            <w:r w:rsidRPr="00440DF7">
              <w:rPr>
                <w:sz w:val="20"/>
              </w:rPr>
              <w:t xml:space="preserve"> in the absence of efavirenz and the extent of induction by efavirenz alone.</w:t>
            </w:r>
          </w:p>
        </w:tc>
        <w:tc>
          <w:tcPr>
            <w:tcW w:w="1614" w:type="pct"/>
            <w:tcBorders>
              <w:left w:val="single" w:sz="4" w:space="0" w:color="auto"/>
            </w:tcBorders>
          </w:tcPr>
          <w:p w:rsidR="00AD2052" w:rsidRPr="00440DF7" w:rsidRDefault="000D0A9F" w:rsidP="000D0A9F">
            <w:pPr>
              <w:tabs>
                <w:tab w:val="left" w:pos="567"/>
              </w:tabs>
              <w:rPr>
                <w:b/>
                <w:sz w:val="20"/>
              </w:rPr>
            </w:pPr>
            <w:r w:rsidRPr="00440DF7">
              <w:rPr>
                <w:b/>
                <w:sz w:val="20"/>
              </w:rPr>
              <w:t xml:space="preserve">Maraviroc dose should be increased to 600 mg twice daily when co-administered with </w:t>
            </w:r>
            <w:proofErr w:type="spellStart"/>
            <w:r w:rsidRPr="00440DF7">
              <w:rPr>
                <w:b/>
                <w:sz w:val="20"/>
              </w:rPr>
              <w:t>efavirenz</w:t>
            </w:r>
            <w:proofErr w:type="spellEnd"/>
            <w:r w:rsidRPr="00440DF7">
              <w:rPr>
                <w:b/>
                <w:sz w:val="20"/>
              </w:rPr>
              <w:t xml:space="preserve"> </w:t>
            </w:r>
            <w:r w:rsidR="00AD2052" w:rsidRPr="00440DF7">
              <w:rPr>
                <w:b/>
                <w:sz w:val="20"/>
              </w:rPr>
              <w:t xml:space="preserve">and </w:t>
            </w:r>
            <w:proofErr w:type="spellStart"/>
            <w:r w:rsidR="00AD2052" w:rsidRPr="00440DF7">
              <w:rPr>
                <w:b/>
                <w:sz w:val="20"/>
              </w:rPr>
              <w:t>tipranavir</w:t>
            </w:r>
            <w:proofErr w:type="spellEnd"/>
            <w:r w:rsidR="00AD2052" w:rsidRPr="00440DF7">
              <w:rPr>
                <w:b/>
                <w:sz w:val="20"/>
              </w:rPr>
              <w:t>/</w:t>
            </w:r>
            <w:proofErr w:type="spellStart"/>
            <w:r w:rsidR="00AD2052" w:rsidRPr="00440DF7">
              <w:rPr>
                <w:b/>
                <w:sz w:val="20"/>
              </w:rPr>
              <w:t>ritonavir</w:t>
            </w:r>
            <w:proofErr w:type="spellEnd"/>
            <w:r w:rsidR="00AD2052" w:rsidRPr="00440DF7">
              <w:rPr>
                <w:b/>
                <w:sz w:val="20"/>
              </w:rPr>
              <w:t>.</w:t>
            </w:r>
          </w:p>
        </w:tc>
      </w:tr>
      <w:tr w:rsidR="00DB3E4D" w:rsidRPr="00440DF7" w:rsidTr="00440DF7">
        <w:tc>
          <w:tcPr>
            <w:tcW w:w="1371" w:type="pct"/>
            <w:tcBorders>
              <w:bottom w:val="single" w:sz="4" w:space="0" w:color="auto"/>
              <w:right w:val="single" w:sz="4" w:space="0" w:color="auto"/>
            </w:tcBorders>
          </w:tcPr>
          <w:p w:rsidR="00DB3E4D" w:rsidRPr="00961EDA" w:rsidRDefault="00DB3E4D" w:rsidP="00A3283E">
            <w:pPr>
              <w:autoSpaceDE w:val="0"/>
              <w:autoSpaceDN w:val="0"/>
              <w:adjustRightInd w:val="0"/>
              <w:rPr>
                <w:rFonts w:eastAsia="Times New Roman"/>
                <w:sz w:val="20"/>
                <w:szCs w:val="20"/>
                <w:lang w:eastAsia="en-AU"/>
              </w:rPr>
            </w:pPr>
            <w:proofErr w:type="spellStart"/>
            <w:r w:rsidRPr="00961EDA">
              <w:rPr>
                <w:rFonts w:eastAsia="Times New Roman"/>
                <w:sz w:val="20"/>
                <w:szCs w:val="20"/>
                <w:lang w:eastAsia="en-AU"/>
              </w:rPr>
              <w:t>Etravirine</w:t>
            </w:r>
            <w:proofErr w:type="spellEnd"/>
            <w:r w:rsidRPr="00961EDA">
              <w:rPr>
                <w:rFonts w:eastAsia="Times New Roman"/>
                <w:sz w:val="20"/>
                <w:szCs w:val="20"/>
                <w:lang w:eastAsia="en-AU"/>
              </w:rPr>
              <w:t xml:space="preserve"> and</w:t>
            </w:r>
          </w:p>
          <w:p w:rsidR="00DB3E4D" w:rsidRPr="00961EDA" w:rsidRDefault="00DB3E4D" w:rsidP="00A3283E">
            <w:pPr>
              <w:autoSpaceDE w:val="0"/>
              <w:autoSpaceDN w:val="0"/>
              <w:adjustRightInd w:val="0"/>
              <w:rPr>
                <w:rFonts w:eastAsia="Times New Roman"/>
                <w:sz w:val="20"/>
                <w:szCs w:val="20"/>
                <w:lang w:eastAsia="en-AU"/>
              </w:rPr>
            </w:pPr>
            <w:proofErr w:type="spellStart"/>
            <w:r w:rsidRPr="00961EDA">
              <w:rPr>
                <w:rFonts w:eastAsia="Times New Roman"/>
                <w:sz w:val="20"/>
                <w:szCs w:val="20"/>
                <w:lang w:eastAsia="en-AU"/>
              </w:rPr>
              <w:t>darunavir</w:t>
            </w:r>
            <w:proofErr w:type="spellEnd"/>
            <w:r w:rsidRPr="00961EDA">
              <w:rPr>
                <w:rFonts w:eastAsia="Times New Roman"/>
                <w:sz w:val="20"/>
                <w:szCs w:val="20"/>
                <w:lang w:eastAsia="en-AU"/>
              </w:rPr>
              <w:t>/</w:t>
            </w:r>
            <w:proofErr w:type="spellStart"/>
            <w:r w:rsidRPr="00961EDA">
              <w:rPr>
                <w:rFonts w:eastAsia="Times New Roman"/>
                <w:sz w:val="20"/>
                <w:szCs w:val="20"/>
                <w:lang w:eastAsia="en-AU"/>
              </w:rPr>
              <w:t>ritonavir</w:t>
            </w:r>
            <w:proofErr w:type="spellEnd"/>
          </w:p>
          <w:p w:rsidR="00DB3E4D" w:rsidRPr="00961EDA" w:rsidRDefault="00DB3E4D" w:rsidP="00A3283E">
            <w:pPr>
              <w:autoSpaceDE w:val="0"/>
              <w:autoSpaceDN w:val="0"/>
              <w:adjustRightInd w:val="0"/>
              <w:rPr>
                <w:rFonts w:eastAsia="Times New Roman"/>
                <w:sz w:val="20"/>
                <w:szCs w:val="20"/>
                <w:lang w:eastAsia="en-AU"/>
              </w:rPr>
            </w:pPr>
            <w:r w:rsidRPr="00961EDA">
              <w:rPr>
                <w:rFonts w:eastAsia="Times New Roman"/>
                <w:sz w:val="20"/>
                <w:szCs w:val="20"/>
                <w:lang w:eastAsia="en-AU"/>
              </w:rPr>
              <w:t xml:space="preserve">(maraviroc 150 mg </w:t>
            </w:r>
            <w:r w:rsidR="0003660E" w:rsidRPr="00961EDA">
              <w:rPr>
                <w:sz w:val="20"/>
              </w:rPr>
              <w:t>twice daily</w:t>
            </w:r>
            <w:r w:rsidRPr="00961EDA">
              <w:rPr>
                <w:rFonts w:eastAsia="Times New Roman"/>
                <w:sz w:val="20"/>
                <w:szCs w:val="20"/>
                <w:lang w:eastAsia="en-AU"/>
              </w:rPr>
              <w:t>)</w:t>
            </w:r>
          </w:p>
        </w:tc>
        <w:tc>
          <w:tcPr>
            <w:tcW w:w="2015" w:type="pct"/>
            <w:tcBorders>
              <w:left w:val="single" w:sz="4" w:space="0" w:color="auto"/>
              <w:right w:val="single" w:sz="4" w:space="0" w:color="auto"/>
            </w:tcBorders>
          </w:tcPr>
          <w:p w:rsidR="00DB3E4D" w:rsidRPr="00961EDA" w:rsidRDefault="00DB3E4D" w:rsidP="00A3283E">
            <w:pPr>
              <w:autoSpaceDE w:val="0"/>
              <w:autoSpaceDN w:val="0"/>
              <w:adjustRightInd w:val="0"/>
              <w:rPr>
                <w:rFonts w:eastAsia="Times New Roman"/>
                <w:sz w:val="20"/>
                <w:szCs w:val="20"/>
                <w:lang w:eastAsia="en-AU"/>
              </w:rPr>
            </w:pPr>
            <w:r w:rsidRPr="00961EDA">
              <w:rPr>
                <w:rFonts w:eastAsia="Times New Roman"/>
                <w:sz w:val="20"/>
                <w:szCs w:val="20"/>
                <w:lang w:eastAsia="en-AU"/>
              </w:rPr>
              <w:t>Maraviroc AUC</w:t>
            </w:r>
            <w:r w:rsidRPr="00961EDA">
              <w:rPr>
                <w:rFonts w:eastAsia="Times New Roman"/>
                <w:sz w:val="20"/>
                <w:szCs w:val="20"/>
                <w:vertAlign w:val="subscript"/>
                <w:lang w:eastAsia="en-AU"/>
              </w:rPr>
              <w:t>12</w:t>
            </w:r>
            <w:r w:rsidRPr="00961EDA">
              <w:rPr>
                <w:rFonts w:eastAsia="Times New Roman"/>
                <w:sz w:val="20"/>
                <w:szCs w:val="20"/>
                <w:lang w:eastAsia="en-AU"/>
              </w:rPr>
              <w:t xml:space="preserve">: ↑ 3.10 </w:t>
            </w:r>
            <w:r w:rsidR="008F4631" w:rsidRPr="00961EDA">
              <w:rPr>
                <w:color w:val="000000"/>
                <w:sz w:val="20"/>
                <w:szCs w:val="20"/>
                <w:lang w:val="en-GB"/>
              </w:rPr>
              <w:t>(2.57, 3.74)</w:t>
            </w:r>
          </w:p>
          <w:p w:rsidR="00DB3E4D" w:rsidRPr="00961EDA" w:rsidRDefault="00DB3E4D" w:rsidP="00B947E0">
            <w:pPr>
              <w:pStyle w:val="TableText"/>
              <w:rPr>
                <w:lang w:eastAsia="en-AU"/>
              </w:rPr>
            </w:pPr>
            <w:proofErr w:type="spellStart"/>
            <w:r w:rsidRPr="00961EDA">
              <w:rPr>
                <w:lang w:eastAsia="en-AU"/>
              </w:rPr>
              <w:t>Maraviroc</w:t>
            </w:r>
            <w:proofErr w:type="spellEnd"/>
            <w:r w:rsidRPr="00961EDA">
              <w:rPr>
                <w:lang w:eastAsia="en-AU"/>
              </w:rPr>
              <w:t xml:space="preserve"> </w:t>
            </w:r>
            <w:proofErr w:type="spellStart"/>
            <w:r w:rsidRPr="00961EDA">
              <w:rPr>
                <w:lang w:eastAsia="en-AU"/>
              </w:rPr>
              <w:t>C</w:t>
            </w:r>
            <w:r w:rsidRPr="00961EDA">
              <w:rPr>
                <w:vertAlign w:val="subscript"/>
                <w:lang w:eastAsia="en-AU"/>
              </w:rPr>
              <w:t>max</w:t>
            </w:r>
            <w:proofErr w:type="spellEnd"/>
            <w:r w:rsidRPr="00961EDA">
              <w:rPr>
                <w:lang w:eastAsia="en-AU"/>
              </w:rPr>
              <w:t xml:space="preserve">: ↑ 1.77 </w:t>
            </w:r>
            <w:r w:rsidR="008F4631" w:rsidRPr="00961EDA">
              <w:rPr>
                <w:color w:val="000000"/>
                <w:lang w:val="en-GB"/>
              </w:rPr>
              <w:t>(1.20, 2.60)</w:t>
            </w:r>
          </w:p>
          <w:p w:rsidR="00DB3E4D" w:rsidRPr="00961EDA" w:rsidRDefault="00DB3E4D" w:rsidP="00B947E0">
            <w:pPr>
              <w:pStyle w:val="TableText"/>
              <w:rPr>
                <w:lang w:eastAsia="en-AU"/>
              </w:rPr>
            </w:pPr>
          </w:p>
          <w:p w:rsidR="00DB3E4D" w:rsidRPr="00961EDA" w:rsidRDefault="00DB3E4D" w:rsidP="00B947E0">
            <w:pPr>
              <w:pStyle w:val="TableText"/>
              <w:rPr>
                <w:lang w:val="fr-FR"/>
              </w:rPr>
            </w:pPr>
            <w:r w:rsidRPr="00961EDA">
              <w:rPr>
                <w:lang w:val="fr-FR"/>
              </w:rPr>
              <w:t>Etravirine AUC</w:t>
            </w:r>
            <w:r w:rsidRPr="00961EDA">
              <w:rPr>
                <w:vertAlign w:val="subscript"/>
                <w:lang w:val="fr-FR"/>
              </w:rPr>
              <w:t>12</w:t>
            </w:r>
            <w:r w:rsidRPr="00961EDA">
              <w:rPr>
                <w:lang w:val="fr-FR"/>
              </w:rPr>
              <w:t xml:space="preserve">: </w:t>
            </w:r>
            <w:r w:rsidRPr="00961EDA">
              <w:rPr>
                <w:lang w:val="sv-SE"/>
              </w:rPr>
              <w:t>↔</w:t>
            </w:r>
            <w:r w:rsidRPr="00961EDA">
              <w:rPr>
                <w:lang w:val="fr-FR"/>
              </w:rPr>
              <w:t xml:space="preserve"> 1.00 </w:t>
            </w:r>
            <w:r w:rsidR="008F4631" w:rsidRPr="00961EDA">
              <w:rPr>
                <w:color w:val="000000"/>
                <w:lang w:val="en-GB"/>
              </w:rPr>
              <w:t>(0.86, 1.15)</w:t>
            </w:r>
          </w:p>
          <w:p w:rsidR="00DB3E4D" w:rsidRPr="00961EDA" w:rsidRDefault="00DB3E4D" w:rsidP="00B947E0">
            <w:pPr>
              <w:pStyle w:val="TableText"/>
              <w:rPr>
                <w:lang w:val="fr-FR"/>
              </w:rPr>
            </w:pPr>
            <w:r w:rsidRPr="00961EDA">
              <w:rPr>
                <w:lang w:val="fr-FR"/>
              </w:rPr>
              <w:t xml:space="preserve">Etravirine </w:t>
            </w:r>
            <w:r w:rsidRPr="00961EDA">
              <w:rPr>
                <w:lang w:val="sv-SE"/>
              </w:rPr>
              <w:t>C</w:t>
            </w:r>
            <w:r w:rsidRPr="00961EDA">
              <w:rPr>
                <w:vertAlign w:val="subscript"/>
                <w:lang w:val="sv-SE"/>
              </w:rPr>
              <w:t>max</w:t>
            </w:r>
            <w:r w:rsidRPr="00961EDA">
              <w:rPr>
                <w:lang w:val="fr-FR"/>
              </w:rPr>
              <w:t xml:space="preserve">: </w:t>
            </w:r>
            <w:r w:rsidRPr="00961EDA">
              <w:rPr>
                <w:lang w:val="sv-SE"/>
              </w:rPr>
              <w:t>↔</w:t>
            </w:r>
            <w:r w:rsidRPr="00961EDA">
              <w:rPr>
                <w:lang w:val="fr-FR"/>
              </w:rPr>
              <w:t xml:space="preserve"> 1.08 </w:t>
            </w:r>
            <w:r w:rsidR="008F4631" w:rsidRPr="00961EDA">
              <w:rPr>
                <w:color w:val="000000"/>
                <w:lang w:val="en-GB"/>
              </w:rPr>
              <w:t>(0.98, 1.20)</w:t>
            </w:r>
          </w:p>
          <w:p w:rsidR="00DB3E4D" w:rsidRPr="00961EDA" w:rsidRDefault="00DB3E4D" w:rsidP="00B947E0">
            <w:pPr>
              <w:pStyle w:val="TableText"/>
              <w:rPr>
                <w:lang w:val="fr-FR"/>
              </w:rPr>
            </w:pPr>
            <w:r w:rsidRPr="00961EDA">
              <w:rPr>
                <w:lang w:val="fr-FR"/>
              </w:rPr>
              <w:t>Etravirine C</w:t>
            </w:r>
            <w:r w:rsidRPr="00961EDA">
              <w:rPr>
                <w:vertAlign w:val="subscript"/>
                <w:lang w:val="fr-FR"/>
              </w:rPr>
              <w:t>12</w:t>
            </w:r>
            <w:r w:rsidRPr="00961EDA">
              <w:rPr>
                <w:lang w:val="fr-FR"/>
              </w:rPr>
              <w:t xml:space="preserve">: ↓ 0.81 </w:t>
            </w:r>
            <w:r w:rsidR="008F4631" w:rsidRPr="00961EDA">
              <w:rPr>
                <w:color w:val="000000"/>
                <w:lang w:val="en-GB"/>
              </w:rPr>
              <w:t>(0.65, 1.01)</w:t>
            </w:r>
          </w:p>
          <w:p w:rsidR="00DB3E4D" w:rsidRPr="00961EDA" w:rsidRDefault="00DB3E4D" w:rsidP="00B947E0">
            <w:pPr>
              <w:pStyle w:val="TableText"/>
              <w:rPr>
                <w:lang w:val="fr-FR"/>
              </w:rPr>
            </w:pPr>
          </w:p>
          <w:p w:rsidR="00DB3E4D" w:rsidRPr="00961EDA" w:rsidRDefault="00DB3E4D" w:rsidP="00B947E0">
            <w:pPr>
              <w:pStyle w:val="TableText"/>
              <w:rPr>
                <w:lang w:val="fr-FR"/>
              </w:rPr>
            </w:pPr>
            <w:r w:rsidRPr="00961EDA">
              <w:rPr>
                <w:lang w:val="fr-FR"/>
              </w:rPr>
              <w:t>Darunavir AUC</w:t>
            </w:r>
            <w:r w:rsidRPr="00961EDA">
              <w:rPr>
                <w:vertAlign w:val="subscript"/>
                <w:lang w:val="fr-FR"/>
              </w:rPr>
              <w:t>12</w:t>
            </w:r>
            <w:r w:rsidRPr="00961EDA">
              <w:rPr>
                <w:lang w:val="fr-FR"/>
              </w:rPr>
              <w:t xml:space="preserve">: ↓ 0.86 </w:t>
            </w:r>
            <w:r w:rsidR="008F4631" w:rsidRPr="00961EDA">
              <w:rPr>
                <w:color w:val="000000"/>
                <w:lang w:val="en-GB"/>
              </w:rPr>
              <w:t>(0.76, 0.96)</w:t>
            </w:r>
          </w:p>
          <w:p w:rsidR="00DB3E4D" w:rsidRPr="00961EDA" w:rsidRDefault="00DB3E4D" w:rsidP="00B947E0">
            <w:pPr>
              <w:pStyle w:val="TableText"/>
              <w:rPr>
                <w:lang w:val="fr-FR"/>
              </w:rPr>
            </w:pPr>
            <w:r w:rsidRPr="00961EDA">
              <w:rPr>
                <w:lang w:val="fr-FR"/>
              </w:rPr>
              <w:t xml:space="preserve">Darunavir </w:t>
            </w:r>
            <w:r w:rsidRPr="00961EDA">
              <w:rPr>
                <w:lang w:val="sv-SE"/>
              </w:rPr>
              <w:t>C</w:t>
            </w:r>
            <w:r w:rsidRPr="00961EDA">
              <w:rPr>
                <w:vertAlign w:val="subscript"/>
                <w:lang w:val="sv-SE"/>
              </w:rPr>
              <w:t>max</w:t>
            </w:r>
            <w:r w:rsidRPr="00961EDA">
              <w:rPr>
                <w:lang w:val="fr-FR"/>
              </w:rPr>
              <w:t xml:space="preserve">: </w:t>
            </w:r>
            <w:r w:rsidRPr="00961EDA">
              <w:rPr>
                <w:lang w:val="sv-SE"/>
              </w:rPr>
              <w:t>↔</w:t>
            </w:r>
            <w:r w:rsidRPr="00961EDA">
              <w:rPr>
                <w:lang w:val="fr-FR"/>
              </w:rPr>
              <w:t xml:space="preserve"> 0.96 </w:t>
            </w:r>
            <w:r w:rsidR="008F4631" w:rsidRPr="00961EDA">
              <w:rPr>
                <w:color w:val="000000"/>
                <w:lang w:val="en-GB"/>
              </w:rPr>
              <w:t>(0.84, 1.10)</w:t>
            </w:r>
          </w:p>
          <w:p w:rsidR="00DB3E4D" w:rsidRPr="00961EDA" w:rsidRDefault="00DB3E4D" w:rsidP="00B947E0">
            <w:pPr>
              <w:pStyle w:val="TableText"/>
              <w:rPr>
                <w:lang w:val="fr-FR"/>
              </w:rPr>
            </w:pPr>
            <w:r w:rsidRPr="00961EDA">
              <w:rPr>
                <w:lang w:val="fr-FR"/>
              </w:rPr>
              <w:t>Darunavir C</w:t>
            </w:r>
            <w:r w:rsidRPr="00961EDA">
              <w:rPr>
                <w:vertAlign w:val="subscript"/>
                <w:lang w:val="fr-FR"/>
              </w:rPr>
              <w:t>12</w:t>
            </w:r>
            <w:r w:rsidRPr="00961EDA">
              <w:rPr>
                <w:lang w:val="fr-FR"/>
              </w:rPr>
              <w:t xml:space="preserve">: ↓ 0.77 </w:t>
            </w:r>
            <w:r w:rsidR="008F4631" w:rsidRPr="00961EDA">
              <w:rPr>
                <w:color w:val="000000"/>
                <w:lang w:val="en-GB"/>
              </w:rPr>
              <w:t>(0.69, 0.85)</w:t>
            </w:r>
          </w:p>
          <w:p w:rsidR="00DB3E4D" w:rsidRPr="00961EDA" w:rsidRDefault="00DB3E4D" w:rsidP="00B947E0">
            <w:pPr>
              <w:pStyle w:val="TableText"/>
              <w:rPr>
                <w:lang w:val="fr-FR"/>
              </w:rPr>
            </w:pPr>
          </w:p>
          <w:p w:rsidR="00DB3E4D" w:rsidRPr="00961EDA" w:rsidRDefault="00DB3E4D" w:rsidP="00B947E0">
            <w:pPr>
              <w:pStyle w:val="TableText"/>
              <w:rPr>
                <w:lang w:val="fr-FR"/>
              </w:rPr>
            </w:pPr>
            <w:r w:rsidRPr="00961EDA">
              <w:rPr>
                <w:lang w:val="fr-FR"/>
              </w:rPr>
              <w:t>Ritonavir AUC</w:t>
            </w:r>
            <w:r w:rsidRPr="00961EDA">
              <w:rPr>
                <w:vertAlign w:val="subscript"/>
                <w:lang w:val="fr-FR"/>
              </w:rPr>
              <w:t>12</w:t>
            </w:r>
            <w:r w:rsidRPr="00961EDA">
              <w:rPr>
                <w:lang w:val="fr-FR"/>
              </w:rPr>
              <w:t xml:space="preserve">: </w:t>
            </w:r>
            <w:r w:rsidRPr="00961EDA">
              <w:rPr>
                <w:lang w:val="sv-SE"/>
              </w:rPr>
              <w:t>↔</w:t>
            </w:r>
            <w:r w:rsidRPr="00961EDA">
              <w:rPr>
                <w:lang w:val="fr-FR"/>
              </w:rPr>
              <w:t xml:space="preserve"> 0.93 </w:t>
            </w:r>
            <w:r w:rsidR="008F4631" w:rsidRPr="00961EDA">
              <w:rPr>
                <w:color w:val="000000"/>
                <w:lang w:val="en-GB"/>
              </w:rPr>
              <w:t>(0.75, 1.16)</w:t>
            </w:r>
          </w:p>
          <w:p w:rsidR="00DB3E4D" w:rsidRPr="00961EDA" w:rsidRDefault="00DB3E4D" w:rsidP="00B947E0">
            <w:pPr>
              <w:pStyle w:val="TableText"/>
              <w:rPr>
                <w:lang w:val="fr-FR"/>
              </w:rPr>
            </w:pPr>
            <w:r w:rsidRPr="00961EDA">
              <w:rPr>
                <w:lang w:val="fr-FR"/>
              </w:rPr>
              <w:t xml:space="preserve">Ritonavir </w:t>
            </w:r>
            <w:r w:rsidRPr="00961EDA">
              <w:rPr>
                <w:lang w:val="sv-SE"/>
              </w:rPr>
              <w:t>C</w:t>
            </w:r>
            <w:r w:rsidRPr="00961EDA">
              <w:rPr>
                <w:vertAlign w:val="subscript"/>
                <w:lang w:val="sv-SE"/>
              </w:rPr>
              <w:t>max</w:t>
            </w:r>
            <w:r w:rsidRPr="00961EDA">
              <w:rPr>
                <w:lang w:val="fr-FR"/>
              </w:rPr>
              <w:t xml:space="preserve">: </w:t>
            </w:r>
            <w:r w:rsidRPr="00961EDA">
              <w:rPr>
                <w:lang w:val="sv-SE"/>
              </w:rPr>
              <w:t>↔</w:t>
            </w:r>
            <w:r w:rsidRPr="00961EDA">
              <w:rPr>
                <w:lang w:val="fr-FR"/>
              </w:rPr>
              <w:t xml:space="preserve"> 1.02 </w:t>
            </w:r>
            <w:r w:rsidR="008F4631" w:rsidRPr="00961EDA">
              <w:rPr>
                <w:color w:val="000000"/>
                <w:lang w:val="en-GB"/>
              </w:rPr>
              <w:t>(0.80, 1.30)</w:t>
            </w:r>
          </w:p>
          <w:p w:rsidR="00DB3E4D" w:rsidRPr="00961EDA" w:rsidRDefault="00DB3E4D" w:rsidP="00B947E0">
            <w:pPr>
              <w:autoSpaceDE w:val="0"/>
              <w:autoSpaceDN w:val="0"/>
              <w:adjustRightInd w:val="0"/>
              <w:rPr>
                <w:sz w:val="20"/>
                <w:szCs w:val="20"/>
              </w:rPr>
            </w:pPr>
            <w:r w:rsidRPr="00961EDA">
              <w:rPr>
                <w:sz w:val="20"/>
                <w:szCs w:val="20"/>
                <w:lang w:val="fr-FR"/>
              </w:rPr>
              <w:t>Ritonavir C</w:t>
            </w:r>
            <w:r w:rsidRPr="00961EDA">
              <w:rPr>
                <w:sz w:val="20"/>
                <w:szCs w:val="20"/>
                <w:vertAlign w:val="subscript"/>
                <w:lang w:val="fr-FR"/>
              </w:rPr>
              <w:t>12</w:t>
            </w:r>
            <w:r w:rsidRPr="00961EDA">
              <w:rPr>
                <w:sz w:val="20"/>
                <w:szCs w:val="20"/>
                <w:lang w:val="fr-FR"/>
              </w:rPr>
              <w:t xml:space="preserve">: ↓ 0.74 </w:t>
            </w:r>
            <w:r w:rsidR="008F4631" w:rsidRPr="00961EDA">
              <w:rPr>
                <w:color w:val="000000"/>
                <w:sz w:val="20"/>
                <w:szCs w:val="20"/>
                <w:lang w:val="en-GB"/>
              </w:rPr>
              <w:t>(0.63, 0.86)</w:t>
            </w:r>
          </w:p>
        </w:tc>
        <w:tc>
          <w:tcPr>
            <w:tcW w:w="1614" w:type="pct"/>
            <w:tcBorders>
              <w:left w:val="single" w:sz="4" w:space="0" w:color="auto"/>
            </w:tcBorders>
          </w:tcPr>
          <w:p w:rsidR="00DB3E4D" w:rsidRPr="00440DF7" w:rsidRDefault="00DB3E4D" w:rsidP="008C1804">
            <w:pPr>
              <w:tabs>
                <w:tab w:val="left" w:pos="567"/>
              </w:tabs>
              <w:rPr>
                <w:sz w:val="20"/>
              </w:rPr>
            </w:pPr>
            <w:r w:rsidRPr="00961EDA">
              <w:rPr>
                <w:b/>
                <w:sz w:val="20"/>
              </w:rPr>
              <w:t xml:space="preserve">Maraviroc dose should be decreased to 150 mg twice daily when co-administered with </w:t>
            </w:r>
            <w:proofErr w:type="spellStart"/>
            <w:r w:rsidRPr="00961EDA">
              <w:rPr>
                <w:b/>
                <w:sz w:val="20"/>
              </w:rPr>
              <w:t>etravirine</w:t>
            </w:r>
            <w:proofErr w:type="spellEnd"/>
            <w:r w:rsidRPr="00961EDA">
              <w:rPr>
                <w:b/>
                <w:sz w:val="20"/>
              </w:rPr>
              <w:t xml:space="preserve"> and </w:t>
            </w:r>
            <w:proofErr w:type="spellStart"/>
            <w:r w:rsidR="008C1804" w:rsidRPr="00961EDA">
              <w:rPr>
                <w:b/>
                <w:sz w:val="20"/>
              </w:rPr>
              <w:t>darunavir</w:t>
            </w:r>
            <w:proofErr w:type="spellEnd"/>
            <w:r w:rsidR="008C1804" w:rsidRPr="00961EDA">
              <w:rPr>
                <w:b/>
                <w:sz w:val="20"/>
              </w:rPr>
              <w:t>/</w:t>
            </w:r>
            <w:proofErr w:type="spellStart"/>
            <w:r w:rsidR="008C1804" w:rsidRPr="00961EDA">
              <w:rPr>
                <w:b/>
                <w:sz w:val="20"/>
              </w:rPr>
              <w:t>ritonavir</w:t>
            </w:r>
            <w:proofErr w:type="spellEnd"/>
          </w:p>
        </w:tc>
      </w:tr>
      <w:tr w:rsidR="00DB3E4D" w:rsidRPr="00440DF7" w:rsidTr="00440DF7">
        <w:tc>
          <w:tcPr>
            <w:tcW w:w="1371" w:type="pct"/>
            <w:tcBorders>
              <w:bottom w:val="single" w:sz="4" w:space="0" w:color="auto"/>
              <w:right w:val="single" w:sz="4" w:space="0" w:color="auto"/>
            </w:tcBorders>
          </w:tcPr>
          <w:p w:rsidR="00DB3E4D" w:rsidRPr="00961EDA" w:rsidRDefault="00DB3E4D" w:rsidP="00A3283E">
            <w:pPr>
              <w:autoSpaceDE w:val="0"/>
              <w:autoSpaceDN w:val="0"/>
              <w:adjustRightInd w:val="0"/>
              <w:rPr>
                <w:rFonts w:eastAsia="Times New Roman"/>
                <w:sz w:val="20"/>
                <w:szCs w:val="20"/>
                <w:lang w:val="pt-BR" w:eastAsia="en-AU"/>
              </w:rPr>
            </w:pPr>
            <w:r w:rsidRPr="00961EDA">
              <w:rPr>
                <w:rFonts w:eastAsia="Times New Roman"/>
                <w:sz w:val="20"/>
                <w:szCs w:val="20"/>
                <w:lang w:val="pt-BR" w:eastAsia="en-AU"/>
              </w:rPr>
              <w:t>Etravirine and</w:t>
            </w:r>
          </w:p>
          <w:p w:rsidR="00DB3E4D" w:rsidRPr="00961EDA" w:rsidRDefault="00207E2D" w:rsidP="00A3283E">
            <w:pPr>
              <w:autoSpaceDE w:val="0"/>
              <w:autoSpaceDN w:val="0"/>
              <w:adjustRightInd w:val="0"/>
              <w:rPr>
                <w:rFonts w:eastAsia="Times New Roman"/>
                <w:sz w:val="20"/>
                <w:szCs w:val="20"/>
                <w:lang w:val="pt-BR" w:eastAsia="en-AU"/>
              </w:rPr>
            </w:pPr>
            <w:r w:rsidRPr="00961EDA">
              <w:rPr>
                <w:rFonts w:eastAsia="Times New Roman"/>
                <w:sz w:val="20"/>
                <w:szCs w:val="20"/>
                <w:lang w:val="pt-BR" w:eastAsia="en-AU"/>
              </w:rPr>
              <w:t xml:space="preserve">atazanavir/ritonavir, </w:t>
            </w:r>
            <w:r w:rsidR="00DB3E4D" w:rsidRPr="00961EDA">
              <w:rPr>
                <w:rFonts w:eastAsia="Times New Roman"/>
                <w:sz w:val="20"/>
                <w:szCs w:val="20"/>
                <w:lang w:val="pt-BR" w:eastAsia="en-AU"/>
              </w:rPr>
              <w:t>lopinavir/ritonavir</w:t>
            </w:r>
            <w:r w:rsidRPr="00961EDA">
              <w:rPr>
                <w:rFonts w:eastAsia="Times New Roman"/>
                <w:sz w:val="20"/>
                <w:szCs w:val="20"/>
                <w:lang w:val="pt-BR" w:eastAsia="en-AU"/>
              </w:rPr>
              <w:t xml:space="preserve"> or</w:t>
            </w:r>
          </w:p>
          <w:p w:rsidR="00DB3E4D" w:rsidRPr="00961EDA" w:rsidRDefault="00DB3E4D" w:rsidP="00A14534">
            <w:pPr>
              <w:autoSpaceDE w:val="0"/>
              <w:autoSpaceDN w:val="0"/>
              <w:adjustRightInd w:val="0"/>
              <w:rPr>
                <w:rFonts w:eastAsia="Times New Roman"/>
                <w:sz w:val="20"/>
                <w:szCs w:val="20"/>
                <w:lang w:val="pt-BR" w:eastAsia="en-AU"/>
              </w:rPr>
            </w:pPr>
            <w:r w:rsidRPr="00961EDA">
              <w:rPr>
                <w:rFonts w:eastAsia="Times New Roman"/>
                <w:sz w:val="20"/>
                <w:szCs w:val="20"/>
                <w:lang w:val="pt-BR" w:eastAsia="en-AU"/>
              </w:rPr>
              <w:t>saquinavir/ritonavir or</w:t>
            </w:r>
          </w:p>
        </w:tc>
        <w:tc>
          <w:tcPr>
            <w:tcW w:w="2015" w:type="pct"/>
            <w:tcBorders>
              <w:left w:val="single" w:sz="4" w:space="0" w:color="auto"/>
              <w:right w:val="single" w:sz="4" w:space="0" w:color="auto"/>
            </w:tcBorders>
          </w:tcPr>
          <w:p w:rsidR="00DB3E4D" w:rsidRPr="00961EDA" w:rsidRDefault="00DB3E4D" w:rsidP="00A3283E">
            <w:pPr>
              <w:autoSpaceDE w:val="0"/>
              <w:autoSpaceDN w:val="0"/>
              <w:adjustRightInd w:val="0"/>
              <w:rPr>
                <w:rFonts w:eastAsia="Times New Roman"/>
                <w:sz w:val="20"/>
                <w:szCs w:val="20"/>
                <w:lang w:eastAsia="en-AU"/>
              </w:rPr>
            </w:pPr>
            <w:r w:rsidRPr="00961EDA">
              <w:rPr>
                <w:rFonts w:eastAsia="Times New Roman"/>
                <w:sz w:val="20"/>
                <w:szCs w:val="20"/>
                <w:lang w:eastAsia="en-AU"/>
              </w:rPr>
              <w:t>Not studied. Based on the extent</w:t>
            </w:r>
          </w:p>
          <w:p w:rsidR="00DB3E4D" w:rsidRPr="00961EDA" w:rsidRDefault="00DB3E4D" w:rsidP="00A3283E">
            <w:pPr>
              <w:autoSpaceDE w:val="0"/>
              <w:autoSpaceDN w:val="0"/>
              <w:adjustRightInd w:val="0"/>
              <w:rPr>
                <w:rFonts w:eastAsia="Times New Roman"/>
                <w:sz w:val="20"/>
                <w:szCs w:val="20"/>
                <w:lang w:eastAsia="en-AU"/>
              </w:rPr>
            </w:pPr>
            <w:r w:rsidRPr="00961EDA">
              <w:rPr>
                <w:rFonts w:eastAsia="Times New Roman"/>
                <w:sz w:val="20"/>
                <w:szCs w:val="20"/>
                <w:lang w:eastAsia="en-AU"/>
              </w:rPr>
              <w:t xml:space="preserve">of inhibition by </w:t>
            </w:r>
            <w:proofErr w:type="spellStart"/>
            <w:r w:rsidR="00207E2D" w:rsidRPr="00961EDA">
              <w:rPr>
                <w:rFonts w:eastAsia="Times New Roman"/>
                <w:sz w:val="20"/>
                <w:szCs w:val="20"/>
                <w:lang w:eastAsia="en-AU"/>
              </w:rPr>
              <w:t>atazanavir</w:t>
            </w:r>
            <w:proofErr w:type="spellEnd"/>
            <w:r w:rsidR="00207E2D" w:rsidRPr="00961EDA">
              <w:rPr>
                <w:rFonts w:eastAsia="Times New Roman"/>
                <w:sz w:val="20"/>
                <w:szCs w:val="20"/>
                <w:lang w:eastAsia="en-AU"/>
              </w:rPr>
              <w:t>/</w:t>
            </w:r>
            <w:proofErr w:type="spellStart"/>
            <w:r w:rsidR="00207E2D" w:rsidRPr="00961EDA">
              <w:rPr>
                <w:rFonts w:eastAsia="Times New Roman"/>
                <w:sz w:val="20"/>
                <w:szCs w:val="20"/>
                <w:lang w:eastAsia="en-AU"/>
              </w:rPr>
              <w:t>ritonavir</w:t>
            </w:r>
            <w:proofErr w:type="spellEnd"/>
            <w:r w:rsidR="00207E2D" w:rsidRPr="00961EDA">
              <w:rPr>
                <w:rFonts w:eastAsia="Times New Roman"/>
                <w:sz w:val="20"/>
                <w:szCs w:val="20"/>
                <w:lang w:eastAsia="en-AU"/>
              </w:rPr>
              <w:t xml:space="preserve">, </w:t>
            </w:r>
            <w:proofErr w:type="spellStart"/>
            <w:r w:rsidRPr="00961EDA">
              <w:rPr>
                <w:rFonts w:eastAsia="Times New Roman"/>
                <w:sz w:val="20"/>
                <w:szCs w:val="20"/>
                <w:lang w:eastAsia="en-AU"/>
              </w:rPr>
              <w:t>lopinavir</w:t>
            </w:r>
            <w:proofErr w:type="spellEnd"/>
            <w:r w:rsidRPr="00961EDA">
              <w:rPr>
                <w:rFonts w:eastAsia="Times New Roman"/>
                <w:sz w:val="20"/>
                <w:szCs w:val="20"/>
                <w:lang w:eastAsia="en-AU"/>
              </w:rPr>
              <w:t>/</w:t>
            </w:r>
            <w:proofErr w:type="spellStart"/>
            <w:r w:rsidRPr="00961EDA">
              <w:rPr>
                <w:rFonts w:eastAsia="Times New Roman"/>
                <w:sz w:val="20"/>
                <w:szCs w:val="20"/>
                <w:lang w:eastAsia="en-AU"/>
              </w:rPr>
              <w:t>ritonavir</w:t>
            </w:r>
            <w:proofErr w:type="spellEnd"/>
            <w:r w:rsidR="00207E2D" w:rsidRPr="00961EDA">
              <w:rPr>
                <w:rFonts w:eastAsia="Times New Roman"/>
                <w:sz w:val="20"/>
                <w:szCs w:val="20"/>
                <w:lang w:eastAsia="en-AU"/>
              </w:rPr>
              <w:t xml:space="preserve"> or</w:t>
            </w:r>
          </w:p>
          <w:p w:rsidR="00DB3E4D" w:rsidRPr="00961EDA" w:rsidRDefault="00DB3E4D" w:rsidP="00207E2D">
            <w:pPr>
              <w:autoSpaceDE w:val="0"/>
              <w:autoSpaceDN w:val="0"/>
              <w:adjustRightInd w:val="0"/>
              <w:rPr>
                <w:rFonts w:eastAsia="Times New Roman"/>
                <w:sz w:val="20"/>
                <w:szCs w:val="20"/>
                <w:lang w:eastAsia="en-AU"/>
              </w:rPr>
            </w:pPr>
            <w:proofErr w:type="gramStart"/>
            <w:r w:rsidRPr="00961EDA">
              <w:rPr>
                <w:rFonts w:eastAsia="Times New Roman"/>
                <w:sz w:val="20"/>
                <w:szCs w:val="20"/>
                <w:lang w:eastAsia="en-AU"/>
              </w:rPr>
              <w:t>saquinavir/ritonavir</w:t>
            </w:r>
            <w:proofErr w:type="gramEnd"/>
            <w:r w:rsidRPr="00961EDA">
              <w:rPr>
                <w:rFonts w:eastAsia="Times New Roman"/>
                <w:sz w:val="20"/>
                <w:szCs w:val="20"/>
                <w:lang w:eastAsia="en-AU"/>
              </w:rPr>
              <w:t xml:space="preserve"> in the absence of </w:t>
            </w:r>
            <w:proofErr w:type="spellStart"/>
            <w:r w:rsidRPr="00961EDA">
              <w:rPr>
                <w:rFonts w:eastAsia="Times New Roman"/>
                <w:sz w:val="20"/>
                <w:szCs w:val="20"/>
                <w:lang w:eastAsia="en-AU"/>
              </w:rPr>
              <w:t>etravirine</w:t>
            </w:r>
            <w:proofErr w:type="spellEnd"/>
            <w:r w:rsidRPr="00961EDA">
              <w:rPr>
                <w:rFonts w:eastAsia="Times New Roman"/>
                <w:sz w:val="20"/>
                <w:szCs w:val="20"/>
                <w:lang w:eastAsia="en-AU"/>
              </w:rPr>
              <w:t>, an increased exposure is expected.</w:t>
            </w:r>
          </w:p>
        </w:tc>
        <w:tc>
          <w:tcPr>
            <w:tcW w:w="1614" w:type="pct"/>
            <w:tcBorders>
              <w:left w:val="single" w:sz="4" w:space="0" w:color="auto"/>
            </w:tcBorders>
          </w:tcPr>
          <w:p w:rsidR="00207E2D" w:rsidRPr="00961EDA" w:rsidRDefault="00DB3E4D" w:rsidP="00207E2D">
            <w:pPr>
              <w:autoSpaceDE w:val="0"/>
              <w:autoSpaceDN w:val="0"/>
              <w:adjustRightInd w:val="0"/>
              <w:rPr>
                <w:rFonts w:eastAsia="Times New Roman"/>
                <w:b/>
                <w:sz w:val="20"/>
                <w:szCs w:val="20"/>
                <w:lang w:val="pt-BR" w:eastAsia="en-AU"/>
              </w:rPr>
            </w:pPr>
            <w:r w:rsidRPr="00961EDA">
              <w:rPr>
                <w:b/>
                <w:sz w:val="20"/>
                <w:szCs w:val="20"/>
              </w:rPr>
              <w:t xml:space="preserve">Maraviroc dose should be decreased to 150 mg twice daily when co-administered with </w:t>
            </w:r>
            <w:proofErr w:type="spellStart"/>
            <w:r w:rsidRPr="00961EDA">
              <w:rPr>
                <w:b/>
                <w:sz w:val="20"/>
                <w:szCs w:val="20"/>
              </w:rPr>
              <w:t>etravirine</w:t>
            </w:r>
            <w:proofErr w:type="spellEnd"/>
            <w:r w:rsidRPr="00961EDA">
              <w:rPr>
                <w:b/>
                <w:sz w:val="20"/>
                <w:szCs w:val="20"/>
              </w:rPr>
              <w:t xml:space="preserve"> and </w:t>
            </w:r>
            <w:r w:rsidR="00207E2D" w:rsidRPr="00961EDA">
              <w:rPr>
                <w:rFonts w:eastAsia="Times New Roman"/>
                <w:b/>
                <w:sz w:val="20"/>
                <w:szCs w:val="20"/>
                <w:lang w:val="pt-BR" w:eastAsia="en-AU"/>
              </w:rPr>
              <w:t>atazanavir/ritonavir, lopinavir/ritonavir or</w:t>
            </w:r>
          </w:p>
          <w:p w:rsidR="00DB3E4D" w:rsidRPr="00440DF7" w:rsidRDefault="00207E2D" w:rsidP="00207E2D">
            <w:pPr>
              <w:tabs>
                <w:tab w:val="left" w:pos="567"/>
              </w:tabs>
              <w:rPr>
                <w:sz w:val="20"/>
                <w:szCs w:val="20"/>
              </w:rPr>
            </w:pPr>
            <w:r w:rsidRPr="00961EDA">
              <w:rPr>
                <w:rFonts w:eastAsia="Times New Roman"/>
                <w:b/>
                <w:sz w:val="20"/>
                <w:szCs w:val="20"/>
                <w:lang w:val="pt-BR" w:eastAsia="en-AU"/>
              </w:rPr>
              <w:t>saquinavir/ritonavir</w:t>
            </w:r>
          </w:p>
        </w:tc>
      </w:tr>
      <w:tr w:rsidR="00207E2D" w:rsidRPr="00440DF7" w:rsidTr="00440DF7">
        <w:tc>
          <w:tcPr>
            <w:tcW w:w="1371" w:type="pct"/>
            <w:tcBorders>
              <w:right w:val="single" w:sz="4" w:space="0" w:color="auto"/>
            </w:tcBorders>
          </w:tcPr>
          <w:p w:rsidR="00207E2D" w:rsidRPr="00440DF7" w:rsidRDefault="00207E2D" w:rsidP="00207E2D">
            <w:pPr>
              <w:autoSpaceDE w:val="0"/>
              <w:autoSpaceDN w:val="0"/>
              <w:adjustRightInd w:val="0"/>
              <w:rPr>
                <w:rFonts w:eastAsia="Times New Roman"/>
                <w:sz w:val="20"/>
                <w:szCs w:val="20"/>
                <w:highlight w:val="yellow"/>
                <w:lang w:val="pt-BR" w:eastAsia="en-AU"/>
              </w:rPr>
            </w:pPr>
            <w:proofErr w:type="spellStart"/>
            <w:r w:rsidRPr="00440DF7">
              <w:rPr>
                <w:rFonts w:eastAsia="Times New Roman"/>
                <w:sz w:val="20"/>
                <w:szCs w:val="20"/>
                <w:lang w:eastAsia="en-AU"/>
              </w:rPr>
              <w:lastRenderedPageBreak/>
              <w:t>Etravirine</w:t>
            </w:r>
            <w:proofErr w:type="spellEnd"/>
            <w:r w:rsidRPr="00440DF7">
              <w:rPr>
                <w:rFonts w:eastAsia="Times New Roman"/>
                <w:sz w:val="20"/>
                <w:szCs w:val="20"/>
                <w:lang w:eastAsia="en-AU"/>
              </w:rPr>
              <w:t xml:space="preserve"> and </w:t>
            </w:r>
            <w:proofErr w:type="spellStart"/>
            <w:r w:rsidRPr="00440DF7">
              <w:rPr>
                <w:rFonts w:eastAsia="Times New Roman"/>
                <w:sz w:val="20"/>
                <w:szCs w:val="20"/>
                <w:lang w:eastAsia="en-AU"/>
              </w:rPr>
              <w:t>fosamprenavir</w:t>
            </w:r>
            <w:proofErr w:type="spellEnd"/>
            <w:r w:rsidRPr="00440DF7">
              <w:rPr>
                <w:rFonts w:eastAsia="Times New Roman"/>
                <w:sz w:val="20"/>
                <w:szCs w:val="20"/>
                <w:lang w:eastAsia="en-AU"/>
              </w:rPr>
              <w:t>/</w:t>
            </w:r>
            <w:proofErr w:type="spellStart"/>
            <w:r w:rsidRPr="00440DF7">
              <w:rPr>
                <w:rFonts w:eastAsia="Times New Roman"/>
                <w:sz w:val="20"/>
                <w:szCs w:val="20"/>
                <w:lang w:eastAsia="en-AU"/>
              </w:rPr>
              <w:t>ritonavir</w:t>
            </w:r>
            <w:proofErr w:type="spellEnd"/>
          </w:p>
        </w:tc>
        <w:tc>
          <w:tcPr>
            <w:tcW w:w="2015" w:type="pct"/>
            <w:tcBorders>
              <w:left w:val="single" w:sz="4" w:space="0" w:color="auto"/>
              <w:right w:val="single" w:sz="4" w:space="0" w:color="auto"/>
            </w:tcBorders>
          </w:tcPr>
          <w:p w:rsidR="00207E2D" w:rsidRPr="00440DF7" w:rsidRDefault="00207E2D" w:rsidP="00207E2D">
            <w:pPr>
              <w:autoSpaceDE w:val="0"/>
              <w:autoSpaceDN w:val="0"/>
              <w:adjustRightInd w:val="0"/>
              <w:rPr>
                <w:rFonts w:eastAsia="Times New Roman"/>
                <w:sz w:val="20"/>
                <w:szCs w:val="20"/>
                <w:highlight w:val="yellow"/>
                <w:lang w:eastAsia="en-AU"/>
              </w:rPr>
            </w:pPr>
            <w:r w:rsidRPr="00440DF7">
              <w:rPr>
                <w:sz w:val="20"/>
                <w:szCs w:val="20"/>
              </w:rPr>
              <w:t xml:space="preserve">Not studied. Based on the extent of inhibition by </w:t>
            </w:r>
            <w:proofErr w:type="spellStart"/>
            <w:r w:rsidRPr="00440DF7">
              <w:rPr>
                <w:sz w:val="20"/>
                <w:szCs w:val="20"/>
              </w:rPr>
              <w:t>fosamprenavir</w:t>
            </w:r>
            <w:proofErr w:type="spellEnd"/>
            <w:r w:rsidRPr="00440DF7">
              <w:rPr>
                <w:sz w:val="20"/>
                <w:szCs w:val="20"/>
              </w:rPr>
              <w:t>/</w:t>
            </w:r>
            <w:proofErr w:type="spellStart"/>
            <w:r w:rsidRPr="00440DF7">
              <w:rPr>
                <w:sz w:val="20"/>
                <w:szCs w:val="20"/>
              </w:rPr>
              <w:t>ritonavir</w:t>
            </w:r>
            <w:proofErr w:type="spellEnd"/>
            <w:r w:rsidRPr="00440DF7">
              <w:rPr>
                <w:sz w:val="20"/>
                <w:szCs w:val="20"/>
              </w:rPr>
              <w:t xml:space="preserve">, in the absence of </w:t>
            </w:r>
            <w:proofErr w:type="spellStart"/>
            <w:r w:rsidRPr="00440DF7">
              <w:rPr>
                <w:sz w:val="20"/>
                <w:szCs w:val="20"/>
              </w:rPr>
              <w:t>etravirine</w:t>
            </w:r>
            <w:proofErr w:type="spellEnd"/>
            <w:r w:rsidR="002E787E" w:rsidRPr="00440DF7">
              <w:rPr>
                <w:sz w:val="20"/>
                <w:szCs w:val="20"/>
              </w:rPr>
              <w:t>, no clinically significant change in exposure is expected.</w:t>
            </w:r>
          </w:p>
        </w:tc>
        <w:tc>
          <w:tcPr>
            <w:tcW w:w="1614" w:type="pct"/>
            <w:tcBorders>
              <w:left w:val="single" w:sz="4" w:space="0" w:color="auto"/>
            </w:tcBorders>
          </w:tcPr>
          <w:p w:rsidR="00207E2D" w:rsidRPr="00440DF7" w:rsidRDefault="007B498B" w:rsidP="007B498B">
            <w:pPr>
              <w:autoSpaceDE w:val="0"/>
              <w:autoSpaceDN w:val="0"/>
              <w:adjustRightInd w:val="0"/>
              <w:rPr>
                <w:b/>
                <w:sz w:val="20"/>
                <w:szCs w:val="20"/>
              </w:rPr>
            </w:pPr>
            <w:r w:rsidRPr="00440DF7">
              <w:rPr>
                <w:b/>
                <w:sz w:val="20"/>
                <w:szCs w:val="20"/>
              </w:rPr>
              <w:t xml:space="preserve">Maraviroc 300 mg twice daily when co-administered with </w:t>
            </w:r>
            <w:proofErr w:type="spellStart"/>
            <w:r w:rsidRPr="00440DF7">
              <w:rPr>
                <w:b/>
                <w:sz w:val="20"/>
                <w:szCs w:val="20"/>
              </w:rPr>
              <w:t>etravirine</w:t>
            </w:r>
            <w:proofErr w:type="spellEnd"/>
            <w:r w:rsidRPr="00440DF7">
              <w:rPr>
                <w:b/>
                <w:sz w:val="20"/>
                <w:szCs w:val="20"/>
              </w:rPr>
              <w:t xml:space="preserve"> and </w:t>
            </w:r>
            <w:proofErr w:type="spellStart"/>
            <w:r w:rsidRPr="00440DF7">
              <w:rPr>
                <w:b/>
                <w:sz w:val="20"/>
                <w:szCs w:val="20"/>
              </w:rPr>
              <w:t>fosamprenavir</w:t>
            </w:r>
            <w:proofErr w:type="spellEnd"/>
            <w:r w:rsidRPr="00440DF7">
              <w:rPr>
                <w:b/>
                <w:sz w:val="20"/>
                <w:szCs w:val="20"/>
              </w:rPr>
              <w:t>/</w:t>
            </w:r>
            <w:proofErr w:type="spellStart"/>
            <w:r w:rsidRPr="00440DF7">
              <w:rPr>
                <w:b/>
                <w:sz w:val="20"/>
                <w:szCs w:val="20"/>
              </w:rPr>
              <w:t>ritonavir</w:t>
            </w:r>
            <w:proofErr w:type="spellEnd"/>
            <w:r w:rsidRPr="00440DF7">
              <w:rPr>
                <w:b/>
                <w:sz w:val="20"/>
                <w:szCs w:val="20"/>
              </w:rPr>
              <w:t xml:space="preserve"> can be co-administered without dose adjustment.</w:t>
            </w:r>
          </w:p>
        </w:tc>
      </w:tr>
      <w:tr w:rsidR="0039337B" w:rsidTr="00DB3E4D">
        <w:tc>
          <w:tcPr>
            <w:tcW w:w="1371" w:type="pct"/>
            <w:tcBorders>
              <w:right w:val="nil"/>
            </w:tcBorders>
          </w:tcPr>
          <w:p w:rsidR="0039337B" w:rsidRDefault="0039337B" w:rsidP="00D82EBF">
            <w:pPr>
              <w:tabs>
                <w:tab w:val="left" w:pos="567"/>
              </w:tabs>
              <w:rPr>
                <w:b/>
                <w:sz w:val="20"/>
              </w:rPr>
            </w:pPr>
            <w:r>
              <w:rPr>
                <w:b/>
                <w:sz w:val="20"/>
              </w:rPr>
              <w:t>Antibiotics</w:t>
            </w:r>
          </w:p>
        </w:tc>
        <w:tc>
          <w:tcPr>
            <w:tcW w:w="2015" w:type="pct"/>
            <w:tcBorders>
              <w:left w:val="nil"/>
              <w:right w:val="nil"/>
            </w:tcBorders>
          </w:tcPr>
          <w:p w:rsidR="0039337B" w:rsidRDefault="0039337B" w:rsidP="00D82EBF">
            <w:pPr>
              <w:tabs>
                <w:tab w:val="left" w:pos="567"/>
              </w:tabs>
              <w:rPr>
                <w:sz w:val="20"/>
              </w:rPr>
            </w:pPr>
          </w:p>
        </w:tc>
        <w:tc>
          <w:tcPr>
            <w:tcW w:w="1614" w:type="pct"/>
            <w:tcBorders>
              <w:left w:val="nil"/>
            </w:tcBorders>
          </w:tcPr>
          <w:p w:rsidR="0039337B" w:rsidRDefault="0039337B" w:rsidP="00D82EBF">
            <w:pPr>
              <w:tabs>
                <w:tab w:val="left" w:pos="567"/>
              </w:tabs>
              <w:rPr>
                <w:sz w:val="20"/>
              </w:rPr>
            </w:pPr>
          </w:p>
        </w:tc>
      </w:tr>
      <w:tr w:rsidR="0039337B" w:rsidTr="00DB3E4D">
        <w:tc>
          <w:tcPr>
            <w:tcW w:w="1371" w:type="pct"/>
            <w:tcBorders>
              <w:right w:val="single" w:sz="4" w:space="0" w:color="auto"/>
            </w:tcBorders>
          </w:tcPr>
          <w:p w:rsidR="0039337B" w:rsidRDefault="0039337B" w:rsidP="00D82EBF">
            <w:pPr>
              <w:tabs>
                <w:tab w:val="left" w:pos="567"/>
              </w:tabs>
              <w:rPr>
                <w:sz w:val="20"/>
              </w:rPr>
            </w:pPr>
            <w:proofErr w:type="spellStart"/>
            <w:r>
              <w:rPr>
                <w:sz w:val="20"/>
              </w:rPr>
              <w:t>Sulphamethoxazole</w:t>
            </w:r>
            <w:proofErr w:type="spellEnd"/>
            <w:r>
              <w:rPr>
                <w:sz w:val="20"/>
              </w:rPr>
              <w:t xml:space="preserve">/ </w:t>
            </w:r>
            <w:proofErr w:type="spellStart"/>
            <w:r>
              <w:rPr>
                <w:sz w:val="20"/>
              </w:rPr>
              <w:t>Trimethoprim</w:t>
            </w:r>
            <w:proofErr w:type="spellEnd"/>
            <w:r>
              <w:rPr>
                <w:sz w:val="20"/>
              </w:rPr>
              <w:t xml:space="preserve"> 800 mg/160 mg </w:t>
            </w:r>
            <w:r w:rsidR="0003660E">
              <w:rPr>
                <w:sz w:val="20"/>
              </w:rPr>
              <w:t>twice daily</w:t>
            </w:r>
          </w:p>
          <w:p w:rsidR="0039337B" w:rsidRDefault="0039337B" w:rsidP="00D82EBF">
            <w:pPr>
              <w:tabs>
                <w:tab w:val="left" w:pos="567"/>
              </w:tabs>
              <w:rPr>
                <w:sz w:val="20"/>
              </w:rPr>
            </w:pPr>
            <w:r>
              <w:rPr>
                <w:sz w:val="20"/>
              </w:rPr>
              <w:t xml:space="preserve">(maraviroc 300 mg </w:t>
            </w:r>
            <w:r w:rsidR="0003660E">
              <w:rPr>
                <w:sz w:val="20"/>
              </w:rPr>
              <w:t>twice daily</w:t>
            </w:r>
            <w:r>
              <w:rPr>
                <w:sz w:val="20"/>
              </w:rPr>
              <w:t>)</w:t>
            </w:r>
          </w:p>
        </w:tc>
        <w:tc>
          <w:tcPr>
            <w:tcW w:w="2015" w:type="pct"/>
            <w:tcBorders>
              <w:left w:val="single" w:sz="4" w:space="0" w:color="auto"/>
              <w:right w:val="single" w:sz="4" w:space="0" w:color="auto"/>
            </w:tcBorders>
          </w:tcPr>
          <w:p w:rsidR="0039337B" w:rsidRDefault="0039337B" w:rsidP="00D82EBF">
            <w:pPr>
              <w:pStyle w:val="TableTextCentered"/>
              <w:keepNext/>
              <w:tabs>
                <w:tab w:val="left" w:pos="567"/>
              </w:tabs>
              <w:jc w:val="left"/>
              <w:rPr>
                <w:lang w:val="en-GB"/>
              </w:rPr>
            </w:pPr>
            <w:proofErr w:type="spellStart"/>
            <w:r>
              <w:rPr>
                <w:lang w:val="en-GB"/>
              </w:rPr>
              <w:t>Maraviroc</w:t>
            </w:r>
            <w:proofErr w:type="spellEnd"/>
            <w:r>
              <w:rPr>
                <w:lang w:val="en-GB"/>
              </w:rPr>
              <w:t xml:space="preserve"> AUC</w:t>
            </w:r>
            <w:r>
              <w:rPr>
                <w:vertAlign w:val="subscript"/>
                <w:lang w:val="en-GB"/>
              </w:rPr>
              <w:t>12</w:t>
            </w:r>
            <w:r>
              <w:rPr>
                <w:lang w:val="en-GB"/>
              </w:rPr>
              <w:t xml:space="preserve">: ↔ 1.11 </w:t>
            </w:r>
            <w:r w:rsidR="008F4631" w:rsidRPr="00DB485E">
              <w:rPr>
                <w:color w:val="000000"/>
                <w:lang w:val="en-GB"/>
              </w:rPr>
              <w:t xml:space="preserve"> (1.01, 1.21) </w:t>
            </w:r>
          </w:p>
          <w:p w:rsidR="0039337B" w:rsidRDefault="0039337B" w:rsidP="00D82EBF">
            <w:pPr>
              <w:pStyle w:val="TableTextCentered"/>
              <w:keepNext/>
              <w:tabs>
                <w:tab w:val="left" w:pos="567"/>
              </w:tabs>
              <w:jc w:val="left"/>
              <w:rPr>
                <w:lang w:val="en-GB"/>
              </w:rPr>
            </w:pPr>
            <w:proofErr w:type="spellStart"/>
            <w:r>
              <w:rPr>
                <w:lang w:val="en-GB"/>
              </w:rPr>
              <w:t>Maraviroc</w:t>
            </w:r>
            <w:proofErr w:type="spellEnd"/>
            <w:r>
              <w:rPr>
                <w:lang w:val="en-GB"/>
              </w:rPr>
              <w:t xml:space="preserve"> </w:t>
            </w:r>
            <w:proofErr w:type="spellStart"/>
            <w:r>
              <w:rPr>
                <w:lang w:val="en-GB"/>
              </w:rPr>
              <w:t>C</w:t>
            </w:r>
            <w:r w:rsidRPr="001316C5">
              <w:rPr>
                <w:vertAlign w:val="subscript"/>
                <w:lang w:val="en-GB"/>
              </w:rPr>
              <w:t>max</w:t>
            </w:r>
            <w:proofErr w:type="spellEnd"/>
            <w:r>
              <w:rPr>
                <w:lang w:val="en-GB"/>
              </w:rPr>
              <w:t xml:space="preserve">: ↔ 1.19 </w:t>
            </w:r>
            <w:r w:rsidR="008F4631" w:rsidRPr="00DB485E">
              <w:rPr>
                <w:color w:val="000000"/>
                <w:lang w:val="en-GB"/>
              </w:rPr>
              <w:t>(1.04, 1.37)</w:t>
            </w:r>
          </w:p>
          <w:p w:rsidR="0039337B" w:rsidRDefault="0039337B" w:rsidP="00D82EBF">
            <w:pPr>
              <w:tabs>
                <w:tab w:val="left" w:pos="567"/>
              </w:tabs>
              <w:rPr>
                <w:sz w:val="20"/>
              </w:rPr>
            </w:pPr>
            <w:proofErr w:type="spellStart"/>
            <w:r>
              <w:rPr>
                <w:sz w:val="20"/>
              </w:rPr>
              <w:t>Sulphamethoxazole</w:t>
            </w:r>
            <w:proofErr w:type="spellEnd"/>
            <w:r>
              <w:rPr>
                <w:sz w:val="20"/>
              </w:rPr>
              <w:t>/</w:t>
            </w:r>
            <w:proofErr w:type="spellStart"/>
            <w:r>
              <w:rPr>
                <w:sz w:val="20"/>
              </w:rPr>
              <w:t>trimethoprim</w:t>
            </w:r>
            <w:proofErr w:type="spellEnd"/>
            <w:r>
              <w:rPr>
                <w:sz w:val="20"/>
              </w:rPr>
              <w:t xml:space="preserve"> concentrations not measured, no effect expected.</w:t>
            </w:r>
          </w:p>
        </w:tc>
        <w:tc>
          <w:tcPr>
            <w:tcW w:w="1614" w:type="pct"/>
            <w:tcBorders>
              <w:left w:val="single" w:sz="4" w:space="0" w:color="auto"/>
            </w:tcBorders>
          </w:tcPr>
          <w:p w:rsidR="0039337B" w:rsidRDefault="0039337B" w:rsidP="00D82EBF">
            <w:pPr>
              <w:tabs>
                <w:tab w:val="left" w:pos="567"/>
              </w:tabs>
              <w:rPr>
                <w:b/>
                <w:sz w:val="20"/>
              </w:rPr>
            </w:pPr>
            <w:r>
              <w:rPr>
                <w:b/>
                <w:sz w:val="20"/>
              </w:rPr>
              <w:t xml:space="preserve">Maraviroc 300 mg twice daily and </w:t>
            </w:r>
            <w:proofErr w:type="spellStart"/>
            <w:r>
              <w:rPr>
                <w:b/>
                <w:sz w:val="20"/>
              </w:rPr>
              <w:t>sulphamethoxazole</w:t>
            </w:r>
            <w:proofErr w:type="spellEnd"/>
            <w:r>
              <w:rPr>
                <w:b/>
                <w:sz w:val="20"/>
              </w:rPr>
              <w:t>/</w:t>
            </w:r>
            <w:proofErr w:type="spellStart"/>
            <w:r>
              <w:rPr>
                <w:b/>
                <w:sz w:val="20"/>
              </w:rPr>
              <w:t>trimethoprim</w:t>
            </w:r>
            <w:proofErr w:type="spellEnd"/>
            <w:r>
              <w:rPr>
                <w:b/>
                <w:sz w:val="20"/>
              </w:rPr>
              <w:t xml:space="preserve"> can be co-administered without dose adjustment.</w:t>
            </w:r>
          </w:p>
        </w:tc>
      </w:tr>
      <w:tr w:rsidR="0039337B" w:rsidTr="00DB3E4D">
        <w:tc>
          <w:tcPr>
            <w:tcW w:w="1371" w:type="pct"/>
            <w:tcBorders>
              <w:right w:val="single" w:sz="4" w:space="0" w:color="auto"/>
            </w:tcBorders>
          </w:tcPr>
          <w:p w:rsidR="0039337B" w:rsidRDefault="0039337B" w:rsidP="00D82EBF">
            <w:pPr>
              <w:tabs>
                <w:tab w:val="left" w:pos="567"/>
              </w:tabs>
              <w:rPr>
                <w:sz w:val="20"/>
              </w:rPr>
            </w:pPr>
            <w:proofErr w:type="spellStart"/>
            <w:r>
              <w:rPr>
                <w:sz w:val="20"/>
              </w:rPr>
              <w:t>Rifampicin</w:t>
            </w:r>
            <w:proofErr w:type="spellEnd"/>
            <w:r>
              <w:rPr>
                <w:sz w:val="20"/>
              </w:rPr>
              <w:t xml:space="preserve"> 600 mg </w:t>
            </w:r>
            <w:r w:rsidR="0003660E">
              <w:rPr>
                <w:sz w:val="20"/>
              </w:rPr>
              <w:t>once daily</w:t>
            </w:r>
          </w:p>
          <w:p w:rsidR="0039337B" w:rsidRDefault="0039337B" w:rsidP="00D82EBF">
            <w:pPr>
              <w:tabs>
                <w:tab w:val="left" w:pos="567"/>
              </w:tabs>
              <w:rPr>
                <w:sz w:val="20"/>
              </w:rPr>
            </w:pPr>
            <w:r>
              <w:rPr>
                <w:sz w:val="20"/>
              </w:rPr>
              <w:t xml:space="preserve">(maraviroc 100 mg </w:t>
            </w:r>
            <w:r w:rsidR="0003660E">
              <w:rPr>
                <w:sz w:val="20"/>
              </w:rPr>
              <w:t>twice daily</w:t>
            </w:r>
            <w:r>
              <w:rPr>
                <w:sz w:val="20"/>
              </w:rPr>
              <w:t>)</w:t>
            </w:r>
          </w:p>
        </w:tc>
        <w:tc>
          <w:tcPr>
            <w:tcW w:w="2015" w:type="pct"/>
            <w:tcBorders>
              <w:left w:val="single" w:sz="4" w:space="0" w:color="auto"/>
              <w:right w:val="single" w:sz="4" w:space="0" w:color="auto"/>
            </w:tcBorders>
          </w:tcPr>
          <w:p w:rsidR="0039337B" w:rsidRDefault="0039337B" w:rsidP="00D82EBF">
            <w:pPr>
              <w:tabs>
                <w:tab w:val="left" w:pos="567"/>
              </w:tabs>
              <w:rPr>
                <w:sz w:val="20"/>
              </w:rPr>
            </w:pPr>
            <w:r>
              <w:rPr>
                <w:sz w:val="20"/>
                <w:lang w:val="fr-FR"/>
              </w:rPr>
              <w:t>Maraviroc AUC</w:t>
            </w:r>
            <w:r w:rsidR="00067588" w:rsidRPr="00067588">
              <w:rPr>
                <w:sz w:val="20"/>
                <w:vertAlign w:val="subscript"/>
                <w:lang w:val="fr-FR"/>
              </w:rPr>
              <w:t>12</w:t>
            </w:r>
            <w:r w:rsidRPr="001316C5">
              <w:rPr>
                <w:sz w:val="20"/>
                <w:lang w:val="fr-FR"/>
              </w:rPr>
              <w:t>:</w:t>
            </w:r>
            <w:r>
              <w:rPr>
                <w:sz w:val="20"/>
                <w:lang w:val="fr-FR"/>
              </w:rPr>
              <w:t xml:space="preserve"> ↓ 0.37 </w:t>
            </w:r>
            <w:r w:rsidR="008F4631" w:rsidRPr="00DB485E">
              <w:rPr>
                <w:color w:val="000000"/>
                <w:lang w:val="en-GB"/>
              </w:rPr>
              <w:t xml:space="preserve"> </w:t>
            </w:r>
            <w:r w:rsidR="008F4631" w:rsidRPr="008F4631">
              <w:rPr>
                <w:color w:val="000000"/>
                <w:sz w:val="20"/>
                <w:szCs w:val="20"/>
                <w:lang w:val="en-GB"/>
              </w:rPr>
              <w:t>(0.33, 0.41)</w:t>
            </w:r>
            <w:r>
              <w:rPr>
                <w:sz w:val="20"/>
                <w:lang w:val="fr-FR"/>
              </w:rPr>
              <w:t>Maraviroc C</w:t>
            </w:r>
            <w:r>
              <w:rPr>
                <w:sz w:val="20"/>
                <w:vertAlign w:val="subscript"/>
                <w:lang w:val="fr-FR"/>
              </w:rPr>
              <w:t>max</w:t>
            </w:r>
            <w:r>
              <w:rPr>
                <w:sz w:val="20"/>
                <w:lang w:val="fr-FR"/>
              </w:rPr>
              <w:t xml:space="preserve">: ↓ 0.34 </w:t>
            </w:r>
            <w:r w:rsidR="008F4631" w:rsidRPr="00DB485E">
              <w:rPr>
                <w:color w:val="000000"/>
                <w:lang w:val="en-GB"/>
              </w:rPr>
              <w:t xml:space="preserve"> </w:t>
            </w:r>
            <w:r w:rsidR="008F4631" w:rsidRPr="008F4631">
              <w:rPr>
                <w:color w:val="000000"/>
                <w:sz w:val="20"/>
                <w:szCs w:val="20"/>
                <w:lang w:val="en-GB"/>
              </w:rPr>
              <w:t>(0.26, 0.43)</w:t>
            </w:r>
            <w:proofErr w:type="spellStart"/>
            <w:r>
              <w:rPr>
                <w:sz w:val="20"/>
              </w:rPr>
              <w:t>Rifampicin</w:t>
            </w:r>
            <w:proofErr w:type="spellEnd"/>
            <w:r>
              <w:rPr>
                <w:sz w:val="20"/>
              </w:rPr>
              <w:t xml:space="preserve"> concentrations not measured, no effect expected.</w:t>
            </w:r>
          </w:p>
        </w:tc>
        <w:tc>
          <w:tcPr>
            <w:tcW w:w="1614" w:type="pct"/>
            <w:tcBorders>
              <w:left w:val="single" w:sz="4" w:space="0" w:color="auto"/>
            </w:tcBorders>
          </w:tcPr>
          <w:p w:rsidR="0039337B" w:rsidRDefault="0039337B" w:rsidP="00D82EBF">
            <w:pPr>
              <w:tabs>
                <w:tab w:val="left" w:pos="567"/>
              </w:tabs>
              <w:rPr>
                <w:b/>
                <w:sz w:val="20"/>
              </w:rPr>
            </w:pPr>
            <w:r>
              <w:rPr>
                <w:b/>
                <w:sz w:val="20"/>
              </w:rPr>
              <w:t xml:space="preserve">Maraviroc dose should be increased to 600 mg twice daily when co-administered with </w:t>
            </w:r>
            <w:proofErr w:type="spellStart"/>
            <w:r>
              <w:rPr>
                <w:b/>
                <w:sz w:val="20"/>
              </w:rPr>
              <w:t>rifampicin</w:t>
            </w:r>
            <w:proofErr w:type="spellEnd"/>
            <w:r>
              <w:rPr>
                <w:b/>
                <w:sz w:val="20"/>
              </w:rPr>
              <w:t xml:space="preserve"> in the </w:t>
            </w:r>
            <w:r w:rsidRPr="004F57DF">
              <w:rPr>
                <w:b/>
                <w:sz w:val="20"/>
              </w:rPr>
              <w:t>absence</w:t>
            </w:r>
            <w:r>
              <w:rPr>
                <w:b/>
                <w:sz w:val="20"/>
              </w:rPr>
              <w:t xml:space="preserve"> of a potent CYP3A4 inhibitor.</w:t>
            </w:r>
            <w:r>
              <w:rPr>
                <w:sz w:val="20"/>
              </w:rPr>
              <w:t xml:space="preserve"> This dose adjustment has not been studied in HIV patients. See PRECAUTIONS.</w:t>
            </w:r>
          </w:p>
        </w:tc>
      </w:tr>
      <w:tr w:rsidR="0039337B" w:rsidTr="00DB3E4D">
        <w:tc>
          <w:tcPr>
            <w:tcW w:w="1371" w:type="pct"/>
            <w:tcBorders>
              <w:right w:val="single" w:sz="4" w:space="0" w:color="auto"/>
            </w:tcBorders>
          </w:tcPr>
          <w:p w:rsidR="0039337B" w:rsidRDefault="0039337B" w:rsidP="00D82EBF">
            <w:pPr>
              <w:tabs>
                <w:tab w:val="left" w:pos="567"/>
              </w:tabs>
              <w:rPr>
                <w:sz w:val="20"/>
              </w:rPr>
            </w:pPr>
            <w:proofErr w:type="spellStart"/>
            <w:r>
              <w:rPr>
                <w:sz w:val="20"/>
              </w:rPr>
              <w:t>Rifampicin</w:t>
            </w:r>
            <w:proofErr w:type="spellEnd"/>
            <w:r>
              <w:rPr>
                <w:sz w:val="20"/>
              </w:rPr>
              <w:t xml:space="preserve"> + </w:t>
            </w:r>
            <w:proofErr w:type="spellStart"/>
            <w:r>
              <w:rPr>
                <w:sz w:val="20"/>
              </w:rPr>
              <w:t>efavirenz</w:t>
            </w:r>
            <w:proofErr w:type="spellEnd"/>
          </w:p>
        </w:tc>
        <w:tc>
          <w:tcPr>
            <w:tcW w:w="2015" w:type="pct"/>
            <w:tcBorders>
              <w:left w:val="single" w:sz="4" w:space="0" w:color="auto"/>
              <w:right w:val="single" w:sz="4" w:space="0" w:color="auto"/>
            </w:tcBorders>
          </w:tcPr>
          <w:p w:rsidR="0039337B" w:rsidRDefault="0039337B" w:rsidP="00D82EBF">
            <w:pPr>
              <w:tabs>
                <w:tab w:val="left" w:pos="567"/>
              </w:tabs>
              <w:rPr>
                <w:sz w:val="20"/>
              </w:rPr>
            </w:pPr>
            <w:r>
              <w:rPr>
                <w:sz w:val="20"/>
              </w:rPr>
              <w:t xml:space="preserve">Combination with two inducers has not been studied. There may be a risk of suboptimal levels with risk of loss of </w:t>
            </w:r>
            <w:proofErr w:type="spellStart"/>
            <w:r>
              <w:rPr>
                <w:sz w:val="20"/>
              </w:rPr>
              <w:t>virologic</w:t>
            </w:r>
            <w:proofErr w:type="spellEnd"/>
            <w:r>
              <w:rPr>
                <w:sz w:val="20"/>
              </w:rPr>
              <w:t xml:space="preserve"> response and resistance development.</w:t>
            </w:r>
          </w:p>
        </w:tc>
        <w:tc>
          <w:tcPr>
            <w:tcW w:w="1614" w:type="pct"/>
            <w:tcBorders>
              <w:left w:val="single" w:sz="4" w:space="0" w:color="auto"/>
            </w:tcBorders>
          </w:tcPr>
          <w:p w:rsidR="0039337B" w:rsidRDefault="0039337B" w:rsidP="00D82EBF">
            <w:pPr>
              <w:tabs>
                <w:tab w:val="left" w:pos="567"/>
              </w:tabs>
              <w:rPr>
                <w:b/>
                <w:sz w:val="20"/>
              </w:rPr>
            </w:pPr>
            <w:r>
              <w:rPr>
                <w:b/>
                <w:sz w:val="20"/>
              </w:rPr>
              <w:t xml:space="preserve">Concomitant use of </w:t>
            </w:r>
            <w:proofErr w:type="spellStart"/>
            <w:r>
              <w:rPr>
                <w:b/>
                <w:sz w:val="20"/>
              </w:rPr>
              <w:t>maraviroc</w:t>
            </w:r>
            <w:proofErr w:type="spellEnd"/>
            <w:r>
              <w:rPr>
                <w:b/>
                <w:sz w:val="20"/>
              </w:rPr>
              <w:t xml:space="preserve"> and </w:t>
            </w:r>
            <w:proofErr w:type="spellStart"/>
            <w:r>
              <w:rPr>
                <w:b/>
                <w:sz w:val="20"/>
              </w:rPr>
              <w:t>rifampicin</w:t>
            </w:r>
            <w:proofErr w:type="spellEnd"/>
            <w:r>
              <w:rPr>
                <w:b/>
                <w:sz w:val="20"/>
              </w:rPr>
              <w:t xml:space="preserve"> + </w:t>
            </w:r>
            <w:proofErr w:type="spellStart"/>
            <w:r>
              <w:rPr>
                <w:b/>
                <w:sz w:val="20"/>
              </w:rPr>
              <w:t>efavirenz</w:t>
            </w:r>
            <w:proofErr w:type="spellEnd"/>
            <w:r>
              <w:rPr>
                <w:b/>
                <w:sz w:val="20"/>
              </w:rPr>
              <w:t xml:space="preserve"> is not recommended.</w:t>
            </w:r>
          </w:p>
        </w:tc>
      </w:tr>
      <w:tr w:rsidR="0039337B" w:rsidTr="00DB3E4D">
        <w:tc>
          <w:tcPr>
            <w:tcW w:w="1371" w:type="pct"/>
            <w:tcBorders>
              <w:right w:val="single" w:sz="4" w:space="0" w:color="auto"/>
            </w:tcBorders>
          </w:tcPr>
          <w:p w:rsidR="0039337B" w:rsidRDefault="0039337B" w:rsidP="00D82EBF">
            <w:pPr>
              <w:tabs>
                <w:tab w:val="left" w:pos="567"/>
              </w:tabs>
              <w:rPr>
                <w:sz w:val="20"/>
              </w:rPr>
            </w:pPr>
            <w:proofErr w:type="spellStart"/>
            <w:r>
              <w:rPr>
                <w:sz w:val="20"/>
              </w:rPr>
              <w:t>Rifabutin</w:t>
            </w:r>
            <w:proofErr w:type="spellEnd"/>
            <w:r>
              <w:rPr>
                <w:sz w:val="20"/>
              </w:rPr>
              <w:t xml:space="preserve"> + PI</w:t>
            </w:r>
          </w:p>
        </w:tc>
        <w:tc>
          <w:tcPr>
            <w:tcW w:w="2015" w:type="pct"/>
            <w:tcBorders>
              <w:left w:val="single" w:sz="4" w:space="0" w:color="auto"/>
              <w:right w:val="single" w:sz="4" w:space="0" w:color="auto"/>
            </w:tcBorders>
          </w:tcPr>
          <w:p w:rsidR="0039337B" w:rsidRDefault="0039337B" w:rsidP="00D82EBF">
            <w:pPr>
              <w:tabs>
                <w:tab w:val="left" w:pos="567"/>
              </w:tabs>
              <w:rPr>
                <w:sz w:val="20"/>
              </w:rPr>
            </w:pPr>
            <w:r>
              <w:rPr>
                <w:sz w:val="20"/>
              </w:rPr>
              <w:t xml:space="preserve">Not studied. </w:t>
            </w:r>
            <w:proofErr w:type="spellStart"/>
            <w:r>
              <w:rPr>
                <w:sz w:val="20"/>
              </w:rPr>
              <w:t>Rifabutin</w:t>
            </w:r>
            <w:proofErr w:type="spellEnd"/>
            <w:r>
              <w:rPr>
                <w:sz w:val="20"/>
              </w:rPr>
              <w:t xml:space="preserve"> is considered to be a weaker inducer than </w:t>
            </w:r>
            <w:proofErr w:type="spellStart"/>
            <w:r>
              <w:rPr>
                <w:sz w:val="20"/>
              </w:rPr>
              <w:t>rifampicin</w:t>
            </w:r>
            <w:proofErr w:type="spellEnd"/>
            <w:r>
              <w:rPr>
                <w:sz w:val="20"/>
              </w:rPr>
              <w:t xml:space="preserve">. When combining </w:t>
            </w:r>
            <w:proofErr w:type="spellStart"/>
            <w:r>
              <w:rPr>
                <w:sz w:val="20"/>
              </w:rPr>
              <w:t>rifabutin</w:t>
            </w:r>
            <w:proofErr w:type="spellEnd"/>
            <w:r>
              <w:rPr>
                <w:sz w:val="20"/>
              </w:rPr>
              <w:t xml:space="preserve"> with protease inhibitors that are potent inhibitors of CYP3A4 a net inhibitory effect on maraviroc is expected.</w:t>
            </w:r>
          </w:p>
        </w:tc>
        <w:tc>
          <w:tcPr>
            <w:tcW w:w="1614" w:type="pct"/>
            <w:tcBorders>
              <w:left w:val="single" w:sz="4" w:space="0" w:color="auto"/>
            </w:tcBorders>
          </w:tcPr>
          <w:p w:rsidR="0039337B" w:rsidRDefault="0039337B" w:rsidP="006815C2">
            <w:pPr>
              <w:tabs>
                <w:tab w:val="left" w:pos="567"/>
              </w:tabs>
              <w:rPr>
                <w:b/>
                <w:sz w:val="20"/>
              </w:rPr>
            </w:pPr>
            <w:r>
              <w:rPr>
                <w:b/>
                <w:sz w:val="20"/>
              </w:rPr>
              <w:t xml:space="preserve">Maraviroc dose should be decreased to 150 mg twice daily when co-administered with </w:t>
            </w:r>
            <w:proofErr w:type="spellStart"/>
            <w:r>
              <w:rPr>
                <w:b/>
                <w:sz w:val="20"/>
              </w:rPr>
              <w:t>rifabutin</w:t>
            </w:r>
            <w:proofErr w:type="spellEnd"/>
            <w:r w:rsidR="006815C2" w:rsidRPr="00AA5421">
              <w:rPr>
                <w:b/>
                <w:sz w:val="20"/>
              </w:rPr>
              <w:t xml:space="preserve"> and </w:t>
            </w:r>
            <w:r w:rsidRPr="00AA5421">
              <w:rPr>
                <w:b/>
                <w:sz w:val="20"/>
              </w:rPr>
              <w:t xml:space="preserve">a PI (except </w:t>
            </w:r>
            <w:proofErr w:type="spellStart"/>
            <w:r w:rsidRPr="00AA5421">
              <w:rPr>
                <w:b/>
                <w:sz w:val="20"/>
              </w:rPr>
              <w:t>tipranavir</w:t>
            </w:r>
            <w:proofErr w:type="spellEnd"/>
            <w:r w:rsidRPr="00AA5421">
              <w:rPr>
                <w:b/>
                <w:sz w:val="20"/>
              </w:rPr>
              <w:t>/</w:t>
            </w:r>
            <w:proofErr w:type="spellStart"/>
            <w:r w:rsidRPr="00AA5421">
              <w:rPr>
                <w:b/>
                <w:sz w:val="20"/>
              </w:rPr>
              <w:t>ritonavir</w:t>
            </w:r>
            <w:proofErr w:type="spellEnd"/>
            <w:r w:rsidR="00924DD7" w:rsidRPr="00AA5421">
              <w:rPr>
                <w:b/>
                <w:sz w:val="20"/>
              </w:rPr>
              <w:t xml:space="preserve"> or </w:t>
            </w:r>
            <w:proofErr w:type="spellStart"/>
            <w:r w:rsidR="00924DD7" w:rsidRPr="00AA5421">
              <w:rPr>
                <w:b/>
                <w:sz w:val="20"/>
              </w:rPr>
              <w:t>fosamprenavir</w:t>
            </w:r>
            <w:proofErr w:type="spellEnd"/>
            <w:r w:rsidR="00924DD7" w:rsidRPr="00AA5421">
              <w:rPr>
                <w:b/>
                <w:sz w:val="20"/>
              </w:rPr>
              <w:t>/</w:t>
            </w:r>
            <w:proofErr w:type="spellStart"/>
            <w:r w:rsidR="00924DD7" w:rsidRPr="00AA5421">
              <w:rPr>
                <w:b/>
                <w:sz w:val="20"/>
              </w:rPr>
              <w:t>ritonavir</w:t>
            </w:r>
            <w:proofErr w:type="spellEnd"/>
            <w:r>
              <w:rPr>
                <w:b/>
                <w:sz w:val="20"/>
              </w:rPr>
              <w:t xml:space="preserve"> where the dose should be 300 mg twice daily). </w:t>
            </w:r>
            <w:r>
              <w:rPr>
                <w:sz w:val="20"/>
              </w:rPr>
              <w:t>See PRECAUTIONS.</w:t>
            </w:r>
          </w:p>
        </w:tc>
      </w:tr>
      <w:tr w:rsidR="0039337B" w:rsidTr="00DB3E4D">
        <w:tc>
          <w:tcPr>
            <w:tcW w:w="1371" w:type="pct"/>
            <w:tcBorders>
              <w:bottom w:val="single" w:sz="4" w:space="0" w:color="auto"/>
              <w:right w:val="single" w:sz="4" w:space="0" w:color="auto"/>
            </w:tcBorders>
          </w:tcPr>
          <w:p w:rsidR="0039337B" w:rsidRDefault="0039337B" w:rsidP="00D82EBF">
            <w:pPr>
              <w:tabs>
                <w:tab w:val="left" w:pos="567"/>
              </w:tabs>
              <w:rPr>
                <w:sz w:val="20"/>
              </w:rPr>
            </w:pPr>
            <w:proofErr w:type="spellStart"/>
            <w:r>
              <w:rPr>
                <w:sz w:val="20"/>
              </w:rPr>
              <w:t>Clarithromycin</w:t>
            </w:r>
            <w:proofErr w:type="spellEnd"/>
            <w:r>
              <w:rPr>
                <w:sz w:val="20"/>
              </w:rPr>
              <w:t xml:space="preserve">, </w:t>
            </w:r>
            <w:proofErr w:type="spellStart"/>
            <w:r>
              <w:rPr>
                <w:sz w:val="20"/>
              </w:rPr>
              <w:t>Telithromycin</w:t>
            </w:r>
            <w:proofErr w:type="spellEnd"/>
          </w:p>
        </w:tc>
        <w:tc>
          <w:tcPr>
            <w:tcW w:w="2015" w:type="pct"/>
            <w:tcBorders>
              <w:left w:val="single" w:sz="4" w:space="0" w:color="auto"/>
              <w:bottom w:val="single" w:sz="4" w:space="0" w:color="auto"/>
              <w:right w:val="single" w:sz="4" w:space="0" w:color="auto"/>
            </w:tcBorders>
          </w:tcPr>
          <w:p w:rsidR="0039337B" w:rsidRDefault="0039337B" w:rsidP="00D82EBF">
            <w:pPr>
              <w:tabs>
                <w:tab w:val="left" w:pos="567"/>
              </w:tabs>
              <w:rPr>
                <w:sz w:val="20"/>
              </w:rPr>
            </w:pPr>
            <w:r>
              <w:rPr>
                <w:sz w:val="20"/>
              </w:rPr>
              <w:t>Not studied, but both are potent CYP3A4 inhibitors and would be expected to increase maraviroc concentrations.</w:t>
            </w:r>
          </w:p>
        </w:tc>
        <w:tc>
          <w:tcPr>
            <w:tcW w:w="1614" w:type="pct"/>
            <w:tcBorders>
              <w:left w:val="single" w:sz="4" w:space="0" w:color="auto"/>
              <w:bottom w:val="single" w:sz="4" w:space="0" w:color="auto"/>
            </w:tcBorders>
          </w:tcPr>
          <w:p w:rsidR="0039337B" w:rsidRDefault="0039337B" w:rsidP="00D82EBF">
            <w:pPr>
              <w:tabs>
                <w:tab w:val="left" w:pos="567"/>
              </w:tabs>
              <w:rPr>
                <w:b/>
                <w:sz w:val="20"/>
              </w:rPr>
            </w:pPr>
            <w:r>
              <w:rPr>
                <w:b/>
                <w:sz w:val="20"/>
              </w:rPr>
              <w:t xml:space="preserve">Maraviroc dose should be decreased to 150 mg twice daily when co-administered with </w:t>
            </w:r>
            <w:proofErr w:type="spellStart"/>
            <w:r>
              <w:rPr>
                <w:b/>
                <w:sz w:val="20"/>
              </w:rPr>
              <w:t>clarithromycin</w:t>
            </w:r>
            <w:proofErr w:type="spellEnd"/>
            <w:r>
              <w:rPr>
                <w:b/>
                <w:sz w:val="20"/>
              </w:rPr>
              <w:t xml:space="preserve"> and </w:t>
            </w:r>
            <w:proofErr w:type="spellStart"/>
            <w:r>
              <w:rPr>
                <w:b/>
                <w:sz w:val="20"/>
              </w:rPr>
              <w:t>telithromycin</w:t>
            </w:r>
            <w:proofErr w:type="spellEnd"/>
            <w:r>
              <w:rPr>
                <w:b/>
                <w:sz w:val="20"/>
              </w:rPr>
              <w:t>.</w:t>
            </w:r>
          </w:p>
        </w:tc>
      </w:tr>
      <w:tr w:rsidR="0039337B" w:rsidTr="00DB3E4D">
        <w:tc>
          <w:tcPr>
            <w:tcW w:w="1371" w:type="pct"/>
            <w:tcBorders>
              <w:right w:val="nil"/>
            </w:tcBorders>
          </w:tcPr>
          <w:p w:rsidR="0039337B" w:rsidRDefault="0039337B" w:rsidP="00D82EBF">
            <w:pPr>
              <w:tabs>
                <w:tab w:val="left" w:pos="567"/>
              </w:tabs>
              <w:rPr>
                <w:b/>
                <w:sz w:val="20"/>
              </w:rPr>
            </w:pPr>
            <w:proofErr w:type="spellStart"/>
            <w:r>
              <w:rPr>
                <w:b/>
                <w:sz w:val="20"/>
              </w:rPr>
              <w:t>Antifungals</w:t>
            </w:r>
            <w:proofErr w:type="spellEnd"/>
          </w:p>
        </w:tc>
        <w:tc>
          <w:tcPr>
            <w:tcW w:w="2015" w:type="pct"/>
            <w:tcBorders>
              <w:left w:val="nil"/>
              <w:right w:val="nil"/>
            </w:tcBorders>
          </w:tcPr>
          <w:p w:rsidR="0039337B" w:rsidRDefault="0039337B" w:rsidP="00D82EBF">
            <w:pPr>
              <w:tabs>
                <w:tab w:val="left" w:pos="567"/>
              </w:tabs>
              <w:rPr>
                <w:sz w:val="20"/>
              </w:rPr>
            </w:pPr>
          </w:p>
        </w:tc>
        <w:tc>
          <w:tcPr>
            <w:tcW w:w="1614" w:type="pct"/>
            <w:tcBorders>
              <w:left w:val="nil"/>
            </w:tcBorders>
          </w:tcPr>
          <w:p w:rsidR="0039337B" w:rsidRDefault="0039337B" w:rsidP="00D82EBF">
            <w:pPr>
              <w:tabs>
                <w:tab w:val="left" w:pos="567"/>
              </w:tabs>
              <w:rPr>
                <w:sz w:val="20"/>
              </w:rPr>
            </w:pPr>
          </w:p>
        </w:tc>
      </w:tr>
      <w:tr w:rsidR="0039337B" w:rsidTr="00DB3E4D">
        <w:tc>
          <w:tcPr>
            <w:tcW w:w="1371" w:type="pct"/>
            <w:tcBorders>
              <w:right w:val="single" w:sz="4" w:space="0" w:color="auto"/>
            </w:tcBorders>
          </w:tcPr>
          <w:p w:rsidR="0039337B" w:rsidRDefault="0039337B" w:rsidP="0003660E">
            <w:pPr>
              <w:tabs>
                <w:tab w:val="left" w:pos="567"/>
              </w:tabs>
              <w:rPr>
                <w:sz w:val="20"/>
              </w:rPr>
            </w:pPr>
            <w:proofErr w:type="spellStart"/>
            <w:r>
              <w:rPr>
                <w:sz w:val="20"/>
              </w:rPr>
              <w:t>Ketoconazole</w:t>
            </w:r>
            <w:proofErr w:type="spellEnd"/>
            <w:r>
              <w:rPr>
                <w:sz w:val="20"/>
              </w:rPr>
              <w:t xml:space="preserve"> 400 mg </w:t>
            </w:r>
            <w:r w:rsidR="0003660E">
              <w:rPr>
                <w:sz w:val="20"/>
              </w:rPr>
              <w:t xml:space="preserve">once daily </w:t>
            </w:r>
            <w:r>
              <w:rPr>
                <w:sz w:val="20"/>
              </w:rPr>
              <w:t xml:space="preserve">(maraviroc 100 mg </w:t>
            </w:r>
            <w:r w:rsidR="0003660E">
              <w:rPr>
                <w:sz w:val="20"/>
              </w:rPr>
              <w:t>twice daily</w:t>
            </w:r>
            <w:r>
              <w:rPr>
                <w:sz w:val="20"/>
              </w:rPr>
              <w:t>)</w:t>
            </w:r>
          </w:p>
        </w:tc>
        <w:tc>
          <w:tcPr>
            <w:tcW w:w="2015" w:type="pct"/>
            <w:tcBorders>
              <w:left w:val="single" w:sz="4" w:space="0" w:color="auto"/>
              <w:right w:val="single" w:sz="4" w:space="0" w:color="auto"/>
            </w:tcBorders>
          </w:tcPr>
          <w:p w:rsidR="0039337B" w:rsidRDefault="0039337B" w:rsidP="00D82EBF">
            <w:pPr>
              <w:tabs>
                <w:tab w:val="left" w:pos="567"/>
              </w:tabs>
              <w:rPr>
                <w:sz w:val="20"/>
              </w:rPr>
            </w:pPr>
            <w:r>
              <w:rPr>
                <w:sz w:val="20"/>
              </w:rPr>
              <w:t>Maraviroc AUC</w:t>
            </w:r>
            <w:r w:rsidR="00067588">
              <w:rPr>
                <w:sz w:val="20"/>
                <w:vertAlign w:val="subscript"/>
              </w:rPr>
              <w:t>12</w:t>
            </w:r>
            <w:r>
              <w:rPr>
                <w:sz w:val="20"/>
              </w:rPr>
              <w:t xml:space="preserve">: ↑ 5.00 </w:t>
            </w:r>
            <w:r w:rsidR="008F4631" w:rsidRPr="00DB485E">
              <w:rPr>
                <w:color w:val="000000"/>
                <w:lang w:val="en-GB"/>
              </w:rPr>
              <w:t xml:space="preserve"> </w:t>
            </w:r>
            <w:r w:rsidR="008F4631" w:rsidRPr="008F4631">
              <w:rPr>
                <w:color w:val="000000"/>
                <w:sz w:val="20"/>
                <w:szCs w:val="20"/>
                <w:lang w:val="en-GB"/>
              </w:rPr>
              <w:t>(3.98, 6.29)</w:t>
            </w:r>
          </w:p>
          <w:p w:rsidR="0039337B" w:rsidRDefault="0039337B" w:rsidP="00D82EBF">
            <w:pPr>
              <w:tabs>
                <w:tab w:val="left" w:pos="567"/>
              </w:tabs>
              <w:rPr>
                <w:sz w:val="20"/>
              </w:rPr>
            </w:pPr>
            <w:proofErr w:type="spellStart"/>
            <w:r>
              <w:rPr>
                <w:sz w:val="20"/>
              </w:rPr>
              <w:t>Maraviroc</w:t>
            </w:r>
            <w:proofErr w:type="spellEnd"/>
            <w:r>
              <w:rPr>
                <w:sz w:val="20"/>
              </w:rPr>
              <w:t xml:space="preserve"> </w:t>
            </w:r>
            <w:proofErr w:type="spellStart"/>
            <w:r>
              <w:rPr>
                <w:sz w:val="20"/>
              </w:rPr>
              <w:t>C</w:t>
            </w:r>
            <w:r>
              <w:rPr>
                <w:sz w:val="20"/>
                <w:vertAlign w:val="subscript"/>
              </w:rPr>
              <w:t>max</w:t>
            </w:r>
            <w:proofErr w:type="spellEnd"/>
            <w:r>
              <w:rPr>
                <w:sz w:val="20"/>
              </w:rPr>
              <w:t xml:space="preserve">: ↑ </w:t>
            </w:r>
            <w:proofErr w:type="gramStart"/>
            <w:r>
              <w:rPr>
                <w:sz w:val="20"/>
              </w:rPr>
              <w:t xml:space="preserve">3.38 </w:t>
            </w:r>
            <w:r w:rsidR="008F4631" w:rsidRPr="00DB485E">
              <w:rPr>
                <w:color w:val="000000"/>
                <w:lang w:val="en-GB"/>
              </w:rPr>
              <w:t xml:space="preserve"> </w:t>
            </w:r>
            <w:r w:rsidR="008F4631" w:rsidRPr="008F4631">
              <w:rPr>
                <w:color w:val="000000"/>
                <w:sz w:val="20"/>
                <w:szCs w:val="20"/>
                <w:lang w:val="en-GB"/>
              </w:rPr>
              <w:t>(</w:t>
            </w:r>
            <w:proofErr w:type="gramEnd"/>
            <w:r w:rsidR="008F4631" w:rsidRPr="008F4631">
              <w:rPr>
                <w:color w:val="000000"/>
                <w:sz w:val="20"/>
                <w:szCs w:val="20"/>
                <w:lang w:val="en-GB"/>
              </w:rPr>
              <w:t>2.38, 4.78)</w:t>
            </w:r>
            <w:proofErr w:type="spellStart"/>
            <w:r>
              <w:rPr>
                <w:sz w:val="20"/>
              </w:rPr>
              <w:t>Ketoconazole</w:t>
            </w:r>
            <w:proofErr w:type="spellEnd"/>
            <w:r>
              <w:rPr>
                <w:sz w:val="20"/>
              </w:rPr>
              <w:t xml:space="preserve"> concentrations not measured, no effect is expected.</w:t>
            </w:r>
          </w:p>
        </w:tc>
        <w:tc>
          <w:tcPr>
            <w:tcW w:w="1614" w:type="pct"/>
            <w:tcBorders>
              <w:left w:val="single" w:sz="4" w:space="0" w:color="auto"/>
            </w:tcBorders>
          </w:tcPr>
          <w:p w:rsidR="0039337B" w:rsidRDefault="0039337B" w:rsidP="00D82EBF">
            <w:pPr>
              <w:tabs>
                <w:tab w:val="left" w:pos="567"/>
              </w:tabs>
              <w:rPr>
                <w:b/>
                <w:sz w:val="20"/>
              </w:rPr>
            </w:pPr>
            <w:r>
              <w:rPr>
                <w:b/>
                <w:sz w:val="20"/>
              </w:rPr>
              <w:t xml:space="preserve">Maraviroc dose should be decreased to 150 mg twice daily when co-administered with </w:t>
            </w:r>
            <w:proofErr w:type="spellStart"/>
            <w:r>
              <w:rPr>
                <w:b/>
                <w:sz w:val="20"/>
              </w:rPr>
              <w:t>ketoconazole</w:t>
            </w:r>
            <w:proofErr w:type="spellEnd"/>
            <w:r>
              <w:rPr>
                <w:b/>
                <w:sz w:val="20"/>
              </w:rPr>
              <w:t>.</w:t>
            </w:r>
          </w:p>
        </w:tc>
      </w:tr>
      <w:tr w:rsidR="0039337B" w:rsidTr="00DB3E4D">
        <w:tc>
          <w:tcPr>
            <w:tcW w:w="1371" w:type="pct"/>
            <w:tcBorders>
              <w:right w:val="single" w:sz="4" w:space="0" w:color="auto"/>
            </w:tcBorders>
          </w:tcPr>
          <w:p w:rsidR="0039337B" w:rsidRDefault="0039337B" w:rsidP="00D82EBF">
            <w:pPr>
              <w:tabs>
                <w:tab w:val="left" w:pos="567"/>
              </w:tabs>
              <w:rPr>
                <w:sz w:val="20"/>
              </w:rPr>
            </w:pPr>
            <w:r>
              <w:rPr>
                <w:sz w:val="20"/>
              </w:rPr>
              <w:t xml:space="preserve">Itraconazole </w:t>
            </w:r>
          </w:p>
        </w:tc>
        <w:tc>
          <w:tcPr>
            <w:tcW w:w="2015" w:type="pct"/>
            <w:tcBorders>
              <w:left w:val="single" w:sz="4" w:space="0" w:color="auto"/>
              <w:right w:val="single" w:sz="4" w:space="0" w:color="auto"/>
            </w:tcBorders>
          </w:tcPr>
          <w:p w:rsidR="0039337B" w:rsidRDefault="0039337B" w:rsidP="00D82EBF">
            <w:pPr>
              <w:tabs>
                <w:tab w:val="left" w:pos="567"/>
              </w:tabs>
              <w:rPr>
                <w:sz w:val="20"/>
              </w:rPr>
            </w:pPr>
            <w:r>
              <w:rPr>
                <w:sz w:val="20"/>
              </w:rPr>
              <w:t>Not studied. Itraconazole is a potent CYP3A4 inhibitor and would be expected to increase the exposure of maraviroc.</w:t>
            </w:r>
          </w:p>
        </w:tc>
        <w:tc>
          <w:tcPr>
            <w:tcW w:w="1614" w:type="pct"/>
            <w:tcBorders>
              <w:left w:val="single" w:sz="4" w:space="0" w:color="auto"/>
            </w:tcBorders>
          </w:tcPr>
          <w:p w:rsidR="0039337B" w:rsidRDefault="0039337B" w:rsidP="00D82EBF">
            <w:pPr>
              <w:tabs>
                <w:tab w:val="left" w:pos="567"/>
              </w:tabs>
              <w:rPr>
                <w:b/>
                <w:sz w:val="20"/>
              </w:rPr>
            </w:pPr>
            <w:r>
              <w:rPr>
                <w:b/>
                <w:sz w:val="20"/>
              </w:rPr>
              <w:t>Maraviroc dose should be decreased to 150 mg twice daily when co-administered with itraconazole.</w:t>
            </w:r>
          </w:p>
        </w:tc>
      </w:tr>
      <w:tr w:rsidR="0039337B" w:rsidTr="00DB3E4D">
        <w:tc>
          <w:tcPr>
            <w:tcW w:w="1371" w:type="pct"/>
            <w:tcBorders>
              <w:right w:val="single" w:sz="4" w:space="0" w:color="auto"/>
            </w:tcBorders>
          </w:tcPr>
          <w:p w:rsidR="0039337B" w:rsidRDefault="0039337B" w:rsidP="00D82EBF">
            <w:pPr>
              <w:tabs>
                <w:tab w:val="left" w:pos="567"/>
              </w:tabs>
              <w:rPr>
                <w:sz w:val="20"/>
              </w:rPr>
            </w:pPr>
            <w:proofErr w:type="spellStart"/>
            <w:r>
              <w:rPr>
                <w:sz w:val="20"/>
              </w:rPr>
              <w:t>Fluconazole</w:t>
            </w:r>
            <w:proofErr w:type="spellEnd"/>
          </w:p>
        </w:tc>
        <w:tc>
          <w:tcPr>
            <w:tcW w:w="2015" w:type="pct"/>
            <w:tcBorders>
              <w:left w:val="single" w:sz="4" w:space="0" w:color="auto"/>
              <w:right w:val="single" w:sz="4" w:space="0" w:color="auto"/>
            </w:tcBorders>
          </w:tcPr>
          <w:p w:rsidR="0039337B" w:rsidRDefault="0039337B" w:rsidP="00D82EBF">
            <w:pPr>
              <w:tabs>
                <w:tab w:val="left" w:pos="567"/>
              </w:tabs>
              <w:rPr>
                <w:sz w:val="20"/>
              </w:rPr>
            </w:pPr>
            <w:proofErr w:type="spellStart"/>
            <w:r>
              <w:rPr>
                <w:sz w:val="20"/>
              </w:rPr>
              <w:t>Fluconazole</w:t>
            </w:r>
            <w:proofErr w:type="spellEnd"/>
            <w:r>
              <w:rPr>
                <w:sz w:val="20"/>
              </w:rPr>
              <w:t xml:space="preserve"> is considered to be a moderate CYP3A4 inhibitor. Population PK studies suggest that a dose adjustment of maraviroc is not required.</w:t>
            </w:r>
          </w:p>
        </w:tc>
        <w:tc>
          <w:tcPr>
            <w:tcW w:w="1614" w:type="pct"/>
            <w:tcBorders>
              <w:left w:val="single" w:sz="4" w:space="0" w:color="auto"/>
            </w:tcBorders>
          </w:tcPr>
          <w:p w:rsidR="0039337B" w:rsidRDefault="0039337B" w:rsidP="00D82EBF">
            <w:pPr>
              <w:tabs>
                <w:tab w:val="left" w:pos="567"/>
              </w:tabs>
              <w:rPr>
                <w:b/>
                <w:sz w:val="20"/>
              </w:rPr>
            </w:pPr>
            <w:r>
              <w:rPr>
                <w:b/>
                <w:sz w:val="20"/>
              </w:rPr>
              <w:t xml:space="preserve">Maraviroc 300 mg twice daily should be administered with caution when co-administered with </w:t>
            </w:r>
            <w:proofErr w:type="spellStart"/>
            <w:r>
              <w:rPr>
                <w:b/>
                <w:sz w:val="20"/>
              </w:rPr>
              <w:t>fluconazole</w:t>
            </w:r>
            <w:proofErr w:type="spellEnd"/>
            <w:r>
              <w:rPr>
                <w:b/>
                <w:sz w:val="20"/>
              </w:rPr>
              <w:t>.</w:t>
            </w:r>
          </w:p>
        </w:tc>
      </w:tr>
      <w:tr w:rsidR="0039337B" w:rsidTr="00DB3E4D">
        <w:tc>
          <w:tcPr>
            <w:tcW w:w="1371" w:type="pct"/>
            <w:tcBorders>
              <w:right w:val="nil"/>
            </w:tcBorders>
          </w:tcPr>
          <w:p w:rsidR="0039337B" w:rsidRDefault="0039337B" w:rsidP="00D82EBF">
            <w:pPr>
              <w:tabs>
                <w:tab w:val="left" w:pos="567"/>
              </w:tabs>
              <w:rPr>
                <w:b/>
                <w:sz w:val="20"/>
              </w:rPr>
            </w:pPr>
            <w:proofErr w:type="spellStart"/>
            <w:r>
              <w:rPr>
                <w:b/>
                <w:sz w:val="20"/>
              </w:rPr>
              <w:t>Antivirals</w:t>
            </w:r>
            <w:proofErr w:type="spellEnd"/>
          </w:p>
        </w:tc>
        <w:tc>
          <w:tcPr>
            <w:tcW w:w="2015" w:type="pct"/>
            <w:tcBorders>
              <w:left w:val="nil"/>
              <w:right w:val="nil"/>
            </w:tcBorders>
          </w:tcPr>
          <w:p w:rsidR="0039337B" w:rsidRDefault="0039337B" w:rsidP="00D82EBF">
            <w:pPr>
              <w:tabs>
                <w:tab w:val="left" w:pos="567"/>
              </w:tabs>
              <w:ind w:left="204"/>
              <w:rPr>
                <w:sz w:val="20"/>
              </w:rPr>
            </w:pPr>
          </w:p>
        </w:tc>
        <w:tc>
          <w:tcPr>
            <w:tcW w:w="1614" w:type="pct"/>
            <w:tcBorders>
              <w:left w:val="nil"/>
            </w:tcBorders>
          </w:tcPr>
          <w:p w:rsidR="0039337B" w:rsidRDefault="0039337B" w:rsidP="00D82EBF">
            <w:pPr>
              <w:tabs>
                <w:tab w:val="left" w:pos="567"/>
              </w:tabs>
              <w:ind w:left="238"/>
              <w:rPr>
                <w:b/>
                <w:sz w:val="20"/>
              </w:rPr>
            </w:pPr>
          </w:p>
        </w:tc>
      </w:tr>
      <w:tr w:rsidR="0039337B" w:rsidTr="00DB3E4D">
        <w:tc>
          <w:tcPr>
            <w:tcW w:w="1371" w:type="pct"/>
            <w:tcBorders>
              <w:bottom w:val="single" w:sz="4" w:space="0" w:color="auto"/>
              <w:right w:val="single" w:sz="4" w:space="0" w:color="auto"/>
            </w:tcBorders>
          </w:tcPr>
          <w:p w:rsidR="0039337B" w:rsidRDefault="0039337B" w:rsidP="00D82EBF">
            <w:pPr>
              <w:tabs>
                <w:tab w:val="left" w:pos="567"/>
              </w:tabs>
              <w:rPr>
                <w:b/>
                <w:sz w:val="20"/>
              </w:rPr>
            </w:pPr>
            <w:r>
              <w:rPr>
                <w:b/>
                <w:sz w:val="20"/>
              </w:rPr>
              <w:t>HCV agents</w:t>
            </w:r>
          </w:p>
        </w:tc>
        <w:tc>
          <w:tcPr>
            <w:tcW w:w="2015" w:type="pct"/>
            <w:tcBorders>
              <w:left w:val="single" w:sz="4" w:space="0" w:color="auto"/>
              <w:bottom w:val="single" w:sz="4" w:space="0" w:color="auto"/>
              <w:right w:val="single" w:sz="4" w:space="0" w:color="auto"/>
            </w:tcBorders>
          </w:tcPr>
          <w:p w:rsidR="0039337B" w:rsidRDefault="0039337B" w:rsidP="00D82EBF">
            <w:pPr>
              <w:tabs>
                <w:tab w:val="left" w:pos="567"/>
              </w:tabs>
              <w:rPr>
                <w:sz w:val="20"/>
              </w:rPr>
            </w:pPr>
            <w:proofErr w:type="spellStart"/>
            <w:r>
              <w:rPr>
                <w:sz w:val="20"/>
              </w:rPr>
              <w:t>Pegylated</w:t>
            </w:r>
            <w:proofErr w:type="spellEnd"/>
            <w:r>
              <w:rPr>
                <w:sz w:val="20"/>
              </w:rPr>
              <w:t xml:space="preserve"> interferon and </w:t>
            </w:r>
            <w:proofErr w:type="spellStart"/>
            <w:r>
              <w:rPr>
                <w:sz w:val="20"/>
              </w:rPr>
              <w:t>ribavirin</w:t>
            </w:r>
            <w:proofErr w:type="spellEnd"/>
            <w:r>
              <w:rPr>
                <w:sz w:val="20"/>
              </w:rPr>
              <w:t xml:space="preserve"> have not been studied, no interaction is expected.</w:t>
            </w:r>
          </w:p>
        </w:tc>
        <w:tc>
          <w:tcPr>
            <w:tcW w:w="1614" w:type="pct"/>
            <w:tcBorders>
              <w:left w:val="single" w:sz="4" w:space="0" w:color="auto"/>
              <w:bottom w:val="single" w:sz="4" w:space="0" w:color="auto"/>
            </w:tcBorders>
          </w:tcPr>
          <w:p w:rsidR="0039337B" w:rsidRDefault="0039337B" w:rsidP="00D82EBF">
            <w:pPr>
              <w:tabs>
                <w:tab w:val="left" w:pos="567"/>
              </w:tabs>
              <w:rPr>
                <w:b/>
                <w:sz w:val="20"/>
              </w:rPr>
            </w:pPr>
            <w:r>
              <w:rPr>
                <w:b/>
                <w:sz w:val="20"/>
              </w:rPr>
              <w:t xml:space="preserve">Maraviroc 300 mg twice daily and </w:t>
            </w:r>
            <w:proofErr w:type="spellStart"/>
            <w:r>
              <w:rPr>
                <w:b/>
                <w:sz w:val="20"/>
              </w:rPr>
              <w:t>pegylated</w:t>
            </w:r>
            <w:proofErr w:type="spellEnd"/>
            <w:r>
              <w:rPr>
                <w:b/>
                <w:sz w:val="20"/>
              </w:rPr>
              <w:t xml:space="preserve"> interferon or </w:t>
            </w:r>
            <w:proofErr w:type="spellStart"/>
            <w:r>
              <w:rPr>
                <w:b/>
                <w:sz w:val="20"/>
              </w:rPr>
              <w:t>ribavirin</w:t>
            </w:r>
            <w:proofErr w:type="spellEnd"/>
            <w:r>
              <w:rPr>
                <w:b/>
                <w:sz w:val="20"/>
              </w:rPr>
              <w:t xml:space="preserve"> can be co-administered without dose </w:t>
            </w:r>
            <w:r>
              <w:rPr>
                <w:b/>
                <w:sz w:val="20"/>
              </w:rPr>
              <w:lastRenderedPageBreak/>
              <w:t>adjustment.</w:t>
            </w:r>
          </w:p>
        </w:tc>
      </w:tr>
      <w:tr w:rsidR="0039337B" w:rsidTr="00DB3E4D">
        <w:tc>
          <w:tcPr>
            <w:tcW w:w="1371" w:type="pct"/>
            <w:tcBorders>
              <w:right w:val="nil"/>
            </w:tcBorders>
          </w:tcPr>
          <w:p w:rsidR="0039337B" w:rsidRDefault="0039337B" w:rsidP="00D82EBF">
            <w:pPr>
              <w:tabs>
                <w:tab w:val="left" w:pos="567"/>
              </w:tabs>
              <w:rPr>
                <w:b/>
                <w:sz w:val="20"/>
              </w:rPr>
            </w:pPr>
            <w:r>
              <w:rPr>
                <w:b/>
                <w:sz w:val="20"/>
              </w:rPr>
              <w:lastRenderedPageBreak/>
              <w:t>DRUG ABUSE</w:t>
            </w:r>
          </w:p>
        </w:tc>
        <w:tc>
          <w:tcPr>
            <w:tcW w:w="2015" w:type="pct"/>
            <w:tcBorders>
              <w:left w:val="nil"/>
              <w:right w:val="nil"/>
            </w:tcBorders>
          </w:tcPr>
          <w:p w:rsidR="0039337B" w:rsidRDefault="0039337B" w:rsidP="00D82EBF">
            <w:pPr>
              <w:tabs>
                <w:tab w:val="left" w:pos="567"/>
              </w:tabs>
              <w:rPr>
                <w:sz w:val="20"/>
              </w:rPr>
            </w:pPr>
          </w:p>
        </w:tc>
        <w:tc>
          <w:tcPr>
            <w:tcW w:w="1614" w:type="pct"/>
            <w:tcBorders>
              <w:left w:val="nil"/>
            </w:tcBorders>
          </w:tcPr>
          <w:p w:rsidR="0039337B" w:rsidRDefault="0039337B" w:rsidP="00D82EBF">
            <w:pPr>
              <w:tabs>
                <w:tab w:val="left" w:pos="567"/>
              </w:tabs>
              <w:rPr>
                <w:b/>
                <w:sz w:val="20"/>
              </w:rPr>
            </w:pPr>
          </w:p>
        </w:tc>
      </w:tr>
      <w:tr w:rsidR="0039337B" w:rsidTr="00DB3E4D">
        <w:tc>
          <w:tcPr>
            <w:tcW w:w="1371" w:type="pct"/>
            <w:tcBorders>
              <w:right w:val="single" w:sz="4" w:space="0" w:color="auto"/>
            </w:tcBorders>
          </w:tcPr>
          <w:p w:rsidR="0039337B" w:rsidRDefault="0039337B" w:rsidP="00D82EBF">
            <w:pPr>
              <w:tabs>
                <w:tab w:val="left" w:pos="567"/>
              </w:tabs>
              <w:rPr>
                <w:sz w:val="20"/>
              </w:rPr>
            </w:pPr>
            <w:r>
              <w:rPr>
                <w:sz w:val="20"/>
              </w:rPr>
              <w:t>Methadone</w:t>
            </w:r>
          </w:p>
        </w:tc>
        <w:tc>
          <w:tcPr>
            <w:tcW w:w="2015" w:type="pct"/>
            <w:tcBorders>
              <w:left w:val="single" w:sz="4" w:space="0" w:color="auto"/>
              <w:right w:val="single" w:sz="4" w:space="0" w:color="auto"/>
            </w:tcBorders>
          </w:tcPr>
          <w:p w:rsidR="0039337B" w:rsidRDefault="0039337B" w:rsidP="00D82EBF">
            <w:pPr>
              <w:tabs>
                <w:tab w:val="left" w:pos="567"/>
              </w:tabs>
              <w:rPr>
                <w:sz w:val="20"/>
              </w:rPr>
            </w:pPr>
            <w:r>
              <w:rPr>
                <w:sz w:val="20"/>
              </w:rPr>
              <w:t>Not studied, no interaction expected.</w:t>
            </w:r>
          </w:p>
        </w:tc>
        <w:tc>
          <w:tcPr>
            <w:tcW w:w="1614" w:type="pct"/>
            <w:tcBorders>
              <w:left w:val="single" w:sz="4" w:space="0" w:color="auto"/>
            </w:tcBorders>
          </w:tcPr>
          <w:p w:rsidR="0039337B" w:rsidRDefault="0039337B" w:rsidP="00D82EBF">
            <w:pPr>
              <w:tabs>
                <w:tab w:val="left" w:pos="567"/>
              </w:tabs>
              <w:rPr>
                <w:b/>
                <w:sz w:val="20"/>
              </w:rPr>
            </w:pPr>
            <w:r>
              <w:rPr>
                <w:b/>
                <w:sz w:val="20"/>
              </w:rPr>
              <w:t>Maraviroc 300 mg twice daily and methadone can be co-administered without dose adjustment.</w:t>
            </w:r>
          </w:p>
        </w:tc>
      </w:tr>
      <w:tr w:rsidR="0039337B" w:rsidTr="00DB3E4D">
        <w:tc>
          <w:tcPr>
            <w:tcW w:w="1371" w:type="pct"/>
            <w:tcBorders>
              <w:bottom w:val="single" w:sz="4" w:space="0" w:color="auto"/>
              <w:right w:val="single" w:sz="4" w:space="0" w:color="auto"/>
            </w:tcBorders>
          </w:tcPr>
          <w:p w:rsidR="0039337B" w:rsidRDefault="0039337B" w:rsidP="00D82EBF">
            <w:pPr>
              <w:tabs>
                <w:tab w:val="left" w:pos="567"/>
              </w:tabs>
              <w:rPr>
                <w:sz w:val="20"/>
              </w:rPr>
            </w:pPr>
            <w:proofErr w:type="spellStart"/>
            <w:r>
              <w:rPr>
                <w:sz w:val="20"/>
              </w:rPr>
              <w:t>Buprenorphine</w:t>
            </w:r>
            <w:proofErr w:type="spellEnd"/>
          </w:p>
        </w:tc>
        <w:tc>
          <w:tcPr>
            <w:tcW w:w="2015" w:type="pct"/>
            <w:tcBorders>
              <w:left w:val="single" w:sz="4" w:space="0" w:color="auto"/>
              <w:bottom w:val="single" w:sz="4" w:space="0" w:color="auto"/>
              <w:right w:val="single" w:sz="4" w:space="0" w:color="auto"/>
            </w:tcBorders>
          </w:tcPr>
          <w:p w:rsidR="0039337B" w:rsidRDefault="0039337B" w:rsidP="00D82EBF">
            <w:pPr>
              <w:tabs>
                <w:tab w:val="left" w:pos="567"/>
              </w:tabs>
              <w:rPr>
                <w:sz w:val="20"/>
              </w:rPr>
            </w:pPr>
            <w:r>
              <w:rPr>
                <w:sz w:val="20"/>
              </w:rPr>
              <w:t>Not studied, no interaction expected.</w:t>
            </w:r>
          </w:p>
        </w:tc>
        <w:tc>
          <w:tcPr>
            <w:tcW w:w="1614" w:type="pct"/>
            <w:tcBorders>
              <w:left w:val="single" w:sz="4" w:space="0" w:color="auto"/>
              <w:bottom w:val="single" w:sz="4" w:space="0" w:color="auto"/>
            </w:tcBorders>
          </w:tcPr>
          <w:p w:rsidR="0039337B" w:rsidRDefault="0039337B" w:rsidP="00D82EBF">
            <w:pPr>
              <w:tabs>
                <w:tab w:val="left" w:pos="567"/>
              </w:tabs>
              <w:rPr>
                <w:b/>
                <w:sz w:val="20"/>
              </w:rPr>
            </w:pPr>
            <w:r>
              <w:rPr>
                <w:b/>
                <w:sz w:val="20"/>
              </w:rPr>
              <w:t xml:space="preserve">Maraviroc 300 mg twice daily and </w:t>
            </w:r>
            <w:proofErr w:type="spellStart"/>
            <w:r>
              <w:rPr>
                <w:b/>
                <w:sz w:val="20"/>
              </w:rPr>
              <w:t>buprenorphine</w:t>
            </w:r>
            <w:proofErr w:type="spellEnd"/>
            <w:r>
              <w:rPr>
                <w:b/>
                <w:sz w:val="20"/>
              </w:rPr>
              <w:t xml:space="preserve"> can be co-administered without dose adjustment.</w:t>
            </w:r>
          </w:p>
        </w:tc>
      </w:tr>
      <w:tr w:rsidR="0039337B" w:rsidTr="009D563D">
        <w:tc>
          <w:tcPr>
            <w:tcW w:w="5000" w:type="pct"/>
            <w:gridSpan w:val="3"/>
          </w:tcPr>
          <w:p w:rsidR="0039337B" w:rsidRDefault="0039337B" w:rsidP="00D82EBF">
            <w:pPr>
              <w:tabs>
                <w:tab w:val="left" w:pos="567"/>
              </w:tabs>
              <w:rPr>
                <w:b/>
                <w:sz w:val="20"/>
              </w:rPr>
            </w:pPr>
            <w:r>
              <w:rPr>
                <w:b/>
                <w:sz w:val="20"/>
              </w:rPr>
              <w:t xml:space="preserve">LIPID LOWERING </w:t>
            </w:r>
          </w:p>
          <w:p w:rsidR="0039337B" w:rsidRDefault="0039337B" w:rsidP="00D82EBF">
            <w:pPr>
              <w:tabs>
                <w:tab w:val="left" w:pos="567"/>
              </w:tabs>
              <w:rPr>
                <w:b/>
                <w:sz w:val="20"/>
              </w:rPr>
            </w:pPr>
            <w:r>
              <w:rPr>
                <w:b/>
                <w:sz w:val="20"/>
              </w:rPr>
              <w:t>MEDICINAL PRODUCTS</w:t>
            </w:r>
          </w:p>
        </w:tc>
      </w:tr>
      <w:tr w:rsidR="0039337B" w:rsidTr="00DB3E4D">
        <w:tc>
          <w:tcPr>
            <w:tcW w:w="1371" w:type="pct"/>
            <w:tcBorders>
              <w:bottom w:val="single" w:sz="4" w:space="0" w:color="auto"/>
              <w:right w:val="single" w:sz="4" w:space="0" w:color="auto"/>
            </w:tcBorders>
          </w:tcPr>
          <w:p w:rsidR="0039337B" w:rsidRDefault="0039337B" w:rsidP="00D82EBF">
            <w:pPr>
              <w:tabs>
                <w:tab w:val="left" w:pos="567"/>
              </w:tabs>
              <w:rPr>
                <w:b/>
                <w:sz w:val="20"/>
              </w:rPr>
            </w:pPr>
            <w:proofErr w:type="spellStart"/>
            <w:r>
              <w:rPr>
                <w:b/>
                <w:smallCaps/>
                <w:sz w:val="20"/>
              </w:rPr>
              <w:t>S</w:t>
            </w:r>
            <w:r>
              <w:rPr>
                <w:b/>
                <w:sz w:val="20"/>
              </w:rPr>
              <w:t>tatins</w:t>
            </w:r>
            <w:proofErr w:type="spellEnd"/>
          </w:p>
        </w:tc>
        <w:tc>
          <w:tcPr>
            <w:tcW w:w="2015" w:type="pct"/>
            <w:tcBorders>
              <w:left w:val="single" w:sz="4" w:space="0" w:color="auto"/>
              <w:bottom w:val="single" w:sz="4" w:space="0" w:color="auto"/>
              <w:right w:val="single" w:sz="4" w:space="0" w:color="auto"/>
            </w:tcBorders>
          </w:tcPr>
          <w:p w:rsidR="0039337B" w:rsidRDefault="0039337B" w:rsidP="00D82EBF">
            <w:pPr>
              <w:tabs>
                <w:tab w:val="left" w:pos="567"/>
              </w:tabs>
              <w:rPr>
                <w:sz w:val="20"/>
              </w:rPr>
            </w:pPr>
            <w:r>
              <w:rPr>
                <w:sz w:val="20"/>
              </w:rPr>
              <w:t>Not studied, no interaction expected.</w:t>
            </w:r>
          </w:p>
        </w:tc>
        <w:tc>
          <w:tcPr>
            <w:tcW w:w="1614" w:type="pct"/>
            <w:tcBorders>
              <w:left w:val="single" w:sz="4" w:space="0" w:color="auto"/>
              <w:bottom w:val="single" w:sz="4" w:space="0" w:color="auto"/>
            </w:tcBorders>
          </w:tcPr>
          <w:p w:rsidR="0039337B" w:rsidRDefault="0039337B" w:rsidP="00D82EBF">
            <w:pPr>
              <w:tabs>
                <w:tab w:val="left" w:pos="567"/>
              </w:tabs>
              <w:rPr>
                <w:b/>
                <w:sz w:val="20"/>
              </w:rPr>
            </w:pPr>
            <w:r>
              <w:rPr>
                <w:b/>
                <w:sz w:val="20"/>
              </w:rPr>
              <w:t xml:space="preserve">Maraviroc 300 mg twice daily and </w:t>
            </w:r>
            <w:proofErr w:type="spellStart"/>
            <w:r>
              <w:rPr>
                <w:b/>
                <w:sz w:val="20"/>
              </w:rPr>
              <w:t>statins</w:t>
            </w:r>
            <w:proofErr w:type="spellEnd"/>
            <w:r>
              <w:rPr>
                <w:b/>
                <w:sz w:val="20"/>
              </w:rPr>
              <w:t xml:space="preserve"> can be co-administered without dose adjustment. </w:t>
            </w:r>
          </w:p>
        </w:tc>
      </w:tr>
      <w:tr w:rsidR="0039337B" w:rsidTr="00DB3E4D">
        <w:tc>
          <w:tcPr>
            <w:tcW w:w="1371" w:type="pct"/>
            <w:tcBorders>
              <w:right w:val="nil"/>
            </w:tcBorders>
          </w:tcPr>
          <w:p w:rsidR="0039337B" w:rsidRDefault="0039337B" w:rsidP="00D82EBF">
            <w:pPr>
              <w:tabs>
                <w:tab w:val="left" w:pos="567"/>
              </w:tabs>
              <w:rPr>
                <w:b/>
                <w:smallCaps/>
                <w:sz w:val="20"/>
              </w:rPr>
            </w:pPr>
            <w:r>
              <w:rPr>
                <w:b/>
                <w:smallCaps/>
                <w:sz w:val="20"/>
              </w:rPr>
              <w:t>Oral contraceptives</w:t>
            </w:r>
          </w:p>
        </w:tc>
        <w:tc>
          <w:tcPr>
            <w:tcW w:w="2015" w:type="pct"/>
            <w:tcBorders>
              <w:left w:val="nil"/>
              <w:right w:val="nil"/>
            </w:tcBorders>
          </w:tcPr>
          <w:p w:rsidR="0039337B" w:rsidRDefault="0039337B" w:rsidP="00D82EBF">
            <w:pPr>
              <w:tabs>
                <w:tab w:val="left" w:pos="567"/>
              </w:tabs>
              <w:rPr>
                <w:sz w:val="20"/>
              </w:rPr>
            </w:pPr>
          </w:p>
        </w:tc>
        <w:tc>
          <w:tcPr>
            <w:tcW w:w="1614" w:type="pct"/>
            <w:tcBorders>
              <w:left w:val="nil"/>
            </w:tcBorders>
          </w:tcPr>
          <w:p w:rsidR="0039337B" w:rsidRDefault="0039337B" w:rsidP="00D82EBF">
            <w:pPr>
              <w:tabs>
                <w:tab w:val="left" w:pos="567"/>
              </w:tabs>
              <w:rPr>
                <w:b/>
                <w:sz w:val="20"/>
              </w:rPr>
            </w:pPr>
          </w:p>
        </w:tc>
      </w:tr>
      <w:tr w:rsidR="0039337B" w:rsidTr="00DB3E4D">
        <w:tc>
          <w:tcPr>
            <w:tcW w:w="1371" w:type="pct"/>
            <w:tcBorders>
              <w:right w:val="single" w:sz="4" w:space="0" w:color="auto"/>
            </w:tcBorders>
          </w:tcPr>
          <w:p w:rsidR="0039337B" w:rsidRDefault="0039337B" w:rsidP="00D82EBF">
            <w:pPr>
              <w:tabs>
                <w:tab w:val="left" w:pos="567"/>
              </w:tabs>
              <w:rPr>
                <w:sz w:val="20"/>
              </w:rPr>
            </w:pPr>
            <w:proofErr w:type="spellStart"/>
            <w:r>
              <w:rPr>
                <w:sz w:val="20"/>
              </w:rPr>
              <w:t>Ethinylestradiol</w:t>
            </w:r>
            <w:proofErr w:type="spellEnd"/>
            <w:r>
              <w:rPr>
                <w:sz w:val="20"/>
              </w:rPr>
              <w:t xml:space="preserve"> 30 mcg </w:t>
            </w:r>
            <w:r w:rsidR="0003660E">
              <w:rPr>
                <w:sz w:val="20"/>
              </w:rPr>
              <w:t>once daily</w:t>
            </w:r>
          </w:p>
          <w:p w:rsidR="0039337B" w:rsidRDefault="0039337B" w:rsidP="00D82EBF">
            <w:pPr>
              <w:tabs>
                <w:tab w:val="left" w:pos="567"/>
              </w:tabs>
              <w:rPr>
                <w:sz w:val="20"/>
              </w:rPr>
            </w:pPr>
            <w:r>
              <w:rPr>
                <w:sz w:val="20"/>
              </w:rPr>
              <w:t xml:space="preserve">(maraviroc 100 mg </w:t>
            </w:r>
            <w:r w:rsidR="0003660E">
              <w:rPr>
                <w:sz w:val="20"/>
              </w:rPr>
              <w:t>twice daily</w:t>
            </w:r>
            <w:r>
              <w:rPr>
                <w:sz w:val="20"/>
              </w:rPr>
              <w:t>)</w:t>
            </w:r>
          </w:p>
        </w:tc>
        <w:tc>
          <w:tcPr>
            <w:tcW w:w="2015" w:type="pct"/>
            <w:tcBorders>
              <w:left w:val="single" w:sz="4" w:space="0" w:color="auto"/>
              <w:right w:val="single" w:sz="4" w:space="0" w:color="auto"/>
            </w:tcBorders>
          </w:tcPr>
          <w:p w:rsidR="0039337B" w:rsidRDefault="0039337B" w:rsidP="00D82EBF">
            <w:pPr>
              <w:pStyle w:val="TableTextCentered"/>
              <w:keepNext/>
              <w:tabs>
                <w:tab w:val="left" w:pos="567"/>
              </w:tabs>
              <w:jc w:val="left"/>
              <w:rPr>
                <w:lang w:val="en-GB"/>
              </w:rPr>
            </w:pPr>
            <w:proofErr w:type="spellStart"/>
            <w:r>
              <w:t>Ethinylestradiol</w:t>
            </w:r>
            <w:proofErr w:type="spellEnd"/>
            <w:r>
              <w:t xml:space="preserve">. </w:t>
            </w:r>
            <w:r w:rsidRPr="00AA5421">
              <w:t>AUC</w:t>
            </w:r>
            <w:r w:rsidR="008F4631" w:rsidRPr="00AA5421">
              <w:rPr>
                <w:vertAlign w:val="subscript"/>
              </w:rPr>
              <w:t>24</w:t>
            </w:r>
            <w:r w:rsidRPr="00AA5421">
              <w:rPr>
                <w:vertAlign w:val="subscript"/>
              </w:rPr>
              <w:t>:</w:t>
            </w:r>
            <w:r>
              <w:t xml:space="preserve"> ↔ </w:t>
            </w:r>
            <w:proofErr w:type="gramStart"/>
            <w:r>
              <w:t xml:space="preserve">1.00 </w:t>
            </w:r>
            <w:r w:rsidR="008F4631" w:rsidRPr="00DB485E">
              <w:rPr>
                <w:color w:val="000000"/>
                <w:lang w:val="en-GB"/>
              </w:rPr>
              <w:t xml:space="preserve"> (</w:t>
            </w:r>
            <w:proofErr w:type="gramEnd"/>
            <w:r w:rsidR="008F4631" w:rsidRPr="00DB485E">
              <w:rPr>
                <w:color w:val="000000"/>
                <w:lang w:val="en-GB"/>
              </w:rPr>
              <w:t>0.95, 1.05)</w:t>
            </w:r>
            <w:proofErr w:type="spellStart"/>
            <w:r>
              <w:t>Ethinylestradiol</w:t>
            </w:r>
            <w:proofErr w:type="spellEnd"/>
            <w:r>
              <w:t xml:space="preserve">. </w:t>
            </w:r>
            <w:proofErr w:type="spellStart"/>
            <w:r>
              <w:t>C</w:t>
            </w:r>
            <w:r>
              <w:rPr>
                <w:vertAlign w:val="subscript"/>
              </w:rPr>
              <w:t>max</w:t>
            </w:r>
            <w:proofErr w:type="spellEnd"/>
            <w:r>
              <w:t xml:space="preserve">: ↔ </w:t>
            </w:r>
            <w:proofErr w:type="gramStart"/>
            <w:r>
              <w:t xml:space="preserve">0.99 </w:t>
            </w:r>
            <w:r w:rsidR="008F4631" w:rsidRPr="00DB485E">
              <w:rPr>
                <w:color w:val="000000"/>
                <w:lang w:val="en-GB"/>
              </w:rPr>
              <w:t xml:space="preserve"> (</w:t>
            </w:r>
            <w:proofErr w:type="gramEnd"/>
            <w:r w:rsidR="008F4631" w:rsidRPr="00DB485E">
              <w:rPr>
                <w:color w:val="000000"/>
                <w:lang w:val="en-GB"/>
              </w:rPr>
              <w:t>0.91, 1.06)</w:t>
            </w:r>
            <w:proofErr w:type="spellStart"/>
            <w:r>
              <w:rPr>
                <w:lang w:val="en-GB"/>
              </w:rPr>
              <w:t>Maraviroc</w:t>
            </w:r>
            <w:proofErr w:type="spellEnd"/>
            <w:r>
              <w:rPr>
                <w:lang w:val="en-GB"/>
              </w:rPr>
              <w:t xml:space="preserve"> concentrations not measured, no interaction expected.</w:t>
            </w:r>
          </w:p>
        </w:tc>
        <w:tc>
          <w:tcPr>
            <w:tcW w:w="1614" w:type="pct"/>
            <w:tcBorders>
              <w:left w:val="single" w:sz="4" w:space="0" w:color="auto"/>
            </w:tcBorders>
          </w:tcPr>
          <w:p w:rsidR="0039337B" w:rsidRDefault="0039337B" w:rsidP="00D82EBF">
            <w:pPr>
              <w:tabs>
                <w:tab w:val="left" w:pos="567"/>
              </w:tabs>
              <w:rPr>
                <w:b/>
                <w:sz w:val="20"/>
                <w:lang w:val="en-US"/>
              </w:rPr>
            </w:pPr>
            <w:proofErr w:type="spellStart"/>
            <w:r>
              <w:rPr>
                <w:b/>
                <w:sz w:val="20"/>
                <w:lang w:val="en-US"/>
              </w:rPr>
              <w:t>Maraviroc</w:t>
            </w:r>
            <w:proofErr w:type="spellEnd"/>
            <w:r>
              <w:rPr>
                <w:b/>
                <w:sz w:val="20"/>
                <w:lang w:val="en-US"/>
              </w:rPr>
              <w:t xml:space="preserve"> 300 mg twice daily and </w:t>
            </w:r>
            <w:proofErr w:type="spellStart"/>
            <w:r>
              <w:rPr>
                <w:b/>
                <w:sz w:val="20"/>
                <w:lang w:val="en-US"/>
              </w:rPr>
              <w:t>ethinylestradiol</w:t>
            </w:r>
            <w:proofErr w:type="spellEnd"/>
            <w:r>
              <w:rPr>
                <w:b/>
                <w:sz w:val="20"/>
                <w:lang w:val="en-US"/>
              </w:rPr>
              <w:t xml:space="preserve"> can be co-administered without dose adjustment.</w:t>
            </w:r>
          </w:p>
        </w:tc>
      </w:tr>
      <w:tr w:rsidR="0039337B" w:rsidTr="00DB3E4D">
        <w:tc>
          <w:tcPr>
            <w:tcW w:w="1371" w:type="pct"/>
            <w:tcBorders>
              <w:right w:val="single" w:sz="4" w:space="0" w:color="auto"/>
            </w:tcBorders>
          </w:tcPr>
          <w:p w:rsidR="0039337B" w:rsidRDefault="0039337B" w:rsidP="00D82EBF">
            <w:pPr>
              <w:tabs>
                <w:tab w:val="left" w:pos="567"/>
              </w:tabs>
              <w:rPr>
                <w:sz w:val="20"/>
              </w:rPr>
            </w:pPr>
            <w:proofErr w:type="spellStart"/>
            <w:r>
              <w:rPr>
                <w:sz w:val="20"/>
              </w:rPr>
              <w:t>Levonorgestrel</w:t>
            </w:r>
            <w:proofErr w:type="spellEnd"/>
            <w:r>
              <w:rPr>
                <w:sz w:val="20"/>
              </w:rPr>
              <w:t xml:space="preserve"> 150 mcg </w:t>
            </w:r>
            <w:r w:rsidR="0003660E">
              <w:rPr>
                <w:sz w:val="20"/>
              </w:rPr>
              <w:t>once daily</w:t>
            </w:r>
          </w:p>
          <w:p w:rsidR="0039337B" w:rsidRDefault="0039337B" w:rsidP="00D82EBF">
            <w:pPr>
              <w:tabs>
                <w:tab w:val="left" w:pos="567"/>
              </w:tabs>
              <w:rPr>
                <w:sz w:val="20"/>
              </w:rPr>
            </w:pPr>
            <w:r>
              <w:rPr>
                <w:sz w:val="20"/>
              </w:rPr>
              <w:t xml:space="preserve">(maraviroc 100 mg </w:t>
            </w:r>
            <w:r w:rsidR="0003660E">
              <w:rPr>
                <w:sz w:val="20"/>
              </w:rPr>
              <w:t>twice daily</w:t>
            </w:r>
            <w:r>
              <w:rPr>
                <w:sz w:val="20"/>
              </w:rPr>
              <w:t>)</w:t>
            </w:r>
          </w:p>
        </w:tc>
        <w:tc>
          <w:tcPr>
            <w:tcW w:w="2015" w:type="pct"/>
            <w:tcBorders>
              <w:left w:val="single" w:sz="4" w:space="0" w:color="auto"/>
              <w:right w:val="single" w:sz="4" w:space="0" w:color="auto"/>
            </w:tcBorders>
          </w:tcPr>
          <w:p w:rsidR="0039337B" w:rsidRDefault="0039337B" w:rsidP="00D82EBF">
            <w:pPr>
              <w:pStyle w:val="TableTextCentered"/>
              <w:keepNext/>
              <w:tabs>
                <w:tab w:val="left" w:pos="567"/>
              </w:tabs>
              <w:jc w:val="left"/>
              <w:rPr>
                <w:lang w:val="en-GB"/>
              </w:rPr>
            </w:pPr>
            <w:proofErr w:type="spellStart"/>
            <w:r>
              <w:t>Levonorgestrel</w:t>
            </w:r>
            <w:proofErr w:type="spellEnd"/>
            <w:r>
              <w:t xml:space="preserve">. </w:t>
            </w:r>
            <w:r w:rsidR="00FA5CB6">
              <w:t>AUC</w:t>
            </w:r>
            <w:r w:rsidR="00FA5CB6">
              <w:rPr>
                <w:vertAlign w:val="subscript"/>
              </w:rPr>
              <w:t>24</w:t>
            </w:r>
            <w:r w:rsidRPr="001316C5">
              <w:t>:</w:t>
            </w:r>
            <w:r>
              <w:t xml:space="preserve"> ↔ </w:t>
            </w:r>
            <w:proofErr w:type="gramStart"/>
            <w:r>
              <w:t>0.</w:t>
            </w:r>
            <w:r w:rsidR="00092E5A" w:rsidRPr="00AA5421">
              <w:t>98</w:t>
            </w:r>
            <w:r>
              <w:t xml:space="preserve"> </w:t>
            </w:r>
            <w:r w:rsidR="008F4631" w:rsidRPr="00DB485E">
              <w:rPr>
                <w:color w:val="000000"/>
                <w:lang w:val="en-GB"/>
              </w:rPr>
              <w:t xml:space="preserve"> (</w:t>
            </w:r>
            <w:proofErr w:type="gramEnd"/>
            <w:r w:rsidR="008F4631" w:rsidRPr="00DB485E">
              <w:rPr>
                <w:color w:val="000000"/>
                <w:lang w:val="en-GB"/>
              </w:rPr>
              <w:t>0.92, 1.04)</w:t>
            </w:r>
            <w:proofErr w:type="spellStart"/>
            <w:r>
              <w:t>Levonorgestrel</w:t>
            </w:r>
            <w:proofErr w:type="spellEnd"/>
            <w:r>
              <w:t xml:space="preserve">. </w:t>
            </w:r>
            <w:proofErr w:type="spellStart"/>
            <w:r>
              <w:t>C</w:t>
            </w:r>
            <w:r>
              <w:rPr>
                <w:vertAlign w:val="subscript"/>
              </w:rPr>
              <w:t>max</w:t>
            </w:r>
            <w:proofErr w:type="spellEnd"/>
            <w:r>
              <w:t xml:space="preserve">: ↔ 1.01 </w:t>
            </w:r>
            <w:r w:rsidR="008F4631" w:rsidRPr="00DB485E">
              <w:rPr>
                <w:color w:val="000000"/>
                <w:lang w:val="en-GB"/>
              </w:rPr>
              <w:t xml:space="preserve"> (0.93, 1.08)</w:t>
            </w:r>
          </w:p>
          <w:p w:rsidR="0039337B" w:rsidRDefault="0039337B" w:rsidP="00D82EBF">
            <w:pPr>
              <w:pStyle w:val="TableTextCentered"/>
              <w:keepNext/>
              <w:tabs>
                <w:tab w:val="left" w:pos="567"/>
              </w:tabs>
              <w:jc w:val="left"/>
              <w:rPr>
                <w:lang w:val="en-GB"/>
              </w:rPr>
            </w:pPr>
            <w:proofErr w:type="spellStart"/>
            <w:r>
              <w:rPr>
                <w:lang w:val="en-GB"/>
              </w:rPr>
              <w:t>Maraviroc</w:t>
            </w:r>
            <w:proofErr w:type="spellEnd"/>
            <w:r>
              <w:rPr>
                <w:lang w:val="en-GB"/>
              </w:rPr>
              <w:t xml:space="preserve"> concentrations not measured, no interaction expected.</w:t>
            </w:r>
          </w:p>
        </w:tc>
        <w:tc>
          <w:tcPr>
            <w:tcW w:w="1614" w:type="pct"/>
            <w:tcBorders>
              <w:left w:val="single" w:sz="4" w:space="0" w:color="auto"/>
            </w:tcBorders>
          </w:tcPr>
          <w:p w:rsidR="0039337B" w:rsidRDefault="0039337B" w:rsidP="00D82EBF">
            <w:pPr>
              <w:tabs>
                <w:tab w:val="left" w:pos="567"/>
              </w:tabs>
              <w:rPr>
                <w:b/>
                <w:sz w:val="20"/>
                <w:lang w:val="en-US"/>
              </w:rPr>
            </w:pPr>
            <w:proofErr w:type="spellStart"/>
            <w:r>
              <w:rPr>
                <w:b/>
                <w:sz w:val="20"/>
                <w:lang w:val="en-US"/>
              </w:rPr>
              <w:t>Maraviroc</w:t>
            </w:r>
            <w:proofErr w:type="spellEnd"/>
            <w:r>
              <w:rPr>
                <w:b/>
                <w:sz w:val="20"/>
                <w:lang w:val="en-US"/>
              </w:rPr>
              <w:t xml:space="preserve"> 300 mg twice daily and </w:t>
            </w:r>
            <w:proofErr w:type="spellStart"/>
            <w:r>
              <w:rPr>
                <w:b/>
                <w:sz w:val="20"/>
                <w:lang w:val="en-US"/>
              </w:rPr>
              <w:t>levonorgestrel</w:t>
            </w:r>
            <w:proofErr w:type="spellEnd"/>
            <w:r>
              <w:rPr>
                <w:b/>
                <w:sz w:val="20"/>
                <w:lang w:val="en-US"/>
              </w:rPr>
              <w:t xml:space="preserve"> can be co-administered without dose adjustment.</w:t>
            </w:r>
          </w:p>
        </w:tc>
      </w:tr>
      <w:tr w:rsidR="00D61958" w:rsidTr="00D61958">
        <w:tc>
          <w:tcPr>
            <w:tcW w:w="5000" w:type="pct"/>
            <w:gridSpan w:val="3"/>
          </w:tcPr>
          <w:p w:rsidR="00D61958" w:rsidRDefault="00D61958" w:rsidP="00D82EBF">
            <w:pPr>
              <w:tabs>
                <w:tab w:val="left" w:pos="567"/>
              </w:tabs>
              <w:rPr>
                <w:b/>
                <w:sz w:val="20"/>
              </w:rPr>
            </w:pPr>
            <w:r>
              <w:rPr>
                <w:b/>
                <w:sz w:val="20"/>
              </w:rPr>
              <w:t>BENZODIAZEPINES</w:t>
            </w:r>
          </w:p>
        </w:tc>
      </w:tr>
      <w:tr w:rsidR="0039337B" w:rsidTr="00DB3E4D">
        <w:tc>
          <w:tcPr>
            <w:tcW w:w="1371" w:type="pct"/>
            <w:tcBorders>
              <w:bottom w:val="single" w:sz="4" w:space="0" w:color="auto"/>
              <w:right w:val="single" w:sz="4" w:space="0" w:color="auto"/>
            </w:tcBorders>
          </w:tcPr>
          <w:p w:rsidR="0039337B" w:rsidRPr="006C3517" w:rsidRDefault="0039337B" w:rsidP="00D82EBF">
            <w:pPr>
              <w:tabs>
                <w:tab w:val="left" w:pos="567"/>
              </w:tabs>
              <w:rPr>
                <w:sz w:val="20"/>
                <w:lang w:val="pt-BR"/>
              </w:rPr>
            </w:pPr>
            <w:r w:rsidRPr="006C3517">
              <w:rPr>
                <w:sz w:val="20"/>
                <w:lang w:val="pt-BR"/>
              </w:rPr>
              <w:t xml:space="preserve">Midazolam 7.5 mg </w:t>
            </w:r>
            <w:r w:rsidR="00092E5A" w:rsidRPr="00AA5421">
              <w:rPr>
                <w:sz w:val="20"/>
                <w:lang w:val="pt-BR"/>
              </w:rPr>
              <w:t>s</w:t>
            </w:r>
            <w:r w:rsidRPr="00AA5421">
              <w:rPr>
                <w:sz w:val="20"/>
                <w:lang w:val="pt-BR"/>
              </w:rPr>
              <w:t xml:space="preserve">ingle </w:t>
            </w:r>
            <w:r w:rsidR="00092E5A" w:rsidRPr="00AA5421">
              <w:rPr>
                <w:sz w:val="20"/>
                <w:lang w:val="pt-BR"/>
              </w:rPr>
              <w:t>d</w:t>
            </w:r>
            <w:r w:rsidRPr="00AA5421">
              <w:rPr>
                <w:sz w:val="20"/>
                <w:lang w:val="pt-BR"/>
              </w:rPr>
              <w:t>ose</w:t>
            </w:r>
          </w:p>
          <w:p w:rsidR="0039337B" w:rsidRPr="006C3517" w:rsidRDefault="0039337B" w:rsidP="00D82EBF">
            <w:pPr>
              <w:tabs>
                <w:tab w:val="left" w:pos="567"/>
              </w:tabs>
              <w:rPr>
                <w:sz w:val="20"/>
                <w:lang w:val="pt-BR"/>
              </w:rPr>
            </w:pPr>
            <w:r w:rsidRPr="006C3517">
              <w:rPr>
                <w:sz w:val="20"/>
                <w:lang w:val="pt-BR"/>
              </w:rPr>
              <w:t xml:space="preserve">(maraviroc 300 mg </w:t>
            </w:r>
            <w:r w:rsidR="0003660E">
              <w:rPr>
                <w:sz w:val="20"/>
              </w:rPr>
              <w:t>twice daily</w:t>
            </w:r>
            <w:r w:rsidRPr="006C3517">
              <w:rPr>
                <w:sz w:val="20"/>
                <w:lang w:val="pt-BR"/>
              </w:rPr>
              <w:t>)</w:t>
            </w:r>
          </w:p>
        </w:tc>
        <w:tc>
          <w:tcPr>
            <w:tcW w:w="2015" w:type="pct"/>
            <w:tcBorders>
              <w:left w:val="single" w:sz="4" w:space="0" w:color="auto"/>
              <w:bottom w:val="single" w:sz="4" w:space="0" w:color="auto"/>
              <w:right w:val="single" w:sz="4" w:space="0" w:color="auto"/>
            </w:tcBorders>
          </w:tcPr>
          <w:p w:rsidR="0039337B" w:rsidRDefault="0039337B" w:rsidP="00D82EBF">
            <w:pPr>
              <w:pStyle w:val="TableTextCentered"/>
              <w:keepNext/>
              <w:tabs>
                <w:tab w:val="left" w:pos="567"/>
              </w:tabs>
              <w:jc w:val="left"/>
              <w:rPr>
                <w:lang w:val="en-GB"/>
              </w:rPr>
            </w:pPr>
            <w:proofErr w:type="spellStart"/>
            <w:r>
              <w:t>Midazolam</w:t>
            </w:r>
            <w:proofErr w:type="spellEnd"/>
            <w:r>
              <w:t xml:space="preserve">. AUC: ↔ </w:t>
            </w:r>
            <w:r>
              <w:rPr>
                <w:lang w:val="en-GB"/>
              </w:rPr>
              <w:t xml:space="preserve">1.18 </w:t>
            </w:r>
            <w:r w:rsidR="008F4631" w:rsidRPr="00DB485E">
              <w:rPr>
                <w:color w:val="000000"/>
                <w:lang w:val="en-GB"/>
              </w:rPr>
              <w:t xml:space="preserve"> </w:t>
            </w:r>
            <w:r w:rsidR="008F4631">
              <w:rPr>
                <w:color w:val="000000"/>
                <w:lang w:val="en-GB"/>
              </w:rPr>
              <w:t>(</w:t>
            </w:r>
            <w:r w:rsidR="008F4631" w:rsidRPr="00DB485E">
              <w:rPr>
                <w:color w:val="000000"/>
                <w:lang w:val="en-GB"/>
              </w:rPr>
              <w:t>1.04, 1.34)</w:t>
            </w:r>
          </w:p>
          <w:p w:rsidR="0039337B" w:rsidRDefault="0039337B" w:rsidP="00D82EBF">
            <w:pPr>
              <w:pStyle w:val="TableTextCentered"/>
              <w:keepNext/>
              <w:tabs>
                <w:tab w:val="left" w:pos="567"/>
              </w:tabs>
              <w:jc w:val="left"/>
              <w:rPr>
                <w:strike/>
                <w:lang w:val="en-GB"/>
              </w:rPr>
            </w:pPr>
            <w:proofErr w:type="spellStart"/>
            <w:r>
              <w:t>Midazolam</w:t>
            </w:r>
            <w:proofErr w:type="spellEnd"/>
            <w:r>
              <w:t xml:space="preserve">. </w:t>
            </w:r>
            <w:proofErr w:type="spellStart"/>
            <w:r>
              <w:t>C</w:t>
            </w:r>
            <w:r>
              <w:rPr>
                <w:vertAlign w:val="subscript"/>
              </w:rPr>
              <w:t>max</w:t>
            </w:r>
            <w:proofErr w:type="spellEnd"/>
            <w:r>
              <w:t xml:space="preserve">: ↔ </w:t>
            </w:r>
            <w:r>
              <w:rPr>
                <w:lang w:val="en-GB"/>
              </w:rPr>
              <w:t xml:space="preserve">1.21 </w:t>
            </w:r>
            <w:r w:rsidR="008F4631" w:rsidRPr="00DB485E">
              <w:rPr>
                <w:color w:val="000000"/>
                <w:lang w:val="en-GB"/>
              </w:rPr>
              <w:t xml:space="preserve"> (0.92, 1.60)</w:t>
            </w:r>
          </w:p>
          <w:p w:rsidR="0039337B" w:rsidRDefault="0039337B" w:rsidP="00D82EBF">
            <w:pPr>
              <w:pStyle w:val="TableTextCentered"/>
              <w:keepNext/>
              <w:tabs>
                <w:tab w:val="left" w:pos="567"/>
              </w:tabs>
              <w:jc w:val="left"/>
              <w:rPr>
                <w:lang w:val="en-GB"/>
              </w:rPr>
            </w:pPr>
            <w:proofErr w:type="spellStart"/>
            <w:r>
              <w:rPr>
                <w:lang w:val="en-GB"/>
              </w:rPr>
              <w:t>Maraviroc</w:t>
            </w:r>
            <w:proofErr w:type="spellEnd"/>
            <w:r>
              <w:rPr>
                <w:lang w:val="en-GB"/>
              </w:rPr>
              <w:t xml:space="preserve"> concentrations not measured, no interaction expected.</w:t>
            </w:r>
          </w:p>
        </w:tc>
        <w:tc>
          <w:tcPr>
            <w:tcW w:w="1614" w:type="pct"/>
            <w:tcBorders>
              <w:left w:val="single" w:sz="4" w:space="0" w:color="auto"/>
              <w:bottom w:val="single" w:sz="4" w:space="0" w:color="auto"/>
            </w:tcBorders>
          </w:tcPr>
          <w:p w:rsidR="0039337B" w:rsidRDefault="0039337B" w:rsidP="00D82EBF">
            <w:pPr>
              <w:tabs>
                <w:tab w:val="left" w:pos="567"/>
              </w:tabs>
              <w:rPr>
                <w:b/>
                <w:sz w:val="20"/>
              </w:rPr>
            </w:pPr>
            <w:r>
              <w:rPr>
                <w:b/>
                <w:sz w:val="20"/>
              </w:rPr>
              <w:t xml:space="preserve">Maraviroc 300 mg twice daily and </w:t>
            </w:r>
            <w:proofErr w:type="spellStart"/>
            <w:r>
              <w:rPr>
                <w:b/>
                <w:sz w:val="20"/>
              </w:rPr>
              <w:t>midazolam</w:t>
            </w:r>
            <w:proofErr w:type="spellEnd"/>
            <w:r>
              <w:rPr>
                <w:b/>
                <w:sz w:val="20"/>
              </w:rPr>
              <w:t xml:space="preserve"> can be co-administered without dose adjustment.</w:t>
            </w:r>
          </w:p>
        </w:tc>
      </w:tr>
      <w:tr w:rsidR="0039337B" w:rsidTr="00DB3E4D">
        <w:tc>
          <w:tcPr>
            <w:tcW w:w="1371" w:type="pct"/>
            <w:tcBorders>
              <w:right w:val="nil"/>
            </w:tcBorders>
          </w:tcPr>
          <w:p w:rsidR="0039337B" w:rsidRDefault="0039337B" w:rsidP="00D82EBF">
            <w:pPr>
              <w:tabs>
                <w:tab w:val="left" w:pos="567"/>
              </w:tabs>
              <w:rPr>
                <w:b/>
                <w:sz w:val="20"/>
              </w:rPr>
            </w:pPr>
            <w:r>
              <w:rPr>
                <w:b/>
                <w:sz w:val="20"/>
              </w:rPr>
              <w:t>HERBAL PRODUCTS</w:t>
            </w:r>
          </w:p>
        </w:tc>
        <w:tc>
          <w:tcPr>
            <w:tcW w:w="2015" w:type="pct"/>
            <w:tcBorders>
              <w:left w:val="nil"/>
              <w:right w:val="nil"/>
            </w:tcBorders>
          </w:tcPr>
          <w:p w:rsidR="0039337B" w:rsidRDefault="0039337B" w:rsidP="00D82EBF">
            <w:pPr>
              <w:pStyle w:val="TableTextCentered"/>
              <w:keepNext/>
              <w:tabs>
                <w:tab w:val="left" w:pos="567"/>
              </w:tabs>
              <w:jc w:val="left"/>
            </w:pPr>
          </w:p>
        </w:tc>
        <w:tc>
          <w:tcPr>
            <w:tcW w:w="1614" w:type="pct"/>
            <w:tcBorders>
              <w:left w:val="nil"/>
            </w:tcBorders>
          </w:tcPr>
          <w:p w:rsidR="0039337B" w:rsidRDefault="0039337B" w:rsidP="00D82EBF">
            <w:pPr>
              <w:tabs>
                <w:tab w:val="left" w:pos="567"/>
              </w:tabs>
              <w:rPr>
                <w:b/>
                <w:sz w:val="20"/>
              </w:rPr>
            </w:pPr>
          </w:p>
        </w:tc>
      </w:tr>
      <w:tr w:rsidR="0039337B" w:rsidTr="00DB3E4D">
        <w:tc>
          <w:tcPr>
            <w:tcW w:w="1371" w:type="pct"/>
            <w:tcBorders>
              <w:right w:val="single" w:sz="4" w:space="0" w:color="auto"/>
            </w:tcBorders>
          </w:tcPr>
          <w:p w:rsidR="0039337B" w:rsidRDefault="0039337B" w:rsidP="00D82EBF">
            <w:pPr>
              <w:tabs>
                <w:tab w:val="left" w:pos="567"/>
              </w:tabs>
              <w:rPr>
                <w:b/>
                <w:sz w:val="20"/>
              </w:rPr>
            </w:pPr>
            <w:smartTag w:uri="urn:schemas-microsoft-com:office:smarttags" w:element="place">
              <w:smartTag w:uri="urn:schemas-microsoft-com:office:smarttags" w:element="City">
                <w:r>
                  <w:rPr>
                    <w:b/>
                    <w:sz w:val="20"/>
                  </w:rPr>
                  <w:t>St John’s</w:t>
                </w:r>
              </w:smartTag>
            </w:smartTag>
            <w:r>
              <w:rPr>
                <w:b/>
                <w:sz w:val="20"/>
              </w:rPr>
              <w:t xml:space="preserve"> </w:t>
            </w:r>
            <w:proofErr w:type="spellStart"/>
            <w:r>
              <w:rPr>
                <w:b/>
                <w:sz w:val="20"/>
              </w:rPr>
              <w:t>Wort</w:t>
            </w:r>
            <w:proofErr w:type="spellEnd"/>
          </w:p>
        </w:tc>
        <w:tc>
          <w:tcPr>
            <w:tcW w:w="2015" w:type="pct"/>
            <w:tcBorders>
              <w:left w:val="single" w:sz="4" w:space="0" w:color="auto"/>
              <w:right w:val="single" w:sz="4" w:space="0" w:color="auto"/>
            </w:tcBorders>
          </w:tcPr>
          <w:p w:rsidR="0039337B" w:rsidRDefault="0039337B" w:rsidP="00D82EBF">
            <w:pPr>
              <w:tabs>
                <w:tab w:val="left" w:pos="567"/>
              </w:tabs>
              <w:autoSpaceDE w:val="0"/>
              <w:autoSpaceDN w:val="0"/>
              <w:adjustRightInd w:val="0"/>
              <w:rPr>
                <w:sz w:val="20"/>
              </w:rPr>
            </w:pPr>
            <w:r>
              <w:rPr>
                <w:sz w:val="20"/>
              </w:rPr>
              <w:t xml:space="preserve">Co-administration of maraviroc with </w:t>
            </w:r>
            <w:smartTag w:uri="urn:schemas-microsoft-com:office:smarttags" w:element="City">
              <w:smartTag w:uri="urn:schemas-microsoft-com:office:smarttags" w:element="place">
                <w:r>
                  <w:rPr>
                    <w:sz w:val="20"/>
                  </w:rPr>
                  <w:t>St. John's</w:t>
                </w:r>
              </w:smartTag>
            </w:smartTag>
            <w:r>
              <w:rPr>
                <w:sz w:val="20"/>
              </w:rPr>
              <w:t xml:space="preserve"> </w:t>
            </w:r>
            <w:proofErr w:type="spellStart"/>
            <w:r>
              <w:rPr>
                <w:sz w:val="20"/>
              </w:rPr>
              <w:t>Wort</w:t>
            </w:r>
            <w:proofErr w:type="spellEnd"/>
            <w:r>
              <w:rPr>
                <w:sz w:val="20"/>
              </w:rPr>
              <w:t xml:space="preserve"> is expected to substantially decrease maraviroc concentrations and may result in suboptimal levels and lead to loss of </w:t>
            </w:r>
            <w:proofErr w:type="spellStart"/>
            <w:r>
              <w:rPr>
                <w:sz w:val="20"/>
              </w:rPr>
              <w:t>virologic</w:t>
            </w:r>
            <w:proofErr w:type="spellEnd"/>
            <w:r>
              <w:rPr>
                <w:sz w:val="20"/>
              </w:rPr>
              <w:t xml:space="preserve"> response and possible resistance to maraviroc.</w:t>
            </w:r>
          </w:p>
        </w:tc>
        <w:tc>
          <w:tcPr>
            <w:tcW w:w="1614" w:type="pct"/>
            <w:tcBorders>
              <w:left w:val="single" w:sz="4" w:space="0" w:color="auto"/>
            </w:tcBorders>
          </w:tcPr>
          <w:p w:rsidR="0039337B" w:rsidRDefault="0039337B" w:rsidP="00D82EBF">
            <w:pPr>
              <w:tabs>
                <w:tab w:val="left" w:pos="567"/>
              </w:tabs>
              <w:rPr>
                <w:b/>
                <w:sz w:val="20"/>
              </w:rPr>
            </w:pPr>
            <w:r>
              <w:rPr>
                <w:b/>
                <w:sz w:val="20"/>
              </w:rPr>
              <w:t xml:space="preserve">Concomitant use of maraviroc and </w:t>
            </w:r>
            <w:smartTag w:uri="urn:schemas-microsoft-com:office:smarttags" w:element="City">
              <w:r>
                <w:rPr>
                  <w:b/>
                  <w:sz w:val="20"/>
                </w:rPr>
                <w:t>St. John's</w:t>
              </w:r>
            </w:smartTag>
            <w:r>
              <w:rPr>
                <w:b/>
                <w:sz w:val="20"/>
              </w:rPr>
              <w:t xml:space="preserve"> </w:t>
            </w:r>
            <w:proofErr w:type="spellStart"/>
            <w:r>
              <w:rPr>
                <w:b/>
                <w:sz w:val="20"/>
              </w:rPr>
              <w:t>Wort</w:t>
            </w:r>
            <w:proofErr w:type="spellEnd"/>
            <w:r>
              <w:rPr>
                <w:b/>
                <w:sz w:val="20"/>
              </w:rPr>
              <w:t xml:space="preserve"> (</w:t>
            </w:r>
            <w:proofErr w:type="spellStart"/>
            <w:r>
              <w:rPr>
                <w:b/>
                <w:sz w:val="20"/>
              </w:rPr>
              <w:t>Hypericum</w:t>
            </w:r>
            <w:proofErr w:type="spellEnd"/>
            <w:r>
              <w:rPr>
                <w:b/>
                <w:sz w:val="20"/>
              </w:rPr>
              <w:t xml:space="preserve"> </w:t>
            </w:r>
            <w:proofErr w:type="spellStart"/>
            <w:r>
              <w:rPr>
                <w:b/>
                <w:sz w:val="20"/>
              </w:rPr>
              <w:t>Perforatum</w:t>
            </w:r>
            <w:proofErr w:type="spellEnd"/>
            <w:r>
              <w:rPr>
                <w:b/>
                <w:sz w:val="20"/>
              </w:rPr>
              <w:t xml:space="preserve">) or products containing </w:t>
            </w:r>
            <w:smartTag w:uri="urn:schemas-microsoft-com:office:smarttags" w:element="place">
              <w:smartTag w:uri="urn:schemas-microsoft-com:office:smarttags" w:element="City">
                <w:r>
                  <w:rPr>
                    <w:b/>
                    <w:sz w:val="20"/>
                  </w:rPr>
                  <w:t>St. John's</w:t>
                </w:r>
              </w:smartTag>
            </w:smartTag>
            <w:r>
              <w:rPr>
                <w:b/>
                <w:sz w:val="20"/>
              </w:rPr>
              <w:t xml:space="preserve"> </w:t>
            </w:r>
            <w:proofErr w:type="spellStart"/>
            <w:r>
              <w:rPr>
                <w:b/>
                <w:sz w:val="20"/>
              </w:rPr>
              <w:t>wort</w:t>
            </w:r>
            <w:proofErr w:type="spellEnd"/>
            <w:r>
              <w:rPr>
                <w:b/>
                <w:sz w:val="20"/>
              </w:rPr>
              <w:t xml:space="preserve"> is not recommended.</w:t>
            </w:r>
          </w:p>
        </w:tc>
      </w:tr>
    </w:tbl>
    <w:p w:rsidR="00E66B00" w:rsidRPr="00EB4A2C" w:rsidRDefault="00E66B00" w:rsidP="004D6F00">
      <w:pPr>
        <w:pStyle w:val="Heading1"/>
        <w:rPr>
          <w:lang w:val="en-GB"/>
        </w:rPr>
      </w:pPr>
      <w:r w:rsidRPr="00EB4A2C">
        <w:rPr>
          <w:lang w:val="en-GB"/>
        </w:rPr>
        <w:t>ADVERSE EFFECTS</w:t>
      </w:r>
    </w:p>
    <w:p w:rsidR="00997047" w:rsidRDefault="00997047" w:rsidP="00EC34A5">
      <w:pPr>
        <w:autoSpaceDE w:val="0"/>
        <w:autoSpaceDN w:val="0"/>
        <w:adjustRightInd w:val="0"/>
        <w:spacing w:after="240"/>
        <w:rPr>
          <w:color w:val="000000"/>
          <w:sz w:val="23"/>
          <w:szCs w:val="23"/>
          <w:lang w:eastAsia="en-AU"/>
        </w:rPr>
      </w:pPr>
      <w:r w:rsidRPr="00997047">
        <w:rPr>
          <w:color w:val="000000"/>
          <w:sz w:val="23"/>
          <w:szCs w:val="23"/>
          <w:lang w:eastAsia="en-AU"/>
        </w:rPr>
        <w:t xml:space="preserve">The following adverse </w:t>
      </w:r>
      <w:r>
        <w:rPr>
          <w:color w:val="000000"/>
          <w:sz w:val="23"/>
          <w:szCs w:val="23"/>
          <w:lang w:eastAsia="en-AU"/>
        </w:rPr>
        <w:t>effects</w:t>
      </w:r>
      <w:r w:rsidRPr="00997047">
        <w:rPr>
          <w:color w:val="000000"/>
          <w:sz w:val="23"/>
          <w:szCs w:val="23"/>
          <w:lang w:eastAsia="en-AU"/>
        </w:rPr>
        <w:t xml:space="preserve"> are discussed in other sections of the </w:t>
      </w:r>
      <w:r w:rsidR="00F3083D">
        <w:rPr>
          <w:color w:val="000000"/>
          <w:sz w:val="23"/>
          <w:szCs w:val="23"/>
          <w:lang w:eastAsia="en-AU"/>
        </w:rPr>
        <w:t>Product I</w:t>
      </w:r>
      <w:r>
        <w:rPr>
          <w:color w:val="000000"/>
          <w:sz w:val="23"/>
          <w:szCs w:val="23"/>
          <w:lang w:eastAsia="en-AU"/>
        </w:rPr>
        <w:t>nformation</w:t>
      </w:r>
      <w:r w:rsidRPr="00997047">
        <w:rPr>
          <w:color w:val="000000"/>
          <w:sz w:val="23"/>
          <w:szCs w:val="23"/>
          <w:lang w:eastAsia="en-AU"/>
        </w:rPr>
        <w:t xml:space="preserve">: </w:t>
      </w:r>
    </w:p>
    <w:p w:rsidR="00997047" w:rsidRPr="001C2F84" w:rsidRDefault="00997047" w:rsidP="001C2F84">
      <w:pPr>
        <w:pStyle w:val="ListParagraph"/>
        <w:numPr>
          <w:ilvl w:val="0"/>
          <w:numId w:val="20"/>
        </w:numPr>
        <w:tabs>
          <w:tab w:val="clear" w:pos="3240"/>
          <w:tab w:val="num" w:pos="709"/>
        </w:tabs>
        <w:autoSpaceDE w:val="0"/>
        <w:autoSpaceDN w:val="0"/>
        <w:adjustRightInd w:val="0"/>
        <w:ind w:hanging="2956"/>
        <w:rPr>
          <w:color w:val="000000"/>
          <w:sz w:val="23"/>
          <w:szCs w:val="23"/>
          <w:lang w:eastAsia="en-AU"/>
        </w:rPr>
      </w:pPr>
      <w:r w:rsidRPr="001C2F84">
        <w:rPr>
          <w:color w:val="000000"/>
          <w:sz w:val="23"/>
          <w:szCs w:val="23"/>
          <w:lang w:eastAsia="en-AU"/>
        </w:rPr>
        <w:t xml:space="preserve">Hepatotoxicity </w:t>
      </w:r>
      <w:r w:rsidRPr="001C2F84">
        <w:rPr>
          <w:iCs/>
          <w:color w:val="000000"/>
          <w:sz w:val="23"/>
          <w:szCs w:val="23"/>
          <w:lang w:eastAsia="en-AU"/>
        </w:rPr>
        <w:t>(see PRECAUTIONS)</w:t>
      </w:r>
    </w:p>
    <w:p w:rsidR="00997047" w:rsidRPr="00997047" w:rsidRDefault="00997047" w:rsidP="001C2F84">
      <w:pPr>
        <w:tabs>
          <w:tab w:val="num" w:pos="709"/>
        </w:tabs>
        <w:autoSpaceDE w:val="0"/>
        <w:autoSpaceDN w:val="0"/>
        <w:adjustRightInd w:val="0"/>
        <w:ind w:hanging="2956"/>
        <w:rPr>
          <w:color w:val="000000"/>
          <w:sz w:val="23"/>
          <w:szCs w:val="23"/>
          <w:lang w:eastAsia="en-AU"/>
        </w:rPr>
      </w:pPr>
    </w:p>
    <w:p w:rsidR="00997047" w:rsidRPr="001C2F84" w:rsidRDefault="00997047" w:rsidP="00A16155">
      <w:pPr>
        <w:pStyle w:val="ListParagraph"/>
        <w:numPr>
          <w:ilvl w:val="0"/>
          <w:numId w:val="20"/>
        </w:numPr>
        <w:tabs>
          <w:tab w:val="clear" w:pos="3240"/>
          <w:tab w:val="num" w:pos="709"/>
        </w:tabs>
        <w:autoSpaceDE w:val="0"/>
        <w:autoSpaceDN w:val="0"/>
        <w:adjustRightInd w:val="0"/>
        <w:spacing w:after="240"/>
        <w:ind w:left="3238" w:hanging="2954"/>
        <w:rPr>
          <w:color w:val="000000"/>
          <w:sz w:val="23"/>
          <w:szCs w:val="23"/>
          <w:lang w:eastAsia="en-AU"/>
        </w:rPr>
      </w:pPr>
      <w:r w:rsidRPr="001C2F84">
        <w:rPr>
          <w:color w:val="000000"/>
          <w:sz w:val="23"/>
          <w:szCs w:val="23"/>
          <w:lang w:eastAsia="en-AU"/>
        </w:rPr>
        <w:t>Cardiovascular e</w:t>
      </w:r>
      <w:r w:rsidR="003A78B6">
        <w:rPr>
          <w:color w:val="000000"/>
          <w:sz w:val="23"/>
          <w:szCs w:val="23"/>
          <w:lang w:eastAsia="en-AU"/>
        </w:rPr>
        <w:t>ffects</w:t>
      </w:r>
      <w:r w:rsidRPr="001C2F84">
        <w:rPr>
          <w:color w:val="000000"/>
          <w:sz w:val="23"/>
          <w:szCs w:val="23"/>
          <w:lang w:eastAsia="en-AU"/>
        </w:rPr>
        <w:t xml:space="preserve"> </w:t>
      </w:r>
      <w:r w:rsidRPr="001C2F84">
        <w:rPr>
          <w:iCs/>
          <w:color w:val="000000"/>
          <w:sz w:val="23"/>
          <w:szCs w:val="23"/>
          <w:lang w:eastAsia="en-AU"/>
        </w:rPr>
        <w:t>(see PRECAUTIONS)</w:t>
      </w:r>
    </w:p>
    <w:p w:rsidR="009C54F6" w:rsidRPr="00287FA2" w:rsidRDefault="009C54F6" w:rsidP="00A14534">
      <w:pPr>
        <w:pStyle w:val="Heading2"/>
      </w:pPr>
      <w:r w:rsidRPr="00287FA2">
        <w:t xml:space="preserve">Studies in Treatment-Experienced </w:t>
      </w:r>
      <w:r w:rsidR="00551A77">
        <w:t>Patients</w:t>
      </w:r>
    </w:p>
    <w:p w:rsidR="002156C4" w:rsidRPr="002156C4" w:rsidRDefault="002156C4" w:rsidP="009E109C">
      <w:pPr>
        <w:spacing w:after="240"/>
        <w:jc w:val="both"/>
        <w:rPr>
          <w:noProof/>
          <w:color w:val="000000"/>
        </w:rPr>
      </w:pPr>
      <w:r w:rsidRPr="002156C4">
        <w:t>The safety profile of</w:t>
      </w:r>
      <w:r w:rsidRPr="002156C4">
        <w:rPr>
          <w:color w:val="FF0000"/>
        </w:rPr>
        <w:t xml:space="preserve"> </w:t>
      </w:r>
      <w:r>
        <w:rPr>
          <w:noProof/>
        </w:rPr>
        <w:t>CELSENTRI</w:t>
      </w:r>
      <w:r w:rsidRPr="002156C4">
        <w:rPr>
          <w:bCs/>
          <w:vertAlign w:val="superscript"/>
        </w:rPr>
        <w:t xml:space="preserve"> </w:t>
      </w:r>
      <w:r w:rsidRPr="002156C4">
        <w:t xml:space="preserve">is primarily based on 840 HIV-infected </w:t>
      </w:r>
      <w:r w:rsidR="00306C28">
        <w:t>patients</w:t>
      </w:r>
      <w:r w:rsidRPr="002156C4">
        <w:t xml:space="preserve"> who received at least one dose of </w:t>
      </w:r>
      <w:r>
        <w:rPr>
          <w:noProof/>
        </w:rPr>
        <w:t>CELSENTRI</w:t>
      </w:r>
      <w:r w:rsidRPr="002156C4">
        <w:t xml:space="preserve"> during two Phase 3 trials.  A total of 426 of these </w:t>
      </w:r>
      <w:r w:rsidR="00306C28">
        <w:t>patients</w:t>
      </w:r>
      <w:r w:rsidRPr="002156C4">
        <w:t xml:space="preserve"> received the indicated twice daily dosing regimen.</w:t>
      </w:r>
    </w:p>
    <w:p w:rsidR="0048717C" w:rsidRPr="001A3B22" w:rsidRDefault="0048717C" w:rsidP="0048717C">
      <w:pPr>
        <w:pStyle w:val="Default"/>
        <w:spacing w:after="240"/>
        <w:jc w:val="both"/>
        <w:rPr>
          <w:rFonts w:eastAsia="MS Mincho"/>
          <w:noProof/>
          <w:lang w:eastAsia="ja-JP"/>
        </w:rPr>
      </w:pPr>
      <w:r w:rsidRPr="001A3B22">
        <w:rPr>
          <w:rFonts w:eastAsia="MS Mincho"/>
          <w:noProof/>
        </w:rPr>
        <w:t xml:space="preserve">Assessment of treatment-emergent adverse events is based on the pooled data from two studies in </w:t>
      </w:r>
      <w:r w:rsidR="008609B6">
        <w:rPr>
          <w:rFonts w:eastAsia="MS Mincho"/>
          <w:noProof/>
        </w:rPr>
        <w:t>patien</w:t>
      </w:r>
      <w:r w:rsidRPr="001A3B22">
        <w:rPr>
          <w:rFonts w:eastAsia="MS Mincho"/>
          <w:noProof/>
        </w:rPr>
        <w:t xml:space="preserve">ts </w:t>
      </w:r>
      <w:r>
        <w:rPr>
          <w:rFonts w:eastAsia="MS Mincho"/>
          <w:noProof/>
        </w:rPr>
        <w:t>with CCR5-tropic HIV-1 (MOTIVATE-1 and MOTIVATE-2</w:t>
      </w:r>
      <w:r w:rsidRPr="001A3B22">
        <w:rPr>
          <w:rFonts w:eastAsia="MS Mincho"/>
          <w:noProof/>
        </w:rPr>
        <w:t xml:space="preserve">). </w:t>
      </w:r>
      <w:r w:rsidRPr="001A3B22">
        <w:rPr>
          <w:rFonts w:eastAsia="MS Mincho"/>
          <w:noProof/>
        </w:rPr>
        <w:lastRenderedPageBreak/>
        <w:t xml:space="preserve">The median duration of maraviroc therapy for </w:t>
      </w:r>
      <w:r w:rsidR="008609B6">
        <w:rPr>
          <w:rFonts w:eastAsia="MS Mincho"/>
          <w:noProof/>
        </w:rPr>
        <w:t>patien</w:t>
      </w:r>
      <w:r w:rsidRPr="001A3B22">
        <w:rPr>
          <w:rFonts w:eastAsia="MS Mincho"/>
          <w:noProof/>
        </w:rPr>
        <w:t xml:space="preserve">ts in these studies was </w:t>
      </w:r>
      <w:r>
        <w:rPr>
          <w:rFonts w:eastAsia="MS Mincho"/>
          <w:noProof/>
        </w:rPr>
        <w:t>48</w:t>
      </w:r>
      <w:r w:rsidRPr="001A3B22">
        <w:rPr>
          <w:rFonts w:eastAsia="MS Mincho"/>
          <w:noProof/>
        </w:rPr>
        <w:t xml:space="preserve"> weeks, with the total exposure on </w:t>
      </w:r>
      <w:r>
        <w:rPr>
          <w:rFonts w:eastAsia="MS Mincho"/>
          <w:noProof/>
        </w:rPr>
        <w:t>CELSENTRI</w:t>
      </w:r>
      <w:r w:rsidRPr="001A3B22">
        <w:rPr>
          <w:rFonts w:eastAsia="MS Mincho"/>
          <w:noProof/>
        </w:rPr>
        <w:t xml:space="preserve"> twice daily at </w:t>
      </w:r>
      <w:r>
        <w:rPr>
          <w:rFonts w:eastAsia="MS Mincho"/>
          <w:noProof/>
        </w:rPr>
        <w:t>309</w:t>
      </w:r>
      <w:r w:rsidRPr="001A3B22">
        <w:rPr>
          <w:rFonts w:eastAsia="MS Mincho"/>
          <w:noProof/>
        </w:rPr>
        <w:t xml:space="preserve"> patient-years versus </w:t>
      </w:r>
      <w:r>
        <w:rPr>
          <w:rFonts w:eastAsia="MS Mincho"/>
          <w:noProof/>
        </w:rPr>
        <w:t>111</w:t>
      </w:r>
      <w:r w:rsidRPr="001A3B22">
        <w:rPr>
          <w:rFonts w:eastAsia="MS Mincho"/>
          <w:noProof/>
        </w:rPr>
        <w:t xml:space="preserve"> patient-years on </w:t>
      </w:r>
      <w:r>
        <w:rPr>
          <w:rFonts w:eastAsia="MS Mincho"/>
          <w:noProof/>
        </w:rPr>
        <w:t>placebo + OBT</w:t>
      </w:r>
      <w:r w:rsidRPr="001A3B22">
        <w:rPr>
          <w:rFonts w:eastAsia="MS Mincho"/>
          <w:noProof/>
        </w:rPr>
        <w:t xml:space="preserve">. The population was 89% male and 84% white, with mean age of 46 years (range 17-75 years). </w:t>
      </w:r>
      <w:r w:rsidR="008609B6">
        <w:rPr>
          <w:rFonts w:eastAsia="MS Mincho"/>
          <w:noProof/>
        </w:rPr>
        <w:t>Patien</w:t>
      </w:r>
      <w:r w:rsidRPr="001A3B22">
        <w:rPr>
          <w:rFonts w:eastAsia="MS Mincho"/>
          <w:noProof/>
        </w:rPr>
        <w:t>ts received dose equivalents of 300 mg</w:t>
      </w:r>
      <w:r>
        <w:rPr>
          <w:rFonts w:eastAsia="MS Mincho"/>
          <w:noProof/>
        </w:rPr>
        <w:t xml:space="preserve"> maraviroc once or twice daily.</w:t>
      </w:r>
    </w:p>
    <w:p w:rsidR="0048717C" w:rsidRPr="001A3B22" w:rsidRDefault="0048717C" w:rsidP="0048717C">
      <w:pPr>
        <w:pStyle w:val="Default"/>
        <w:spacing w:after="240"/>
        <w:jc w:val="both"/>
      </w:pPr>
      <w:r w:rsidRPr="001A3B22">
        <w:t xml:space="preserve">The most common adverse events reported with </w:t>
      </w:r>
      <w:r>
        <w:t>CELSENTRI</w:t>
      </w:r>
      <w:r w:rsidRPr="001A3B22">
        <w:t xml:space="preserve"> twice daily</w:t>
      </w:r>
      <w:r>
        <w:t xml:space="preserve"> </w:t>
      </w:r>
      <w:r w:rsidRPr="001A3B22">
        <w:t xml:space="preserve">therapy with frequency rates higher than </w:t>
      </w:r>
      <w:r>
        <w:t>placebo</w:t>
      </w:r>
      <w:r w:rsidRPr="001A3B22">
        <w:t>, regardless of causality, were</w:t>
      </w:r>
      <w:r>
        <w:t xml:space="preserve"> upper respiratory tract infections,</w:t>
      </w:r>
      <w:r w:rsidRPr="001A3B22">
        <w:t xml:space="preserve"> cough, pyrexia, rash, and dizziness. Additional adverse events that occurred with once daily dosing at a higher rate than both </w:t>
      </w:r>
      <w:r>
        <w:t>placebo</w:t>
      </w:r>
      <w:r w:rsidRPr="001A3B22">
        <w:t xml:space="preserve"> and twice daily dosing were diarrhoea, oedema, influenza, oesophageal candidiasis, sleep disorders, rhinitis, </w:t>
      </w:r>
      <w:proofErr w:type="spellStart"/>
      <w:r w:rsidRPr="001A3B22">
        <w:t>parasomnias</w:t>
      </w:r>
      <w:proofErr w:type="spellEnd"/>
      <w:r w:rsidRPr="001A3B22">
        <w:t>, and urinary abnormalities. In these two studies, the rate of discontinuation due to adverse events</w:t>
      </w:r>
      <w:r>
        <w:t xml:space="preserve"> was 5% for </w:t>
      </w:r>
      <w:r w:rsidR="00551A77">
        <w:t>patients</w:t>
      </w:r>
      <w:r>
        <w:t xml:space="preserve"> who received CELSENTRI twice daily + optimised background therapy (OBT) as well as those who received OBT alone.</w:t>
      </w:r>
      <w:r w:rsidRPr="001A3B22">
        <w:t xml:space="preserve"> Most of the adverse events reported were judged to be mild to moderate in severity. The data described below occurred with </w:t>
      </w:r>
      <w:r>
        <w:t>CELSENTRI</w:t>
      </w:r>
      <w:r w:rsidRPr="001A3B22">
        <w:t xml:space="preserve"> twice daily dosing. </w:t>
      </w:r>
    </w:p>
    <w:p w:rsidR="0048717C" w:rsidRPr="001A3B22" w:rsidRDefault="0048717C" w:rsidP="0048717C">
      <w:pPr>
        <w:pStyle w:val="Default"/>
        <w:spacing w:after="240"/>
        <w:jc w:val="both"/>
      </w:pPr>
      <w:r w:rsidRPr="001A3B22">
        <w:t>The tot</w:t>
      </w:r>
      <w:r w:rsidR="008609B6">
        <w:t>al number of patien</w:t>
      </w:r>
      <w:r w:rsidRPr="001A3B22">
        <w:t xml:space="preserve">ts reporting infections were </w:t>
      </w:r>
      <w:r>
        <w:t>233</w:t>
      </w:r>
      <w:r w:rsidRPr="001A3B22">
        <w:t xml:space="preserve"> (</w:t>
      </w:r>
      <w:r>
        <w:t>55</w:t>
      </w:r>
      <w:r w:rsidRPr="001A3B22">
        <w:t xml:space="preserve">%) and </w:t>
      </w:r>
      <w:r>
        <w:t>84</w:t>
      </w:r>
      <w:r w:rsidRPr="001A3B22">
        <w:t xml:space="preserve"> (</w:t>
      </w:r>
      <w:r>
        <w:t>40</w:t>
      </w:r>
      <w:r w:rsidRPr="001A3B22">
        <w:t xml:space="preserve">%) in the </w:t>
      </w:r>
      <w:r>
        <w:t>CELSENTRI</w:t>
      </w:r>
      <w:r w:rsidRPr="001A3B22">
        <w:t xml:space="preserve"> twice daily</w:t>
      </w:r>
      <w:r>
        <w:t xml:space="preserve"> </w:t>
      </w:r>
      <w:r w:rsidRPr="001A3B22">
        <w:t xml:space="preserve">and </w:t>
      </w:r>
      <w:r>
        <w:t>placebo</w:t>
      </w:r>
      <w:r w:rsidRPr="001A3B22">
        <w:t xml:space="preserve"> groups, respectively. Correcting for the longer duration of exposure on </w:t>
      </w:r>
      <w:r>
        <w:t>CELSENTRI</w:t>
      </w:r>
      <w:r w:rsidRPr="001A3B22">
        <w:t xml:space="preserve"> compared to </w:t>
      </w:r>
      <w:r>
        <w:t>placebo</w:t>
      </w:r>
      <w:r w:rsidRPr="001A3B22">
        <w:t xml:space="preserve">, the exposure-adjusted frequency (rate per 100 subject-years) of these events was </w:t>
      </w:r>
      <w:r>
        <w:t>133</w:t>
      </w:r>
      <w:r w:rsidRPr="001A3B22">
        <w:t xml:space="preserve"> for </w:t>
      </w:r>
      <w:r>
        <w:t>both CELSENTRI</w:t>
      </w:r>
      <w:r w:rsidRPr="001A3B22">
        <w:t xml:space="preserve"> </w:t>
      </w:r>
      <w:r>
        <w:t xml:space="preserve">twice daily </w:t>
      </w:r>
      <w:r w:rsidRPr="001A3B22">
        <w:t xml:space="preserve">and </w:t>
      </w:r>
      <w:r>
        <w:t>placebo.</w:t>
      </w:r>
    </w:p>
    <w:p w:rsidR="0048717C" w:rsidRPr="001A3B22" w:rsidRDefault="0048717C" w:rsidP="0048717C">
      <w:pPr>
        <w:pStyle w:val="Default"/>
        <w:spacing w:after="240"/>
        <w:jc w:val="both"/>
      </w:pPr>
      <w:r w:rsidRPr="001A3B22">
        <w:t>Dizziness or postural dizziness occurred in</w:t>
      </w:r>
      <w:r>
        <w:t xml:space="preserve"> 8% of </w:t>
      </w:r>
      <w:r w:rsidR="00551A77">
        <w:t>patients</w:t>
      </w:r>
      <w:r>
        <w:t xml:space="preserve"> on either</w:t>
      </w:r>
      <w:r w:rsidRPr="001A3B22">
        <w:t xml:space="preserve"> </w:t>
      </w:r>
      <w:r>
        <w:t>CELSENTRI or</w:t>
      </w:r>
      <w:r w:rsidRPr="001A3B22">
        <w:t xml:space="preserve"> placebo, </w:t>
      </w:r>
      <w:r w:rsidR="008609B6">
        <w:t>with 2 patien</w:t>
      </w:r>
      <w:r w:rsidRPr="001A3B22">
        <w:t xml:space="preserve">ts (0.5%) on </w:t>
      </w:r>
      <w:r>
        <w:t>CELSENTRI</w:t>
      </w:r>
      <w:r w:rsidRPr="001A3B22">
        <w:t xml:space="preserve"> </w:t>
      </w:r>
      <w:r>
        <w:t xml:space="preserve">permanently </w:t>
      </w:r>
      <w:r w:rsidRPr="001A3B22">
        <w:t xml:space="preserve">discontinuing therapy (1 due to syncope, 1 due to orthostatic hypotension) versus 1 subject on placebo (0.5%) </w:t>
      </w:r>
      <w:r>
        <w:t xml:space="preserve">permanently </w:t>
      </w:r>
      <w:r w:rsidRPr="001A3B22">
        <w:t>discontinuing therapy due to dizziness.</w:t>
      </w:r>
    </w:p>
    <w:p w:rsidR="0048717C" w:rsidRPr="00D03601" w:rsidRDefault="0048717C" w:rsidP="0048717C">
      <w:pPr>
        <w:autoSpaceDE w:val="0"/>
        <w:autoSpaceDN w:val="0"/>
        <w:adjustRightInd w:val="0"/>
        <w:spacing w:after="240"/>
        <w:jc w:val="both"/>
        <w:rPr>
          <w:rFonts w:eastAsia="Times New Roman"/>
          <w:lang w:eastAsia="en-AU"/>
        </w:rPr>
      </w:pPr>
      <w:r w:rsidRPr="00D03601">
        <w:rPr>
          <w:lang w:eastAsia="en-AU"/>
        </w:rPr>
        <w:t xml:space="preserve">Treatment-emergent adverse events, regardless of causality, from Studies </w:t>
      </w:r>
      <w:r>
        <w:rPr>
          <w:bCs/>
          <w:lang w:eastAsia="en-AU"/>
        </w:rPr>
        <w:t>MOTIVATE-1</w:t>
      </w:r>
      <w:r w:rsidRPr="00D03601">
        <w:rPr>
          <w:b/>
          <w:bCs/>
          <w:lang w:eastAsia="en-AU"/>
        </w:rPr>
        <w:t xml:space="preserve"> </w:t>
      </w:r>
      <w:r w:rsidRPr="00D03601">
        <w:rPr>
          <w:lang w:eastAsia="en-AU"/>
        </w:rPr>
        <w:t xml:space="preserve">and </w:t>
      </w:r>
      <w:r>
        <w:rPr>
          <w:bCs/>
          <w:lang w:eastAsia="en-AU"/>
        </w:rPr>
        <w:t>MOTIVATE-2</w:t>
      </w:r>
      <w:r w:rsidRPr="00D03601">
        <w:rPr>
          <w:b/>
          <w:bCs/>
          <w:lang w:eastAsia="en-AU"/>
        </w:rPr>
        <w:t xml:space="preserve"> </w:t>
      </w:r>
      <w:r w:rsidRPr="00D03601">
        <w:rPr>
          <w:lang w:eastAsia="en-AU"/>
        </w:rPr>
        <w:t xml:space="preserve">are summarised in Table </w:t>
      </w:r>
      <w:r>
        <w:rPr>
          <w:lang w:eastAsia="en-AU"/>
        </w:rPr>
        <w:t>8</w:t>
      </w:r>
      <w:r w:rsidRPr="00D03601">
        <w:rPr>
          <w:lang w:eastAsia="en-AU"/>
        </w:rPr>
        <w:t xml:space="preserve">. </w:t>
      </w:r>
      <w:r>
        <w:rPr>
          <w:lang w:eastAsia="en-AU"/>
        </w:rPr>
        <w:t>Selected e</w:t>
      </w:r>
      <w:r w:rsidR="008609B6">
        <w:rPr>
          <w:lang w:eastAsia="en-AU"/>
        </w:rPr>
        <w:t>vents occurring at ≥2% of patien</w:t>
      </w:r>
      <w:r w:rsidRPr="00D03601">
        <w:rPr>
          <w:lang w:eastAsia="en-AU"/>
        </w:rPr>
        <w:t>ts and at a n</w:t>
      </w:r>
      <w:r w:rsidR="008609B6">
        <w:rPr>
          <w:lang w:eastAsia="en-AU"/>
        </w:rPr>
        <w:t>umerically higher rate in patien</w:t>
      </w:r>
      <w:r w:rsidRPr="00D03601">
        <w:rPr>
          <w:lang w:eastAsia="en-AU"/>
        </w:rPr>
        <w:t xml:space="preserve">ts treated with CELSENTRI + OBT are included; events that occurred at </w:t>
      </w:r>
      <w:r>
        <w:rPr>
          <w:lang w:eastAsia="en-AU"/>
        </w:rPr>
        <w:t>the same or</w:t>
      </w:r>
      <w:r w:rsidRPr="00D03601">
        <w:rPr>
          <w:lang w:eastAsia="en-AU"/>
        </w:rPr>
        <w:t xml:space="preserve"> higher rate on OBT alone</w:t>
      </w:r>
      <w:r>
        <w:rPr>
          <w:lang w:eastAsia="en-AU"/>
        </w:rPr>
        <w:t xml:space="preserve"> </w:t>
      </w:r>
      <w:r w:rsidRPr="00D03601">
        <w:rPr>
          <w:lang w:eastAsia="en-AU"/>
        </w:rPr>
        <w:t>are not displayed.</w:t>
      </w:r>
    </w:p>
    <w:p w:rsidR="0048717C" w:rsidRDefault="0048717C" w:rsidP="0048717C">
      <w:pPr>
        <w:keepNext/>
        <w:autoSpaceDE w:val="0"/>
        <w:autoSpaceDN w:val="0"/>
        <w:adjustRightInd w:val="0"/>
        <w:rPr>
          <w:rFonts w:ascii="TimesNewRomanPS-BoldMT" w:eastAsia="Times New Roman" w:hAnsi="TimesNewRomanPS-BoldMT" w:cs="TimesNewRomanPS-BoldMT"/>
          <w:b/>
          <w:bCs/>
          <w:sz w:val="22"/>
          <w:szCs w:val="22"/>
          <w:lang w:eastAsia="en-AU"/>
        </w:rPr>
      </w:pPr>
      <w:r w:rsidRPr="00D325F1">
        <w:rPr>
          <w:b/>
          <w:bCs/>
        </w:rPr>
        <w:t xml:space="preserve">Table </w:t>
      </w:r>
      <w:r>
        <w:rPr>
          <w:b/>
          <w:bCs/>
        </w:rPr>
        <w:t>8:</w:t>
      </w:r>
      <w:r w:rsidRPr="00D325F1">
        <w:rPr>
          <w:b/>
          <w:bCs/>
        </w:rPr>
        <w:t xml:space="preserve"> </w:t>
      </w:r>
      <w:r w:rsidR="00DF4B3C">
        <w:rPr>
          <w:b/>
          <w:bCs/>
        </w:rPr>
        <w:t xml:space="preserve"> </w:t>
      </w:r>
      <w:r w:rsidR="008609B6">
        <w:rPr>
          <w:rFonts w:ascii="TimesNewRomanPS-BoldMT" w:eastAsia="Times New Roman" w:hAnsi="TimesNewRomanPS-BoldMT" w:cs="TimesNewRomanPS-BoldMT"/>
          <w:b/>
          <w:bCs/>
          <w:sz w:val="22"/>
          <w:szCs w:val="22"/>
          <w:lang w:eastAsia="en-AU"/>
        </w:rPr>
        <w:t>Percentage of Patien</w:t>
      </w:r>
      <w:r>
        <w:rPr>
          <w:rFonts w:ascii="TimesNewRomanPS-BoldMT" w:eastAsia="Times New Roman" w:hAnsi="TimesNewRomanPS-BoldMT" w:cs="TimesNewRomanPS-BoldMT"/>
          <w:b/>
          <w:bCs/>
          <w:sz w:val="22"/>
          <w:szCs w:val="22"/>
          <w:lang w:eastAsia="en-AU"/>
        </w:rPr>
        <w:t>ts with Selected Treatment-Emergent</w:t>
      </w:r>
      <w:r w:rsidR="00A14534">
        <w:rPr>
          <w:rFonts w:ascii="TimesNewRomanPS-BoldMT" w:eastAsia="Times New Roman" w:hAnsi="TimesNewRomanPS-BoldMT" w:cs="TimesNewRomanPS-BoldMT"/>
          <w:b/>
          <w:bCs/>
          <w:sz w:val="22"/>
          <w:szCs w:val="22"/>
          <w:lang w:eastAsia="en-AU"/>
        </w:rPr>
        <w:t xml:space="preserve"> Adverse Events (All Causality)</w:t>
      </w:r>
    </w:p>
    <w:p w:rsidR="0048717C" w:rsidRDefault="0048717C" w:rsidP="0048717C">
      <w:pPr>
        <w:keepNext/>
        <w:autoSpaceDE w:val="0"/>
        <w:autoSpaceDN w:val="0"/>
        <w:adjustRightInd w:val="0"/>
        <w:rPr>
          <w:rFonts w:ascii="TimesNewRomanPS-BoldMT" w:eastAsia="Times New Roman" w:hAnsi="TimesNewRomanPS-BoldMT" w:cs="TimesNewRomanPS-BoldMT"/>
          <w:b/>
          <w:bCs/>
          <w:sz w:val="22"/>
          <w:szCs w:val="22"/>
          <w:lang w:eastAsia="en-AU"/>
        </w:rPr>
      </w:pPr>
      <w:r>
        <w:rPr>
          <w:rFonts w:ascii="TimesNewRomanPS-BoldMT" w:eastAsia="Times New Roman" w:hAnsi="TimesNewRomanPS-BoldMT" w:cs="TimesNewRomanPS-BoldMT"/>
          <w:b/>
          <w:bCs/>
          <w:sz w:val="22"/>
          <w:szCs w:val="22"/>
          <w:lang w:eastAsia="en-AU"/>
        </w:rPr>
        <w:t xml:space="preserve">(≥2% on CELSENTRI + OBT and at a higher rate compared to OBT alone) </w:t>
      </w:r>
    </w:p>
    <w:p w:rsidR="0048717C" w:rsidRPr="00584C2D" w:rsidRDefault="0048717C" w:rsidP="00A14534">
      <w:pPr>
        <w:keepNext/>
        <w:autoSpaceDE w:val="0"/>
        <w:autoSpaceDN w:val="0"/>
        <w:adjustRightInd w:val="0"/>
        <w:spacing w:after="100" w:afterAutospacing="1"/>
        <w:rPr>
          <w:rFonts w:ascii="TimesNewRomanPS-BoldMT" w:eastAsia="Times New Roman" w:hAnsi="TimesNewRomanPS-BoldMT" w:cs="TimesNewRomanPS-BoldMT"/>
          <w:b/>
          <w:bCs/>
          <w:sz w:val="22"/>
          <w:szCs w:val="22"/>
          <w:lang w:eastAsia="en-AU"/>
        </w:rPr>
      </w:pPr>
      <w:r>
        <w:rPr>
          <w:rFonts w:ascii="TimesNewRomanPS-BoldMT" w:eastAsia="Times New Roman" w:hAnsi="TimesNewRomanPS-BoldMT" w:cs="TimesNewRomanPS-BoldMT"/>
          <w:b/>
          <w:bCs/>
          <w:sz w:val="22"/>
          <w:szCs w:val="22"/>
          <w:lang w:eastAsia="en-AU"/>
        </w:rPr>
        <w:t>Studies MOTIVATE-1 and MOTIVATE-2 (Pooled analysis, 48 Weeks)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440"/>
        <w:gridCol w:w="1260"/>
        <w:gridCol w:w="1260"/>
        <w:gridCol w:w="1260"/>
      </w:tblGrid>
      <w:tr w:rsidR="0048717C" w:rsidRPr="00C44FC7" w:rsidTr="0048717C">
        <w:trPr>
          <w:tblHeader/>
        </w:trPr>
        <w:tc>
          <w:tcPr>
            <w:tcW w:w="4068" w:type="dxa"/>
          </w:tcPr>
          <w:p w:rsidR="0048717C" w:rsidRPr="00C44FC7" w:rsidRDefault="0048717C" w:rsidP="0048717C">
            <w:pPr>
              <w:keepNext/>
              <w:rPr>
                <w:rFonts w:cs="Arial"/>
                <w:b/>
                <w:color w:val="000000"/>
                <w:sz w:val="20"/>
                <w:szCs w:val="20"/>
              </w:rPr>
            </w:pPr>
          </w:p>
        </w:tc>
        <w:tc>
          <w:tcPr>
            <w:tcW w:w="1440" w:type="dxa"/>
          </w:tcPr>
          <w:p w:rsidR="0048717C" w:rsidRPr="00C44FC7" w:rsidRDefault="0048717C" w:rsidP="0048717C">
            <w:pPr>
              <w:keepNext/>
              <w:jc w:val="center"/>
              <w:rPr>
                <w:b/>
                <w:color w:val="000000"/>
                <w:sz w:val="20"/>
                <w:szCs w:val="20"/>
                <w:lang w:val="pt-BR"/>
              </w:rPr>
            </w:pPr>
            <w:r w:rsidRPr="00C44FC7">
              <w:rPr>
                <w:b/>
                <w:color w:val="000000"/>
                <w:sz w:val="20"/>
                <w:szCs w:val="20"/>
                <w:lang w:val="pt-BR"/>
              </w:rPr>
              <w:t xml:space="preserve">CELSENTRI </w:t>
            </w:r>
          </w:p>
          <w:p w:rsidR="0048717C" w:rsidRPr="00C44FC7" w:rsidRDefault="0048717C" w:rsidP="0048717C">
            <w:pPr>
              <w:keepNext/>
              <w:jc w:val="center"/>
              <w:rPr>
                <w:b/>
                <w:color w:val="000000"/>
                <w:sz w:val="20"/>
                <w:szCs w:val="20"/>
                <w:lang w:val="pt-BR"/>
              </w:rPr>
            </w:pPr>
            <w:r w:rsidRPr="00C44FC7">
              <w:rPr>
                <w:b/>
                <w:color w:val="000000"/>
                <w:sz w:val="20"/>
                <w:szCs w:val="20"/>
                <w:lang w:val="pt-BR"/>
              </w:rPr>
              <w:t>Twice Daily* +</w:t>
            </w:r>
          </w:p>
          <w:p w:rsidR="0048717C" w:rsidRPr="00C44FC7" w:rsidRDefault="0048717C" w:rsidP="0048717C">
            <w:pPr>
              <w:keepNext/>
              <w:jc w:val="center"/>
              <w:rPr>
                <w:b/>
                <w:color w:val="000000"/>
                <w:sz w:val="20"/>
                <w:szCs w:val="20"/>
                <w:lang w:val="pt-BR"/>
              </w:rPr>
            </w:pPr>
            <w:r w:rsidRPr="00C44FC7">
              <w:rPr>
                <w:b/>
                <w:color w:val="000000"/>
                <w:sz w:val="20"/>
                <w:szCs w:val="20"/>
                <w:lang w:val="pt-BR"/>
              </w:rPr>
              <w:t xml:space="preserve">OBT </w:t>
            </w:r>
          </w:p>
        </w:tc>
        <w:tc>
          <w:tcPr>
            <w:tcW w:w="1260" w:type="dxa"/>
          </w:tcPr>
          <w:p w:rsidR="0048717C" w:rsidRPr="00C44FC7" w:rsidRDefault="0048717C" w:rsidP="0048717C">
            <w:pPr>
              <w:keepNext/>
              <w:jc w:val="center"/>
              <w:rPr>
                <w:color w:val="000000"/>
                <w:sz w:val="20"/>
                <w:szCs w:val="20"/>
              </w:rPr>
            </w:pPr>
            <w:r w:rsidRPr="00C44FC7">
              <w:rPr>
                <w:color w:val="000000"/>
                <w:sz w:val="20"/>
                <w:szCs w:val="20"/>
              </w:rPr>
              <w:t>Exposure-adjusted rate</w:t>
            </w:r>
          </w:p>
          <w:p w:rsidR="0048717C" w:rsidRPr="00C44FC7" w:rsidRDefault="0048717C" w:rsidP="0048717C">
            <w:pPr>
              <w:keepNext/>
              <w:jc w:val="center"/>
              <w:rPr>
                <w:color w:val="000000"/>
                <w:sz w:val="20"/>
                <w:szCs w:val="20"/>
              </w:rPr>
            </w:pPr>
            <w:r w:rsidRPr="00C44FC7">
              <w:rPr>
                <w:color w:val="000000"/>
                <w:sz w:val="20"/>
                <w:szCs w:val="20"/>
              </w:rPr>
              <w:t>(per 100 pt-yrs)</w:t>
            </w:r>
          </w:p>
          <w:p w:rsidR="0048717C" w:rsidRPr="00C44FC7" w:rsidRDefault="0048717C" w:rsidP="0048717C">
            <w:pPr>
              <w:keepNext/>
              <w:jc w:val="center"/>
              <w:rPr>
                <w:b/>
                <w:color w:val="000000"/>
                <w:sz w:val="20"/>
                <w:szCs w:val="20"/>
                <w:lang w:val="pt-BR"/>
              </w:rPr>
            </w:pPr>
            <w:r w:rsidRPr="00C44FC7">
              <w:rPr>
                <w:color w:val="000000"/>
                <w:sz w:val="20"/>
                <w:szCs w:val="20"/>
              </w:rPr>
              <w:t>PYE=309**</w:t>
            </w:r>
          </w:p>
        </w:tc>
        <w:tc>
          <w:tcPr>
            <w:tcW w:w="1260" w:type="dxa"/>
          </w:tcPr>
          <w:p w:rsidR="0048717C" w:rsidRPr="00C44FC7" w:rsidRDefault="0048717C" w:rsidP="0048717C">
            <w:pPr>
              <w:keepNext/>
              <w:jc w:val="center"/>
              <w:rPr>
                <w:b/>
                <w:color w:val="000000"/>
                <w:sz w:val="20"/>
                <w:szCs w:val="20"/>
                <w:lang w:val="pt-BR"/>
              </w:rPr>
            </w:pPr>
            <w:r w:rsidRPr="00C44FC7">
              <w:rPr>
                <w:b/>
                <w:color w:val="000000"/>
                <w:sz w:val="20"/>
                <w:szCs w:val="20"/>
                <w:lang w:val="pt-BR"/>
              </w:rPr>
              <w:t xml:space="preserve">OBT </w:t>
            </w:r>
          </w:p>
          <w:p w:rsidR="0048717C" w:rsidRPr="00C44FC7" w:rsidRDefault="0048717C" w:rsidP="0048717C">
            <w:pPr>
              <w:keepNext/>
              <w:jc w:val="center"/>
              <w:rPr>
                <w:b/>
                <w:color w:val="000000"/>
                <w:sz w:val="20"/>
                <w:szCs w:val="20"/>
                <w:lang w:val="pt-BR"/>
              </w:rPr>
            </w:pPr>
            <w:r w:rsidRPr="00C44FC7">
              <w:rPr>
                <w:b/>
                <w:color w:val="000000"/>
                <w:sz w:val="20"/>
                <w:szCs w:val="20"/>
                <w:lang w:val="pt-BR"/>
              </w:rPr>
              <w:t>alone</w:t>
            </w:r>
          </w:p>
          <w:p w:rsidR="0048717C" w:rsidRPr="00C44FC7" w:rsidRDefault="0048717C" w:rsidP="0048717C">
            <w:pPr>
              <w:keepNext/>
              <w:jc w:val="center"/>
              <w:rPr>
                <w:b/>
                <w:color w:val="000000"/>
                <w:sz w:val="20"/>
                <w:szCs w:val="20"/>
                <w:lang w:val="pt-BR"/>
              </w:rPr>
            </w:pPr>
          </w:p>
        </w:tc>
        <w:tc>
          <w:tcPr>
            <w:tcW w:w="1260" w:type="dxa"/>
          </w:tcPr>
          <w:p w:rsidR="0048717C" w:rsidRPr="00C44FC7" w:rsidRDefault="0048717C" w:rsidP="0048717C">
            <w:pPr>
              <w:keepNext/>
              <w:jc w:val="center"/>
              <w:rPr>
                <w:color w:val="000000"/>
                <w:sz w:val="20"/>
                <w:szCs w:val="20"/>
              </w:rPr>
            </w:pPr>
            <w:r w:rsidRPr="00C44FC7">
              <w:rPr>
                <w:color w:val="000000"/>
                <w:sz w:val="20"/>
                <w:szCs w:val="20"/>
              </w:rPr>
              <w:t>Exposure-adjusted rate</w:t>
            </w:r>
          </w:p>
          <w:p w:rsidR="0048717C" w:rsidRPr="00C44FC7" w:rsidRDefault="0048717C" w:rsidP="0048717C">
            <w:pPr>
              <w:keepNext/>
              <w:jc w:val="center"/>
              <w:rPr>
                <w:color w:val="000000"/>
                <w:sz w:val="20"/>
                <w:szCs w:val="20"/>
              </w:rPr>
            </w:pPr>
            <w:r w:rsidRPr="00C44FC7">
              <w:rPr>
                <w:color w:val="000000"/>
                <w:sz w:val="20"/>
                <w:szCs w:val="20"/>
              </w:rPr>
              <w:t>(per 100 pt-yrs)</w:t>
            </w:r>
          </w:p>
          <w:p w:rsidR="0048717C" w:rsidRPr="00C44FC7" w:rsidRDefault="0048717C" w:rsidP="0048717C">
            <w:pPr>
              <w:keepNext/>
              <w:jc w:val="center"/>
              <w:rPr>
                <w:b/>
                <w:color w:val="000000"/>
                <w:sz w:val="20"/>
                <w:szCs w:val="20"/>
                <w:lang w:val="pt-BR"/>
              </w:rPr>
            </w:pPr>
            <w:r w:rsidRPr="00C44FC7">
              <w:rPr>
                <w:color w:val="000000"/>
                <w:sz w:val="20"/>
                <w:szCs w:val="20"/>
              </w:rPr>
              <w:t>PYE=111**</w:t>
            </w:r>
          </w:p>
        </w:tc>
      </w:tr>
      <w:tr w:rsidR="0048717C" w:rsidRPr="00C44FC7" w:rsidTr="0048717C">
        <w:tc>
          <w:tcPr>
            <w:tcW w:w="4068" w:type="dxa"/>
          </w:tcPr>
          <w:p w:rsidR="0048717C" w:rsidRPr="00C44FC7" w:rsidRDefault="0048717C" w:rsidP="0048717C">
            <w:pPr>
              <w:rPr>
                <w:rFonts w:cs="Arial"/>
                <w:color w:val="000000"/>
                <w:sz w:val="20"/>
                <w:szCs w:val="20"/>
              </w:rPr>
            </w:pPr>
          </w:p>
        </w:tc>
        <w:tc>
          <w:tcPr>
            <w:tcW w:w="1440" w:type="dxa"/>
          </w:tcPr>
          <w:p w:rsidR="0048717C" w:rsidRPr="00C44FC7" w:rsidRDefault="0048717C" w:rsidP="0048717C">
            <w:pPr>
              <w:jc w:val="center"/>
              <w:rPr>
                <w:b/>
                <w:color w:val="000000"/>
                <w:sz w:val="20"/>
                <w:szCs w:val="20"/>
                <w:lang w:val="pt-BR"/>
              </w:rPr>
            </w:pPr>
            <w:r w:rsidRPr="00C44FC7">
              <w:rPr>
                <w:b/>
                <w:color w:val="000000"/>
                <w:sz w:val="20"/>
                <w:szCs w:val="20"/>
                <w:lang w:val="pt-BR"/>
              </w:rPr>
              <w:t>N=426</w:t>
            </w:r>
          </w:p>
          <w:p w:rsidR="0048717C" w:rsidRPr="00C44FC7" w:rsidRDefault="0048717C" w:rsidP="0048717C">
            <w:pPr>
              <w:jc w:val="center"/>
              <w:rPr>
                <w:color w:val="000000"/>
                <w:sz w:val="20"/>
                <w:szCs w:val="20"/>
              </w:rPr>
            </w:pPr>
            <w:r w:rsidRPr="00C44FC7">
              <w:rPr>
                <w:b/>
                <w:color w:val="000000"/>
                <w:sz w:val="20"/>
                <w:szCs w:val="20"/>
                <w:lang w:val="pt-BR"/>
              </w:rPr>
              <w:t>(%)</w:t>
            </w:r>
          </w:p>
        </w:tc>
        <w:tc>
          <w:tcPr>
            <w:tcW w:w="1260" w:type="dxa"/>
          </w:tcPr>
          <w:p w:rsidR="0048717C" w:rsidRPr="00C44FC7" w:rsidRDefault="0048717C" w:rsidP="0048717C">
            <w:pPr>
              <w:jc w:val="center"/>
              <w:rPr>
                <w:b/>
                <w:color w:val="000000"/>
                <w:sz w:val="20"/>
                <w:szCs w:val="20"/>
                <w:lang w:val="pt-BR"/>
              </w:rPr>
            </w:pPr>
          </w:p>
        </w:tc>
        <w:tc>
          <w:tcPr>
            <w:tcW w:w="1260" w:type="dxa"/>
          </w:tcPr>
          <w:p w:rsidR="0048717C" w:rsidRPr="00C44FC7" w:rsidRDefault="0048717C" w:rsidP="0048717C">
            <w:pPr>
              <w:jc w:val="center"/>
              <w:rPr>
                <w:b/>
                <w:color w:val="000000"/>
                <w:sz w:val="20"/>
                <w:szCs w:val="20"/>
                <w:lang w:val="pt-BR"/>
              </w:rPr>
            </w:pPr>
            <w:r w:rsidRPr="00C44FC7">
              <w:rPr>
                <w:b/>
                <w:color w:val="000000"/>
                <w:sz w:val="20"/>
                <w:szCs w:val="20"/>
                <w:lang w:val="pt-BR"/>
              </w:rPr>
              <w:t>N=209</w:t>
            </w:r>
          </w:p>
          <w:p w:rsidR="0048717C" w:rsidRPr="00C44FC7" w:rsidRDefault="0048717C" w:rsidP="0048717C">
            <w:pPr>
              <w:jc w:val="center"/>
              <w:rPr>
                <w:color w:val="000000"/>
                <w:sz w:val="20"/>
                <w:szCs w:val="20"/>
              </w:rPr>
            </w:pPr>
            <w:r w:rsidRPr="00C44FC7">
              <w:rPr>
                <w:b/>
                <w:color w:val="000000"/>
                <w:sz w:val="20"/>
                <w:szCs w:val="20"/>
                <w:lang w:val="pt-BR"/>
              </w:rPr>
              <w:t>(%)</w:t>
            </w:r>
          </w:p>
        </w:tc>
        <w:tc>
          <w:tcPr>
            <w:tcW w:w="1260" w:type="dxa"/>
          </w:tcPr>
          <w:p w:rsidR="0048717C" w:rsidRPr="00C44FC7" w:rsidRDefault="0048717C" w:rsidP="0048717C">
            <w:pPr>
              <w:jc w:val="center"/>
              <w:rPr>
                <w:b/>
                <w:color w:val="000000"/>
                <w:sz w:val="20"/>
                <w:szCs w:val="20"/>
                <w:lang w:val="pt-BR"/>
              </w:rPr>
            </w:pPr>
          </w:p>
        </w:tc>
      </w:tr>
      <w:tr w:rsidR="0048717C" w:rsidRPr="00C44FC7" w:rsidTr="0048717C">
        <w:tc>
          <w:tcPr>
            <w:tcW w:w="4068"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EYE DISORDERS</w:t>
            </w:r>
          </w:p>
        </w:tc>
        <w:tc>
          <w:tcPr>
            <w:tcW w:w="1440" w:type="dxa"/>
            <w:tcBorders>
              <w:bottom w:val="nil"/>
            </w:tcBorders>
          </w:tcPr>
          <w:p w:rsidR="0048717C" w:rsidRPr="00C44FC7" w:rsidRDefault="0048717C" w:rsidP="0048717C">
            <w:pPr>
              <w:jc w:val="center"/>
              <w:rPr>
                <w:color w:val="000000"/>
                <w:sz w:val="20"/>
                <w:szCs w:val="20"/>
                <w:lang w:val="pt-BR"/>
              </w:rPr>
            </w:pPr>
          </w:p>
        </w:tc>
        <w:tc>
          <w:tcPr>
            <w:tcW w:w="1260" w:type="dxa"/>
            <w:tcBorders>
              <w:bottom w:val="nil"/>
            </w:tcBorders>
          </w:tcPr>
          <w:p w:rsidR="0048717C" w:rsidRPr="00C44FC7" w:rsidRDefault="0048717C" w:rsidP="0048717C">
            <w:pPr>
              <w:jc w:val="center"/>
              <w:rPr>
                <w:color w:val="000000"/>
                <w:sz w:val="20"/>
                <w:szCs w:val="20"/>
                <w:lang w:val="pt-BR"/>
              </w:rPr>
            </w:pPr>
          </w:p>
        </w:tc>
        <w:tc>
          <w:tcPr>
            <w:tcW w:w="1260" w:type="dxa"/>
            <w:tcBorders>
              <w:bottom w:val="nil"/>
            </w:tcBorders>
          </w:tcPr>
          <w:p w:rsidR="0048717C" w:rsidRPr="00C44FC7" w:rsidRDefault="0048717C" w:rsidP="0048717C">
            <w:pPr>
              <w:jc w:val="center"/>
              <w:rPr>
                <w:color w:val="000000"/>
                <w:sz w:val="20"/>
                <w:szCs w:val="20"/>
                <w:lang w:val="pt-BR"/>
              </w:rPr>
            </w:pPr>
          </w:p>
        </w:tc>
        <w:tc>
          <w:tcPr>
            <w:tcW w:w="1260" w:type="dxa"/>
            <w:tcBorders>
              <w:bottom w:val="nil"/>
            </w:tcBorders>
          </w:tcPr>
          <w:p w:rsidR="0048717C" w:rsidRPr="00C44FC7" w:rsidRDefault="0048717C" w:rsidP="0048717C">
            <w:pPr>
              <w:jc w:val="center"/>
              <w:rPr>
                <w:color w:val="000000"/>
                <w:sz w:val="20"/>
                <w:szCs w:val="20"/>
                <w:lang w:val="pt-BR"/>
              </w:rPr>
            </w:pPr>
          </w:p>
        </w:tc>
      </w:tr>
      <w:tr w:rsidR="0048717C" w:rsidRPr="00C44FC7" w:rsidTr="0048717C">
        <w:tc>
          <w:tcPr>
            <w:tcW w:w="4068" w:type="dxa"/>
            <w:tcBorders>
              <w:top w:val="nil"/>
              <w:bottom w:val="nil"/>
            </w:tcBorders>
          </w:tcPr>
          <w:p w:rsidR="0048717C" w:rsidRPr="00C44FC7" w:rsidRDefault="0048717C" w:rsidP="0048717C">
            <w:pPr>
              <w:autoSpaceDE w:val="0"/>
              <w:autoSpaceDN w:val="0"/>
              <w:adjustRightInd w:val="0"/>
              <w:rPr>
                <w:rFonts w:cs="Arial"/>
                <w:color w:val="000000"/>
                <w:sz w:val="20"/>
                <w:szCs w:val="20"/>
              </w:rPr>
            </w:pPr>
            <w:r w:rsidRPr="00C44FC7">
              <w:rPr>
                <w:rFonts w:cs="Arial"/>
                <w:color w:val="000000"/>
                <w:sz w:val="20"/>
                <w:szCs w:val="20"/>
              </w:rPr>
              <w:t>Conjunctivitis</w:t>
            </w:r>
          </w:p>
        </w:tc>
        <w:tc>
          <w:tcPr>
            <w:tcW w:w="1440" w:type="dxa"/>
            <w:tcBorders>
              <w:top w:val="nil"/>
              <w:bottom w:val="nil"/>
            </w:tcBorders>
          </w:tcPr>
          <w:p w:rsidR="0048717C" w:rsidRPr="00C44FC7" w:rsidRDefault="0048717C" w:rsidP="0048717C">
            <w:pPr>
              <w:jc w:val="center"/>
              <w:rPr>
                <w:color w:val="000000"/>
                <w:sz w:val="20"/>
                <w:szCs w:val="20"/>
                <w:lang w:val="pt-BR"/>
              </w:rPr>
            </w:pPr>
            <w:r w:rsidRPr="00C44FC7">
              <w:rPr>
                <w:color w:val="000000"/>
                <w:sz w:val="20"/>
                <w:szCs w:val="20"/>
                <w:lang w:val="pt-BR"/>
              </w:rPr>
              <w:t>2</w:t>
            </w:r>
          </w:p>
        </w:tc>
        <w:tc>
          <w:tcPr>
            <w:tcW w:w="1260" w:type="dxa"/>
            <w:tcBorders>
              <w:top w:val="nil"/>
              <w:bottom w:val="nil"/>
            </w:tcBorders>
          </w:tcPr>
          <w:p w:rsidR="0048717C" w:rsidRPr="00C44FC7" w:rsidRDefault="0048717C" w:rsidP="0048717C">
            <w:pPr>
              <w:jc w:val="center"/>
              <w:rPr>
                <w:color w:val="000000"/>
                <w:sz w:val="20"/>
                <w:szCs w:val="20"/>
                <w:lang w:val="pt-BR"/>
              </w:rPr>
            </w:pPr>
            <w:r w:rsidRPr="00C44FC7">
              <w:rPr>
                <w:color w:val="000000"/>
                <w:sz w:val="20"/>
                <w:szCs w:val="20"/>
                <w:lang w:val="pt-BR"/>
              </w:rPr>
              <w:t>3</w:t>
            </w:r>
          </w:p>
        </w:tc>
        <w:tc>
          <w:tcPr>
            <w:tcW w:w="1260" w:type="dxa"/>
            <w:tcBorders>
              <w:top w:val="nil"/>
              <w:bottom w:val="nil"/>
            </w:tcBorders>
          </w:tcPr>
          <w:p w:rsidR="0048717C" w:rsidRPr="00C44FC7" w:rsidRDefault="0048717C" w:rsidP="0048717C">
            <w:pPr>
              <w:jc w:val="center"/>
              <w:rPr>
                <w:color w:val="000000"/>
                <w:sz w:val="20"/>
                <w:szCs w:val="20"/>
                <w:lang w:val="pt-BR"/>
              </w:rPr>
            </w:pPr>
            <w:r w:rsidRPr="00C44FC7">
              <w:rPr>
                <w:color w:val="000000"/>
                <w:sz w:val="20"/>
                <w:szCs w:val="20"/>
                <w:lang w:val="pt-BR"/>
              </w:rPr>
              <w:t>1</w:t>
            </w:r>
          </w:p>
        </w:tc>
        <w:tc>
          <w:tcPr>
            <w:tcW w:w="1260" w:type="dxa"/>
            <w:tcBorders>
              <w:top w:val="nil"/>
              <w:bottom w:val="nil"/>
            </w:tcBorders>
          </w:tcPr>
          <w:p w:rsidR="0048717C" w:rsidRPr="00C44FC7" w:rsidRDefault="0048717C" w:rsidP="0048717C">
            <w:pPr>
              <w:jc w:val="center"/>
              <w:rPr>
                <w:color w:val="000000"/>
                <w:sz w:val="20"/>
                <w:szCs w:val="20"/>
                <w:lang w:val="pt-BR"/>
              </w:rPr>
            </w:pPr>
            <w:r w:rsidRPr="00C44FC7">
              <w:rPr>
                <w:color w:val="000000"/>
                <w:sz w:val="20"/>
                <w:szCs w:val="20"/>
                <w:lang w:val="pt-BR"/>
              </w:rPr>
              <w:t>3</w:t>
            </w:r>
          </w:p>
        </w:tc>
      </w:tr>
      <w:tr w:rsidR="0048717C" w:rsidRPr="00C44FC7" w:rsidTr="0048717C">
        <w:tc>
          <w:tcPr>
            <w:tcW w:w="4068" w:type="dxa"/>
            <w:tcBorders>
              <w:top w:val="nil"/>
            </w:tcBorders>
          </w:tcPr>
          <w:p w:rsidR="0048717C" w:rsidRPr="00C44FC7" w:rsidRDefault="0048717C" w:rsidP="0048717C">
            <w:pPr>
              <w:autoSpaceDE w:val="0"/>
              <w:autoSpaceDN w:val="0"/>
              <w:adjustRightInd w:val="0"/>
              <w:rPr>
                <w:rFonts w:cs="Arial"/>
                <w:color w:val="000000"/>
                <w:sz w:val="20"/>
                <w:szCs w:val="20"/>
              </w:rPr>
            </w:pPr>
            <w:r w:rsidRPr="00C44FC7">
              <w:rPr>
                <w:rFonts w:cs="Arial"/>
                <w:color w:val="000000"/>
                <w:sz w:val="20"/>
                <w:szCs w:val="20"/>
              </w:rPr>
              <w:t>Ocular infections, inflammations and associated manifestations</w:t>
            </w:r>
          </w:p>
        </w:tc>
        <w:tc>
          <w:tcPr>
            <w:tcW w:w="1440" w:type="dxa"/>
            <w:tcBorders>
              <w:top w:val="nil"/>
            </w:tcBorders>
          </w:tcPr>
          <w:p w:rsidR="0048717C" w:rsidRPr="00C44FC7" w:rsidRDefault="0048717C" w:rsidP="0048717C">
            <w:pPr>
              <w:jc w:val="center"/>
              <w:rPr>
                <w:color w:val="000000"/>
                <w:sz w:val="20"/>
                <w:szCs w:val="20"/>
                <w:lang w:val="pt-BR"/>
              </w:rPr>
            </w:pPr>
            <w:r w:rsidRPr="00C44FC7">
              <w:rPr>
                <w:color w:val="000000"/>
                <w:sz w:val="20"/>
                <w:szCs w:val="20"/>
                <w:lang w:val="pt-BR"/>
              </w:rPr>
              <w:t>2</w:t>
            </w:r>
          </w:p>
        </w:tc>
        <w:tc>
          <w:tcPr>
            <w:tcW w:w="1260" w:type="dxa"/>
            <w:tcBorders>
              <w:top w:val="nil"/>
            </w:tcBorders>
          </w:tcPr>
          <w:p w:rsidR="0048717C" w:rsidRPr="00C44FC7" w:rsidRDefault="0048717C" w:rsidP="0048717C">
            <w:pPr>
              <w:jc w:val="center"/>
              <w:rPr>
                <w:color w:val="000000"/>
                <w:sz w:val="20"/>
                <w:szCs w:val="20"/>
                <w:lang w:val="pt-BR"/>
              </w:rPr>
            </w:pPr>
            <w:r w:rsidRPr="00C44FC7">
              <w:rPr>
                <w:color w:val="000000"/>
                <w:sz w:val="20"/>
                <w:szCs w:val="20"/>
                <w:lang w:val="pt-BR"/>
              </w:rPr>
              <w:t>3</w:t>
            </w:r>
          </w:p>
        </w:tc>
        <w:tc>
          <w:tcPr>
            <w:tcW w:w="1260" w:type="dxa"/>
            <w:tcBorders>
              <w:top w:val="nil"/>
            </w:tcBorders>
          </w:tcPr>
          <w:p w:rsidR="0048717C" w:rsidRPr="00C44FC7" w:rsidRDefault="0048717C" w:rsidP="0048717C">
            <w:pPr>
              <w:jc w:val="center"/>
              <w:rPr>
                <w:color w:val="000000"/>
                <w:sz w:val="20"/>
                <w:szCs w:val="20"/>
                <w:lang w:val="pt-BR"/>
              </w:rPr>
            </w:pPr>
            <w:r w:rsidRPr="00C44FC7">
              <w:rPr>
                <w:color w:val="000000"/>
                <w:sz w:val="20"/>
                <w:szCs w:val="20"/>
                <w:lang w:val="pt-BR"/>
              </w:rPr>
              <w:t>1</w:t>
            </w:r>
          </w:p>
        </w:tc>
        <w:tc>
          <w:tcPr>
            <w:tcW w:w="1260" w:type="dxa"/>
            <w:tcBorders>
              <w:top w:val="nil"/>
            </w:tcBorders>
          </w:tcPr>
          <w:p w:rsidR="0048717C" w:rsidRPr="00C44FC7" w:rsidRDefault="0048717C" w:rsidP="0048717C">
            <w:pPr>
              <w:jc w:val="center"/>
              <w:rPr>
                <w:color w:val="000000"/>
                <w:sz w:val="20"/>
                <w:szCs w:val="20"/>
                <w:lang w:val="pt-BR"/>
              </w:rPr>
            </w:pPr>
            <w:r w:rsidRPr="00C44FC7">
              <w:rPr>
                <w:color w:val="000000"/>
                <w:sz w:val="20"/>
                <w:szCs w:val="20"/>
                <w:lang w:val="pt-BR"/>
              </w:rPr>
              <w:t>2</w:t>
            </w:r>
          </w:p>
        </w:tc>
      </w:tr>
      <w:tr w:rsidR="0048717C" w:rsidRPr="00C44FC7" w:rsidTr="0048717C">
        <w:tc>
          <w:tcPr>
            <w:tcW w:w="4068" w:type="dxa"/>
            <w:tcBorders>
              <w:bottom w:val="single" w:sz="4" w:space="0" w:color="auto"/>
            </w:tcBorders>
          </w:tcPr>
          <w:p w:rsidR="0048717C" w:rsidRPr="00C44FC7" w:rsidRDefault="0048717C" w:rsidP="0048717C">
            <w:pPr>
              <w:rPr>
                <w:rFonts w:cs="Arial"/>
                <w:color w:val="000000"/>
                <w:sz w:val="20"/>
                <w:szCs w:val="20"/>
              </w:rPr>
            </w:pPr>
          </w:p>
        </w:tc>
        <w:tc>
          <w:tcPr>
            <w:tcW w:w="1440" w:type="dxa"/>
            <w:tcBorders>
              <w:bottom w:val="single" w:sz="4" w:space="0" w:color="auto"/>
            </w:tcBorders>
          </w:tcPr>
          <w:p w:rsidR="0048717C" w:rsidRPr="00C44FC7" w:rsidRDefault="0048717C" w:rsidP="0048717C">
            <w:pPr>
              <w:jc w:val="center"/>
              <w:rPr>
                <w:color w:val="000000"/>
                <w:sz w:val="20"/>
                <w:szCs w:val="20"/>
                <w:lang w:val="pt-BR"/>
              </w:rPr>
            </w:pPr>
          </w:p>
        </w:tc>
        <w:tc>
          <w:tcPr>
            <w:tcW w:w="1260" w:type="dxa"/>
            <w:tcBorders>
              <w:bottom w:val="single" w:sz="4" w:space="0" w:color="auto"/>
            </w:tcBorders>
          </w:tcPr>
          <w:p w:rsidR="0048717C" w:rsidRPr="00C44FC7" w:rsidRDefault="0048717C" w:rsidP="0048717C">
            <w:pPr>
              <w:jc w:val="center"/>
              <w:rPr>
                <w:color w:val="000000"/>
                <w:sz w:val="20"/>
                <w:szCs w:val="20"/>
                <w:lang w:val="pt-BR"/>
              </w:rPr>
            </w:pPr>
          </w:p>
        </w:tc>
        <w:tc>
          <w:tcPr>
            <w:tcW w:w="1260" w:type="dxa"/>
            <w:tcBorders>
              <w:bottom w:val="single" w:sz="4" w:space="0" w:color="auto"/>
            </w:tcBorders>
          </w:tcPr>
          <w:p w:rsidR="0048717C" w:rsidRPr="00C44FC7" w:rsidRDefault="0048717C" w:rsidP="0048717C">
            <w:pPr>
              <w:jc w:val="center"/>
              <w:rPr>
                <w:color w:val="000000"/>
                <w:sz w:val="20"/>
                <w:szCs w:val="20"/>
                <w:lang w:val="pt-BR"/>
              </w:rPr>
            </w:pPr>
          </w:p>
        </w:tc>
        <w:tc>
          <w:tcPr>
            <w:tcW w:w="1260" w:type="dxa"/>
            <w:tcBorders>
              <w:bottom w:val="single" w:sz="4" w:space="0" w:color="auto"/>
            </w:tcBorders>
          </w:tcPr>
          <w:p w:rsidR="0048717C" w:rsidRPr="00C44FC7" w:rsidRDefault="0048717C" w:rsidP="0048717C">
            <w:pPr>
              <w:jc w:val="center"/>
              <w:rPr>
                <w:color w:val="000000"/>
                <w:sz w:val="20"/>
                <w:szCs w:val="20"/>
                <w:lang w:val="pt-BR"/>
              </w:rPr>
            </w:pPr>
          </w:p>
        </w:tc>
      </w:tr>
      <w:tr w:rsidR="0048717C" w:rsidRPr="00C44FC7" w:rsidTr="0048717C">
        <w:tc>
          <w:tcPr>
            <w:tcW w:w="4068"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 xml:space="preserve">GASTROINTESTINAL DISORDERS </w:t>
            </w:r>
          </w:p>
        </w:tc>
        <w:tc>
          <w:tcPr>
            <w:tcW w:w="1440" w:type="dxa"/>
            <w:tcBorders>
              <w:bottom w:val="nil"/>
            </w:tcBorders>
          </w:tcPr>
          <w:p w:rsidR="0048717C" w:rsidRPr="00C44FC7" w:rsidRDefault="0048717C" w:rsidP="0048717C">
            <w:pPr>
              <w:jc w:val="center"/>
              <w:rPr>
                <w:b/>
                <w:color w:val="000000"/>
                <w:sz w:val="20"/>
                <w:szCs w:val="20"/>
                <w:lang w:val="pt-BR"/>
              </w:rPr>
            </w:pPr>
          </w:p>
        </w:tc>
        <w:tc>
          <w:tcPr>
            <w:tcW w:w="1260" w:type="dxa"/>
            <w:tcBorders>
              <w:bottom w:val="nil"/>
            </w:tcBorders>
          </w:tcPr>
          <w:p w:rsidR="0048717C" w:rsidRPr="00C44FC7" w:rsidRDefault="0048717C" w:rsidP="0048717C">
            <w:pPr>
              <w:jc w:val="center"/>
              <w:rPr>
                <w:b/>
                <w:color w:val="000000"/>
                <w:sz w:val="20"/>
                <w:szCs w:val="20"/>
                <w:lang w:val="pt-BR"/>
              </w:rPr>
            </w:pPr>
          </w:p>
        </w:tc>
        <w:tc>
          <w:tcPr>
            <w:tcW w:w="1260" w:type="dxa"/>
            <w:tcBorders>
              <w:bottom w:val="nil"/>
            </w:tcBorders>
          </w:tcPr>
          <w:p w:rsidR="0048717C" w:rsidRPr="00C44FC7" w:rsidRDefault="0048717C" w:rsidP="0048717C">
            <w:pPr>
              <w:jc w:val="center"/>
              <w:rPr>
                <w:b/>
                <w:color w:val="000000"/>
                <w:sz w:val="20"/>
                <w:szCs w:val="20"/>
                <w:lang w:val="pt-BR"/>
              </w:rPr>
            </w:pPr>
          </w:p>
        </w:tc>
        <w:tc>
          <w:tcPr>
            <w:tcW w:w="1260" w:type="dxa"/>
            <w:tcBorders>
              <w:bottom w:val="nil"/>
            </w:tcBorders>
          </w:tcPr>
          <w:p w:rsidR="0048717C" w:rsidRPr="00C44FC7" w:rsidRDefault="0048717C" w:rsidP="0048717C">
            <w:pPr>
              <w:jc w:val="center"/>
              <w:rPr>
                <w:b/>
                <w:color w:val="000000"/>
                <w:sz w:val="20"/>
                <w:szCs w:val="20"/>
                <w:lang w:val="pt-BR"/>
              </w:rPr>
            </w:pPr>
          </w:p>
        </w:tc>
      </w:tr>
      <w:tr w:rsidR="0048717C" w:rsidRPr="00C44FC7" w:rsidTr="0048717C">
        <w:tc>
          <w:tcPr>
            <w:tcW w:w="4068" w:type="dxa"/>
            <w:tcBorders>
              <w:top w:val="nil"/>
            </w:tcBorders>
          </w:tcPr>
          <w:p w:rsidR="0048717C" w:rsidRPr="00C44FC7" w:rsidRDefault="0048717C" w:rsidP="0048717C">
            <w:pPr>
              <w:rPr>
                <w:rFonts w:cs="Arial"/>
                <w:color w:val="000000"/>
                <w:sz w:val="20"/>
                <w:szCs w:val="20"/>
              </w:rPr>
            </w:pPr>
            <w:r w:rsidRPr="00C44FC7">
              <w:rPr>
                <w:rFonts w:cs="Arial"/>
                <w:color w:val="000000"/>
                <w:sz w:val="20"/>
                <w:szCs w:val="20"/>
              </w:rPr>
              <w:t>Constipation</w:t>
            </w:r>
          </w:p>
        </w:tc>
        <w:tc>
          <w:tcPr>
            <w:tcW w:w="1440" w:type="dxa"/>
            <w:tcBorders>
              <w:top w:val="nil"/>
            </w:tcBorders>
          </w:tcPr>
          <w:p w:rsidR="0048717C" w:rsidRPr="00C44FC7" w:rsidRDefault="0048717C" w:rsidP="0048717C">
            <w:pPr>
              <w:jc w:val="center"/>
              <w:rPr>
                <w:color w:val="000000"/>
                <w:sz w:val="20"/>
                <w:szCs w:val="20"/>
              </w:rPr>
            </w:pPr>
            <w:r w:rsidRPr="00C44FC7">
              <w:rPr>
                <w:color w:val="000000"/>
                <w:sz w:val="20"/>
                <w:szCs w:val="20"/>
              </w:rPr>
              <w:t>6</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 xml:space="preserve">9 </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6</w:t>
            </w:r>
          </w:p>
        </w:tc>
      </w:tr>
      <w:tr w:rsidR="0048717C" w:rsidRPr="00C44FC7" w:rsidTr="0048717C">
        <w:tc>
          <w:tcPr>
            <w:tcW w:w="4068" w:type="dxa"/>
            <w:tcBorders>
              <w:bottom w:val="single" w:sz="4" w:space="0" w:color="auto"/>
            </w:tcBorders>
          </w:tcPr>
          <w:p w:rsidR="0048717C" w:rsidRPr="00C44FC7" w:rsidRDefault="0048717C" w:rsidP="0048717C">
            <w:pPr>
              <w:rPr>
                <w:rFonts w:cs="Arial"/>
                <w:color w:val="000000"/>
                <w:sz w:val="20"/>
                <w:szCs w:val="20"/>
              </w:rPr>
            </w:pPr>
          </w:p>
        </w:tc>
        <w:tc>
          <w:tcPr>
            <w:tcW w:w="144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8717C">
        <w:tc>
          <w:tcPr>
            <w:tcW w:w="4068"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GENERAL DISORDERS AND ADMINISTRATION SITE CONDITIONS</w:t>
            </w:r>
          </w:p>
        </w:tc>
        <w:tc>
          <w:tcPr>
            <w:tcW w:w="144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r w:rsidRPr="00C44FC7">
              <w:rPr>
                <w:rFonts w:cs="Arial"/>
                <w:color w:val="000000"/>
                <w:sz w:val="20"/>
                <w:szCs w:val="20"/>
              </w:rPr>
              <w:t xml:space="preserve">Pyrexia </w:t>
            </w:r>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13</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20</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9</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17</w:t>
            </w:r>
          </w:p>
        </w:tc>
      </w:tr>
      <w:tr w:rsidR="0048717C" w:rsidRPr="00C44FC7" w:rsidTr="0048717C">
        <w:tc>
          <w:tcPr>
            <w:tcW w:w="4068" w:type="dxa"/>
            <w:tcBorders>
              <w:top w:val="nil"/>
            </w:tcBorders>
          </w:tcPr>
          <w:p w:rsidR="0048717C" w:rsidRPr="00C44FC7" w:rsidRDefault="0048717C" w:rsidP="0048717C">
            <w:pPr>
              <w:rPr>
                <w:rFonts w:cs="Arial"/>
                <w:color w:val="000000"/>
                <w:sz w:val="20"/>
                <w:szCs w:val="20"/>
              </w:rPr>
            </w:pPr>
            <w:r w:rsidRPr="00C44FC7">
              <w:rPr>
                <w:rFonts w:cs="Arial"/>
                <w:color w:val="000000"/>
                <w:sz w:val="20"/>
                <w:szCs w:val="20"/>
              </w:rPr>
              <w:t xml:space="preserve">Pain and discomfort </w:t>
            </w:r>
          </w:p>
        </w:tc>
        <w:tc>
          <w:tcPr>
            <w:tcW w:w="1440" w:type="dxa"/>
            <w:tcBorders>
              <w:top w:val="nil"/>
            </w:tcBorders>
          </w:tcPr>
          <w:p w:rsidR="0048717C" w:rsidRPr="00C44FC7" w:rsidRDefault="0048717C" w:rsidP="0048717C">
            <w:pPr>
              <w:jc w:val="center"/>
              <w:rPr>
                <w:color w:val="000000"/>
                <w:sz w:val="20"/>
                <w:szCs w:val="20"/>
              </w:rPr>
            </w:pPr>
            <w:r w:rsidRPr="00C44FC7">
              <w:rPr>
                <w:color w:val="000000"/>
                <w:sz w:val="20"/>
                <w:szCs w:val="20"/>
              </w:rPr>
              <w:t>4</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5</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5</w:t>
            </w:r>
          </w:p>
        </w:tc>
      </w:tr>
      <w:tr w:rsidR="0048717C" w:rsidRPr="00C44FC7" w:rsidTr="0048717C">
        <w:tc>
          <w:tcPr>
            <w:tcW w:w="4068" w:type="dxa"/>
            <w:tcBorders>
              <w:bottom w:val="single" w:sz="4" w:space="0" w:color="auto"/>
            </w:tcBorders>
          </w:tcPr>
          <w:p w:rsidR="0048717C" w:rsidRPr="00C44FC7" w:rsidRDefault="0048717C" w:rsidP="0048717C">
            <w:pPr>
              <w:rPr>
                <w:rFonts w:cs="Arial"/>
                <w:color w:val="000000"/>
                <w:sz w:val="20"/>
                <w:szCs w:val="20"/>
              </w:rPr>
            </w:pPr>
          </w:p>
        </w:tc>
        <w:tc>
          <w:tcPr>
            <w:tcW w:w="144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8717C">
        <w:tc>
          <w:tcPr>
            <w:tcW w:w="4068" w:type="dxa"/>
            <w:tcBorders>
              <w:bottom w:val="nil"/>
            </w:tcBorders>
          </w:tcPr>
          <w:p w:rsidR="0048717C" w:rsidRPr="00C44FC7" w:rsidRDefault="0048717C" w:rsidP="0048717C">
            <w:pPr>
              <w:rPr>
                <w:rFonts w:cs="Arial"/>
                <w:color w:val="000000"/>
                <w:sz w:val="20"/>
                <w:szCs w:val="20"/>
              </w:rPr>
            </w:pPr>
            <w:r w:rsidRPr="00C44FC7">
              <w:rPr>
                <w:rFonts w:cs="Arial"/>
                <w:color w:val="000000"/>
                <w:sz w:val="20"/>
                <w:szCs w:val="20"/>
              </w:rPr>
              <w:t>I</w:t>
            </w:r>
            <w:r w:rsidRPr="00C44FC7">
              <w:rPr>
                <w:rFonts w:cs="Arial"/>
                <w:b/>
                <w:color w:val="000000"/>
                <w:sz w:val="20"/>
                <w:szCs w:val="20"/>
              </w:rPr>
              <w:t>NFECTIONS AND INFESTATIONS</w:t>
            </w:r>
          </w:p>
        </w:tc>
        <w:tc>
          <w:tcPr>
            <w:tcW w:w="144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r>
      <w:tr w:rsidR="0048717C" w:rsidRPr="00C44FC7" w:rsidTr="0048717C">
        <w:tc>
          <w:tcPr>
            <w:tcW w:w="4068" w:type="dxa"/>
            <w:tcBorders>
              <w:top w:val="nil"/>
              <w:bottom w:val="nil"/>
            </w:tcBorders>
          </w:tcPr>
          <w:p w:rsidR="0048717C" w:rsidRPr="00C44FC7" w:rsidRDefault="0048717C" w:rsidP="0048717C">
            <w:pPr>
              <w:rPr>
                <w:rFonts w:cs="Arial"/>
                <w:sz w:val="20"/>
                <w:szCs w:val="20"/>
              </w:rPr>
            </w:pPr>
            <w:r w:rsidRPr="00C44FC7">
              <w:rPr>
                <w:rFonts w:cs="Arial"/>
                <w:sz w:val="20"/>
                <w:szCs w:val="20"/>
              </w:rPr>
              <w:t>Upper respiratory tract infection</w:t>
            </w:r>
          </w:p>
        </w:tc>
        <w:tc>
          <w:tcPr>
            <w:tcW w:w="1440" w:type="dxa"/>
            <w:tcBorders>
              <w:top w:val="nil"/>
              <w:bottom w:val="nil"/>
            </w:tcBorders>
          </w:tcPr>
          <w:p w:rsidR="0048717C" w:rsidRPr="00C44FC7" w:rsidRDefault="0048717C" w:rsidP="0048717C">
            <w:pPr>
              <w:jc w:val="center"/>
              <w:rPr>
                <w:sz w:val="20"/>
                <w:szCs w:val="20"/>
              </w:rPr>
            </w:pPr>
            <w:r w:rsidRPr="00C44FC7">
              <w:rPr>
                <w:sz w:val="20"/>
                <w:szCs w:val="20"/>
              </w:rPr>
              <w:t>23</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37</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13</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27</w:t>
            </w:r>
          </w:p>
        </w:tc>
      </w:tr>
      <w:tr w:rsidR="0048717C" w:rsidRPr="00C44FC7" w:rsidTr="0048717C">
        <w:tc>
          <w:tcPr>
            <w:tcW w:w="4068" w:type="dxa"/>
            <w:tcBorders>
              <w:top w:val="nil"/>
              <w:bottom w:val="nil"/>
            </w:tcBorders>
          </w:tcPr>
          <w:p w:rsidR="0048717C" w:rsidRPr="00C44FC7" w:rsidRDefault="0048717C" w:rsidP="0048717C">
            <w:pPr>
              <w:rPr>
                <w:rFonts w:cs="Arial"/>
                <w:sz w:val="20"/>
                <w:szCs w:val="20"/>
              </w:rPr>
            </w:pPr>
            <w:r w:rsidRPr="00C44FC7">
              <w:rPr>
                <w:rFonts w:cs="Arial"/>
                <w:sz w:val="20"/>
                <w:szCs w:val="20"/>
              </w:rPr>
              <w:t>Herpes Infection</w:t>
            </w:r>
          </w:p>
        </w:tc>
        <w:tc>
          <w:tcPr>
            <w:tcW w:w="1440" w:type="dxa"/>
            <w:tcBorders>
              <w:top w:val="nil"/>
              <w:bottom w:val="nil"/>
            </w:tcBorders>
          </w:tcPr>
          <w:p w:rsidR="0048717C" w:rsidRPr="00C44FC7" w:rsidRDefault="0048717C" w:rsidP="0048717C">
            <w:pPr>
              <w:jc w:val="center"/>
              <w:rPr>
                <w:sz w:val="20"/>
                <w:szCs w:val="20"/>
              </w:rPr>
            </w:pPr>
            <w:r w:rsidRPr="00C44FC7">
              <w:rPr>
                <w:sz w:val="20"/>
                <w:szCs w:val="20"/>
              </w:rPr>
              <w:t>8</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11</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4</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8</w:t>
            </w:r>
          </w:p>
        </w:tc>
      </w:tr>
      <w:tr w:rsidR="0048717C" w:rsidRPr="00C44FC7" w:rsidTr="0048717C">
        <w:tc>
          <w:tcPr>
            <w:tcW w:w="4068" w:type="dxa"/>
            <w:tcBorders>
              <w:top w:val="nil"/>
              <w:bottom w:val="nil"/>
            </w:tcBorders>
          </w:tcPr>
          <w:p w:rsidR="0048717C" w:rsidRPr="00C44FC7" w:rsidRDefault="0048717C" w:rsidP="0048717C">
            <w:pPr>
              <w:rPr>
                <w:rFonts w:cs="Arial"/>
                <w:sz w:val="20"/>
                <w:szCs w:val="20"/>
              </w:rPr>
            </w:pPr>
            <w:r w:rsidRPr="00C44FC7">
              <w:rPr>
                <w:rFonts w:cs="Arial"/>
                <w:sz w:val="20"/>
                <w:szCs w:val="20"/>
              </w:rPr>
              <w:t>Sinusitis</w:t>
            </w:r>
          </w:p>
        </w:tc>
        <w:tc>
          <w:tcPr>
            <w:tcW w:w="1440" w:type="dxa"/>
            <w:tcBorders>
              <w:top w:val="nil"/>
              <w:bottom w:val="nil"/>
            </w:tcBorders>
          </w:tcPr>
          <w:p w:rsidR="0048717C" w:rsidRPr="00C44FC7" w:rsidRDefault="0048717C" w:rsidP="0048717C">
            <w:pPr>
              <w:jc w:val="center"/>
              <w:rPr>
                <w:sz w:val="20"/>
                <w:szCs w:val="20"/>
              </w:rPr>
            </w:pPr>
            <w:r w:rsidRPr="00C44FC7">
              <w:rPr>
                <w:sz w:val="20"/>
                <w:szCs w:val="20"/>
              </w:rPr>
              <w:t>7</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10</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3</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6</w:t>
            </w:r>
          </w:p>
        </w:tc>
      </w:tr>
      <w:tr w:rsidR="0048717C" w:rsidRPr="00C44FC7" w:rsidTr="0048717C">
        <w:tc>
          <w:tcPr>
            <w:tcW w:w="4068" w:type="dxa"/>
            <w:tcBorders>
              <w:top w:val="nil"/>
              <w:bottom w:val="nil"/>
            </w:tcBorders>
          </w:tcPr>
          <w:p w:rsidR="0048717C" w:rsidRPr="00C44FC7" w:rsidRDefault="0048717C" w:rsidP="0048717C">
            <w:pPr>
              <w:rPr>
                <w:rFonts w:cs="Arial"/>
                <w:sz w:val="20"/>
                <w:szCs w:val="20"/>
              </w:rPr>
            </w:pPr>
            <w:r w:rsidRPr="00C44FC7">
              <w:rPr>
                <w:rFonts w:cs="Arial"/>
                <w:sz w:val="20"/>
                <w:szCs w:val="20"/>
              </w:rPr>
              <w:t>Bronchitis</w:t>
            </w:r>
          </w:p>
        </w:tc>
        <w:tc>
          <w:tcPr>
            <w:tcW w:w="1440" w:type="dxa"/>
            <w:tcBorders>
              <w:top w:val="nil"/>
              <w:bottom w:val="nil"/>
            </w:tcBorders>
          </w:tcPr>
          <w:p w:rsidR="0048717C" w:rsidRPr="00C44FC7" w:rsidRDefault="0048717C" w:rsidP="0048717C">
            <w:pPr>
              <w:jc w:val="center"/>
              <w:rPr>
                <w:sz w:val="20"/>
                <w:szCs w:val="20"/>
              </w:rPr>
            </w:pPr>
            <w:r w:rsidRPr="00C44FC7">
              <w:rPr>
                <w:sz w:val="20"/>
                <w:szCs w:val="20"/>
              </w:rPr>
              <w:t>7</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9</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5</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9</w:t>
            </w:r>
          </w:p>
        </w:tc>
      </w:tr>
      <w:tr w:rsidR="0048717C" w:rsidRPr="00C44FC7" w:rsidTr="0048717C">
        <w:tc>
          <w:tcPr>
            <w:tcW w:w="4068" w:type="dxa"/>
            <w:tcBorders>
              <w:top w:val="nil"/>
              <w:bottom w:val="nil"/>
            </w:tcBorders>
          </w:tcPr>
          <w:p w:rsidR="0048717C" w:rsidRPr="00C44FC7" w:rsidRDefault="0048717C" w:rsidP="0048717C">
            <w:pPr>
              <w:rPr>
                <w:rFonts w:cs="Arial"/>
                <w:sz w:val="20"/>
                <w:szCs w:val="20"/>
              </w:rPr>
            </w:pPr>
            <w:proofErr w:type="spellStart"/>
            <w:r w:rsidRPr="00C44FC7">
              <w:rPr>
                <w:rFonts w:cs="Arial"/>
                <w:sz w:val="20"/>
                <w:szCs w:val="20"/>
              </w:rPr>
              <w:t>Folliculitis</w:t>
            </w:r>
            <w:proofErr w:type="spellEnd"/>
          </w:p>
        </w:tc>
        <w:tc>
          <w:tcPr>
            <w:tcW w:w="1440" w:type="dxa"/>
            <w:tcBorders>
              <w:top w:val="nil"/>
              <w:bottom w:val="nil"/>
            </w:tcBorders>
          </w:tcPr>
          <w:p w:rsidR="0048717C" w:rsidRPr="00C44FC7" w:rsidRDefault="0048717C" w:rsidP="0048717C">
            <w:pPr>
              <w:jc w:val="center"/>
              <w:rPr>
                <w:sz w:val="20"/>
                <w:szCs w:val="20"/>
              </w:rPr>
            </w:pPr>
            <w:r w:rsidRPr="00C44FC7">
              <w:rPr>
                <w:sz w:val="20"/>
                <w:szCs w:val="20"/>
              </w:rPr>
              <w:t>4</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5</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2</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4</w:t>
            </w:r>
          </w:p>
        </w:tc>
      </w:tr>
      <w:tr w:rsidR="0048717C" w:rsidRPr="00C44FC7" w:rsidTr="0048717C">
        <w:tc>
          <w:tcPr>
            <w:tcW w:w="4068" w:type="dxa"/>
            <w:tcBorders>
              <w:top w:val="nil"/>
              <w:bottom w:val="nil"/>
            </w:tcBorders>
          </w:tcPr>
          <w:p w:rsidR="0048717C" w:rsidRPr="00C44FC7" w:rsidRDefault="0048717C" w:rsidP="0048717C">
            <w:pPr>
              <w:autoSpaceDE w:val="0"/>
              <w:autoSpaceDN w:val="0"/>
              <w:adjustRightInd w:val="0"/>
              <w:rPr>
                <w:rFonts w:cs="Arial"/>
                <w:sz w:val="20"/>
                <w:szCs w:val="20"/>
              </w:rPr>
            </w:pPr>
            <w:proofErr w:type="spellStart"/>
            <w:r w:rsidRPr="00C44FC7">
              <w:rPr>
                <w:rFonts w:cs="Arial"/>
                <w:sz w:val="20"/>
                <w:szCs w:val="20"/>
              </w:rPr>
              <w:t>Anogenital</w:t>
            </w:r>
            <w:proofErr w:type="spellEnd"/>
            <w:r w:rsidRPr="00C44FC7">
              <w:rPr>
                <w:rFonts w:cs="Arial"/>
                <w:sz w:val="20"/>
                <w:szCs w:val="20"/>
              </w:rPr>
              <w:t xml:space="preserve"> warts</w:t>
            </w:r>
          </w:p>
        </w:tc>
        <w:tc>
          <w:tcPr>
            <w:tcW w:w="1440" w:type="dxa"/>
            <w:tcBorders>
              <w:top w:val="nil"/>
              <w:bottom w:val="nil"/>
            </w:tcBorders>
          </w:tcPr>
          <w:p w:rsidR="0048717C" w:rsidRPr="00C44FC7" w:rsidRDefault="0048717C" w:rsidP="0048717C">
            <w:pPr>
              <w:jc w:val="center"/>
              <w:rPr>
                <w:sz w:val="20"/>
                <w:szCs w:val="20"/>
              </w:rPr>
            </w:pPr>
            <w:r w:rsidRPr="00C44FC7">
              <w:rPr>
                <w:sz w:val="20"/>
                <w:szCs w:val="20"/>
              </w:rPr>
              <w:t>2</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3</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1</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3</w:t>
            </w:r>
          </w:p>
        </w:tc>
      </w:tr>
      <w:tr w:rsidR="0048717C" w:rsidRPr="00C44FC7" w:rsidTr="0048717C">
        <w:tc>
          <w:tcPr>
            <w:tcW w:w="4068" w:type="dxa"/>
            <w:tcBorders>
              <w:top w:val="nil"/>
              <w:bottom w:val="nil"/>
            </w:tcBorders>
          </w:tcPr>
          <w:p w:rsidR="0048717C" w:rsidRPr="00C44FC7" w:rsidRDefault="0048717C" w:rsidP="0048717C">
            <w:pPr>
              <w:rPr>
                <w:rFonts w:cs="Arial"/>
                <w:sz w:val="20"/>
                <w:szCs w:val="20"/>
              </w:rPr>
            </w:pPr>
            <w:r w:rsidRPr="00C44FC7">
              <w:rPr>
                <w:rFonts w:cs="Arial"/>
                <w:sz w:val="20"/>
                <w:szCs w:val="20"/>
              </w:rPr>
              <w:t xml:space="preserve">Influenza </w:t>
            </w:r>
          </w:p>
        </w:tc>
        <w:tc>
          <w:tcPr>
            <w:tcW w:w="1440" w:type="dxa"/>
            <w:tcBorders>
              <w:top w:val="nil"/>
              <w:bottom w:val="nil"/>
            </w:tcBorders>
          </w:tcPr>
          <w:p w:rsidR="0048717C" w:rsidRPr="00C44FC7" w:rsidRDefault="0048717C" w:rsidP="0048717C">
            <w:pPr>
              <w:jc w:val="center"/>
              <w:rPr>
                <w:sz w:val="20"/>
                <w:szCs w:val="20"/>
              </w:rPr>
            </w:pPr>
            <w:r w:rsidRPr="00C44FC7">
              <w:rPr>
                <w:sz w:val="20"/>
                <w:szCs w:val="20"/>
              </w:rPr>
              <w:t>2</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3</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0.5</w:t>
            </w:r>
          </w:p>
        </w:tc>
        <w:tc>
          <w:tcPr>
            <w:tcW w:w="1260" w:type="dxa"/>
            <w:tcBorders>
              <w:top w:val="nil"/>
              <w:bottom w:val="nil"/>
            </w:tcBorders>
          </w:tcPr>
          <w:p w:rsidR="0048717C" w:rsidRPr="00C44FC7" w:rsidRDefault="0048717C" w:rsidP="0048717C">
            <w:pPr>
              <w:jc w:val="center"/>
              <w:rPr>
                <w:sz w:val="20"/>
                <w:szCs w:val="20"/>
              </w:rPr>
            </w:pPr>
            <w:r w:rsidRPr="00C44FC7">
              <w:rPr>
                <w:sz w:val="20"/>
                <w:szCs w:val="20"/>
              </w:rPr>
              <w:t>1</w:t>
            </w:r>
          </w:p>
        </w:tc>
      </w:tr>
      <w:tr w:rsidR="0048717C" w:rsidRPr="00C44FC7" w:rsidTr="0048717C">
        <w:tc>
          <w:tcPr>
            <w:tcW w:w="4068" w:type="dxa"/>
            <w:tcBorders>
              <w:top w:val="nil"/>
              <w:bottom w:val="single" w:sz="4" w:space="0" w:color="auto"/>
            </w:tcBorders>
          </w:tcPr>
          <w:p w:rsidR="0048717C" w:rsidRPr="00C44FC7" w:rsidRDefault="0048717C" w:rsidP="0048717C">
            <w:pPr>
              <w:autoSpaceDE w:val="0"/>
              <w:autoSpaceDN w:val="0"/>
              <w:adjustRightInd w:val="0"/>
              <w:rPr>
                <w:rFonts w:cs="Arial"/>
                <w:sz w:val="20"/>
                <w:szCs w:val="20"/>
              </w:rPr>
            </w:pPr>
            <w:proofErr w:type="spellStart"/>
            <w:r w:rsidRPr="00C44FC7">
              <w:rPr>
                <w:rFonts w:cs="Arial"/>
                <w:sz w:val="20"/>
                <w:szCs w:val="20"/>
              </w:rPr>
              <w:t>Otitis</w:t>
            </w:r>
            <w:proofErr w:type="spellEnd"/>
            <w:r w:rsidRPr="00C44FC7">
              <w:rPr>
                <w:rFonts w:cs="Arial"/>
                <w:sz w:val="20"/>
                <w:szCs w:val="20"/>
              </w:rPr>
              <w:t xml:space="preserve"> media</w:t>
            </w:r>
          </w:p>
        </w:tc>
        <w:tc>
          <w:tcPr>
            <w:tcW w:w="1440" w:type="dxa"/>
            <w:tcBorders>
              <w:top w:val="nil"/>
              <w:bottom w:val="single" w:sz="4" w:space="0" w:color="auto"/>
            </w:tcBorders>
          </w:tcPr>
          <w:p w:rsidR="0048717C" w:rsidRPr="00C44FC7" w:rsidRDefault="0048717C" w:rsidP="0048717C">
            <w:pPr>
              <w:jc w:val="center"/>
              <w:rPr>
                <w:sz w:val="20"/>
                <w:szCs w:val="20"/>
              </w:rPr>
            </w:pPr>
            <w:r w:rsidRPr="00C44FC7">
              <w:rPr>
                <w:sz w:val="20"/>
                <w:szCs w:val="20"/>
              </w:rPr>
              <w:t>2</w:t>
            </w:r>
          </w:p>
        </w:tc>
        <w:tc>
          <w:tcPr>
            <w:tcW w:w="1260" w:type="dxa"/>
            <w:tcBorders>
              <w:top w:val="nil"/>
              <w:bottom w:val="single" w:sz="4" w:space="0" w:color="auto"/>
            </w:tcBorders>
          </w:tcPr>
          <w:p w:rsidR="0048717C" w:rsidRPr="00C44FC7" w:rsidRDefault="0048717C" w:rsidP="0048717C">
            <w:pPr>
              <w:jc w:val="center"/>
              <w:rPr>
                <w:sz w:val="20"/>
                <w:szCs w:val="20"/>
              </w:rPr>
            </w:pPr>
            <w:r w:rsidRPr="00C44FC7">
              <w:rPr>
                <w:sz w:val="20"/>
                <w:szCs w:val="20"/>
              </w:rPr>
              <w:t>3</w:t>
            </w:r>
          </w:p>
        </w:tc>
        <w:tc>
          <w:tcPr>
            <w:tcW w:w="1260" w:type="dxa"/>
            <w:tcBorders>
              <w:top w:val="nil"/>
              <w:bottom w:val="single" w:sz="4" w:space="0" w:color="auto"/>
            </w:tcBorders>
          </w:tcPr>
          <w:p w:rsidR="0048717C" w:rsidRPr="00C44FC7" w:rsidRDefault="0048717C" w:rsidP="0048717C">
            <w:pPr>
              <w:jc w:val="center"/>
              <w:rPr>
                <w:sz w:val="20"/>
                <w:szCs w:val="20"/>
              </w:rPr>
            </w:pPr>
            <w:r w:rsidRPr="00C44FC7">
              <w:rPr>
                <w:sz w:val="20"/>
                <w:szCs w:val="20"/>
              </w:rPr>
              <w:t>0.5</w:t>
            </w:r>
          </w:p>
        </w:tc>
        <w:tc>
          <w:tcPr>
            <w:tcW w:w="1260" w:type="dxa"/>
            <w:tcBorders>
              <w:top w:val="nil"/>
              <w:bottom w:val="single" w:sz="4" w:space="0" w:color="auto"/>
            </w:tcBorders>
          </w:tcPr>
          <w:p w:rsidR="0048717C" w:rsidRPr="00C44FC7" w:rsidRDefault="0048717C" w:rsidP="0048717C">
            <w:pPr>
              <w:jc w:val="center"/>
              <w:rPr>
                <w:sz w:val="20"/>
                <w:szCs w:val="20"/>
              </w:rPr>
            </w:pPr>
            <w:r w:rsidRPr="00C44FC7">
              <w:rPr>
                <w:sz w:val="20"/>
                <w:szCs w:val="20"/>
              </w:rPr>
              <w:t>1</w:t>
            </w:r>
          </w:p>
        </w:tc>
      </w:tr>
      <w:tr w:rsidR="0048717C" w:rsidRPr="00C44FC7" w:rsidTr="0048717C">
        <w:tc>
          <w:tcPr>
            <w:tcW w:w="4068" w:type="dxa"/>
            <w:tcBorders>
              <w:bottom w:val="single" w:sz="4" w:space="0" w:color="auto"/>
            </w:tcBorders>
          </w:tcPr>
          <w:p w:rsidR="0048717C" w:rsidRPr="00E14804" w:rsidRDefault="0048717C" w:rsidP="0048717C">
            <w:pPr>
              <w:rPr>
                <w:rFonts w:cs="Arial"/>
                <w:color w:val="000000"/>
                <w:sz w:val="20"/>
                <w:szCs w:val="20"/>
                <w:highlight w:val="green"/>
              </w:rPr>
            </w:pPr>
          </w:p>
        </w:tc>
        <w:tc>
          <w:tcPr>
            <w:tcW w:w="1440" w:type="dxa"/>
            <w:tcBorders>
              <w:bottom w:val="single" w:sz="4" w:space="0" w:color="auto"/>
            </w:tcBorders>
          </w:tcPr>
          <w:p w:rsidR="0048717C" w:rsidRPr="00E14804" w:rsidRDefault="0048717C" w:rsidP="0048717C">
            <w:pPr>
              <w:jc w:val="center"/>
              <w:rPr>
                <w:color w:val="000000"/>
                <w:sz w:val="20"/>
                <w:szCs w:val="20"/>
                <w:highlight w:val="green"/>
              </w:rPr>
            </w:pPr>
          </w:p>
        </w:tc>
        <w:tc>
          <w:tcPr>
            <w:tcW w:w="1260" w:type="dxa"/>
            <w:tcBorders>
              <w:bottom w:val="single" w:sz="4" w:space="0" w:color="auto"/>
            </w:tcBorders>
          </w:tcPr>
          <w:p w:rsidR="0048717C" w:rsidRPr="00E14804" w:rsidRDefault="0048717C" w:rsidP="0048717C">
            <w:pPr>
              <w:jc w:val="center"/>
              <w:rPr>
                <w:color w:val="000000"/>
                <w:sz w:val="20"/>
                <w:szCs w:val="20"/>
                <w:highlight w:val="green"/>
              </w:rPr>
            </w:pPr>
          </w:p>
        </w:tc>
        <w:tc>
          <w:tcPr>
            <w:tcW w:w="1260" w:type="dxa"/>
            <w:tcBorders>
              <w:bottom w:val="single" w:sz="4" w:space="0" w:color="auto"/>
            </w:tcBorders>
          </w:tcPr>
          <w:p w:rsidR="0048717C" w:rsidRPr="00E14804" w:rsidRDefault="0048717C" w:rsidP="0048717C">
            <w:pPr>
              <w:jc w:val="center"/>
              <w:rPr>
                <w:color w:val="000000"/>
                <w:sz w:val="20"/>
                <w:szCs w:val="20"/>
                <w:highlight w:val="green"/>
              </w:rPr>
            </w:pPr>
          </w:p>
        </w:tc>
        <w:tc>
          <w:tcPr>
            <w:tcW w:w="1260" w:type="dxa"/>
            <w:tcBorders>
              <w:bottom w:val="single" w:sz="4" w:space="0" w:color="auto"/>
            </w:tcBorders>
          </w:tcPr>
          <w:p w:rsidR="0048717C" w:rsidRPr="00E14804" w:rsidRDefault="0048717C" w:rsidP="0048717C">
            <w:pPr>
              <w:jc w:val="center"/>
              <w:rPr>
                <w:color w:val="000000"/>
                <w:sz w:val="20"/>
                <w:szCs w:val="20"/>
                <w:highlight w:val="green"/>
              </w:rPr>
            </w:pPr>
          </w:p>
        </w:tc>
      </w:tr>
      <w:tr w:rsidR="0048717C" w:rsidRPr="00C44FC7" w:rsidTr="0048717C">
        <w:tc>
          <w:tcPr>
            <w:tcW w:w="4068"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MUSCULOSKELETAL AND CONNECTIVE TISSUE DISORDERS</w:t>
            </w:r>
          </w:p>
        </w:tc>
        <w:tc>
          <w:tcPr>
            <w:tcW w:w="144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r w:rsidRPr="00C44FC7">
              <w:rPr>
                <w:rFonts w:cs="Arial"/>
                <w:color w:val="000000"/>
                <w:sz w:val="20"/>
                <w:szCs w:val="20"/>
              </w:rPr>
              <w:t>Joint related signs and symptoms</w:t>
            </w:r>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7</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10</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5</w:t>
            </w:r>
          </w:p>
        </w:tc>
      </w:tr>
      <w:tr w:rsidR="0048717C" w:rsidRPr="00C44FC7" w:rsidTr="0048717C">
        <w:tc>
          <w:tcPr>
            <w:tcW w:w="4068" w:type="dxa"/>
            <w:tcBorders>
              <w:top w:val="nil"/>
            </w:tcBorders>
          </w:tcPr>
          <w:p w:rsidR="0048717C" w:rsidRPr="00C44FC7" w:rsidRDefault="0048717C" w:rsidP="0048717C">
            <w:pPr>
              <w:rPr>
                <w:rFonts w:cs="Arial"/>
                <w:color w:val="000000"/>
                <w:sz w:val="20"/>
                <w:szCs w:val="20"/>
              </w:rPr>
            </w:pPr>
            <w:r w:rsidRPr="00C44FC7">
              <w:rPr>
                <w:rFonts w:cs="Arial"/>
                <w:color w:val="000000"/>
                <w:sz w:val="20"/>
                <w:szCs w:val="20"/>
              </w:rPr>
              <w:t>Muscle pains</w:t>
            </w:r>
          </w:p>
        </w:tc>
        <w:tc>
          <w:tcPr>
            <w:tcW w:w="1440" w:type="dxa"/>
            <w:tcBorders>
              <w:top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4</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0.5</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1</w:t>
            </w:r>
          </w:p>
        </w:tc>
      </w:tr>
      <w:tr w:rsidR="0048717C" w:rsidRPr="00C44FC7" w:rsidTr="0048717C">
        <w:tc>
          <w:tcPr>
            <w:tcW w:w="4068" w:type="dxa"/>
            <w:tcBorders>
              <w:bottom w:val="single" w:sz="4" w:space="0" w:color="auto"/>
            </w:tcBorders>
          </w:tcPr>
          <w:p w:rsidR="0048717C" w:rsidRPr="00C44FC7" w:rsidRDefault="0048717C" w:rsidP="0048717C">
            <w:pPr>
              <w:rPr>
                <w:rFonts w:cs="Arial"/>
                <w:color w:val="000000"/>
                <w:sz w:val="20"/>
                <w:szCs w:val="20"/>
              </w:rPr>
            </w:pPr>
          </w:p>
        </w:tc>
        <w:tc>
          <w:tcPr>
            <w:tcW w:w="144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8717C">
        <w:tc>
          <w:tcPr>
            <w:tcW w:w="4068"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NEOPLASMS BENIGN, MALIGNANT AND UNSPECIFIED</w:t>
            </w:r>
          </w:p>
        </w:tc>
        <w:tc>
          <w:tcPr>
            <w:tcW w:w="144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r>
      <w:tr w:rsidR="0048717C" w:rsidRPr="00C44FC7" w:rsidTr="0048717C">
        <w:tc>
          <w:tcPr>
            <w:tcW w:w="4068" w:type="dxa"/>
            <w:tcBorders>
              <w:top w:val="nil"/>
            </w:tcBorders>
          </w:tcPr>
          <w:p w:rsidR="0048717C" w:rsidRPr="00C44FC7" w:rsidRDefault="0048717C" w:rsidP="0048717C">
            <w:pPr>
              <w:rPr>
                <w:rFonts w:cs="Arial"/>
                <w:color w:val="000000"/>
                <w:sz w:val="20"/>
                <w:szCs w:val="20"/>
              </w:rPr>
            </w:pPr>
            <w:r w:rsidRPr="00C44FC7">
              <w:rPr>
                <w:rFonts w:cs="Arial"/>
                <w:color w:val="000000"/>
                <w:sz w:val="20"/>
                <w:szCs w:val="20"/>
              </w:rPr>
              <w:t xml:space="preserve">Skin </w:t>
            </w:r>
            <w:proofErr w:type="spellStart"/>
            <w:r w:rsidRPr="00C44FC7">
              <w:rPr>
                <w:rFonts w:cs="Arial"/>
                <w:color w:val="000000"/>
                <w:sz w:val="20"/>
                <w:szCs w:val="20"/>
              </w:rPr>
              <w:t>neoplasms</w:t>
            </w:r>
            <w:proofErr w:type="spellEnd"/>
            <w:r w:rsidRPr="00C44FC7">
              <w:rPr>
                <w:rFonts w:cs="Arial"/>
                <w:color w:val="000000"/>
                <w:sz w:val="20"/>
                <w:szCs w:val="20"/>
              </w:rPr>
              <w:t xml:space="preserve"> benign</w:t>
            </w:r>
          </w:p>
        </w:tc>
        <w:tc>
          <w:tcPr>
            <w:tcW w:w="1440" w:type="dxa"/>
            <w:tcBorders>
              <w:top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4</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1</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3</w:t>
            </w:r>
          </w:p>
        </w:tc>
      </w:tr>
      <w:tr w:rsidR="0048717C" w:rsidRPr="00C44FC7" w:rsidTr="0048717C">
        <w:tc>
          <w:tcPr>
            <w:tcW w:w="4068" w:type="dxa"/>
            <w:tcBorders>
              <w:bottom w:val="single" w:sz="4" w:space="0" w:color="auto"/>
            </w:tcBorders>
          </w:tcPr>
          <w:p w:rsidR="0048717C" w:rsidRPr="00C44FC7" w:rsidRDefault="0048717C" w:rsidP="0048717C">
            <w:pPr>
              <w:rPr>
                <w:rFonts w:cs="Arial"/>
                <w:b/>
                <w:color w:val="000000"/>
                <w:sz w:val="20"/>
                <w:szCs w:val="20"/>
              </w:rPr>
            </w:pPr>
          </w:p>
        </w:tc>
        <w:tc>
          <w:tcPr>
            <w:tcW w:w="144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8717C">
        <w:tc>
          <w:tcPr>
            <w:tcW w:w="4068"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NERVOUS SYSTEM DISORDERS</w:t>
            </w:r>
          </w:p>
        </w:tc>
        <w:tc>
          <w:tcPr>
            <w:tcW w:w="144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proofErr w:type="spellStart"/>
            <w:r w:rsidRPr="00C44FC7">
              <w:rPr>
                <w:rFonts w:cs="Arial"/>
                <w:color w:val="000000"/>
                <w:sz w:val="20"/>
                <w:szCs w:val="20"/>
              </w:rPr>
              <w:t>Paresthesias</w:t>
            </w:r>
            <w:proofErr w:type="spellEnd"/>
            <w:r w:rsidRPr="00C44FC7">
              <w:rPr>
                <w:rFonts w:cs="Arial"/>
                <w:color w:val="000000"/>
                <w:sz w:val="20"/>
                <w:szCs w:val="20"/>
              </w:rPr>
              <w:t xml:space="preserve"> and </w:t>
            </w:r>
            <w:proofErr w:type="spellStart"/>
            <w:r w:rsidRPr="00C44FC7">
              <w:rPr>
                <w:rFonts w:cs="Arial"/>
                <w:color w:val="000000"/>
                <w:sz w:val="20"/>
                <w:szCs w:val="20"/>
              </w:rPr>
              <w:t>dysesthesias</w:t>
            </w:r>
            <w:proofErr w:type="spellEnd"/>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5</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7</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6</w:t>
            </w: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r w:rsidRPr="00C44FC7">
              <w:rPr>
                <w:rFonts w:cs="Arial"/>
                <w:color w:val="000000"/>
                <w:sz w:val="20"/>
                <w:szCs w:val="20"/>
              </w:rPr>
              <w:t>Sensory abnormalities</w:t>
            </w:r>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4</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6</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3</w:t>
            </w:r>
          </w:p>
        </w:tc>
      </w:tr>
      <w:tr w:rsidR="0048717C" w:rsidRPr="00C44FC7" w:rsidTr="0048717C">
        <w:tc>
          <w:tcPr>
            <w:tcW w:w="4068" w:type="dxa"/>
            <w:tcBorders>
              <w:top w:val="nil"/>
            </w:tcBorders>
          </w:tcPr>
          <w:p w:rsidR="0048717C" w:rsidRPr="00C44FC7" w:rsidRDefault="0048717C" w:rsidP="0048717C">
            <w:pPr>
              <w:rPr>
                <w:rFonts w:cs="Arial"/>
                <w:color w:val="000000"/>
                <w:sz w:val="20"/>
                <w:szCs w:val="20"/>
              </w:rPr>
            </w:pPr>
            <w:r w:rsidRPr="00C44FC7">
              <w:rPr>
                <w:rFonts w:cs="Arial"/>
                <w:color w:val="000000"/>
                <w:sz w:val="20"/>
                <w:szCs w:val="20"/>
              </w:rPr>
              <w:t>Peripheral neuropathies</w:t>
            </w:r>
          </w:p>
        </w:tc>
        <w:tc>
          <w:tcPr>
            <w:tcW w:w="1440" w:type="dxa"/>
            <w:tcBorders>
              <w:top w:val="nil"/>
            </w:tcBorders>
          </w:tcPr>
          <w:p w:rsidR="0048717C" w:rsidRPr="00C44FC7" w:rsidRDefault="0048717C" w:rsidP="0048717C">
            <w:pPr>
              <w:jc w:val="center"/>
              <w:rPr>
                <w:color w:val="000000"/>
                <w:sz w:val="20"/>
                <w:szCs w:val="20"/>
              </w:rPr>
            </w:pPr>
            <w:r w:rsidRPr="00C44FC7">
              <w:rPr>
                <w:color w:val="000000"/>
                <w:sz w:val="20"/>
                <w:szCs w:val="20"/>
              </w:rPr>
              <w:t>4</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5</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6</w:t>
            </w:r>
          </w:p>
        </w:tc>
      </w:tr>
      <w:tr w:rsidR="0048717C" w:rsidRPr="00C44FC7" w:rsidTr="0048717C">
        <w:tc>
          <w:tcPr>
            <w:tcW w:w="4068" w:type="dxa"/>
            <w:tcBorders>
              <w:bottom w:val="single" w:sz="4" w:space="0" w:color="auto"/>
            </w:tcBorders>
          </w:tcPr>
          <w:p w:rsidR="0048717C" w:rsidRPr="00C44FC7" w:rsidRDefault="0048717C" w:rsidP="0048717C">
            <w:pPr>
              <w:rPr>
                <w:rFonts w:cs="Arial"/>
                <w:color w:val="000000"/>
                <w:sz w:val="20"/>
                <w:szCs w:val="20"/>
              </w:rPr>
            </w:pPr>
          </w:p>
        </w:tc>
        <w:tc>
          <w:tcPr>
            <w:tcW w:w="144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8717C">
        <w:tc>
          <w:tcPr>
            <w:tcW w:w="4068"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PSYCHIATRIC DISORDERS</w:t>
            </w:r>
          </w:p>
        </w:tc>
        <w:tc>
          <w:tcPr>
            <w:tcW w:w="144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r w:rsidRPr="00C44FC7">
              <w:rPr>
                <w:rFonts w:cs="Arial"/>
                <w:color w:val="000000"/>
                <w:sz w:val="20"/>
                <w:szCs w:val="20"/>
              </w:rPr>
              <w:t>Disturbances in initiating and maintaining sleep</w:t>
            </w:r>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8</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11</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5</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10</w:t>
            </w: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r w:rsidRPr="00C44FC7">
              <w:rPr>
                <w:rFonts w:cs="Arial"/>
                <w:color w:val="000000"/>
                <w:sz w:val="20"/>
                <w:szCs w:val="20"/>
              </w:rPr>
              <w:t>Depressive disorders</w:t>
            </w:r>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4</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6</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5</w:t>
            </w:r>
          </w:p>
        </w:tc>
      </w:tr>
      <w:tr w:rsidR="0048717C" w:rsidRPr="00C44FC7" w:rsidTr="0048717C">
        <w:tc>
          <w:tcPr>
            <w:tcW w:w="4068" w:type="dxa"/>
            <w:tcBorders>
              <w:bottom w:val="single" w:sz="4" w:space="0" w:color="auto"/>
            </w:tcBorders>
          </w:tcPr>
          <w:p w:rsidR="0048717C" w:rsidRPr="00C44FC7" w:rsidRDefault="0048717C" w:rsidP="0048717C">
            <w:pPr>
              <w:rPr>
                <w:rFonts w:cs="Arial"/>
                <w:color w:val="000000"/>
                <w:sz w:val="20"/>
                <w:szCs w:val="20"/>
              </w:rPr>
            </w:pPr>
          </w:p>
        </w:tc>
        <w:tc>
          <w:tcPr>
            <w:tcW w:w="144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8717C">
        <w:tc>
          <w:tcPr>
            <w:tcW w:w="4068"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RENAL AND URINARY DISORDERS</w:t>
            </w:r>
          </w:p>
        </w:tc>
        <w:tc>
          <w:tcPr>
            <w:tcW w:w="144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r w:rsidRPr="00C44FC7">
              <w:rPr>
                <w:rFonts w:cs="Arial"/>
                <w:color w:val="000000"/>
                <w:sz w:val="20"/>
                <w:szCs w:val="20"/>
              </w:rPr>
              <w:t>Bladder and urethral symptoms</w:t>
            </w:r>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5</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7</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3</w:t>
            </w:r>
          </w:p>
        </w:tc>
      </w:tr>
      <w:tr w:rsidR="0048717C" w:rsidRPr="00C44FC7" w:rsidTr="0048717C">
        <w:tc>
          <w:tcPr>
            <w:tcW w:w="4068" w:type="dxa"/>
            <w:tcBorders>
              <w:top w:val="nil"/>
              <w:bottom w:val="single" w:sz="4" w:space="0" w:color="auto"/>
            </w:tcBorders>
          </w:tcPr>
          <w:p w:rsidR="0048717C" w:rsidRPr="00C44FC7" w:rsidRDefault="0048717C" w:rsidP="0048717C">
            <w:pPr>
              <w:rPr>
                <w:rFonts w:cs="Arial"/>
                <w:color w:val="000000"/>
                <w:sz w:val="20"/>
                <w:szCs w:val="20"/>
              </w:rPr>
            </w:pPr>
            <w:r w:rsidRPr="00C44FC7">
              <w:rPr>
                <w:rFonts w:cs="Arial"/>
                <w:color w:val="000000"/>
                <w:sz w:val="20"/>
                <w:szCs w:val="20"/>
              </w:rPr>
              <w:t>Urinary tract signs and symptoms</w:t>
            </w:r>
          </w:p>
        </w:tc>
        <w:tc>
          <w:tcPr>
            <w:tcW w:w="1440" w:type="dxa"/>
            <w:tcBorders>
              <w:top w:val="nil"/>
              <w:bottom w:val="single" w:sz="4" w:space="0" w:color="auto"/>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bottom w:val="single" w:sz="4" w:space="0" w:color="auto"/>
            </w:tcBorders>
          </w:tcPr>
          <w:p w:rsidR="0048717C" w:rsidRPr="00C44FC7" w:rsidRDefault="0048717C" w:rsidP="0048717C">
            <w:pPr>
              <w:jc w:val="center"/>
              <w:rPr>
                <w:color w:val="000000"/>
                <w:sz w:val="20"/>
                <w:szCs w:val="20"/>
              </w:rPr>
            </w:pPr>
            <w:r w:rsidRPr="00C44FC7">
              <w:rPr>
                <w:color w:val="000000"/>
                <w:sz w:val="20"/>
                <w:szCs w:val="20"/>
              </w:rPr>
              <w:t>4</w:t>
            </w:r>
          </w:p>
        </w:tc>
        <w:tc>
          <w:tcPr>
            <w:tcW w:w="1260" w:type="dxa"/>
            <w:tcBorders>
              <w:top w:val="nil"/>
              <w:bottom w:val="single" w:sz="4" w:space="0" w:color="auto"/>
            </w:tcBorders>
          </w:tcPr>
          <w:p w:rsidR="0048717C" w:rsidRPr="00C44FC7" w:rsidRDefault="0048717C" w:rsidP="0048717C">
            <w:pPr>
              <w:jc w:val="center"/>
              <w:rPr>
                <w:color w:val="000000"/>
                <w:sz w:val="20"/>
                <w:szCs w:val="20"/>
              </w:rPr>
            </w:pPr>
            <w:r w:rsidRPr="00C44FC7">
              <w:rPr>
                <w:color w:val="000000"/>
                <w:sz w:val="20"/>
                <w:szCs w:val="20"/>
              </w:rPr>
              <w:t>1</w:t>
            </w:r>
          </w:p>
        </w:tc>
        <w:tc>
          <w:tcPr>
            <w:tcW w:w="1260" w:type="dxa"/>
            <w:tcBorders>
              <w:top w:val="nil"/>
              <w:bottom w:val="single" w:sz="4" w:space="0" w:color="auto"/>
            </w:tcBorders>
          </w:tcPr>
          <w:p w:rsidR="0048717C" w:rsidRPr="00C44FC7" w:rsidRDefault="0048717C" w:rsidP="0048717C">
            <w:pPr>
              <w:jc w:val="center"/>
              <w:rPr>
                <w:color w:val="000000"/>
                <w:sz w:val="20"/>
                <w:szCs w:val="20"/>
              </w:rPr>
            </w:pPr>
            <w:r w:rsidRPr="00C44FC7">
              <w:rPr>
                <w:color w:val="000000"/>
                <w:sz w:val="20"/>
                <w:szCs w:val="20"/>
              </w:rPr>
              <w:t>3</w:t>
            </w:r>
          </w:p>
        </w:tc>
      </w:tr>
      <w:tr w:rsidR="0048717C" w:rsidRPr="00C44FC7" w:rsidTr="0048717C">
        <w:tc>
          <w:tcPr>
            <w:tcW w:w="4068" w:type="dxa"/>
            <w:tcBorders>
              <w:bottom w:val="single" w:sz="4" w:space="0" w:color="auto"/>
            </w:tcBorders>
          </w:tcPr>
          <w:p w:rsidR="0048717C" w:rsidRPr="00C44FC7" w:rsidRDefault="0048717C" w:rsidP="0048717C">
            <w:pPr>
              <w:rPr>
                <w:rFonts w:cs="Arial"/>
                <w:color w:val="000000"/>
                <w:sz w:val="20"/>
                <w:szCs w:val="20"/>
                <w:lang w:val="pt-BR"/>
              </w:rPr>
            </w:pPr>
          </w:p>
        </w:tc>
        <w:tc>
          <w:tcPr>
            <w:tcW w:w="1440" w:type="dxa"/>
            <w:tcBorders>
              <w:bottom w:val="single" w:sz="4" w:space="0" w:color="auto"/>
            </w:tcBorders>
          </w:tcPr>
          <w:p w:rsidR="0048717C" w:rsidRPr="00C44FC7" w:rsidRDefault="0048717C" w:rsidP="0048717C">
            <w:pPr>
              <w:jc w:val="center"/>
              <w:rPr>
                <w:color w:val="000000"/>
                <w:sz w:val="20"/>
                <w:szCs w:val="20"/>
                <w:lang w:val="pt-BR"/>
              </w:rPr>
            </w:pPr>
          </w:p>
        </w:tc>
        <w:tc>
          <w:tcPr>
            <w:tcW w:w="1260" w:type="dxa"/>
            <w:tcBorders>
              <w:bottom w:val="single" w:sz="4" w:space="0" w:color="auto"/>
            </w:tcBorders>
          </w:tcPr>
          <w:p w:rsidR="0048717C" w:rsidRPr="00C44FC7" w:rsidRDefault="0048717C" w:rsidP="0048717C">
            <w:pPr>
              <w:jc w:val="center"/>
              <w:rPr>
                <w:color w:val="000000"/>
                <w:sz w:val="20"/>
                <w:szCs w:val="20"/>
                <w:lang w:val="pt-BR"/>
              </w:rPr>
            </w:pPr>
          </w:p>
        </w:tc>
        <w:tc>
          <w:tcPr>
            <w:tcW w:w="1260" w:type="dxa"/>
            <w:tcBorders>
              <w:bottom w:val="single" w:sz="4" w:space="0" w:color="auto"/>
            </w:tcBorders>
          </w:tcPr>
          <w:p w:rsidR="0048717C" w:rsidRPr="00C44FC7" w:rsidRDefault="0048717C" w:rsidP="0048717C">
            <w:pPr>
              <w:jc w:val="center"/>
              <w:rPr>
                <w:color w:val="000000"/>
                <w:sz w:val="20"/>
                <w:szCs w:val="20"/>
                <w:lang w:val="pt-BR"/>
              </w:rPr>
            </w:pPr>
          </w:p>
        </w:tc>
        <w:tc>
          <w:tcPr>
            <w:tcW w:w="1260" w:type="dxa"/>
            <w:tcBorders>
              <w:bottom w:val="single" w:sz="4" w:space="0" w:color="auto"/>
            </w:tcBorders>
          </w:tcPr>
          <w:p w:rsidR="0048717C" w:rsidRPr="00C44FC7" w:rsidRDefault="0048717C" w:rsidP="0048717C">
            <w:pPr>
              <w:jc w:val="center"/>
              <w:rPr>
                <w:color w:val="000000"/>
                <w:sz w:val="20"/>
                <w:szCs w:val="20"/>
                <w:lang w:val="pt-BR"/>
              </w:rPr>
            </w:pPr>
          </w:p>
        </w:tc>
      </w:tr>
      <w:tr w:rsidR="0048717C" w:rsidRPr="00C44FC7" w:rsidTr="0048717C">
        <w:tc>
          <w:tcPr>
            <w:tcW w:w="4068"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RESPIRATORY, THORACIC AND MEDIASTINAL DISORDERS</w:t>
            </w:r>
          </w:p>
        </w:tc>
        <w:tc>
          <w:tcPr>
            <w:tcW w:w="144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r w:rsidRPr="00C44FC7">
              <w:rPr>
                <w:rFonts w:cs="Arial"/>
                <w:color w:val="000000"/>
                <w:sz w:val="20"/>
                <w:szCs w:val="20"/>
              </w:rPr>
              <w:t>Coughing and associated symptoms</w:t>
            </w:r>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14</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21</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5</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10</w:t>
            </w:r>
          </w:p>
        </w:tc>
      </w:tr>
      <w:tr w:rsidR="0048717C" w:rsidRPr="00C44FC7" w:rsidTr="0048717C">
        <w:tc>
          <w:tcPr>
            <w:tcW w:w="4068" w:type="dxa"/>
            <w:tcBorders>
              <w:top w:val="nil"/>
              <w:bottom w:val="nil"/>
            </w:tcBorders>
          </w:tcPr>
          <w:p w:rsidR="0048717C" w:rsidRPr="00C44FC7" w:rsidRDefault="0048717C" w:rsidP="0048717C">
            <w:pPr>
              <w:autoSpaceDE w:val="0"/>
              <w:autoSpaceDN w:val="0"/>
              <w:adjustRightInd w:val="0"/>
              <w:rPr>
                <w:rFonts w:cs="Arial"/>
                <w:color w:val="000000"/>
                <w:sz w:val="20"/>
                <w:szCs w:val="20"/>
              </w:rPr>
            </w:pPr>
            <w:r w:rsidRPr="00C44FC7">
              <w:rPr>
                <w:rFonts w:cs="Arial"/>
                <w:color w:val="000000"/>
                <w:sz w:val="20"/>
                <w:szCs w:val="20"/>
              </w:rPr>
              <w:t>Upper respiratory tract signs and symptoms</w:t>
            </w:r>
          </w:p>
        </w:tc>
        <w:tc>
          <w:tcPr>
            <w:tcW w:w="1440" w:type="dxa"/>
            <w:tcBorders>
              <w:top w:val="nil"/>
              <w:bottom w:val="nil"/>
            </w:tcBorders>
          </w:tcPr>
          <w:p w:rsidR="0048717C" w:rsidRPr="00C44FC7" w:rsidDel="00F474A0" w:rsidRDefault="0048717C" w:rsidP="0048717C">
            <w:pPr>
              <w:jc w:val="center"/>
              <w:rPr>
                <w:color w:val="000000"/>
                <w:sz w:val="20"/>
                <w:szCs w:val="20"/>
              </w:rPr>
            </w:pPr>
            <w:r w:rsidRPr="00C44FC7">
              <w:rPr>
                <w:color w:val="000000"/>
                <w:sz w:val="20"/>
                <w:szCs w:val="20"/>
              </w:rPr>
              <w:t>6</w:t>
            </w:r>
          </w:p>
        </w:tc>
        <w:tc>
          <w:tcPr>
            <w:tcW w:w="1260" w:type="dxa"/>
            <w:tcBorders>
              <w:top w:val="nil"/>
              <w:bottom w:val="nil"/>
            </w:tcBorders>
          </w:tcPr>
          <w:p w:rsidR="0048717C" w:rsidRPr="00C44FC7" w:rsidDel="00F474A0" w:rsidRDefault="0048717C" w:rsidP="0048717C">
            <w:pPr>
              <w:jc w:val="center"/>
              <w:rPr>
                <w:color w:val="000000"/>
                <w:sz w:val="20"/>
                <w:szCs w:val="20"/>
              </w:rPr>
            </w:pPr>
            <w:r w:rsidRPr="00C44FC7">
              <w:rPr>
                <w:color w:val="000000"/>
                <w:sz w:val="20"/>
                <w:szCs w:val="20"/>
              </w:rPr>
              <w:t>9</w:t>
            </w:r>
          </w:p>
        </w:tc>
        <w:tc>
          <w:tcPr>
            <w:tcW w:w="1260" w:type="dxa"/>
            <w:tcBorders>
              <w:top w:val="nil"/>
              <w:bottom w:val="nil"/>
            </w:tcBorders>
          </w:tcPr>
          <w:p w:rsidR="0048717C" w:rsidRPr="00C44FC7" w:rsidDel="00F474A0" w:rsidRDefault="0048717C" w:rsidP="0048717C">
            <w:pPr>
              <w:jc w:val="center"/>
              <w:rPr>
                <w:color w:val="000000"/>
                <w:sz w:val="20"/>
                <w:szCs w:val="20"/>
              </w:rPr>
            </w:pPr>
            <w:r w:rsidRPr="00C44FC7">
              <w:rPr>
                <w:color w:val="000000"/>
                <w:sz w:val="20"/>
                <w:szCs w:val="20"/>
              </w:rPr>
              <w:t>3</w:t>
            </w:r>
          </w:p>
        </w:tc>
        <w:tc>
          <w:tcPr>
            <w:tcW w:w="1260" w:type="dxa"/>
            <w:tcBorders>
              <w:top w:val="nil"/>
              <w:bottom w:val="nil"/>
            </w:tcBorders>
          </w:tcPr>
          <w:p w:rsidR="0048717C" w:rsidRPr="00C44FC7" w:rsidDel="00F474A0" w:rsidRDefault="0048717C" w:rsidP="0048717C">
            <w:pPr>
              <w:jc w:val="center"/>
              <w:rPr>
                <w:color w:val="000000"/>
                <w:sz w:val="20"/>
                <w:szCs w:val="20"/>
              </w:rPr>
            </w:pPr>
            <w:r w:rsidRPr="00C44FC7">
              <w:rPr>
                <w:color w:val="000000"/>
                <w:sz w:val="20"/>
                <w:szCs w:val="20"/>
              </w:rPr>
              <w:t>6</w:t>
            </w:r>
          </w:p>
        </w:tc>
      </w:tr>
      <w:tr w:rsidR="0048717C" w:rsidRPr="00C44FC7" w:rsidTr="0048717C">
        <w:tc>
          <w:tcPr>
            <w:tcW w:w="4068" w:type="dxa"/>
            <w:tcBorders>
              <w:top w:val="nil"/>
              <w:bottom w:val="nil"/>
            </w:tcBorders>
          </w:tcPr>
          <w:p w:rsidR="0048717C" w:rsidRPr="00C44FC7" w:rsidRDefault="0048717C" w:rsidP="0048717C">
            <w:pPr>
              <w:autoSpaceDE w:val="0"/>
              <w:autoSpaceDN w:val="0"/>
              <w:adjustRightInd w:val="0"/>
              <w:rPr>
                <w:rFonts w:cs="Arial"/>
                <w:color w:val="000000"/>
                <w:sz w:val="20"/>
                <w:szCs w:val="20"/>
              </w:rPr>
            </w:pPr>
            <w:r w:rsidRPr="00C44FC7">
              <w:rPr>
                <w:rFonts w:cs="Arial"/>
                <w:color w:val="000000"/>
                <w:sz w:val="20"/>
                <w:szCs w:val="20"/>
              </w:rPr>
              <w:t>Nasal congestion and inflammations</w:t>
            </w:r>
          </w:p>
        </w:tc>
        <w:tc>
          <w:tcPr>
            <w:tcW w:w="1440" w:type="dxa"/>
            <w:tcBorders>
              <w:top w:val="nil"/>
              <w:bottom w:val="nil"/>
            </w:tcBorders>
          </w:tcPr>
          <w:p w:rsidR="0048717C" w:rsidRPr="00C44FC7" w:rsidDel="00F474A0" w:rsidRDefault="0048717C" w:rsidP="0048717C">
            <w:pPr>
              <w:jc w:val="center"/>
              <w:rPr>
                <w:color w:val="000000"/>
                <w:sz w:val="20"/>
                <w:szCs w:val="20"/>
              </w:rPr>
            </w:pPr>
            <w:r w:rsidRPr="00C44FC7">
              <w:rPr>
                <w:color w:val="000000"/>
                <w:sz w:val="20"/>
                <w:szCs w:val="20"/>
              </w:rPr>
              <w:t>4</w:t>
            </w:r>
          </w:p>
        </w:tc>
        <w:tc>
          <w:tcPr>
            <w:tcW w:w="1260" w:type="dxa"/>
            <w:tcBorders>
              <w:top w:val="nil"/>
              <w:bottom w:val="nil"/>
            </w:tcBorders>
          </w:tcPr>
          <w:p w:rsidR="0048717C" w:rsidRPr="00C44FC7" w:rsidDel="00F474A0" w:rsidRDefault="0048717C" w:rsidP="0048717C">
            <w:pPr>
              <w:jc w:val="center"/>
              <w:rPr>
                <w:color w:val="000000"/>
                <w:sz w:val="20"/>
                <w:szCs w:val="20"/>
              </w:rPr>
            </w:pPr>
            <w:r w:rsidRPr="00C44FC7">
              <w:rPr>
                <w:color w:val="000000"/>
                <w:sz w:val="20"/>
                <w:szCs w:val="20"/>
              </w:rPr>
              <w:t>6</w:t>
            </w:r>
          </w:p>
        </w:tc>
        <w:tc>
          <w:tcPr>
            <w:tcW w:w="1260" w:type="dxa"/>
            <w:tcBorders>
              <w:top w:val="nil"/>
              <w:bottom w:val="nil"/>
            </w:tcBorders>
          </w:tcPr>
          <w:p w:rsidR="0048717C" w:rsidRPr="00C44FC7" w:rsidDel="00F474A0" w:rsidRDefault="0048717C" w:rsidP="0048717C">
            <w:pPr>
              <w:jc w:val="center"/>
              <w:rPr>
                <w:color w:val="000000"/>
                <w:sz w:val="20"/>
                <w:szCs w:val="20"/>
              </w:rPr>
            </w:pPr>
            <w:r w:rsidRPr="00C44FC7">
              <w:rPr>
                <w:color w:val="000000"/>
                <w:sz w:val="20"/>
                <w:szCs w:val="20"/>
              </w:rPr>
              <w:t>3</w:t>
            </w:r>
          </w:p>
        </w:tc>
        <w:tc>
          <w:tcPr>
            <w:tcW w:w="1260" w:type="dxa"/>
            <w:tcBorders>
              <w:top w:val="nil"/>
              <w:bottom w:val="nil"/>
            </w:tcBorders>
          </w:tcPr>
          <w:p w:rsidR="0048717C" w:rsidRPr="00C44FC7" w:rsidDel="00F474A0" w:rsidRDefault="0048717C" w:rsidP="0048717C">
            <w:pPr>
              <w:jc w:val="center"/>
              <w:rPr>
                <w:color w:val="000000"/>
                <w:sz w:val="20"/>
                <w:szCs w:val="20"/>
              </w:rPr>
            </w:pPr>
            <w:r w:rsidRPr="00C44FC7">
              <w:rPr>
                <w:color w:val="000000"/>
                <w:sz w:val="20"/>
                <w:szCs w:val="20"/>
              </w:rPr>
              <w:t>5</w:t>
            </w: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r w:rsidRPr="00C44FC7">
              <w:rPr>
                <w:rFonts w:cs="Arial"/>
                <w:color w:val="000000"/>
                <w:sz w:val="20"/>
                <w:szCs w:val="20"/>
              </w:rPr>
              <w:t>Breathing abnormalities</w:t>
            </w:r>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4</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5</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2</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5</w:t>
            </w:r>
          </w:p>
        </w:tc>
      </w:tr>
      <w:tr w:rsidR="0048717C" w:rsidRPr="00C44FC7" w:rsidTr="0048717C">
        <w:tc>
          <w:tcPr>
            <w:tcW w:w="4068" w:type="dxa"/>
            <w:tcBorders>
              <w:top w:val="nil"/>
            </w:tcBorders>
          </w:tcPr>
          <w:p w:rsidR="0048717C" w:rsidRPr="00C44FC7" w:rsidRDefault="0048717C" w:rsidP="0048717C">
            <w:pPr>
              <w:rPr>
                <w:rFonts w:cs="Arial"/>
                <w:color w:val="000000"/>
                <w:sz w:val="20"/>
                <w:szCs w:val="20"/>
              </w:rPr>
            </w:pPr>
            <w:proofErr w:type="spellStart"/>
            <w:r w:rsidRPr="00C44FC7">
              <w:rPr>
                <w:rFonts w:cs="Arial"/>
                <w:color w:val="000000"/>
                <w:sz w:val="20"/>
                <w:szCs w:val="20"/>
              </w:rPr>
              <w:t>Paranasal</w:t>
            </w:r>
            <w:proofErr w:type="spellEnd"/>
            <w:r w:rsidRPr="00C44FC7">
              <w:rPr>
                <w:rFonts w:cs="Arial"/>
                <w:color w:val="000000"/>
                <w:sz w:val="20"/>
                <w:szCs w:val="20"/>
              </w:rPr>
              <w:t xml:space="preserve"> sinus disorders </w:t>
            </w:r>
          </w:p>
        </w:tc>
        <w:tc>
          <w:tcPr>
            <w:tcW w:w="1440" w:type="dxa"/>
            <w:tcBorders>
              <w:top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4</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0.5</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1</w:t>
            </w:r>
          </w:p>
        </w:tc>
      </w:tr>
      <w:tr w:rsidR="0048717C" w:rsidRPr="00C44FC7" w:rsidTr="0048717C">
        <w:tc>
          <w:tcPr>
            <w:tcW w:w="4068" w:type="dxa"/>
            <w:tcBorders>
              <w:bottom w:val="single" w:sz="4" w:space="0" w:color="auto"/>
            </w:tcBorders>
          </w:tcPr>
          <w:p w:rsidR="0048717C" w:rsidRPr="00C44FC7" w:rsidRDefault="0048717C" w:rsidP="0048717C">
            <w:pPr>
              <w:rPr>
                <w:rFonts w:cs="Arial"/>
                <w:color w:val="000000"/>
                <w:sz w:val="20"/>
                <w:szCs w:val="20"/>
              </w:rPr>
            </w:pPr>
          </w:p>
        </w:tc>
        <w:tc>
          <w:tcPr>
            <w:tcW w:w="144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8717C">
        <w:tc>
          <w:tcPr>
            <w:tcW w:w="4068"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SKIN AND SUBCUTANEOUS TISSUE DISORDERS</w:t>
            </w:r>
          </w:p>
        </w:tc>
        <w:tc>
          <w:tcPr>
            <w:tcW w:w="144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r w:rsidRPr="00C44FC7">
              <w:rPr>
                <w:rFonts w:cs="Arial"/>
                <w:color w:val="000000"/>
                <w:sz w:val="20"/>
                <w:szCs w:val="20"/>
              </w:rPr>
              <w:t xml:space="preserve">Rash </w:t>
            </w:r>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11</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16</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5</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11</w:t>
            </w: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proofErr w:type="spellStart"/>
            <w:r w:rsidRPr="00C44FC7">
              <w:rPr>
                <w:rFonts w:cs="Arial"/>
                <w:color w:val="000000"/>
                <w:sz w:val="20"/>
                <w:szCs w:val="20"/>
              </w:rPr>
              <w:t>Apocrine</w:t>
            </w:r>
            <w:proofErr w:type="spellEnd"/>
            <w:r w:rsidRPr="00C44FC7">
              <w:rPr>
                <w:rFonts w:cs="Arial"/>
                <w:color w:val="000000"/>
                <w:sz w:val="20"/>
                <w:szCs w:val="20"/>
              </w:rPr>
              <w:t xml:space="preserve"> and </w:t>
            </w:r>
            <w:proofErr w:type="spellStart"/>
            <w:r w:rsidRPr="00C44FC7">
              <w:rPr>
                <w:rFonts w:cs="Arial"/>
                <w:color w:val="000000"/>
                <w:sz w:val="20"/>
                <w:szCs w:val="20"/>
              </w:rPr>
              <w:t>eccrine</w:t>
            </w:r>
            <w:proofErr w:type="spellEnd"/>
            <w:r w:rsidRPr="00C44FC7">
              <w:rPr>
                <w:rFonts w:cs="Arial"/>
                <w:color w:val="000000"/>
                <w:sz w:val="20"/>
                <w:szCs w:val="20"/>
              </w:rPr>
              <w:t xml:space="preserve"> gland disorders</w:t>
            </w:r>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5</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7</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4</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7.5</w:t>
            </w: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proofErr w:type="spellStart"/>
            <w:r w:rsidRPr="00C44FC7">
              <w:rPr>
                <w:rFonts w:cs="Arial"/>
                <w:color w:val="000000"/>
                <w:sz w:val="20"/>
                <w:szCs w:val="20"/>
              </w:rPr>
              <w:lastRenderedPageBreak/>
              <w:t>Pruritus</w:t>
            </w:r>
            <w:proofErr w:type="spellEnd"/>
            <w:r w:rsidRPr="00C44FC7">
              <w:rPr>
                <w:rFonts w:cs="Arial"/>
                <w:color w:val="000000"/>
                <w:sz w:val="20"/>
                <w:szCs w:val="20"/>
              </w:rPr>
              <w:t xml:space="preserve"> </w:t>
            </w:r>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4</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5</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2</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4</w:t>
            </w:r>
          </w:p>
        </w:tc>
      </w:tr>
      <w:tr w:rsidR="0048717C" w:rsidRPr="00C44FC7" w:rsidTr="0048717C">
        <w:tc>
          <w:tcPr>
            <w:tcW w:w="4068" w:type="dxa"/>
            <w:tcBorders>
              <w:top w:val="nil"/>
              <w:bottom w:val="nil"/>
            </w:tcBorders>
          </w:tcPr>
          <w:p w:rsidR="0048717C" w:rsidRPr="00C44FC7" w:rsidRDefault="0048717C" w:rsidP="0048717C">
            <w:pPr>
              <w:rPr>
                <w:rFonts w:cs="Arial"/>
                <w:color w:val="000000"/>
                <w:sz w:val="20"/>
                <w:szCs w:val="20"/>
              </w:rPr>
            </w:pPr>
            <w:proofErr w:type="spellStart"/>
            <w:r w:rsidRPr="00C44FC7">
              <w:rPr>
                <w:rFonts w:cs="Arial"/>
                <w:color w:val="000000"/>
                <w:sz w:val="20"/>
                <w:szCs w:val="20"/>
              </w:rPr>
              <w:t>Lipodystrophies</w:t>
            </w:r>
            <w:proofErr w:type="spellEnd"/>
          </w:p>
        </w:tc>
        <w:tc>
          <w:tcPr>
            <w:tcW w:w="144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5</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0.5</w:t>
            </w:r>
          </w:p>
        </w:tc>
        <w:tc>
          <w:tcPr>
            <w:tcW w:w="1260" w:type="dxa"/>
            <w:tcBorders>
              <w:top w:val="nil"/>
              <w:bottom w:val="nil"/>
            </w:tcBorders>
          </w:tcPr>
          <w:p w:rsidR="0048717C" w:rsidRPr="00C44FC7" w:rsidRDefault="0048717C" w:rsidP="0048717C">
            <w:pPr>
              <w:jc w:val="center"/>
              <w:rPr>
                <w:color w:val="000000"/>
                <w:sz w:val="20"/>
                <w:szCs w:val="20"/>
              </w:rPr>
            </w:pPr>
            <w:r w:rsidRPr="00C44FC7">
              <w:rPr>
                <w:color w:val="000000"/>
                <w:sz w:val="20"/>
                <w:szCs w:val="20"/>
              </w:rPr>
              <w:t>1</w:t>
            </w:r>
          </w:p>
        </w:tc>
      </w:tr>
      <w:tr w:rsidR="0048717C" w:rsidRPr="00C44FC7" w:rsidTr="0048717C">
        <w:tc>
          <w:tcPr>
            <w:tcW w:w="4068" w:type="dxa"/>
            <w:tcBorders>
              <w:top w:val="nil"/>
            </w:tcBorders>
          </w:tcPr>
          <w:p w:rsidR="0048717C" w:rsidRPr="00C44FC7" w:rsidRDefault="0048717C" w:rsidP="0048717C">
            <w:pPr>
              <w:rPr>
                <w:rFonts w:cs="Arial"/>
                <w:color w:val="000000"/>
                <w:sz w:val="20"/>
                <w:szCs w:val="20"/>
              </w:rPr>
            </w:pPr>
            <w:proofErr w:type="spellStart"/>
            <w:r w:rsidRPr="00C44FC7">
              <w:rPr>
                <w:rFonts w:cs="Arial"/>
                <w:color w:val="000000"/>
                <w:sz w:val="20"/>
                <w:szCs w:val="20"/>
              </w:rPr>
              <w:t>Erythemas</w:t>
            </w:r>
            <w:proofErr w:type="spellEnd"/>
          </w:p>
        </w:tc>
        <w:tc>
          <w:tcPr>
            <w:tcW w:w="1440" w:type="dxa"/>
            <w:tcBorders>
              <w:top w:val="nil"/>
            </w:tcBorders>
          </w:tcPr>
          <w:p w:rsidR="0048717C" w:rsidRPr="00C44FC7" w:rsidRDefault="0048717C" w:rsidP="0048717C">
            <w:pPr>
              <w:jc w:val="center"/>
              <w:rPr>
                <w:color w:val="000000"/>
                <w:sz w:val="20"/>
                <w:szCs w:val="20"/>
              </w:rPr>
            </w:pPr>
            <w:r w:rsidRPr="00C44FC7">
              <w:rPr>
                <w:color w:val="000000"/>
                <w:sz w:val="20"/>
                <w:szCs w:val="20"/>
              </w:rPr>
              <w:t>2</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1</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2</w:t>
            </w:r>
          </w:p>
        </w:tc>
      </w:tr>
      <w:tr w:rsidR="0048717C" w:rsidRPr="00C44FC7" w:rsidTr="0048717C">
        <w:tc>
          <w:tcPr>
            <w:tcW w:w="4068" w:type="dxa"/>
            <w:tcBorders>
              <w:bottom w:val="single" w:sz="4" w:space="0" w:color="auto"/>
            </w:tcBorders>
          </w:tcPr>
          <w:p w:rsidR="0048717C" w:rsidRPr="00C44FC7" w:rsidRDefault="0048717C" w:rsidP="0048717C">
            <w:pPr>
              <w:rPr>
                <w:rFonts w:cs="Arial"/>
                <w:color w:val="000000"/>
                <w:sz w:val="20"/>
                <w:szCs w:val="20"/>
              </w:rPr>
            </w:pPr>
          </w:p>
        </w:tc>
        <w:tc>
          <w:tcPr>
            <w:tcW w:w="144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c>
          <w:tcPr>
            <w:tcW w:w="1260"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8717C">
        <w:tc>
          <w:tcPr>
            <w:tcW w:w="4068"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VASCULAR DISORDERS</w:t>
            </w:r>
          </w:p>
        </w:tc>
        <w:tc>
          <w:tcPr>
            <w:tcW w:w="144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c>
          <w:tcPr>
            <w:tcW w:w="1260" w:type="dxa"/>
            <w:tcBorders>
              <w:bottom w:val="nil"/>
            </w:tcBorders>
          </w:tcPr>
          <w:p w:rsidR="0048717C" w:rsidRPr="00C44FC7" w:rsidRDefault="0048717C" w:rsidP="0048717C">
            <w:pPr>
              <w:jc w:val="center"/>
              <w:rPr>
                <w:color w:val="000000"/>
                <w:sz w:val="20"/>
                <w:szCs w:val="20"/>
              </w:rPr>
            </w:pPr>
          </w:p>
        </w:tc>
      </w:tr>
      <w:tr w:rsidR="0048717C" w:rsidRPr="00C44FC7" w:rsidTr="0048717C">
        <w:tc>
          <w:tcPr>
            <w:tcW w:w="4068" w:type="dxa"/>
            <w:tcBorders>
              <w:top w:val="nil"/>
            </w:tcBorders>
          </w:tcPr>
          <w:p w:rsidR="0048717C" w:rsidRPr="00C44FC7" w:rsidRDefault="0048717C" w:rsidP="0048717C">
            <w:pPr>
              <w:rPr>
                <w:rFonts w:cs="Arial"/>
                <w:color w:val="000000"/>
                <w:sz w:val="20"/>
                <w:szCs w:val="20"/>
              </w:rPr>
            </w:pPr>
            <w:r w:rsidRPr="00C44FC7">
              <w:rPr>
                <w:rFonts w:cs="Arial"/>
                <w:color w:val="000000"/>
                <w:sz w:val="20"/>
                <w:szCs w:val="20"/>
              </w:rPr>
              <w:t>Vascular hypertensive disorders</w:t>
            </w:r>
          </w:p>
        </w:tc>
        <w:tc>
          <w:tcPr>
            <w:tcW w:w="1440" w:type="dxa"/>
            <w:tcBorders>
              <w:top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4</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2</w:t>
            </w:r>
          </w:p>
        </w:tc>
        <w:tc>
          <w:tcPr>
            <w:tcW w:w="1260" w:type="dxa"/>
            <w:tcBorders>
              <w:top w:val="nil"/>
            </w:tcBorders>
          </w:tcPr>
          <w:p w:rsidR="0048717C" w:rsidRPr="00C44FC7" w:rsidRDefault="0048717C" w:rsidP="0048717C">
            <w:pPr>
              <w:jc w:val="center"/>
              <w:rPr>
                <w:color w:val="000000"/>
                <w:sz w:val="20"/>
                <w:szCs w:val="20"/>
              </w:rPr>
            </w:pPr>
            <w:r w:rsidRPr="00C44FC7">
              <w:rPr>
                <w:color w:val="000000"/>
                <w:sz w:val="20"/>
                <w:szCs w:val="20"/>
              </w:rPr>
              <w:t>4</w:t>
            </w:r>
          </w:p>
        </w:tc>
      </w:tr>
    </w:tbl>
    <w:p w:rsidR="0048717C" w:rsidRPr="002156C4" w:rsidRDefault="0048717C" w:rsidP="0048717C">
      <w:pPr>
        <w:autoSpaceDE w:val="0"/>
        <w:autoSpaceDN w:val="0"/>
        <w:adjustRightInd w:val="0"/>
        <w:rPr>
          <w:b/>
          <w:sz w:val="20"/>
          <w:szCs w:val="20"/>
        </w:rPr>
      </w:pPr>
      <w:r w:rsidRPr="002156C4">
        <w:rPr>
          <w:b/>
          <w:sz w:val="20"/>
          <w:szCs w:val="20"/>
        </w:rPr>
        <w:t xml:space="preserve">* </w:t>
      </w:r>
      <w:r w:rsidRPr="002156C4">
        <w:rPr>
          <w:sz w:val="20"/>
          <w:szCs w:val="20"/>
        </w:rPr>
        <w:t>300 mg dose equivalent</w:t>
      </w:r>
      <w:r w:rsidRPr="002156C4">
        <w:rPr>
          <w:b/>
          <w:sz w:val="20"/>
          <w:szCs w:val="20"/>
        </w:rPr>
        <w:t xml:space="preserve"> </w:t>
      </w:r>
    </w:p>
    <w:p w:rsidR="0048717C" w:rsidRPr="002156C4" w:rsidRDefault="0048717C" w:rsidP="0048717C">
      <w:pPr>
        <w:autoSpaceDE w:val="0"/>
        <w:autoSpaceDN w:val="0"/>
        <w:adjustRightInd w:val="0"/>
        <w:rPr>
          <w:sz w:val="20"/>
          <w:szCs w:val="20"/>
        </w:rPr>
      </w:pPr>
      <w:r>
        <w:rPr>
          <w:sz w:val="20"/>
          <w:szCs w:val="20"/>
        </w:rPr>
        <w:t xml:space="preserve">** PYE = patient years of </w:t>
      </w:r>
      <w:r w:rsidRPr="002156C4">
        <w:rPr>
          <w:sz w:val="20"/>
          <w:szCs w:val="20"/>
        </w:rPr>
        <w:t>exposure</w:t>
      </w:r>
    </w:p>
    <w:p w:rsidR="0048717C" w:rsidRPr="00EB4A2C" w:rsidRDefault="0048717C" w:rsidP="00A14534">
      <w:pPr>
        <w:pStyle w:val="Heading3"/>
        <w:spacing w:before="240"/>
      </w:pPr>
      <w:r w:rsidRPr="00EB4A2C">
        <w:t>Laboratory abnormalities</w:t>
      </w:r>
    </w:p>
    <w:p w:rsidR="0048717C" w:rsidRPr="00E70E9C" w:rsidRDefault="0048717C" w:rsidP="0048717C">
      <w:pPr>
        <w:spacing w:after="240"/>
        <w:jc w:val="both"/>
        <w:rPr>
          <w:color w:val="000000"/>
        </w:rPr>
      </w:pPr>
      <w:r>
        <w:rPr>
          <w:color w:val="000000"/>
        </w:rPr>
        <w:t xml:space="preserve">Table 9 shows the treatment-emergent Grade 3-4 laboratory abnormalities that occurred in </w:t>
      </w:r>
      <w:r w:rsidRPr="007D0F40">
        <w:rPr>
          <w:color w:val="000000"/>
          <w:u w:val="single"/>
        </w:rPr>
        <w:t>&gt;</w:t>
      </w:r>
      <w:r>
        <w:rPr>
          <w:color w:val="000000"/>
        </w:rPr>
        <w:t>2% of patients receiving CELSENTRI.</w:t>
      </w:r>
    </w:p>
    <w:p w:rsidR="0048717C" w:rsidRDefault="0048717C" w:rsidP="0048717C">
      <w:pPr>
        <w:keepNext/>
        <w:rPr>
          <w:b/>
        </w:rPr>
      </w:pPr>
      <w:r w:rsidRPr="00BF6F85">
        <w:rPr>
          <w:b/>
          <w:color w:val="000000"/>
        </w:rPr>
        <w:t xml:space="preserve">Table </w:t>
      </w:r>
      <w:r>
        <w:rPr>
          <w:b/>
          <w:color w:val="000000"/>
        </w:rPr>
        <w:t>9</w:t>
      </w:r>
      <w:r w:rsidRPr="00BF6F85">
        <w:rPr>
          <w:b/>
          <w:color w:val="000000"/>
        </w:rPr>
        <w:t xml:space="preserve">: </w:t>
      </w:r>
      <w:r>
        <w:rPr>
          <w:b/>
          <w:color w:val="000000"/>
        </w:rPr>
        <w:t xml:space="preserve"> </w:t>
      </w:r>
      <w:r w:rsidR="00DF4B3C">
        <w:rPr>
          <w:b/>
        </w:rPr>
        <w:t>M</w:t>
      </w:r>
      <w:r w:rsidRPr="0048475A">
        <w:rPr>
          <w:b/>
        </w:rPr>
        <w:t xml:space="preserve">aximum Shift in Laboratory Test Values </w:t>
      </w:r>
      <w:r>
        <w:rPr>
          <w:b/>
        </w:rPr>
        <w:t>(</w:t>
      </w:r>
      <w:r w:rsidRPr="0048475A">
        <w:rPr>
          <w:b/>
        </w:rPr>
        <w:t>Without Regard to Baseline</w:t>
      </w:r>
      <w:r>
        <w:rPr>
          <w:b/>
        </w:rPr>
        <w:t>)</w:t>
      </w:r>
    </w:p>
    <w:p w:rsidR="0048717C" w:rsidRPr="0048475A" w:rsidRDefault="0048717C" w:rsidP="0048717C">
      <w:pPr>
        <w:keepNext/>
        <w:rPr>
          <w:b/>
        </w:rPr>
      </w:pPr>
      <w:r>
        <w:rPr>
          <w:b/>
        </w:rPr>
        <w:t xml:space="preserve">Incidence </w:t>
      </w:r>
      <w:r w:rsidRPr="004F02F2">
        <w:rPr>
          <w:b/>
          <w:u w:val="single"/>
        </w:rPr>
        <w:t>&gt;</w:t>
      </w:r>
      <w:r>
        <w:rPr>
          <w:b/>
        </w:rPr>
        <w:t>2% of Grade 3-4 Abnormalities (ACTG Criteria)</w:t>
      </w:r>
    </w:p>
    <w:p w:rsidR="0048717C" w:rsidRDefault="0048717C" w:rsidP="0048717C">
      <w:pPr>
        <w:keepNext/>
        <w:rPr>
          <w:b/>
        </w:rPr>
      </w:pPr>
      <w:r w:rsidRPr="0048475A">
        <w:rPr>
          <w:b/>
        </w:rPr>
        <w:t>Studies A4001027 and A4001028</w:t>
      </w:r>
      <w:r>
        <w:rPr>
          <w:b/>
        </w:rPr>
        <w:t xml:space="preserve"> (Pooled analysis, 48 Weeks)</w:t>
      </w:r>
    </w:p>
    <w:tbl>
      <w:tblPr>
        <w:tblW w:w="87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1"/>
        <w:gridCol w:w="1560"/>
        <w:gridCol w:w="2268"/>
        <w:gridCol w:w="1417"/>
        <w:gridCol w:w="1442"/>
      </w:tblGrid>
      <w:tr w:rsidR="002861EB" w:rsidRPr="00C44FC7" w:rsidTr="003C11FE">
        <w:tc>
          <w:tcPr>
            <w:tcW w:w="2061" w:type="dxa"/>
          </w:tcPr>
          <w:p w:rsidR="002861EB" w:rsidRPr="00C44FC7" w:rsidRDefault="002861EB" w:rsidP="003C11FE">
            <w:pPr>
              <w:keepNext/>
              <w:jc w:val="center"/>
              <w:rPr>
                <w:b/>
              </w:rPr>
            </w:pPr>
          </w:p>
          <w:p w:rsidR="002861EB" w:rsidRPr="00C44FC7" w:rsidRDefault="002861EB" w:rsidP="003C11FE">
            <w:pPr>
              <w:keepNext/>
              <w:jc w:val="center"/>
              <w:rPr>
                <w:b/>
              </w:rPr>
            </w:pPr>
            <w:r w:rsidRPr="00C44FC7">
              <w:rPr>
                <w:b/>
              </w:rPr>
              <w:t>Laboratory Parameter</w:t>
            </w:r>
          </w:p>
          <w:p w:rsidR="002861EB" w:rsidRPr="00C44FC7" w:rsidRDefault="002861EB" w:rsidP="003C11FE">
            <w:pPr>
              <w:keepNext/>
              <w:jc w:val="center"/>
              <w:rPr>
                <w:b/>
              </w:rPr>
            </w:pPr>
            <w:r w:rsidRPr="00C44FC7">
              <w:rPr>
                <w:b/>
              </w:rPr>
              <w:t>Preferred Term,</w:t>
            </w:r>
          </w:p>
          <w:p w:rsidR="002861EB" w:rsidRPr="00C44FC7" w:rsidRDefault="002861EB" w:rsidP="003C11FE">
            <w:pPr>
              <w:keepNext/>
              <w:jc w:val="center"/>
              <w:rPr>
                <w:b/>
              </w:rPr>
            </w:pPr>
          </w:p>
          <w:p w:rsidR="002861EB" w:rsidRPr="00C44FC7" w:rsidRDefault="002861EB" w:rsidP="003C11FE">
            <w:pPr>
              <w:keepNext/>
              <w:jc w:val="center"/>
              <w:rPr>
                <w:b/>
              </w:rPr>
            </w:pPr>
          </w:p>
        </w:tc>
        <w:tc>
          <w:tcPr>
            <w:tcW w:w="1560" w:type="dxa"/>
          </w:tcPr>
          <w:p w:rsidR="002861EB" w:rsidRDefault="002861EB" w:rsidP="003C11FE">
            <w:pPr>
              <w:keepNext/>
              <w:jc w:val="center"/>
              <w:rPr>
                <w:b/>
              </w:rPr>
            </w:pPr>
          </w:p>
          <w:p w:rsidR="002861EB" w:rsidRPr="00C44FC7" w:rsidRDefault="002861EB" w:rsidP="003C11FE">
            <w:pPr>
              <w:keepNext/>
              <w:jc w:val="center"/>
              <w:rPr>
                <w:b/>
              </w:rPr>
            </w:pPr>
            <w:r>
              <w:rPr>
                <w:b/>
              </w:rPr>
              <w:t>Abnormality Grade</w:t>
            </w:r>
          </w:p>
        </w:tc>
        <w:tc>
          <w:tcPr>
            <w:tcW w:w="2268" w:type="dxa"/>
          </w:tcPr>
          <w:p w:rsidR="002861EB" w:rsidRPr="00C44FC7" w:rsidRDefault="002861EB" w:rsidP="003C11FE">
            <w:pPr>
              <w:keepNext/>
              <w:jc w:val="center"/>
              <w:rPr>
                <w:b/>
              </w:rPr>
            </w:pPr>
            <w:r>
              <w:rPr>
                <w:b/>
              </w:rPr>
              <w:t>Abnormality Range</w:t>
            </w:r>
          </w:p>
        </w:tc>
        <w:tc>
          <w:tcPr>
            <w:tcW w:w="1417" w:type="dxa"/>
          </w:tcPr>
          <w:p w:rsidR="002861EB" w:rsidRPr="00C44FC7" w:rsidRDefault="002861EB" w:rsidP="003C11FE">
            <w:pPr>
              <w:keepNext/>
              <w:jc w:val="center"/>
              <w:rPr>
                <w:b/>
              </w:rPr>
            </w:pPr>
            <w:r w:rsidRPr="00C44FC7">
              <w:rPr>
                <w:b/>
              </w:rPr>
              <w:t>Celsentri 300 mg</w:t>
            </w:r>
          </w:p>
          <w:p w:rsidR="002861EB" w:rsidRPr="00C44FC7" w:rsidRDefault="002861EB" w:rsidP="003C11FE">
            <w:pPr>
              <w:keepNext/>
              <w:jc w:val="center"/>
              <w:rPr>
                <w:b/>
              </w:rPr>
            </w:pPr>
            <w:r w:rsidRPr="00C44FC7">
              <w:rPr>
                <w:b/>
              </w:rPr>
              <w:t>twice daily</w:t>
            </w:r>
          </w:p>
          <w:p w:rsidR="002861EB" w:rsidRPr="00C44FC7" w:rsidRDefault="002861EB" w:rsidP="003C11FE">
            <w:pPr>
              <w:keepNext/>
              <w:jc w:val="center"/>
              <w:rPr>
                <w:b/>
              </w:rPr>
            </w:pPr>
            <w:r w:rsidRPr="00C44FC7">
              <w:rPr>
                <w:b/>
              </w:rPr>
              <w:t>+ OBT</w:t>
            </w:r>
          </w:p>
          <w:p w:rsidR="002861EB" w:rsidRPr="00C44FC7" w:rsidRDefault="002861EB" w:rsidP="003C11FE">
            <w:pPr>
              <w:keepNext/>
              <w:jc w:val="center"/>
              <w:rPr>
                <w:b/>
              </w:rPr>
            </w:pPr>
            <w:r w:rsidRPr="00C44FC7">
              <w:rPr>
                <w:b/>
              </w:rPr>
              <w:t>N =421</w:t>
            </w:r>
            <w:r w:rsidRPr="00D46705">
              <w:t>*</w:t>
            </w:r>
          </w:p>
          <w:p w:rsidR="002861EB" w:rsidRPr="00C44FC7" w:rsidRDefault="002861EB" w:rsidP="003C11FE">
            <w:pPr>
              <w:keepNext/>
              <w:jc w:val="center"/>
              <w:rPr>
                <w:b/>
              </w:rPr>
            </w:pPr>
            <w:r w:rsidRPr="00C44FC7">
              <w:rPr>
                <w:b/>
              </w:rPr>
              <w:t>(%)</w:t>
            </w:r>
          </w:p>
        </w:tc>
        <w:tc>
          <w:tcPr>
            <w:tcW w:w="1442" w:type="dxa"/>
          </w:tcPr>
          <w:p w:rsidR="002861EB" w:rsidRPr="00C44FC7" w:rsidRDefault="002861EB" w:rsidP="003C11FE">
            <w:pPr>
              <w:keepNext/>
              <w:jc w:val="center"/>
              <w:rPr>
                <w:b/>
              </w:rPr>
            </w:pPr>
            <w:r w:rsidRPr="00C44FC7">
              <w:rPr>
                <w:b/>
              </w:rPr>
              <w:t xml:space="preserve">OBT </w:t>
            </w:r>
          </w:p>
          <w:p w:rsidR="002861EB" w:rsidRPr="00C44FC7" w:rsidRDefault="002861EB" w:rsidP="003C11FE">
            <w:pPr>
              <w:keepNext/>
              <w:jc w:val="center"/>
              <w:rPr>
                <w:b/>
              </w:rPr>
            </w:pPr>
            <w:r w:rsidRPr="00C44FC7">
              <w:rPr>
                <w:b/>
              </w:rPr>
              <w:t>alone</w:t>
            </w:r>
          </w:p>
          <w:p w:rsidR="002861EB" w:rsidRPr="00C44FC7" w:rsidRDefault="002861EB" w:rsidP="003C11FE">
            <w:pPr>
              <w:keepNext/>
              <w:jc w:val="center"/>
              <w:rPr>
                <w:b/>
              </w:rPr>
            </w:pPr>
          </w:p>
          <w:p w:rsidR="002861EB" w:rsidRPr="00C44FC7" w:rsidRDefault="002861EB" w:rsidP="003C11FE">
            <w:pPr>
              <w:keepNext/>
              <w:jc w:val="center"/>
              <w:rPr>
                <w:b/>
              </w:rPr>
            </w:pPr>
            <w:r w:rsidRPr="00C44FC7">
              <w:rPr>
                <w:b/>
              </w:rPr>
              <w:t>N =207</w:t>
            </w:r>
            <w:r w:rsidRPr="00D46705">
              <w:t>*</w:t>
            </w:r>
          </w:p>
          <w:p w:rsidR="002861EB" w:rsidRPr="00C44FC7" w:rsidRDefault="002861EB" w:rsidP="003C11FE">
            <w:pPr>
              <w:keepNext/>
              <w:jc w:val="center"/>
              <w:rPr>
                <w:b/>
              </w:rPr>
            </w:pPr>
            <w:r w:rsidRPr="00C44FC7">
              <w:rPr>
                <w:b/>
              </w:rPr>
              <w:t>(%)</w:t>
            </w:r>
          </w:p>
        </w:tc>
      </w:tr>
      <w:tr w:rsidR="002861EB" w:rsidRPr="00C44FC7" w:rsidTr="003C11FE">
        <w:tc>
          <w:tcPr>
            <w:tcW w:w="2061" w:type="dxa"/>
            <w:vMerge w:val="restart"/>
          </w:tcPr>
          <w:p w:rsidR="002861EB" w:rsidRPr="00956476" w:rsidRDefault="002861EB" w:rsidP="003C11FE">
            <w:pPr>
              <w:keepNext/>
            </w:pPr>
            <w:proofErr w:type="spellStart"/>
            <w:r>
              <w:t>Aspartate</w:t>
            </w:r>
            <w:proofErr w:type="spellEnd"/>
            <w:r>
              <w:t xml:space="preserve"> </w:t>
            </w:r>
            <w:proofErr w:type="spellStart"/>
            <w:r>
              <w:t>aminotransferase</w:t>
            </w:r>
            <w:proofErr w:type="spellEnd"/>
            <w:r>
              <w:t xml:space="preserve"> </w:t>
            </w:r>
          </w:p>
        </w:tc>
        <w:tc>
          <w:tcPr>
            <w:tcW w:w="1560" w:type="dxa"/>
          </w:tcPr>
          <w:p w:rsidR="002861EB" w:rsidRPr="008747A1" w:rsidRDefault="002861EB" w:rsidP="003C11FE">
            <w:pPr>
              <w:keepNext/>
            </w:pPr>
            <w:r>
              <w:t>Grade 3</w:t>
            </w:r>
          </w:p>
        </w:tc>
        <w:tc>
          <w:tcPr>
            <w:tcW w:w="2268" w:type="dxa"/>
          </w:tcPr>
          <w:p w:rsidR="002861EB" w:rsidRPr="008747A1" w:rsidRDefault="002861EB" w:rsidP="003C11FE">
            <w:pPr>
              <w:keepNext/>
              <w:jc w:val="center"/>
            </w:pPr>
            <w:r>
              <w:t>&gt;5.0x ULN</w:t>
            </w:r>
          </w:p>
        </w:tc>
        <w:tc>
          <w:tcPr>
            <w:tcW w:w="1417" w:type="dxa"/>
          </w:tcPr>
          <w:p w:rsidR="002861EB" w:rsidRPr="001D4359" w:rsidRDefault="002861EB" w:rsidP="003C11FE">
            <w:pPr>
              <w:keepNext/>
              <w:jc w:val="center"/>
            </w:pPr>
            <w:r w:rsidRPr="001D4359">
              <w:t>4.3</w:t>
            </w:r>
            <w:r>
              <w:t xml:space="preserve"> (18/421)</w:t>
            </w:r>
          </w:p>
        </w:tc>
        <w:tc>
          <w:tcPr>
            <w:tcW w:w="1442" w:type="dxa"/>
          </w:tcPr>
          <w:p w:rsidR="002861EB" w:rsidRPr="001D4359" w:rsidRDefault="002861EB" w:rsidP="003C11FE">
            <w:pPr>
              <w:keepNext/>
              <w:jc w:val="center"/>
            </w:pPr>
            <w:r w:rsidRPr="001D4359">
              <w:t>2.9</w:t>
            </w:r>
            <w:r>
              <w:t xml:space="preserve"> (6/207)</w:t>
            </w:r>
          </w:p>
        </w:tc>
      </w:tr>
      <w:tr w:rsidR="002861EB" w:rsidRPr="00C44FC7" w:rsidTr="003C11FE">
        <w:tc>
          <w:tcPr>
            <w:tcW w:w="2061" w:type="dxa"/>
            <w:vMerge/>
          </w:tcPr>
          <w:p w:rsidR="002861EB" w:rsidRDefault="002861EB" w:rsidP="003C11FE">
            <w:pPr>
              <w:keepNext/>
            </w:pPr>
          </w:p>
        </w:tc>
        <w:tc>
          <w:tcPr>
            <w:tcW w:w="1560" w:type="dxa"/>
          </w:tcPr>
          <w:p w:rsidR="002861EB" w:rsidRPr="008747A1" w:rsidRDefault="002861EB" w:rsidP="003C11FE">
            <w:pPr>
              <w:keepNext/>
            </w:pPr>
            <w:r>
              <w:t>Grade 4</w:t>
            </w:r>
          </w:p>
        </w:tc>
        <w:tc>
          <w:tcPr>
            <w:tcW w:w="2268" w:type="dxa"/>
          </w:tcPr>
          <w:p w:rsidR="002861EB" w:rsidRPr="008747A1" w:rsidRDefault="002861EB" w:rsidP="003C11FE">
            <w:pPr>
              <w:keepNext/>
              <w:jc w:val="center"/>
            </w:pPr>
            <w:r w:rsidRPr="008747A1">
              <w:t>&gt;</w:t>
            </w:r>
            <w:r>
              <w:t>10.0x</w:t>
            </w:r>
            <w:r w:rsidRPr="008747A1">
              <w:t xml:space="preserve"> ULN</w:t>
            </w:r>
          </w:p>
        </w:tc>
        <w:tc>
          <w:tcPr>
            <w:tcW w:w="1417" w:type="dxa"/>
          </w:tcPr>
          <w:p w:rsidR="002861EB" w:rsidRPr="001D4359" w:rsidRDefault="002861EB" w:rsidP="003C11FE">
            <w:pPr>
              <w:keepNext/>
              <w:jc w:val="center"/>
            </w:pPr>
            <w:r w:rsidRPr="001D4359">
              <w:t>1.4</w:t>
            </w:r>
            <w:r>
              <w:t xml:space="preserve"> (6/421)</w:t>
            </w:r>
          </w:p>
        </w:tc>
        <w:tc>
          <w:tcPr>
            <w:tcW w:w="1442" w:type="dxa"/>
          </w:tcPr>
          <w:p w:rsidR="002861EB" w:rsidRPr="001D4359" w:rsidRDefault="002861EB" w:rsidP="003C11FE">
            <w:pPr>
              <w:keepNext/>
              <w:jc w:val="center"/>
            </w:pPr>
            <w:r w:rsidRPr="001D4359">
              <w:t>0</w:t>
            </w:r>
          </w:p>
        </w:tc>
      </w:tr>
      <w:tr w:rsidR="002861EB" w:rsidRPr="00C44FC7" w:rsidTr="003C11FE">
        <w:tc>
          <w:tcPr>
            <w:tcW w:w="2061" w:type="dxa"/>
            <w:vMerge w:val="restart"/>
          </w:tcPr>
          <w:p w:rsidR="002861EB" w:rsidRPr="00C44FC7" w:rsidRDefault="002861EB" w:rsidP="003C11FE">
            <w:pPr>
              <w:keepNext/>
              <w:rPr>
                <w:b/>
              </w:rPr>
            </w:pPr>
            <w:proofErr w:type="spellStart"/>
            <w:r w:rsidRPr="008747A1">
              <w:t>Alanine</w:t>
            </w:r>
            <w:proofErr w:type="spellEnd"/>
            <w:r>
              <w:t xml:space="preserve"> </w:t>
            </w:r>
            <w:proofErr w:type="spellStart"/>
            <w:r w:rsidRPr="008747A1">
              <w:t>aminotransferase</w:t>
            </w:r>
            <w:proofErr w:type="spellEnd"/>
          </w:p>
        </w:tc>
        <w:tc>
          <w:tcPr>
            <w:tcW w:w="1560" w:type="dxa"/>
          </w:tcPr>
          <w:p w:rsidR="002861EB" w:rsidRDefault="002861EB" w:rsidP="003C11FE">
            <w:pPr>
              <w:keepNext/>
            </w:pPr>
            <w:r>
              <w:t>Grade 3</w:t>
            </w:r>
          </w:p>
        </w:tc>
        <w:tc>
          <w:tcPr>
            <w:tcW w:w="2268" w:type="dxa"/>
          </w:tcPr>
          <w:p w:rsidR="002861EB" w:rsidRPr="008747A1" w:rsidRDefault="002861EB" w:rsidP="003C11FE">
            <w:pPr>
              <w:keepNext/>
              <w:jc w:val="center"/>
            </w:pPr>
            <w:r>
              <w:t>&gt;5.0x ULN</w:t>
            </w:r>
          </w:p>
        </w:tc>
        <w:tc>
          <w:tcPr>
            <w:tcW w:w="1417" w:type="dxa"/>
          </w:tcPr>
          <w:p w:rsidR="002861EB" w:rsidRPr="001D4359" w:rsidRDefault="002861EB" w:rsidP="003C11FE">
            <w:pPr>
              <w:keepNext/>
              <w:jc w:val="center"/>
            </w:pPr>
            <w:r w:rsidRPr="001D4359">
              <w:t>2.4</w:t>
            </w:r>
            <w:r>
              <w:t xml:space="preserve"> (10/421)</w:t>
            </w:r>
          </w:p>
        </w:tc>
        <w:tc>
          <w:tcPr>
            <w:tcW w:w="1442" w:type="dxa"/>
          </w:tcPr>
          <w:p w:rsidR="002861EB" w:rsidRPr="001D4359" w:rsidRDefault="002861EB" w:rsidP="003C11FE">
            <w:pPr>
              <w:keepNext/>
              <w:jc w:val="center"/>
            </w:pPr>
            <w:r w:rsidRPr="001D4359">
              <w:t>3.4</w:t>
            </w:r>
            <w:r>
              <w:t xml:space="preserve"> (7/207)</w:t>
            </w:r>
          </w:p>
        </w:tc>
      </w:tr>
      <w:tr w:rsidR="002861EB" w:rsidRPr="00C44FC7" w:rsidTr="003C11FE">
        <w:tc>
          <w:tcPr>
            <w:tcW w:w="2061" w:type="dxa"/>
            <w:vMerge/>
          </w:tcPr>
          <w:p w:rsidR="002861EB" w:rsidRPr="008747A1" w:rsidRDefault="002861EB" w:rsidP="003C11FE">
            <w:pPr>
              <w:keepNext/>
            </w:pPr>
          </w:p>
        </w:tc>
        <w:tc>
          <w:tcPr>
            <w:tcW w:w="1560" w:type="dxa"/>
          </w:tcPr>
          <w:p w:rsidR="002861EB" w:rsidRDefault="002861EB" w:rsidP="003C11FE">
            <w:pPr>
              <w:keepNext/>
            </w:pPr>
            <w:r>
              <w:t>Grade 4</w:t>
            </w:r>
          </w:p>
        </w:tc>
        <w:tc>
          <w:tcPr>
            <w:tcW w:w="2268" w:type="dxa"/>
          </w:tcPr>
          <w:p w:rsidR="002861EB" w:rsidRDefault="002861EB" w:rsidP="003C11FE">
            <w:pPr>
              <w:keepNext/>
              <w:jc w:val="center"/>
            </w:pPr>
            <w:r w:rsidRPr="008747A1">
              <w:t>&gt;</w:t>
            </w:r>
            <w:r>
              <w:t>10.0x</w:t>
            </w:r>
            <w:r w:rsidRPr="008747A1">
              <w:t xml:space="preserve"> ULN</w:t>
            </w:r>
          </w:p>
        </w:tc>
        <w:tc>
          <w:tcPr>
            <w:tcW w:w="1417" w:type="dxa"/>
            <w:tcBorders>
              <w:bottom w:val="single" w:sz="4" w:space="0" w:color="auto"/>
            </w:tcBorders>
          </w:tcPr>
          <w:p w:rsidR="002861EB" w:rsidRPr="001D4359" w:rsidRDefault="002861EB" w:rsidP="003C11FE">
            <w:pPr>
              <w:keepNext/>
              <w:jc w:val="center"/>
            </w:pPr>
            <w:r w:rsidRPr="001D4359">
              <w:t>1.0</w:t>
            </w:r>
            <w:r>
              <w:t xml:space="preserve"> (4/421)</w:t>
            </w:r>
          </w:p>
        </w:tc>
        <w:tc>
          <w:tcPr>
            <w:tcW w:w="1442" w:type="dxa"/>
            <w:tcBorders>
              <w:bottom w:val="single" w:sz="4" w:space="0" w:color="auto"/>
            </w:tcBorders>
          </w:tcPr>
          <w:p w:rsidR="002861EB" w:rsidRPr="001D4359" w:rsidRDefault="002861EB" w:rsidP="003C11FE">
            <w:pPr>
              <w:keepNext/>
              <w:jc w:val="center"/>
            </w:pPr>
            <w:r w:rsidRPr="001D4359">
              <w:t>0.5</w:t>
            </w:r>
            <w:r>
              <w:t xml:space="preserve"> (1/207)</w:t>
            </w:r>
          </w:p>
        </w:tc>
      </w:tr>
      <w:tr w:rsidR="002861EB" w:rsidRPr="00C44FC7" w:rsidTr="003C11FE">
        <w:tc>
          <w:tcPr>
            <w:tcW w:w="2061" w:type="dxa"/>
            <w:vMerge w:val="restart"/>
          </w:tcPr>
          <w:p w:rsidR="002861EB" w:rsidRDefault="002861EB" w:rsidP="003C11FE">
            <w:pPr>
              <w:keepNext/>
            </w:pPr>
            <w:r>
              <w:t>Total bilirubin</w:t>
            </w:r>
          </w:p>
        </w:tc>
        <w:tc>
          <w:tcPr>
            <w:tcW w:w="1560" w:type="dxa"/>
          </w:tcPr>
          <w:p w:rsidR="002861EB" w:rsidRDefault="002861EB" w:rsidP="003C11FE">
            <w:pPr>
              <w:keepNext/>
            </w:pPr>
            <w:r>
              <w:t>Grade 3</w:t>
            </w:r>
          </w:p>
        </w:tc>
        <w:tc>
          <w:tcPr>
            <w:tcW w:w="2268" w:type="dxa"/>
          </w:tcPr>
          <w:p w:rsidR="002861EB" w:rsidRDefault="002861EB" w:rsidP="003C11FE">
            <w:pPr>
              <w:keepNext/>
              <w:jc w:val="center"/>
            </w:pPr>
            <w:r>
              <w:t>&gt;2.0x to 5.0x ULN</w:t>
            </w:r>
          </w:p>
        </w:tc>
        <w:tc>
          <w:tcPr>
            <w:tcW w:w="1417" w:type="dxa"/>
            <w:shd w:val="clear" w:color="auto" w:fill="auto"/>
          </w:tcPr>
          <w:p w:rsidR="002861EB" w:rsidRPr="001D4359" w:rsidRDefault="002861EB" w:rsidP="003C11FE">
            <w:pPr>
              <w:keepNext/>
              <w:jc w:val="center"/>
            </w:pPr>
            <w:r>
              <w:t>5.0 (21/421)</w:t>
            </w:r>
          </w:p>
        </w:tc>
        <w:tc>
          <w:tcPr>
            <w:tcW w:w="1442" w:type="dxa"/>
            <w:shd w:val="clear" w:color="auto" w:fill="auto"/>
          </w:tcPr>
          <w:p w:rsidR="002861EB" w:rsidRPr="001D4359" w:rsidRDefault="002861EB" w:rsidP="003C11FE">
            <w:pPr>
              <w:keepNext/>
              <w:jc w:val="center"/>
            </w:pPr>
            <w:r>
              <w:t>3.9 (8/207)</w:t>
            </w:r>
          </w:p>
        </w:tc>
      </w:tr>
      <w:tr w:rsidR="002861EB" w:rsidRPr="00C44FC7" w:rsidTr="003C11FE">
        <w:tc>
          <w:tcPr>
            <w:tcW w:w="2061" w:type="dxa"/>
            <w:vMerge/>
          </w:tcPr>
          <w:p w:rsidR="002861EB" w:rsidRDefault="002861EB" w:rsidP="003C11FE">
            <w:pPr>
              <w:keepNext/>
            </w:pPr>
          </w:p>
        </w:tc>
        <w:tc>
          <w:tcPr>
            <w:tcW w:w="1560" w:type="dxa"/>
          </w:tcPr>
          <w:p w:rsidR="002861EB" w:rsidRDefault="002861EB" w:rsidP="003C11FE">
            <w:pPr>
              <w:keepNext/>
            </w:pPr>
            <w:r>
              <w:t>Grade 4</w:t>
            </w:r>
          </w:p>
        </w:tc>
        <w:tc>
          <w:tcPr>
            <w:tcW w:w="2268" w:type="dxa"/>
          </w:tcPr>
          <w:p w:rsidR="002861EB" w:rsidRDefault="002861EB" w:rsidP="003C11FE">
            <w:pPr>
              <w:keepNext/>
              <w:jc w:val="center"/>
            </w:pPr>
            <w:r>
              <w:t>&gt;5.0x ULN</w:t>
            </w:r>
          </w:p>
        </w:tc>
        <w:tc>
          <w:tcPr>
            <w:tcW w:w="1417" w:type="dxa"/>
            <w:shd w:val="clear" w:color="auto" w:fill="auto"/>
          </w:tcPr>
          <w:p w:rsidR="002861EB" w:rsidRPr="001D4359" w:rsidRDefault="002861EB" w:rsidP="003C11FE">
            <w:pPr>
              <w:keepNext/>
              <w:jc w:val="center"/>
            </w:pPr>
            <w:r>
              <w:t>5.5 (23/421)</w:t>
            </w:r>
          </w:p>
        </w:tc>
        <w:tc>
          <w:tcPr>
            <w:tcW w:w="1442" w:type="dxa"/>
            <w:shd w:val="clear" w:color="auto" w:fill="auto"/>
          </w:tcPr>
          <w:p w:rsidR="002861EB" w:rsidRPr="001D4359" w:rsidRDefault="002861EB" w:rsidP="003C11FE">
            <w:pPr>
              <w:keepNext/>
              <w:jc w:val="center"/>
            </w:pPr>
            <w:r>
              <w:t>1.5 (3/207)</w:t>
            </w:r>
          </w:p>
        </w:tc>
      </w:tr>
      <w:tr w:rsidR="002861EB" w:rsidRPr="00C44FC7" w:rsidTr="003C11FE">
        <w:tc>
          <w:tcPr>
            <w:tcW w:w="2061" w:type="dxa"/>
            <w:vMerge w:val="restart"/>
          </w:tcPr>
          <w:p w:rsidR="002861EB" w:rsidRDefault="002861EB" w:rsidP="003C11FE">
            <w:r>
              <w:t>Amylase</w:t>
            </w:r>
          </w:p>
        </w:tc>
        <w:tc>
          <w:tcPr>
            <w:tcW w:w="1560" w:type="dxa"/>
          </w:tcPr>
          <w:p w:rsidR="002861EB" w:rsidRDefault="002861EB" w:rsidP="003C11FE">
            <w:r>
              <w:t>Grade 3</w:t>
            </w:r>
          </w:p>
        </w:tc>
        <w:tc>
          <w:tcPr>
            <w:tcW w:w="2268" w:type="dxa"/>
          </w:tcPr>
          <w:p w:rsidR="002861EB" w:rsidRDefault="002861EB" w:rsidP="003C11FE">
            <w:pPr>
              <w:jc w:val="center"/>
            </w:pPr>
            <w:r>
              <w:t>&gt;2.0x to 5.0x ULN</w:t>
            </w:r>
          </w:p>
        </w:tc>
        <w:tc>
          <w:tcPr>
            <w:tcW w:w="1417" w:type="dxa"/>
          </w:tcPr>
          <w:p w:rsidR="002861EB" w:rsidRPr="001D4359" w:rsidRDefault="002861EB" w:rsidP="003C11FE">
            <w:pPr>
              <w:jc w:val="center"/>
            </w:pPr>
            <w:r w:rsidRPr="001D4359">
              <w:t>5.7</w:t>
            </w:r>
            <w:r>
              <w:t xml:space="preserve"> (24/419)</w:t>
            </w:r>
          </w:p>
        </w:tc>
        <w:tc>
          <w:tcPr>
            <w:tcW w:w="1442" w:type="dxa"/>
          </w:tcPr>
          <w:p w:rsidR="002861EB" w:rsidRPr="001D4359" w:rsidRDefault="002861EB" w:rsidP="003C11FE">
            <w:pPr>
              <w:jc w:val="center"/>
            </w:pPr>
            <w:r w:rsidRPr="001D4359">
              <w:t>5.8</w:t>
            </w:r>
            <w:r>
              <w:t xml:space="preserve"> (12/207)</w:t>
            </w:r>
          </w:p>
        </w:tc>
      </w:tr>
      <w:tr w:rsidR="002861EB" w:rsidRPr="00C44FC7" w:rsidTr="003C11FE">
        <w:tc>
          <w:tcPr>
            <w:tcW w:w="2061" w:type="dxa"/>
            <w:vMerge/>
          </w:tcPr>
          <w:p w:rsidR="002861EB" w:rsidRDefault="002861EB" w:rsidP="003C11FE"/>
        </w:tc>
        <w:tc>
          <w:tcPr>
            <w:tcW w:w="1560" w:type="dxa"/>
          </w:tcPr>
          <w:p w:rsidR="002861EB" w:rsidRDefault="002861EB" w:rsidP="003C11FE">
            <w:r>
              <w:t>Grade 4</w:t>
            </w:r>
          </w:p>
        </w:tc>
        <w:tc>
          <w:tcPr>
            <w:tcW w:w="2268" w:type="dxa"/>
          </w:tcPr>
          <w:p w:rsidR="002861EB" w:rsidRDefault="002861EB" w:rsidP="003C11FE">
            <w:pPr>
              <w:jc w:val="center"/>
            </w:pPr>
            <w:r>
              <w:t>&gt;5.0x ULN</w:t>
            </w:r>
          </w:p>
        </w:tc>
        <w:tc>
          <w:tcPr>
            <w:tcW w:w="1417" w:type="dxa"/>
          </w:tcPr>
          <w:p w:rsidR="002861EB" w:rsidRPr="001D4359" w:rsidRDefault="002861EB" w:rsidP="003C11FE">
            <w:pPr>
              <w:jc w:val="center"/>
            </w:pPr>
            <w:r w:rsidRPr="001D4359">
              <w:t>0.2</w:t>
            </w:r>
            <w:r>
              <w:t xml:space="preserve"> (1/419)</w:t>
            </w:r>
          </w:p>
        </w:tc>
        <w:tc>
          <w:tcPr>
            <w:tcW w:w="1442" w:type="dxa"/>
          </w:tcPr>
          <w:p w:rsidR="002861EB" w:rsidRPr="001D4359" w:rsidRDefault="002861EB" w:rsidP="003C11FE">
            <w:pPr>
              <w:jc w:val="center"/>
            </w:pPr>
            <w:r w:rsidRPr="001D4359">
              <w:t>0</w:t>
            </w:r>
          </w:p>
        </w:tc>
      </w:tr>
      <w:tr w:rsidR="002861EB" w:rsidRPr="00C44FC7" w:rsidTr="003C11FE">
        <w:tc>
          <w:tcPr>
            <w:tcW w:w="2061" w:type="dxa"/>
            <w:vMerge w:val="restart"/>
          </w:tcPr>
          <w:p w:rsidR="002861EB" w:rsidRDefault="002861EB" w:rsidP="003C11FE">
            <w:r>
              <w:t>Lipase</w:t>
            </w:r>
          </w:p>
        </w:tc>
        <w:tc>
          <w:tcPr>
            <w:tcW w:w="1560" w:type="dxa"/>
          </w:tcPr>
          <w:p w:rsidR="002861EB" w:rsidRDefault="002861EB" w:rsidP="003C11FE">
            <w:r>
              <w:t>Grade 3</w:t>
            </w:r>
          </w:p>
        </w:tc>
        <w:tc>
          <w:tcPr>
            <w:tcW w:w="2268" w:type="dxa"/>
          </w:tcPr>
          <w:p w:rsidR="002861EB" w:rsidRDefault="002861EB" w:rsidP="003C11FE">
            <w:pPr>
              <w:jc w:val="center"/>
            </w:pPr>
            <w:r>
              <w:t>&gt;2.0x to 5.0x ULN</w:t>
            </w:r>
          </w:p>
        </w:tc>
        <w:tc>
          <w:tcPr>
            <w:tcW w:w="1417" w:type="dxa"/>
          </w:tcPr>
          <w:p w:rsidR="002861EB" w:rsidRPr="001D4359" w:rsidRDefault="002861EB" w:rsidP="003C11FE">
            <w:pPr>
              <w:jc w:val="center"/>
            </w:pPr>
            <w:r w:rsidRPr="001D4359">
              <w:t>5.0</w:t>
            </w:r>
            <w:r>
              <w:t xml:space="preserve"> (8/159)</w:t>
            </w:r>
          </w:p>
        </w:tc>
        <w:tc>
          <w:tcPr>
            <w:tcW w:w="1442" w:type="dxa"/>
          </w:tcPr>
          <w:p w:rsidR="002861EB" w:rsidRPr="001D4359" w:rsidRDefault="002861EB" w:rsidP="003C11FE">
            <w:pPr>
              <w:jc w:val="center"/>
            </w:pPr>
            <w:r w:rsidRPr="001D4359">
              <w:t>7.7</w:t>
            </w:r>
            <w:r>
              <w:t xml:space="preserve"> (7/91)</w:t>
            </w:r>
          </w:p>
        </w:tc>
      </w:tr>
      <w:tr w:rsidR="002861EB" w:rsidRPr="00C44FC7" w:rsidTr="003C11FE">
        <w:tc>
          <w:tcPr>
            <w:tcW w:w="2061" w:type="dxa"/>
            <w:vMerge/>
          </w:tcPr>
          <w:p w:rsidR="002861EB" w:rsidRDefault="002861EB" w:rsidP="003C11FE"/>
        </w:tc>
        <w:tc>
          <w:tcPr>
            <w:tcW w:w="1560" w:type="dxa"/>
          </w:tcPr>
          <w:p w:rsidR="002861EB" w:rsidRDefault="002861EB" w:rsidP="003C11FE">
            <w:r>
              <w:t>Grade 4</w:t>
            </w:r>
          </w:p>
        </w:tc>
        <w:tc>
          <w:tcPr>
            <w:tcW w:w="2268" w:type="dxa"/>
          </w:tcPr>
          <w:p w:rsidR="002861EB" w:rsidRDefault="002861EB" w:rsidP="003C11FE">
            <w:pPr>
              <w:jc w:val="center"/>
            </w:pPr>
            <w:r>
              <w:t>&gt;5.0x ULN</w:t>
            </w:r>
          </w:p>
        </w:tc>
        <w:tc>
          <w:tcPr>
            <w:tcW w:w="1417" w:type="dxa"/>
          </w:tcPr>
          <w:p w:rsidR="002861EB" w:rsidRPr="001D4359" w:rsidRDefault="002861EB" w:rsidP="003C11FE">
            <w:pPr>
              <w:jc w:val="center"/>
            </w:pPr>
            <w:r w:rsidRPr="001D4359">
              <w:t>1.3</w:t>
            </w:r>
            <w:r>
              <w:t xml:space="preserve"> (2/159)</w:t>
            </w:r>
          </w:p>
        </w:tc>
        <w:tc>
          <w:tcPr>
            <w:tcW w:w="1442" w:type="dxa"/>
          </w:tcPr>
          <w:p w:rsidR="002861EB" w:rsidRPr="001D4359" w:rsidRDefault="002861EB" w:rsidP="003C11FE">
            <w:pPr>
              <w:jc w:val="center"/>
            </w:pPr>
            <w:r w:rsidRPr="001D4359">
              <w:t>0</w:t>
            </w:r>
          </w:p>
        </w:tc>
      </w:tr>
      <w:tr w:rsidR="002861EB" w:rsidRPr="00C44FC7" w:rsidTr="003C11FE">
        <w:tc>
          <w:tcPr>
            <w:tcW w:w="2061" w:type="dxa"/>
            <w:vMerge w:val="restart"/>
          </w:tcPr>
          <w:p w:rsidR="002861EB" w:rsidRDefault="002861EB" w:rsidP="003C11FE">
            <w:r>
              <w:t>Absolute neutrophil count</w:t>
            </w:r>
          </w:p>
        </w:tc>
        <w:tc>
          <w:tcPr>
            <w:tcW w:w="1560" w:type="dxa"/>
          </w:tcPr>
          <w:p w:rsidR="002861EB" w:rsidRPr="00D46705" w:rsidRDefault="002861EB" w:rsidP="003C11FE">
            <w:r>
              <w:t>Grade 3</w:t>
            </w:r>
          </w:p>
        </w:tc>
        <w:tc>
          <w:tcPr>
            <w:tcW w:w="2268" w:type="dxa"/>
          </w:tcPr>
          <w:p w:rsidR="002861EB" w:rsidRDefault="002861EB" w:rsidP="003C11FE">
            <w:pPr>
              <w:jc w:val="center"/>
            </w:pPr>
            <w:r>
              <w:t>0.5 to 0.749</w:t>
            </w:r>
          </w:p>
        </w:tc>
        <w:tc>
          <w:tcPr>
            <w:tcW w:w="1417" w:type="dxa"/>
          </w:tcPr>
          <w:p w:rsidR="002861EB" w:rsidRPr="001D4359" w:rsidRDefault="002861EB" w:rsidP="003C11FE">
            <w:pPr>
              <w:jc w:val="center"/>
            </w:pPr>
            <w:r w:rsidRPr="001D4359">
              <w:t>3.1</w:t>
            </w:r>
            <w:r>
              <w:t xml:space="preserve"> (13/420)</w:t>
            </w:r>
          </w:p>
        </w:tc>
        <w:tc>
          <w:tcPr>
            <w:tcW w:w="1442" w:type="dxa"/>
          </w:tcPr>
          <w:p w:rsidR="002861EB" w:rsidRPr="001D4359" w:rsidRDefault="002861EB" w:rsidP="003C11FE">
            <w:pPr>
              <w:jc w:val="center"/>
            </w:pPr>
            <w:r w:rsidRPr="001D4359">
              <w:t>2.4</w:t>
            </w:r>
            <w:r>
              <w:t xml:space="preserve"> (5/207)</w:t>
            </w:r>
          </w:p>
        </w:tc>
      </w:tr>
      <w:tr w:rsidR="002861EB" w:rsidRPr="00C44FC7" w:rsidTr="003C11FE">
        <w:tc>
          <w:tcPr>
            <w:tcW w:w="2061" w:type="dxa"/>
            <w:vMerge/>
          </w:tcPr>
          <w:p w:rsidR="002861EB" w:rsidRDefault="002861EB" w:rsidP="003C11FE"/>
        </w:tc>
        <w:tc>
          <w:tcPr>
            <w:tcW w:w="1560" w:type="dxa"/>
          </w:tcPr>
          <w:p w:rsidR="002861EB" w:rsidRPr="00D46705" w:rsidRDefault="002861EB" w:rsidP="003C11FE">
            <w:r>
              <w:t>Grade 4</w:t>
            </w:r>
          </w:p>
        </w:tc>
        <w:tc>
          <w:tcPr>
            <w:tcW w:w="2268" w:type="dxa"/>
          </w:tcPr>
          <w:p w:rsidR="002861EB" w:rsidRPr="00D46705" w:rsidRDefault="002861EB" w:rsidP="003C11FE">
            <w:pPr>
              <w:jc w:val="center"/>
            </w:pPr>
            <w:r>
              <w:t>&lt;0.5</w:t>
            </w:r>
          </w:p>
        </w:tc>
        <w:tc>
          <w:tcPr>
            <w:tcW w:w="1417" w:type="dxa"/>
          </w:tcPr>
          <w:p w:rsidR="002861EB" w:rsidRPr="001D4359" w:rsidRDefault="002861EB" w:rsidP="003C11FE">
            <w:pPr>
              <w:jc w:val="center"/>
            </w:pPr>
            <w:r w:rsidRPr="001D4359">
              <w:t>1.2</w:t>
            </w:r>
            <w:r>
              <w:t xml:space="preserve"> (5/420)</w:t>
            </w:r>
          </w:p>
        </w:tc>
        <w:tc>
          <w:tcPr>
            <w:tcW w:w="1442" w:type="dxa"/>
          </w:tcPr>
          <w:p w:rsidR="002861EB" w:rsidRPr="001D4359" w:rsidRDefault="002861EB" w:rsidP="003C11FE">
            <w:pPr>
              <w:jc w:val="center"/>
            </w:pPr>
            <w:r w:rsidRPr="001D4359">
              <w:t>0</w:t>
            </w:r>
          </w:p>
        </w:tc>
      </w:tr>
    </w:tbl>
    <w:p w:rsidR="0048717C" w:rsidRPr="00606893" w:rsidRDefault="0048717C" w:rsidP="0048717C">
      <w:pPr>
        <w:ind w:left="-180"/>
        <w:rPr>
          <w:sz w:val="20"/>
          <w:szCs w:val="20"/>
        </w:rPr>
      </w:pPr>
      <w:r w:rsidRPr="00606893">
        <w:rPr>
          <w:sz w:val="20"/>
          <w:szCs w:val="20"/>
        </w:rPr>
        <w:t>ULN: Upper Limit of Normal</w:t>
      </w:r>
    </w:p>
    <w:p w:rsidR="0048717C" w:rsidRPr="00606893" w:rsidRDefault="0048717C" w:rsidP="0048717C">
      <w:pPr>
        <w:ind w:left="-180"/>
        <w:rPr>
          <w:sz w:val="20"/>
          <w:szCs w:val="20"/>
        </w:rPr>
      </w:pPr>
      <w:r w:rsidRPr="00606893">
        <w:rPr>
          <w:sz w:val="20"/>
          <w:szCs w:val="20"/>
        </w:rPr>
        <w:t>* Percentages based on total patients evaluated for each laboratory parameter</w:t>
      </w:r>
    </w:p>
    <w:p w:rsidR="0048717C" w:rsidRDefault="0048717C" w:rsidP="00A14534">
      <w:pPr>
        <w:pStyle w:val="Heading2"/>
      </w:pPr>
      <w:r>
        <w:t>Study in Treatment-Naive</w:t>
      </w:r>
      <w:r w:rsidRPr="00287FA2">
        <w:t xml:space="preserve"> </w:t>
      </w:r>
      <w:r w:rsidR="00551A77">
        <w:t>Patients</w:t>
      </w:r>
    </w:p>
    <w:p w:rsidR="0048717C" w:rsidRPr="0069595B" w:rsidRDefault="0048717C" w:rsidP="00A14534">
      <w:pPr>
        <w:pStyle w:val="Heading3"/>
      </w:pPr>
      <w:r w:rsidRPr="0069595B">
        <w:t>Tr</w:t>
      </w:r>
      <w:r w:rsidR="00A14534">
        <w:t>eatment-Emergent Adverse Events</w:t>
      </w:r>
    </w:p>
    <w:p w:rsidR="0048717C" w:rsidRPr="008E2195" w:rsidRDefault="0048717C" w:rsidP="0048717C">
      <w:pPr>
        <w:spacing w:after="240"/>
        <w:jc w:val="both"/>
      </w:pPr>
      <w:r w:rsidRPr="008E2195">
        <w:t>Treatment-emergent adverse events, regardless o</w:t>
      </w:r>
      <w:r>
        <w:t>f causality, from the MERIT study</w:t>
      </w:r>
      <w:r w:rsidRPr="008E2195">
        <w:t>, a double-blind comparative controlled study in which 721 treatment-n</w:t>
      </w:r>
      <w:r>
        <w:t xml:space="preserve">aïve </w:t>
      </w:r>
      <w:r w:rsidR="00551A77">
        <w:t>patients</w:t>
      </w:r>
      <w:r>
        <w:t xml:space="preserve"> received CELSENTRI</w:t>
      </w:r>
      <w:r w:rsidRPr="008E2195">
        <w:t xml:space="preserve"> 300 mg BID (N=360) or efavirenz (N=361) in combination </w:t>
      </w:r>
      <w:r w:rsidRPr="008E2195">
        <w:lastRenderedPageBreak/>
        <w:t xml:space="preserve">with zidovudine/lamivudine for 96 </w:t>
      </w:r>
      <w:r>
        <w:t>weeks, are summarized in Table 10</w:t>
      </w:r>
      <w:r w:rsidRPr="008E2195">
        <w:t xml:space="preserve">. Selected events occurring at ≥ 2% of </w:t>
      </w:r>
      <w:r w:rsidR="00551A77">
        <w:t>patients</w:t>
      </w:r>
      <w:r w:rsidRPr="008E2195">
        <w:t xml:space="preserve"> and at a numerically higher rate in</w:t>
      </w:r>
      <w:r>
        <w:t xml:space="preserve"> </w:t>
      </w:r>
      <w:r w:rsidR="00551A77">
        <w:t>patients</w:t>
      </w:r>
      <w:r>
        <w:t xml:space="preserve"> treated with CELSENTRI</w:t>
      </w:r>
      <w:r w:rsidRPr="008E2195">
        <w:t xml:space="preserve"> are included; events that occurred at the same or higher rate on efavirenz are not displayed.</w:t>
      </w:r>
    </w:p>
    <w:p w:rsidR="0048717C" w:rsidRDefault="0048717C" w:rsidP="0048717C">
      <w:pPr>
        <w:keepNext/>
        <w:autoSpaceDE w:val="0"/>
        <w:autoSpaceDN w:val="0"/>
        <w:adjustRightInd w:val="0"/>
        <w:rPr>
          <w:rFonts w:ascii="TimesNewRomanPS-BoldMT" w:eastAsia="Times New Roman" w:hAnsi="TimesNewRomanPS-BoldMT" w:cs="TimesNewRomanPS-BoldMT"/>
          <w:b/>
          <w:bCs/>
          <w:sz w:val="22"/>
          <w:szCs w:val="22"/>
          <w:lang w:eastAsia="en-AU"/>
        </w:rPr>
      </w:pPr>
      <w:r w:rsidRPr="00D325F1">
        <w:rPr>
          <w:b/>
          <w:bCs/>
        </w:rPr>
        <w:t xml:space="preserve">Table </w:t>
      </w:r>
      <w:r>
        <w:rPr>
          <w:b/>
          <w:bCs/>
        </w:rPr>
        <w:t>10</w:t>
      </w:r>
      <w:r w:rsidR="000E121C">
        <w:rPr>
          <w:b/>
          <w:bCs/>
        </w:rPr>
        <w:t xml:space="preserve">:  </w:t>
      </w:r>
      <w:r>
        <w:rPr>
          <w:rFonts w:ascii="TimesNewRomanPS-BoldMT" w:eastAsia="Times New Roman" w:hAnsi="TimesNewRomanPS-BoldMT" w:cs="TimesNewRomanPS-BoldMT"/>
          <w:b/>
          <w:bCs/>
          <w:sz w:val="22"/>
          <w:szCs w:val="22"/>
          <w:lang w:eastAsia="en-AU"/>
        </w:rPr>
        <w:t xml:space="preserve">Percentage of </w:t>
      </w:r>
      <w:r w:rsidR="00551A77">
        <w:rPr>
          <w:rFonts w:ascii="TimesNewRomanPS-BoldMT" w:eastAsia="Times New Roman" w:hAnsi="TimesNewRomanPS-BoldMT" w:cs="TimesNewRomanPS-BoldMT"/>
          <w:b/>
          <w:bCs/>
          <w:sz w:val="22"/>
          <w:szCs w:val="22"/>
          <w:lang w:eastAsia="en-AU"/>
        </w:rPr>
        <w:t>Patients</w:t>
      </w:r>
      <w:r>
        <w:rPr>
          <w:rFonts w:ascii="TimesNewRomanPS-BoldMT" w:eastAsia="Times New Roman" w:hAnsi="TimesNewRomanPS-BoldMT" w:cs="TimesNewRomanPS-BoldMT"/>
          <w:b/>
          <w:bCs/>
          <w:sz w:val="22"/>
          <w:szCs w:val="22"/>
          <w:lang w:eastAsia="en-AU"/>
        </w:rPr>
        <w:t xml:space="preserve"> with Selected Treatment-Emergent Adverse Events (All Causality) </w:t>
      </w:r>
    </w:p>
    <w:p w:rsidR="0048717C" w:rsidRDefault="0048717C" w:rsidP="0048717C">
      <w:pPr>
        <w:keepNext/>
        <w:autoSpaceDE w:val="0"/>
        <w:autoSpaceDN w:val="0"/>
        <w:adjustRightInd w:val="0"/>
        <w:rPr>
          <w:rFonts w:ascii="TimesNewRomanPS-BoldMT" w:eastAsia="Times New Roman" w:hAnsi="TimesNewRomanPS-BoldMT" w:cs="TimesNewRomanPS-BoldMT"/>
          <w:b/>
          <w:bCs/>
          <w:sz w:val="22"/>
          <w:szCs w:val="22"/>
          <w:lang w:eastAsia="en-AU"/>
        </w:rPr>
      </w:pPr>
      <w:r>
        <w:rPr>
          <w:rFonts w:ascii="TimesNewRomanPS-BoldMT" w:eastAsia="Times New Roman" w:hAnsi="TimesNewRomanPS-BoldMT" w:cs="TimesNewRomanPS-BoldMT"/>
          <w:b/>
          <w:bCs/>
          <w:sz w:val="22"/>
          <w:szCs w:val="22"/>
          <w:lang w:eastAsia="en-AU"/>
        </w:rPr>
        <w:t xml:space="preserve">(≥2% on CELSENTRI and at a higher rate compared to efavirenz) </w:t>
      </w:r>
    </w:p>
    <w:p w:rsidR="0048717C" w:rsidRDefault="0048717C" w:rsidP="0048717C">
      <w:pPr>
        <w:keepNext/>
        <w:autoSpaceDE w:val="0"/>
        <w:autoSpaceDN w:val="0"/>
        <w:adjustRightInd w:val="0"/>
        <w:rPr>
          <w:rFonts w:ascii="TimesNewRomanPS-BoldMT" w:eastAsia="Times New Roman" w:hAnsi="TimesNewRomanPS-BoldMT" w:cs="TimesNewRomanPS-BoldMT"/>
          <w:b/>
          <w:bCs/>
          <w:sz w:val="22"/>
          <w:szCs w:val="22"/>
          <w:lang w:eastAsia="en-AU"/>
        </w:rPr>
      </w:pPr>
      <w:r>
        <w:rPr>
          <w:rFonts w:ascii="TimesNewRomanPS-BoldMT" w:eastAsia="Times New Roman" w:hAnsi="TimesNewRomanPS-BoldMT" w:cs="TimesNewRomanPS-BoldMT"/>
          <w:b/>
          <w:bCs/>
          <w:sz w:val="22"/>
          <w:szCs w:val="22"/>
          <w:lang w:eastAsia="en-AU"/>
        </w:rPr>
        <w:t>MERIT study (96 Weeks)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2126"/>
        <w:gridCol w:w="2127"/>
      </w:tblGrid>
      <w:tr w:rsidR="0048717C" w:rsidRPr="00C44FC7" w:rsidTr="00442035">
        <w:trPr>
          <w:tblHeader/>
        </w:trPr>
        <w:tc>
          <w:tcPr>
            <w:tcW w:w="4786" w:type="dxa"/>
          </w:tcPr>
          <w:p w:rsidR="0048717C" w:rsidRPr="00C44FC7" w:rsidRDefault="0048717C" w:rsidP="0048717C">
            <w:pPr>
              <w:keepNext/>
              <w:rPr>
                <w:rFonts w:cs="Arial"/>
                <w:b/>
                <w:color w:val="000000"/>
                <w:sz w:val="20"/>
                <w:szCs w:val="20"/>
              </w:rPr>
            </w:pPr>
          </w:p>
        </w:tc>
        <w:tc>
          <w:tcPr>
            <w:tcW w:w="2126" w:type="dxa"/>
          </w:tcPr>
          <w:p w:rsidR="0048717C" w:rsidRPr="00C44FC7" w:rsidRDefault="0048717C" w:rsidP="0048717C">
            <w:pPr>
              <w:keepNext/>
              <w:jc w:val="center"/>
              <w:rPr>
                <w:b/>
                <w:color w:val="000000"/>
                <w:sz w:val="20"/>
                <w:szCs w:val="20"/>
                <w:lang w:val="pt-BR"/>
              </w:rPr>
            </w:pPr>
            <w:r w:rsidRPr="00C44FC7">
              <w:rPr>
                <w:b/>
                <w:color w:val="000000"/>
                <w:sz w:val="20"/>
                <w:szCs w:val="20"/>
                <w:lang w:val="pt-BR"/>
              </w:rPr>
              <w:t xml:space="preserve">CELSENTRI </w:t>
            </w:r>
          </w:p>
          <w:p w:rsidR="0048717C" w:rsidRPr="00C44FC7" w:rsidRDefault="0048717C" w:rsidP="0048717C">
            <w:pPr>
              <w:keepNext/>
              <w:jc w:val="center"/>
              <w:rPr>
                <w:b/>
                <w:color w:val="000000"/>
                <w:sz w:val="20"/>
                <w:szCs w:val="20"/>
                <w:lang w:val="pt-BR"/>
              </w:rPr>
            </w:pPr>
            <w:r w:rsidRPr="00C44FC7">
              <w:rPr>
                <w:b/>
                <w:color w:val="000000"/>
                <w:sz w:val="20"/>
                <w:szCs w:val="20"/>
                <w:lang w:val="pt-BR"/>
              </w:rPr>
              <w:t xml:space="preserve"> +</w:t>
            </w:r>
          </w:p>
          <w:p w:rsidR="0048717C" w:rsidRPr="00364460" w:rsidRDefault="0048717C" w:rsidP="0048717C">
            <w:pPr>
              <w:keepNext/>
              <w:jc w:val="center"/>
              <w:rPr>
                <w:b/>
                <w:color w:val="000000"/>
                <w:sz w:val="18"/>
                <w:szCs w:val="18"/>
                <w:lang w:val="pt-BR"/>
              </w:rPr>
            </w:pPr>
            <w:r w:rsidRPr="00364460">
              <w:rPr>
                <w:b/>
                <w:color w:val="000000"/>
                <w:sz w:val="18"/>
                <w:szCs w:val="18"/>
                <w:lang w:val="pt-BR"/>
              </w:rPr>
              <w:t>zidovudine/lamivudine</w:t>
            </w:r>
          </w:p>
          <w:p w:rsidR="0048717C" w:rsidRDefault="0048717C" w:rsidP="0048717C">
            <w:pPr>
              <w:keepNext/>
              <w:jc w:val="center"/>
              <w:rPr>
                <w:b/>
                <w:color w:val="000000"/>
                <w:sz w:val="20"/>
                <w:szCs w:val="20"/>
                <w:lang w:val="pt-BR"/>
              </w:rPr>
            </w:pPr>
            <w:r>
              <w:rPr>
                <w:b/>
                <w:color w:val="000000"/>
                <w:sz w:val="20"/>
                <w:szCs w:val="20"/>
                <w:lang w:val="pt-BR"/>
              </w:rPr>
              <w:t>300 mg BID</w:t>
            </w:r>
            <w:r w:rsidRPr="00C44FC7">
              <w:rPr>
                <w:b/>
                <w:color w:val="000000"/>
                <w:sz w:val="20"/>
                <w:szCs w:val="20"/>
                <w:lang w:val="pt-BR"/>
              </w:rPr>
              <w:t xml:space="preserve"> </w:t>
            </w:r>
          </w:p>
          <w:p w:rsidR="0048717C" w:rsidRDefault="0048717C" w:rsidP="0048717C">
            <w:pPr>
              <w:keepNext/>
              <w:jc w:val="center"/>
              <w:rPr>
                <w:b/>
                <w:color w:val="000000"/>
                <w:sz w:val="20"/>
                <w:szCs w:val="20"/>
                <w:lang w:val="pt-BR"/>
              </w:rPr>
            </w:pPr>
            <w:r>
              <w:rPr>
                <w:b/>
                <w:color w:val="000000"/>
                <w:sz w:val="20"/>
                <w:szCs w:val="20"/>
                <w:lang w:val="pt-BR"/>
              </w:rPr>
              <w:t>N = 360</w:t>
            </w:r>
          </w:p>
          <w:p w:rsidR="0048717C" w:rsidRPr="00C44FC7" w:rsidRDefault="0048717C" w:rsidP="0048717C">
            <w:pPr>
              <w:keepNext/>
              <w:jc w:val="center"/>
              <w:rPr>
                <w:b/>
                <w:color w:val="000000"/>
                <w:sz w:val="20"/>
                <w:szCs w:val="20"/>
                <w:lang w:val="pt-BR"/>
              </w:rPr>
            </w:pPr>
            <w:r w:rsidRPr="00C44FC7">
              <w:rPr>
                <w:b/>
                <w:color w:val="000000"/>
                <w:sz w:val="20"/>
                <w:szCs w:val="20"/>
                <w:lang w:val="pt-BR"/>
              </w:rPr>
              <w:t>(%)</w:t>
            </w:r>
          </w:p>
        </w:tc>
        <w:tc>
          <w:tcPr>
            <w:tcW w:w="2127" w:type="dxa"/>
          </w:tcPr>
          <w:p w:rsidR="0048717C" w:rsidRPr="00C44FC7" w:rsidRDefault="0048717C" w:rsidP="0048717C">
            <w:pPr>
              <w:keepNext/>
              <w:jc w:val="center"/>
              <w:rPr>
                <w:b/>
                <w:color w:val="000000"/>
                <w:sz w:val="20"/>
                <w:szCs w:val="20"/>
                <w:lang w:val="pt-BR"/>
              </w:rPr>
            </w:pPr>
            <w:r>
              <w:rPr>
                <w:b/>
                <w:color w:val="000000"/>
                <w:sz w:val="20"/>
                <w:szCs w:val="20"/>
                <w:lang w:val="pt-BR"/>
              </w:rPr>
              <w:t>EFAVIRENZ</w:t>
            </w:r>
          </w:p>
          <w:p w:rsidR="0048717C" w:rsidRPr="00C44FC7" w:rsidRDefault="0048717C" w:rsidP="0048717C">
            <w:pPr>
              <w:keepNext/>
              <w:jc w:val="center"/>
              <w:rPr>
                <w:b/>
                <w:color w:val="000000"/>
                <w:sz w:val="20"/>
                <w:szCs w:val="20"/>
                <w:lang w:val="pt-BR"/>
              </w:rPr>
            </w:pPr>
            <w:r>
              <w:rPr>
                <w:b/>
                <w:color w:val="000000"/>
                <w:sz w:val="20"/>
                <w:szCs w:val="20"/>
                <w:lang w:val="pt-BR"/>
              </w:rPr>
              <w:t>+</w:t>
            </w:r>
          </w:p>
          <w:p w:rsidR="0048717C" w:rsidRPr="00364460" w:rsidRDefault="0048717C" w:rsidP="0048717C">
            <w:pPr>
              <w:keepNext/>
              <w:jc w:val="center"/>
              <w:rPr>
                <w:b/>
                <w:color w:val="000000"/>
                <w:sz w:val="18"/>
                <w:szCs w:val="18"/>
                <w:lang w:val="pt-BR"/>
              </w:rPr>
            </w:pPr>
            <w:r w:rsidRPr="00364460">
              <w:rPr>
                <w:b/>
                <w:color w:val="000000"/>
                <w:sz w:val="18"/>
                <w:szCs w:val="18"/>
                <w:lang w:val="pt-BR"/>
              </w:rPr>
              <w:t>zidovudine/lamivudine</w:t>
            </w:r>
          </w:p>
          <w:p w:rsidR="0048717C" w:rsidRDefault="0048717C" w:rsidP="0048717C">
            <w:pPr>
              <w:keepNext/>
              <w:jc w:val="center"/>
              <w:rPr>
                <w:b/>
                <w:color w:val="000000"/>
                <w:sz w:val="20"/>
                <w:szCs w:val="20"/>
                <w:lang w:val="pt-BR"/>
              </w:rPr>
            </w:pPr>
            <w:r>
              <w:rPr>
                <w:b/>
                <w:color w:val="000000"/>
                <w:sz w:val="20"/>
                <w:szCs w:val="20"/>
                <w:lang w:val="pt-BR"/>
              </w:rPr>
              <w:t>600 mg QD</w:t>
            </w:r>
            <w:r w:rsidRPr="00C44FC7">
              <w:rPr>
                <w:b/>
                <w:color w:val="000000"/>
                <w:sz w:val="20"/>
                <w:szCs w:val="20"/>
                <w:lang w:val="pt-BR"/>
              </w:rPr>
              <w:t xml:space="preserve"> </w:t>
            </w:r>
          </w:p>
          <w:p w:rsidR="0048717C" w:rsidRDefault="0048717C" w:rsidP="0048717C">
            <w:pPr>
              <w:keepNext/>
              <w:jc w:val="center"/>
              <w:rPr>
                <w:b/>
                <w:color w:val="000000"/>
                <w:sz w:val="20"/>
                <w:szCs w:val="20"/>
                <w:lang w:val="pt-BR"/>
              </w:rPr>
            </w:pPr>
            <w:r>
              <w:rPr>
                <w:b/>
                <w:color w:val="000000"/>
                <w:sz w:val="20"/>
                <w:szCs w:val="20"/>
                <w:lang w:val="pt-BR"/>
              </w:rPr>
              <w:t>N = 361</w:t>
            </w:r>
          </w:p>
          <w:p w:rsidR="0048717C" w:rsidRPr="00C44FC7" w:rsidRDefault="0048717C" w:rsidP="0048717C">
            <w:pPr>
              <w:keepNext/>
              <w:jc w:val="center"/>
              <w:rPr>
                <w:b/>
                <w:color w:val="000000"/>
                <w:sz w:val="20"/>
                <w:szCs w:val="20"/>
                <w:lang w:val="pt-BR"/>
              </w:rPr>
            </w:pPr>
            <w:r w:rsidRPr="00C44FC7">
              <w:rPr>
                <w:b/>
                <w:color w:val="000000"/>
                <w:sz w:val="20"/>
                <w:szCs w:val="20"/>
                <w:lang w:val="pt-BR"/>
              </w:rPr>
              <w:t>(%)</w:t>
            </w:r>
          </w:p>
        </w:tc>
      </w:tr>
      <w:tr w:rsidR="0048717C" w:rsidRPr="00C44FC7" w:rsidTr="00442035">
        <w:tc>
          <w:tcPr>
            <w:tcW w:w="4786" w:type="dxa"/>
            <w:tcBorders>
              <w:bottom w:val="nil"/>
            </w:tcBorders>
          </w:tcPr>
          <w:p w:rsidR="0048717C" w:rsidRPr="00C44FC7" w:rsidRDefault="0048717C" w:rsidP="0048717C">
            <w:pPr>
              <w:rPr>
                <w:rFonts w:cs="Arial"/>
                <w:b/>
                <w:color w:val="000000"/>
                <w:sz w:val="20"/>
                <w:szCs w:val="20"/>
              </w:rPr>
            </w:pPr>
            <w:r>
              <w:rPr>
                <w:rFonts w:cs="Arial"/>
                <w:b/>
                <w:color w:val="000000"/>
                <w:sz w:val="20"/>
                <w:szCs w:val="20"/>
              </w:rPr>
              <w:t xml:space="preserve">BLOOD AND LYMPHATIC SYSTEM </w:t>
            </w:r>
            <w:r w:rsidRPr="00C44FC7">
              <w:rPr>
                <w:rFonts w:cs="Arial"/>
                <w:b/>
                <w:color w:val="000000"/>
                <w:sz w:val="20"/>
                <w:szCs w:val="20"/>
              </w:rPr>
              <w:t>DISORDERS</w:t>
            </w:r>
          </w:p>
        </w:tc>
        <w:tc>
          <w:tcPr>
            <w:tcW w:w="2126" w:type="dxa"/>
            <w:tcBorders>
              <w:bottom w:val="nil"/>
            </w:tcBorders>
          </w:tcPr>
          <w:p w:rsidR="0048717C" w:rsidRPr="00C44FC7" w:rsidRDefault="0048717C" w:rsidP="0048717C">
            <w:pPr>
              <w:jc w:val="center"/>
              <w:rPr>
                <w:color w:val="000000"/>
                <w:sz w:val="20"/>
                <w:szCs w:val="20"/>
                <w:lang w:val="pt-BR"/>
              </w:rPr>
            </w:pPr>
          </w:p>
        </w:tc>
        <w:tc>
          <w:tcPr>
            <w:tcW w:w="2127" w:type="dxa"/>
            <w:tcBorders>
              <w:bottom w:val="nil"/>
            </w:tcBorders>
          </w:tcPr>
          <w:p w:rsidR="0048717C" w:rsidRPr="00C44FC7" w:rsidRDefault="0048717C" w:rsidP="0048717C">
            <w:pPr>
              <w:jc w:val="center"/>
              <w:rPr>
                <w:color w:val="000000"/>
                <w:sz w:val="20"/>
                <w:szCs w:val="20"/>
                <w:lang w:val="pt-BR"/>
              </w:rPr>
            </w:pPr>
          </w:p>
        </w:tc>
      </w:tr>
      <w:tr w:rsidR="0048717C" w:rsidRPr="00C44FC7" w:rsidTr="00442035">
        <w:tc>
          <w:tcPr>
            <w:tcW w:w="4786" w:type="dxa"/>
            <w:tcBorders>
              <w:top w:val="nil"/>
              <w:bottom w:val="nil"/>
            </w:tcBorders>
          </w:tcPr>
          <w:p w:rsidR="0048717C" w:rsidRPr="00C44FC7" w:rsidRDefault="0048717C" w:rsidP="0048717C">
            <w:pPr>
              <w:autoSpaceDE w:val="0"/>
              <w:autoSpaceDN w:val="0"/>
              <w:adjustRightInd w:val="0"/>
              <w:rPr>
                <w:rFonts w:cs="Arial"/>
                <w:color w:val="000000"/>
                <w:sz w:val="20"/>
                <w:szCs w:val="20"/>
              </w:rPr>
            </w:pPr>
            <w:proofErr w:type="spellStart"/>
            <w:r>
              <w:rPr>
                <w:rFonts w:cs="Arial"/>
                <w:color w:val="000000"/>
                <w:sz w:val="20"/>
                <w:szCs w:val="20"/>
              </w:rPr>
              <w:t>Anemias</w:t>
            </w:r>
            <w:proofErr w:type="spellEnd"/>
            <w:r>
              <w:rPr>
                <w:rFonts w:cs="Arial"/>
                <w:color w:val="000000"/>
                <w:sz w:val="20"/>
                <w:szCs w:val="20"/>
              </w:rPr>
              <w:t xml:space="preserve"> NEC</w:t>
            </w:r>
          </w:p>
        </w:tc>
        <w:tc>
          <w:tcPr>
            <w:tcW w:w="2126" w:type="dxa"/>
            <w:tcBorders>
              <w:top w:val="nil"/>
              <w:bottom w:val="nil"/>
            </w:tcBorders>
          </w:tcPr>
          <w:p w:rsidR="0048717C" w:rsidRPr="00C44FC7" w:rsidRDefault="0048717C" w:rsidP="0048717C">
            <w:pPr>
              <w:jc w:val="center"/>
              <w:rPr>
                <w:color w:val="000000"/>
                <w:sz w:val="20"/>
                <w:szCs w:val="20"/>
                <w:lang w:val="pt-BR"/>
              </w:rPr>
            </w:pPr>
            <w:r>
              <w:rPr>
                <w:color w:val="000000"/>
                <w:sz w:val="20"/>
                <w:szCs w:val="20"/>
                <w:lang w:val="pt-BR"/>
              </w:rPr>
              <w:t>8</w:t>
            </w:r>
          </w:p>
        </w:tc>
        <w:tc>
          <w:tcPr>
            <w:tcW w:w="2127" w:type="dxa"/>
            <w:tcBorders>
              <w:top w:val="nil"/>
              <w:bottom w:val="nil"/>
            </w:tcBorders>
          </w:tcPr>
          <w:p w:rsidR="0048717C" w:rsidRPr="00C44FC7" w:rsidRDefault="0048717C" w:rsidP="0048717C">
            <w:pPr>
              <w:jc w:val="center"/>
              <w:rPr>
                <w:color w:val="000000"/>
                <w:sz w:val="20"/>
                <w:szCs w:val="20"/>
                <w:lang w:val="pt-BR"/>
              </w:rPr>
            </w:pPr>
            <w:r>
              <w:rPr>
                <w:color w:val="000000"/>
                <w:sz w:val="20"/>
                <w:szCs w:val="20"/>
                <w:lang w:val="pt-BR"/>
              </w:rPr>
              <w:t>5</w:t>
            </w:r>
          </w:p>
        </w:tc>
      </w:tr>
      <w:tr w:rsidR="0048717C" w:rsidRPr="00C44FC7" w:rsidTr="00442035">
        <w:tc>
          <w:tcPr>
            <w:tcW w:w="4786" w:type="dxa"/>
            <w:tcBorders>
              <w:top w:val="nil"/>
            </w:tcBorders>
          </w:tcPr>
          <w:p w:rsidR="0048717C" w:rsidRPr="00C44FC7" w:rsidRDefault="0048717C" w:rsidP="0048717C">
            <w:pPr>
              <w:autoSpaceDE w:val="0"/>
              <w:autoSpaceDN w:val="0"/>
              <w:adjustRightInd w:val="0"/>
              <w:rPr>
                <w:rFonts w:cs="Arial"/>
                <w:color w:val="000000"/>
                <w:sz w:val="20"/>
                <w:szCs w:val="20"/>
              </w:rPr>
            </w:pPr>
            <w:proofErr w:type="spellStart"/>
            <w:r>
              <w:rPr>
                <w:rFonts w:cs="Arial"/>
                <w:color w:val="000000"/>
                <w:sz w:val="20"/>
                <w:szCs w:val="20"/>
              </w:rPr>
              <w:t>Neutropenias</w:t>
            </w:r>
            <w:proofErr w:type="spellEnd"/>
          </w:p>
        </w:tc>
        <w:tc>
          <w:tcPr>
            <w:tcW w:w="2126" w:type="dxa"/>
            <w:tcBorders>
              <w:top w:val="nil"/>
            </w:tcBorders>
          </w:tcPr>
          <w:p w:rsidR="0048717C" w:rsidRPr="00C44FC7" w:rsidRDefault="0048717C" w:rsidP="0048717C">
            <w:pPr>
              <w:jc w:val="center"/>
              <w:rPr>
                <w:color w:val="000000"/>
                <w:sz w:val="20"/>
                <w:szCs w:val="20"/>
                <w:lang w:val="pt-BR"/>
              </w:rPr>
            </w:pPr>
            <w:r>
              <w:rPr>
                <w:color w:val="000000"/>
                <w:sz w:val="20"/>
                <w:szCs w:val="20"/>
                <w:lang w:val="pt-BR"/>
              </w:rPr>
              <w:t>4</w:t>
            </w:r>
          </w:p>
        </w:tc>
        <w:tc>
          <w:tcPr>
            <w:tcW w:w="2127" w:type="dxa"/>
            <w:tcBorders>
              <w:top w:val="nil"/>
            </w:tcBorders>
          </w:tcPr>
          <w:p w:rsidR="0048717C" w:rsidRPr="00C44FC7" w:rsidRDefault="0048717C" w:rsidP="0048717C">
            <w:pPr>
              <w:jc w:val="center"/>
              <w:rPr>
                <w:color w:val="000000"/>
                <w:sz w:val="20"/>
                <w:szCs w:val="20"/>
                <w:lang w:val="pt-BR"/>
              </w:rPr>
            </w:pPr>
            <w:r>
              <w:rPr>
                <w:color w:val="000000"/>
                <w:sz w:val="20"/>
                <w:szCs w:val="20"/>
                <w:lang w:val="pt-BR"/>
              </w:rPr>
              <w:t>3</w:t>
            </w:r>
          </w:p>
        </w:tc>
      </w:tr>
      <w:tr w:rsidR="0048717C" w:rsidRPr="00C44FC7" w:rsidTr="00442035">
        <w:tc>
          <w:tcPr>
            <w:tcW w:w="4786" w:type="dxa"/>
            <w:tcBorders>
              <w:bottom w:val="single" w:sz="4" w:space="0" w:color="auto"/>
            </w:tcBorders>
          </w:tcPr>
          <w:p w:rsidR="0048717C" w:rsidRPr="00C44FC7" w:rsidRDefault="0048717C" w:rsidP="0048717C">
            <w:pPr>
              <w:rPr>
                <w:rFonts w:cs="Arial"/>
                <w:color w:val="000000"/>
                <w:sz w:val="20"/>
                <w:szCs w:val="20"/>
              </w:rPr>
            </w:pPr>
          </w:p>
        </w:tc>
        <w:tc>
          <w:tcPr>
            <w:tcW w:w="2126" w:type="dxa"/>
            <w:tcBorders>
              <w:bottom w:val="single" w:sz="4" w:space="0" w:color="auto"/>
            </w:tcBorders>
          </w:tcPr>
          <w:p w:rsidR="0048717C" w:rsidRPr="00C44FC7" w:rsidRDefault="0048717C" w:rsidP="0048717C">
            <w:pPr>
              <w:jc w:val="center"/>
              <w:rPr>
                <w:color w:val="000000"/>
                <w:sz w:val="20"/>
                <w:szCs w:val="20"/>
                <w:lang w:val="pt-BR"/>
              </w:rPr>
            </w:pPr>
          </w:p>
        </w:tc>
        <w:tc>
          <w:tcPr>
            <w:tcW w:w="2127" w:type="dxa"/>
            <w:tcBorders>
              <w:bottom w:val="single" w:sz="4" w:space="0" w:color="auto"/>
            </w:tcBorders>
          </w:tcPr>
          <w:p w:rsidR="0048717C" w:rsidRPr="00C44FC7" w:rsidRDefault="0048717C" w:rsidP="0048717C">
            <w:pPr>
              <w:jc w:val="center"/>
              <w:rPr>
                <w:color w:val="000000"/>
                <w:sz w:val="20"/>
                <w:szCs w:val="20"/>
                <w:lang w:val="pt-BR"/>
              </w:rPr>
            </w:pPr>
          </w:p>
        </w:tc>
      </w:tr>
      <w:tr w:rsidR="0048717C" w:rsidRPr="00C44FC7" w:rsidTr="00442035">
        <w:tc>
          <w:tcPr>
            <w:tcW w:w="4786" w:type="dxa"/>
            <w:tcBorders>
              <w:bottom w:val="nil"/>
            </w:tcBorders>
          </w:tcPr>
          <w:p w:rsidR="0048717C" w:rsidRPr="009F383D" w:rsidRDefault="0048717C" w:rsidP="0048717C">
            <w:pPr>
              <w:rPr>
                <w:rFonts w:cs="Arial"/>
                <w:b/>
                <w:color w:val="000000"/>
                <w:sz w:val="20"/>
                <w:szCs w:val="20"/>
              </w:rPr>
            </w:pPr>
            <w:r w:rsidRPr="009F383D">
              <w:rPr>
                <w:rFonts w:cs="Arial"/>
                <w:b/>
                <w:color w:val="000000"/>
                <w:sz w:val="20"/>
                <w:szCs w:val="20"/>
              </w:rPr>
              <w:t>EAR AND LABYRINTH DISORDERS</w:t>
            </w:r>
          </w:p>
        </w:tc>
        <w:tc>
          <w:tcPr>
            <w:tcW w:w="2126" w:type="dxa"/>
            <w:tcBorders>
              <w:bottom w:val="nil"/>
            </w:tcBorders>
          </w:tcPr>
          <w:p w:rsidR="0048717C" w:rsidRPr="00C44FC7" w:rsidRDefault="0048717C" w:rsidP="0048717C">
            <w:pPr>
              <w:jc w:val="center"/>
              <w:rPr>
                <w:color w:val="000000"/>
                <w:sz w:val="20"/>
                <w:szCs w:val="20"/>
                <w:lang w:val="pt-BR"/>
              </w:rPr>
            </w:pPr>
          </w:p>
        </w:tc>
        <w:tc>
          <w:tcPr>
            <w:tcW w:w="2127" w:type="dxa"/>
            <w:tcBorders>
              <w:bottom w:val="nil"/>
            </w:tcBorders>
          </w:tcPr>
          <w:p w:rsidR="0048717C" w:rsidRPr="00C44FC7" w:rsidRDefault="0048717C" w:rsidP="0048717C">
            <w:pPr>
              <w:jc w:val="center"/>
              <w:rPr>
                <w:color w:val="000000"/>
                <w:sz w:val="20"/>
                <w:szCs w:val="20"/>
                <w:lang w:val="pt-BR"/>
              </w:rPr>
            </w:pPr>
          </w:p>
        </w:tc>
      </w:tr>
      <w:tr w:rsidR="0048717C" w:rsidRPr="00C44FC7" w:rsidTr="00442035">
        <w:tc>
          <w:tcPr>
            <w:tcW w:w="4786" w:type="dxa"/>
            <w:tcBorders>
              <w:top w:val="nil"/>
            </w:tcBorders>
          </w:tcPr>
          <w:p w:rsidR="0048717C" w:rsidRPr="009F383D" w:rsidRDefault="0048717C" w:rsidP="0048717C">
            <w:pPr>
              <w:rPr>
                <w:rFonts w:cs="Arial"/>
                <w:color w:val="000000"/>
                <w:sz w:val="20"/>
                <w:szCs w:val="20"/>
              </w:rPr>
            </w:pPr>
            <w:r w:rsidRPr="009F383D">
              <w:rPr>
                <w:rFonts w:cs="Arial"/>
                <w:color w:val="000000"/>
                <w:sz w:val="20"/>
                <w:szCs w:val="20"/>
              </w:rPr>
              <w:t xml:space="preserve">Ear </w:t>
            </w:r>
            <w:r>
              <w:rPr>
                <w:rFonts w:cs="Arial"/>
                <w:color w:val="000000"/>
                <w:sz w:val="20"/>
                <w:szCs w:val="20"/>
              </w:rPr>
              <w:t xml:space="preserve"> disorders NEC</w:t>
            </w:r>
          </w:p>
        </w:tc>
        <w:tc>
          <w:tcPr>
            <w:tcW w:w="2126" w:type="dxa"/>
            <w:tcBorders>
              <w:top w:val="nil"/>
            </w:tcBorders>
          </w:tcPr>
          <w:p w:rsidR="0048717C" w:rsidRPr="009F383D" w:rsidRDefault="0048717C" w:rsidP="0048717C">
            <w:pPr>
              <w:jc w:val="center"/>
              <w:rPr>
                <w:color w:val="000000"/>
                <w:sz w:val="20"/>
                <w:szCs w:val="20"/>
                <w:lang w:val="pt-BR"/>
              </w:rPr>
            </w:pPr>
            <w:r w:rsidRPr="009F383D">
              <w:rPr>
                <w:color w:val="000000"/>
                <w:sz w:val="20"/>
                <w:szCs w:val="20"/>
                <w:lang w:val="pt-BR"/>
              </w:rPr>
              <w:t>3</w:t>
            </w:r>
          </w:p>
        </w:tc>
        <w:tc>
          <w:tcPr>
            <w:tcW w:w="2127" w:type="dxa"/>
            <w:tcBorders>
              <w:top w:val="nil"/>
            </w:tcBorders>
          </w:tcPr>
          <w:p w:rsidR="0048717C" w:rsidRPr="009F383D" w:rsidRDefault="0048717C" w:rsidP="0048717C">
            <w:pPr>
              <w:jc w:val="center"/>
              <w:rPr>
                <w:color w:val="000000"/>
                <w:sz w:val="20"/>
                <w:szCs w:val="20"/>
                <w:lang w:val="pt-BR"/>
              </w:rPr>
            </w:pPr>
            <w:r w:rsidRPr="009F383D">
              <w:rPr>
                <w:color w:val="000000"/>
                <w:sz w:val="20"/>
                <w:szCs w:val="20"/>
                <w:lang w:val="pt-BR"/>
              </w:rPr>
              <w:t>2</w:t>
            </w:r>
          </w:p>
        </w:tc>
      </w:tr>
      <w:tr w:rsidR="0048717C" w:rsidRPr="00C44FC7" w:rsidTr="00442035">
        <w:tc>
          <w:tcPr>
            <w:tcW w:w="4786" w:type="dxa"/>
            <w:tcBorders>
              <w:bottom w:val="single" w:sz="4" w:space="0" w:color="auto"/>
            </w:tcBorders>
          </w:tcPr>
          <w:p w:rsidR="0048717C" w:rsidRPr="00C44FC7" w:rsidRDefault="0048717C" w:rsidP="0048717C">
            <w:pPr>
              <w:rPr>
                <w:rFonts w:cs="Arial"/>
                <w:b/>
                <w:color w:val="000000"/>
                <w:sz w:val="20"/>
                <w:szCs w:val="20"/>
              </w:rPr>
            </w:pPr>
          </w:p>
        </w:tc>
        <w:tc>
          <w:tcPr>
            <w:tcW w:w="2126" w:type="dxa"/>
            <w:tcBorders>
              <w:bottom w:val="single" w:sz="4" w:space="0" w:color="auto"/>
            </w:tcBorders>
          </w:tcPr>
          <w:p w:rsidR="0048717C" w:rsidRPr="00C44FC7" w:rsidRDefault="0048717C" w:rsidP="0048717C">
            <w:pPr>
              <w:jc w:val="center"/>
              <w:rPr>
                <w:b/>
                <w:color w:val="000000"/>
                <w:sz w:val="20"/>
                <w:szCs w:val="20"/>
                <w:lang w:val="pt-BR"/>
              </w:rPr>
            </w:pPr>
          </w:p>
        </w:tc>
        <w:tc>
          <w:tcPr>
            <w:tcW w:w="2127" w:type="dxa"/>
            <w:tcBorders>
              <w:bottom w:val="single" w:sz="4" w:space="0" w:color="auto"/>
            </w:tcBorders>
          </w:tcPr>
          <w:p w:rsidR="0048717C" w:rsidRPr="00C44FC7" w:rsidRDefault="0048717C" w:rsidP="0048717C">
            <w:pPr>
              <w:jc w:val="center"/>
              <w:rPr>
                <w:b/>
                <w:color w:val="000000"/>
                <w:sz w:val="20"/>
                <w:szCs w:val="20"/>
                <w:lang w:val="pt-BR"/>
              </w:rPr>
            </w:pPr>
          </w:p>
        </w:tc>
      </w:tr>
      <w:tr w:rsidR="0048717C" w:rsidRPr="00C44FC7" w:rsidTr="00442035">
        <w:tc>
          <w:tcPr>
            <w:tcW w:w="4786"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 xml:space="preserve">GASTROINTESTINAL DISORDERS </w:t>
            </w:r>
          </w:p>
        </w:tc>
        <w:tc>
          <w:tcPr>
            <w:tcW w:w="2126" w:type="dxa"/>
            <w:tcBorders>
              <w:bottom w:val="nil"/>
            </w:tcBorders>
          </w:tcPr>
          <w:p w:rsidR="0048717C" w:rsidRPr="00C44FC7" w:rsidRDefault="0048717C" w:rsidP="0048717C">
            <w:pPr>
              <w:jc w:val="center"/>
              <w:rPr>
                <w:b/>
                <w:color w:val="000000"/>
                <w:sz w:val="20"/>
                <w:szCs w:val="20"/>
                <w:lang w:val="pt-BR"/>
              </w:rPr>
            </w:pPr>
          </w:p>
        </w:tc>
        <w:tc>
          <w:tcPr>
            <w:tcW w:w="2127" w:type="dxa"/>
            <w:tcBorders>
              <w:bottom w:val="nil"/>
            </w:tcBorders>
          </w:tcPr>
          <w:p w:rsidR="0048717C" w:rsidRPr="00C44FC7" w:rsidRDefault="0048717C" w:rsidP="0048717C">
            <w:pPr>
              <w:jc w:val="center"/>
              <w:rPr>
                <w:b/>
                <w:color w:val="000000"/>
                <w:sz w:val="20"/>
                <w:szCs w:val="20"/>
                <w:lang w:val="pt-BR"/>
              </w:rPr>
            </w:pPr>
          </w:p>
        </w:tc>
      </w:tr>
      <w:tr w:rsidR="0048717C" w:rsidRPr="00C44FC7" w:rsidTr="00442035">
        <w:tc>
          <w:tcPr>
            <w:tcW w:w="4786" w:type="dxa"/>
            <w:tcBorders>
              <w:top w:val="nil"/>
              <w:bottom w:val="nil"/>
            </w:tcBorders>
          </w:tcPr>
          <w:p w:rsidR="0048717C" w:rsidRPr="00C44FC7" w:rsidRDefault="0048717C" w:rsidP="0048717C">
            <w:pPr>
              <w:rPr>
                <w:rFonts w:cs="Arial"/>
                <w:color w:val="000000"/>
                <w:sz w:val="20"/>
                <w:szCs w:val="20"/>
              </w:rPr>
            </w:pPr>
            <w:r>
              <w:rPr>
                <w:rFonts w:cs="Arial"/>
                <w:color w:val="000000"/>
                <w:sz w:val="20"/>
                <w:szCs w:val="20"/>
              </w:rPr>
              <w:t>Flatulence, bloating and distension</w:t>
            </w:r>
          </w:p>
        </w:tc>
        <w:tc>
          <w:tcPr>
            <w:tcW w:w="2126" w:type="dxa"/>
            <w:tcBorders>
              <w:top w:val="nil"/>
              <w:bottom w:val="nil"/>
            </w:tcBorders>
          </w:tcPr>
          <w:p w:rsidR="0048717C" w:rsidRPr="00C44FC7" w:rsidRDefault="0048717C" w:rsidP="0048717C">
            <w:pPr>
              <w:jc w:val="center"/>
              <w:rPr>
                <w:color w:val="000000"/>
                <w:sz w:val="20"/>
                <w:szCs w:val="20"/>
              </w:rPr>
            </w:pPr>
            <w:r>
              <w:rPr>
                <w:color w:val="000000"/>
                <w:sz w:val="20"/>
                <w:szCs w:val="20"/>
              </w:rPr>
              <w:t>10</w:t>
            </w:r>
          </w:p>
        </w:tc>
        <w:tc>
          <w:tcPr>
            <w:tcW w:w="2127" w:type="dxa"/>
            <w:tcBorders>
              <w:top w:val="nil"/>
              <w:bottom w:val="nil"/>
            </w:tcBorders>
          </w:tcPr>
          <w:p w:rsidR="0048717C" w:rsidRPr="00C44FC7" w:rsidRDefault="0048717C" w:rsidP="0048717C">
            <w:pPr>
              <w:jc w:val="center"/>
              <w:rPr>
                <w:color w:val="000000"/>
                <w:sz w:val="20"/>
                <w:szCs w:val="20"/>
              </w:rPr>
            </w:pPr>
            <w:r>
              <w:rPr>
                <w:color w:val="000000"/>
                <w:sz w:val="20"/>
                <w:szCs w:val="20"/>
              </w:rPr>
              <w:t>7</w:t>
            </w:r>
          </w:p>
        </w:tc>
      </w:tr>
      <w:tr w:rsidR="0048717C" w:rsidRPr="00C44FC7" w:rsidTr="00442035">
        <w:tc>
          <w:tcPr>
            <w:tcW w:w="4786" w:type="dxa"/>
            <w:tcBorders>
              <w:top w:val="nil"/>
              <w:bottom w:val="nil"/>
            </w:tcBorders>
          </w:tcPr>
          <w:p w:rsidR="0048717C" w:rsidRPr="00C44FC7" w:rsidRDefault="0048717C" w:rsidP="0048717C">
            <w:pPr>
              <w:rPr>
                <w:rFonts w:cs="Arial"/>
                <w:color w:val="000000"/>
                <w:sz w:val="20"/>
                <w:szCs w:val="20"/>
              </w:rPr>
            </w:pPr>
            <w:r>
              <w:rPr>
                <w:rFonts w:cs="Arial"/>
                <w:color w:val="000000"/>
                <w:sz w:val="20"/>
                <w:szCs w:val="20"/>
              </w:rPr>
              <w:t xml:space="preserve">Gastrointestinal </w:t>
            </w:r>
            <w:proofErr w:type="spellStart"/>
            <w:r>
              <w:rPr>
                <w:rFonts w:cs="Arial"/>
                <w:color w:val="000000"/>
                <w:sz w:val="20"/>
                <w:szCs w:val="20"/>
              </w:rPr>
              <w:t>atonic</w:t>
            </w:r>
            <w:proofErr w:type="spellEnd"/>
            <w:r>
              <w:rPr>
                <w:rFonts w:cs="Arial"/>
                <w:color w:val="000000"/>
                <w:sz w:val="20"/>
                <w:szCs w:val="20"/>
              </w:rPr>
              <w:t xml:space="preserve"> and </w:t>
            </w:r>
            <w:proofErr w:type="spellStart"/>
            <w:r>
              <w:rPr>
                <w:rFonts w:cs="Arial"/>
                <w:color w:val="000000"/>
                <w:sz w:val="20"/>
                <w:szCs w:val="20"/>
              </w:rPr>
              <w:t>hypomotility</w:t>
            </w:r>
            <w:proofErr w:type="spellEnd"/>
            <w:r>
              <w:rPr>
                <w:rFonts w:cs="Arial"/>
                <w:color w:val="000000"/>
                <w:sz w:val="20"/>
                <w:szCs w:val="20"/>
              </w:rPr>
              <w:t xml:space="preserve"> disorders NEC</w:t>
            </w:r>
          </w:p>
        </w:tc>
        <w:tc>
          <w:tcPr>
            <w:tcW w:w="2126" w:type="dxa"/>
            <w:tcBorders>
              <w:top w:val="nil"/>
              <w:bottom w:val="nil"/>
            </w:tcBorders>
          </w:tcPr>
          <w:p w:rsidR="0048717C" w:rsidRPr="00C44FC7" w:rsidRDefault="0048717C" w:rsidP="0048717C">
            <w:pPr>
              <w:jc w:val="center"/>
              <w:rPr>
                <w:color w:val="000000"/>
                <w:sz w:val="20"/>
                <w:szCs w:val="20"/>
              </w:rPr>
            </w:pPr>
            <w:r>
              <w:rPr>
                <w:color w:val="000000"/>
                <w:sz w:val="20"/>
                <w:szCs w:val="20"/>
              </w:rPr>
              <w:t>9</w:t>
            </w:r>
          </w:p>
        </w:tc>
        <w:tc>
          <w:tcPr>
            <w:tcW w:w="2127" w:type="dxa"/>
            <w:tcBorders>
              <w:top w:val="nil"/>
              <w:bottom w:val="nil"/>
            </w:tcBorders>
          </w:tcPr>
          <w:p w:rsidR="0048717C" w:rsidRPr="00C44FC7" w:rsidRDefault="0048717C" w:rsidP="0048717C">
            <w:pPr>
              <w:jc w:val="center"/>
              <w:rPr>
                <w:color w:val="000000"/>
                <w:sz w:val="20"/>
                <w:szCs w:val="20"/>
              </w:rPr>
            </w:pPr>
            <w:r>
              <w:rPr>
                <w:color w:val="000000"/>
                <w:sz w:val="20"/>
                <w:szCs w:val="20"/>
              </w:rPr>
              <w:t>5</w:t>
            </w:r>
          </w:p>
        </w:tc>
      </w:tr>
      <w:tr w:rsidR="0048717C" w:rsidRPr="00C44FC7" w:rsidTr="00442035">
        <w:tc>
          <w:tcPr>
            <w:tcW w:w="4786" w:type="dxa"/>
            <w:tcBorders>
              <w:top w:val="nil"/>
            </w:tcBorders>
          </w:tcPr>
          <w:p w:rsidR="0048717C" w:rsidRPr="00C44FC7" w:rsidRDefault="0048717C" w:rsidP="0048717C">
            <w:pPr>
              <w:rPr>
                <w:rFonts w:cs="Arial"/>
                <w:color w:val="000000"/>
                <w:sz w:val="20"/>
                <w:szCs w:val="20"/>
              </w:rPr>
            </w:pPr>
            <w:r>
              <w:rPr>
                <w:rFonts w:cs="Arial"/>
                <w:color w:val="000000"/>
                <w:sz w:val="20"/>
                <w:szCs w:val="20"/>
              </w:rPr>
              <w:t>Gastrointestinal signs and symptoms NEC</w:t>
            </w:r>
          </w:p>
        </w:tc>
        <w:tc>
          <w:tcPr>
            <w:tcW w:w="2126" w:type="dxa"/>
            <w:tcBorders>
              <w:top w:val="nil"/>
            </w:tcBorders>
          </w:tcPr>
          <w:p w:rsidR="0048717C" w:rsidRPr="00C44FC7" w:rsidRDefault="0048717C" w:rsidP="0048717C">
            <w:pPr>
              <w:jc w:val="center"/>
              <w:rPr>
                <w:color w:val="000000"/>
                <w:sz w:val="20"/>
                <w:szCs w:val="20"/>
              </w:rPr>
            </w:pPr>
            <w:r>
              <w:rPr>
                <w:color w:val="000000"/>
                <w:sz w:val="20"/>
                <w:szCs w:val="20"/>
              </w:rPr>
              <w:t>3</w:t>
            </w:r>
          </w:p>
        </w:tc>
        <w:tc>
          <w:tcPr>
            <w:tcW w:w="2127" w:type="dxa"/>
            <w:tcBorders>
              <w:top w:val="nil"/>
            </w:tcBorders>
          </w:tcPr>
          <w:p w:rsidR="0048717C" w:rsidRPr="00C44FC7" w:rsidRDefault="0048717C" w:rsidP="0048717C">
            <w:pPr>
              <w:jc w:val="center"/>
              <w:rPr>
                <w:color w:val="000000"/>
                <w:sz w:val="20"/>
                <w:szCs w:val="20"/>
              </w:rPr>
            </w:pPr>
            <w:r>
              <w:rPr>
                <w:color w:val="000000"/>
                <w:sz w:val="20"/>
                <w:szCs w:val="20"/>
              </w:rPr>
              <w:t>2</w:t>
            </w:r>
          </w:p>
        </w:tc>
      </w:tr>
      <w:tr w:rsidR="0048717C" w:rsidRPr="00C44FC7" w:rsidTr="00442035">
        <w:tc>
          <w:tcPr>
            <w:tcW w:w="4786" w:type="dxa"/>
            <w:tcBorders>
              <w:bottom w:val="single" w:sz="4" w:space="0" w:color="auto"/>
            </w:tcBorders>
          </w:tcPr>
          <w:p w:rsidR="0048717C" w:rsidRPr="00C44FC7" w:rsidRDefault="0048717C" w:rsidP="0048717C">
            <w:pPr>
              <w:rPr>
                <w:rFonts w:cs="Arial"/>
                <w:color w:val="000000"/>
                <w:sz w:val="20"/>
                <w:szCs w:val="20"/>
              </w:rPr>
            </w:pPr>
          </w:p>
        </w:tc>
        <w:tc>
          <w:tcPr>
            <w:tcW w:w="2126" w:type="dxa"/>
            <w:tcBorders>
              <w:bottom w:val="single" w:sz="4" w:space="0" w:color="auto"/>
            </w:tcBorders>
          </w:tcPr>
          <w:p w:rsidR="0048717C" w:rsidRPr="00C44FC7" w:rsidRDefault="0048717C" w:rsidP="0048717C">
            <w:pPr>
              <w:jc w:val="center"/>
              <w:rPr>
                <w:color w:val="000000"/>
                <w:sz w:val="20"/>
                <w:szCs w:val="20"/>
              </w:rPr>
            </w:pPr>
          </w:p>
        </w:tc>
        <w:tc>
          <w:tcPr>
            <w:tcW w:w="2127"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42035">
        <w:tc>
          <w:tcPr>
            <w:tcW w:w="4786"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GENERAL DISORDERS AND ADMINISTRATION SITE CONDITIONS</w:t>
            </w:r>
          </w:p>
        </w:tc>
        <w:tc>
          <w:tcPr>
            <w:tcW w:w="2126" w:type="dxa"/>
            <w:tcBorders>
              <w:bottom w:val="nil"/>
            </w:tcBorders>
          </w:tcPr>
          <w:p w:rsidR="0048717C" w:rsidRPr="00C44FC7" w:rsidRDefault="0048717C" w:rsidP="0048717C">
            <w:pPr>
              <w:jc w:val="center"/>
              <w:rPr>
                <w:color w:val="000000"/>
                <w:sz w:val="20"/>
                <w:szCs w:val="20"/>
              </w:rPr>
            </w:pPr>
          </w:p>
        </w:tc>
        <w:tc>
          <w:tcPr>
            <w:tcW w:w="2127" w:type="dxa"/>
            <w:tcBorders>
              <w:bottom w:val="nil"/>
            </w:tcBorders>
          </w:tcPr>
          <w:p w:rsidR="0048717C" w:rsidRPr="00C44FC7" w:rsidRDefault="0048717C" w:rsidP="0048717C">
            <w:pPr>
              <w:jc w:val="center"/>
              <w:rPr>
                <w:color w:val="000000"/>
                <w:sz w:val="20"/>
                <w:szCs w:val="20"/>
              </w:rPr>
            </w:pPr>
          </w:p>
        </w:tc>
      </w:tr>
      <w:tr w:rsidR="0048717C" w:rsidRPr="00C44FC7" w:rsidTr="00442035">
        <w:tc>
          <w:tcPr>
            <w:tcW w:w="4786" w:type="dxa"/>
            <w:tcBorders>
              <w:top w:val="nil"/>
            </w:tcBorders>
          </w:tcPr>
          <w:p w:rsidR="0048717C" w:rsidRPr="00C44FC7" w:rsidRDefault="0048717C" w:rsidP="0048717C">
            <w:pPr>
              <w:rPr>
                <w:rFonts w:cs="Arial"/>
                <w:color w:val="000000"/>
                <w:sz w:val="20"/>
                <w:szCs w:val="20"/>
              </w:rPr>
            </w:pPr>
            <w:r>
              <w:rPr>
                <w:rFonts w:cs="Arial"/>
                <w:color w:val="000000"/>
                <w:sz w:val="20"/>
                <w:szCs w:val="20"/>
              </w:rPr>
              <w:t>Body temperature perception</w:t>
            </w:r>
          </w:p>
        </w:tc>
        <w:tc>
          <w:tcPr>
            <w:tcW w:w="2126" w:type="dxa"/>
            <w:tcBorders>
              <w:top w:val="nil"/>
            </w:tcBorders>
          </w:tcPr>
          <w:p w:rsidR="0048717C" w:rsidRPr="00C44FC7" w:rsidRDefault="0048717C" w:rsidP="0048717C">
            <w:pPr>
              <w:jc w:val="center"/>
              <w:rPr>
                <w:color w:val="000000"/>
                <w:sz w:val="20"/>
                <w:szCs w:val="20"/>
              </w:rPr>
            </w:pPr>
            <w:r w:rsidRPr="00C44FC7">
              <w:rPr>
                <w:color w:val="000000"/>
                <w:sz w:val="20"/>
                <w:szCs w:val="20"/>
              </w:rPr>
              <w:t>3</w:t>
            </w:r>
          </w:p>
        </w:tc>
        <w:tc>
          <w:tcPr>
            <w:tcW w:w="2127" w:type="dxa"/>
            <w:tcBorders>
              <w:top w:val="nil"/>
            </w:tcBorders>
          </w:tcPr>
          <w:p w:rsidR="0048717C" w:rsidRPr="00C44FC7" w:rsidRDefault="0048717C" w:rsidP="0048717C">
            <w:pPr>
              <w:jc w:val="center"/>
              <w:rPr>
                <w:color w:val="000000"/>
                <w:sz w:val="20"/>
                <w:szCs w:val="20"/>
              </w:rPr>
            </w:pPr>
            <w:r>
              <w:rPr>
                <w:color w:val="000000"/>
                <w:sz w:val="20"/>
                <w:szCs w:val="20"/>
              </w:rPr>
              <w:t>1</w:t>
            </w:r>
          </w:p>
        </w:tc>
      </w:tr>
      <w:tr w:rsidR="0048717C" w:rsidRPr="00C44FC7" w:rsidTr="00442035">
        <w:tc>
          <w:tcPr>
            <w:tcW w:w="4786" w:type="dxa"/>
            <w:tcBorders>
              <w:bottom w:val="single" w:sz="4" w:space="0" w:color="auto"/>
            </w:tcBorders>
          </w:tcPr>
          <w:p w:rsidR="0048717C" w:rsidRPr="00C44FC7" w:rsidRDefault="0048717C" w:rsidP="0048717C">
            <w:pPr>
              <w:rPr>
                <w:rFonts w:cs="Arial"/>
                <w:color w:val="000000"/>
                <w:sz w:val="20"/>
                <w:szCs w:val="20"/>
              </w:rPr>
            </w:pPr>
          </w:p>
        </w:tc>
        <w:tc>
          <w:tcPr>
            <w:tcW w:w="2126" w:type="dxa"/>
            <w:tcBorders>
              <w:bottom w:val="single" w:sz="4" w:space="0" w:color="auto"/>
            </w:tcBorders>
          </w:tcPr>
          <w:p w:rsidR="0048717C" w:rsidRPr="00C44FC7" w:rsidRDefault="0048717C" w:rsidP="0048717C">
            <w:pPr>
              <w:jc w:val="center"/>
              <w:rPr>
                <w:color w:val="000000"/>
                <w:sz w:val="20"/>
                <w:szCs w:val="20"/>
              </w:rPr>
            </w:pPr>
          </w:p>
        </w:tc>
        <w:tc>
          <w:tcPr>
            <w:tcW w:w="2127"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42035">
        <w:tc>
          <w:tcPr>
            <w:tcW w:w="4786" w:type="dxa"/>
            <w:tcBorders>
              <w:bottom w:val="nil"/>
            </w:tcBorders>
          </w:tcPr>
          <w:p w:rsidR="0048717C" w:rsidRPr="00C44FC7" w:rsidRDefault="0048717C" w:rsidP="0048717C">
            <w:pPr>
              <w:rPr>
                <w:rFonts w:cs="Arial"/>
                <w:color w:val="000000"/>
                <w:sz w:val="20"/>
                <w:szCs w:val="20"/>
              </w:rPr>
            </w:pPr>
            <w:r w:rsidRPr="00C44FC7">
              <w:rPr>
                <w:rFonts w:cs="Arial"/>
                <w:color w:val="000000"/>
                <w:sz w:val="20"/>
                <w:szCs w:val="20"/>
              </w:rPr>
              <w:t>I</w:t>
            </w:r>
            <w:r w:rsidRPr="00C44FC7">
              <w:rPr>
                <w:rFonts w:cs="Arial"/>
                <w:b/>
                <w:color w:val="000000"/>
                <w:sz w:val="20"/>
                <w:szCs w:val="20"/>
              </w:rPr>
              <w:t>NFECTIONS AND INFESTATIONS</w:t>
            </w:r>
          </w:p>
        </w:tc>
        <w:tc>
          <w:tcPr>
            <w:tcW w:w="2126" w:type="dxa"/>
            <w:tcBorders>
              <w:bottom w:val="nil"/>
            </w:tcBorders>
          </w:tcPr>
          <w:p w:rsidR="0048717C" w:rsidRPr="00C44FC7" w:rsidRDefault="0048717C" w:rsidP="0048717C">
            <w:pPr>
              <w:jc w:val="center"/>
              <w:rPr>
                <w:color w:val="000000"/>
                <w:sz w:val="20"/>
                <w:szCs w:val="20"/>
              </w:rPr>
            </w:pPr>
          </w:p>
        </w:tc>
        <w:tc>
          <w:tcPr>
            <w:tcW w:w="2127" w:type="dxa"/>
            <w:tcBorders>
              <w:bottom w:val="nil"/>
            </w:tcBorders>
          </w:tcPr>
          <w:p w:rsidR="0048717C" w:rsidRPr="00C44FC7" w:rsidRDefault="0048717C" w:rsidP="0048717C">
            <w:pPr>
              <w:jc w:val="center"/>
              <w:rPr>
                <w:color w:val="000000"/>
                <w:sz w:val="20"/>
                <w:szCs w:val="20"/>
              </w:rPr>
            </w:pPr>
          </w:p>
        </w:tc>
      </w:tr>
      <w:tr w:rsidR="0048717C" w:rsidRPr="00C44FC7" w:rsidTr="00442035">
        <w:tc>
          <w:tcPr>
            <w:tcW w:w="4786" w:type="dxa"/>
            <w:tcBorders>
              <w:top w:val="nil"/>
              <w:bottom w:val="nil"/>
            </w:tcBorders>
          </w:tcPr>
          <w:p w:rsidR="0048717C" w:rsidRPr="00C44FC7" w:rsidRDefault="0048717C" w:rsidP="0048717C">
            <w:pPr>
              <w:rPr>
                <w:rFonts w:cs="Arial"/>
                <w:sz w:val="20"/>
                <w:szCs w:val="20"/>
              </w:rPr>
            </w:pPr>
            <w:r>
              <w:rPr>
                <w:rFonts w:cs="Arial"/>
                <w:sz w:val="20"/>
                <w:szCs w:val="20"/>
              </w:rPr>
              <w:t>Bronchitis</w:t>
            </w:r>
          </w:p>
        </w:tc>
        <w:tc>
          <w:tcPr>
            <w:tcW w:w="2126" w:type="dxa"/>
            <w:tcBorders>
              <w:top w:val="nil"/>
              <w:bottom w:val="nil"/>
            </w:tcBorders>
          </w:tcPr>
          <w:p w:rsidR="0048717C" w:rsidRPr="00C44FC7" w:rsidRDefault="0048717C" w:rsidP="0048717C">
            <w:pPr>
              <w:jc w:val="center"/>
              <w:rPr>
                <w:sz w:val="20"/>
                <w:szCs w:val="20"/>
              </w:rPr>
            </w:pPr>
            <w:r>
              <w:rPr>
                <w:sz w:val="20"/>
                <w:szCs w:val="20"/>
              </w:rPr>
              <w:t>13</w:t>
            </w:r>
          </w:p>
        </w:tc>
        <w:tc>
          <w:tcPr>
            <w:tcW w:w="2127" w:type="dxa"/>
            <w:tcBorders>
              <w:top w:val="nil"/>
              <w:bottom w:val="nil"/>
            </w:tcBorders>
          </w:tcPr>
          <w:p w:rsidR="0048717C" w:rsidRPr="00C44FC7" w:rsidRDefault="0048717C" w:rsidP="0048717C">
            <w:pPr>
              <w:jc w:val="center"/>
              <w:rPr>
                <w:sz w:val="20"/>
                <w:szCs w:val="20"/>
              </w:rPr>
            </w:pPr>
            <w:r>
              <w:rPr>
                <w:sz w:val="20"/>
                <w:szCs w:val="20"/>
              </w:rPr>
              <w:t>9</w:t>
            </w:r>
          </w:p>
        </w:tc>
      </w:tr>
      <w:tr w:rsidR="0048717C" w:rsidRPr="00C44FC7" w:rsidTr="00442035">
        <w:tc>
          <w:tcPr>
            <w:tcW w:w="4786" w:type="dxa"/>
            <w:tcBorders>
              <w:top w:val="nil"/>
              <w:bottom w:val="nil"/>
            </w:tcBorders>
          </w:tcPr>
          <w:p w:rsidR="0048717C" w:rsidRPr="00C44FC7" w:rsidRDefault="0048717C" w:rsidP="0048717C">
            <w:pPr>
              <w:rPr>
                <w:rFonts w:cs="Arial"/>
                <w:sz w:val="20"/>
                <w:szCs w:val="20"/>
              </w:rPr>
            </w:pPr>
            <w:r w:rsidRPr="00C44FC7">
              <w:rPr>
                <w:rFonts w:cs="Arial"/>
                <w:sz w:val="20"/>
                <w:szCs w:val="20"/>
              </w:rPr>
              <w:t>Herpes Infection</w:t>
            </w:r>
          </w:p>
        </w:tc>
        <w:tc>
          <w:tcPr>
            <w:tcW w:w="2126" w:type="dxa"/>
            <w:tcBorders>
              <w:top w:val="nil"/>
              <w:bottom w:val="nil"/>
            </w:tcBorders>
          </w:tcPr>
          <w:p w:rsidR="0048717C" w:rsidRPr="00C44FC7" w:rsidRDefault="0048717C" w:rsidP="0048717C">
            <w:pPr>
              <w:jc w:val="center"/>
              <w:rPr>
                <w:sz w:val="20"/>
                <w:szCs w:val="20"/>
              </w:rPr>
            </w:pPr>
            <w:r>
              <w:rPr>
                <w:sz w:val="20"/>
                <w:szCs w:val="20"/>
              </w:rPr>
              <w:t>7</w:t>
            </w:r>
          </w:p>
        </w:tc>
        <w:tc>
          <w:tcPr>
            <w:tcW w:w="2127" w:type="dxa"/>
            <w:tcBorders>
              <w:top w:val="nil"/>
              <w:bottom w:val="nil"/>
            </w:tcBorders>
          </w:tcPr>
          <w:p w:rsidR="0048717C" w:rsidRPr="00C44FC7" w:rsidRDefault="0048717C" w:rsidP="0048717C">
            <w:pPr>
              <w:jc w:val="center"/>
              <w:rPr>
                <w:sz w:val="20"/>
                <w:szCs w:val="20"/>
              </w:rPr>
            </w:pPr>
            <w:r>
              <w:rPr>
                <w:sz w:val="20"/>
                <w:szCs w:val="20"/>
              </w:rPr>
              <w:t>6</w:t>
            </w:r>
          </w:p>
        </w:tc>
      </w:tr>
      <w:tr w:rsidR="0048717C" w:rsidRPr="00C44FC7" w:rsidTr="00442035">
        <w:tc>
          <w:tcPr>
            <w:tcW w:w="4786" w:type="dxa"/>
            <w:tcBorders>
              <w:top w:val="nil"/>
              <w:bottom w:val="nil"/>
            </w:tcBorders>
          </w:tcPr>
          <w:p w:rsidR="0048717C" w:rsidRPr="00C44FC7" w:rsidRDefault="0048717C" w:rsidP="0048717C">
            <w:pPr>
              <w:rPr>
                <w:rFonts w:cs="Arial"/>
                <w:sz w:val="20"/>
                <w:szCs w:val="20"/>
              </w:rPr>
            </w:pPr>
            <w:r w:rsidRPr="00C44FC7">
              <w:rPr>
                <w:rFonts w:cs="Arial"/>
                <w:sz w:val="20"/>
                <w:szCs w:val="20"/>
              </w:rPr>
              <w:t>Upper respiratory tract infection</w:t>
            </w:r>
          </w:p>
        </w:tc>
        <w:tc>
          <w:tcPr>
            <w:tcW w:w="2126" w:type="dxa"/>
            <w:tcBorders>
              <w:top w:val="nil"/>
              <w:bottom w:val="nil"/>
            </w:tcBorders>
          </w:tcPr>
          <w:p w:rsidR="0048717C" w:rsidRPr="00C44FC7" w:rsidRDefault="0048717C" w:rsidP="0048717C">
            <w:pPr>
              <w:jc w:val="center"/>
              <w:rPr>
                <w:sz w:val="20"/>
                <w:szCs w:val="20"/>
              </w:rPr>
            </w:pPr>
            <w:r>
              <w:rPr>
                <w:sz w:val="20"/>
                <w:szCs w:val="20"/>
              </w:rPr>
              <w:t>32</w:t>
            </w:r>
          </w:p>
        </w:tc>
        <w:tc>
          <w:tcPr>
            <w:tcW w:w="2127" w:type="dxa"/>
            <w:tcBorders>
              <w:top w:val="nil"/>
              <w:bottom w:val="nil"/>
            </w:tcBorders>
          </w:tcPr>
          <w:p w:rsidR="0048717C" w:rsidRPr="00C44FC7" w:rsidRDefault="0048717C" w:rsidP="0048717C">
            <w:pPr>
              <w:jc w:val="center"/>
              <w:rPr>
                <w:sz w:val="20"/>
                <w:szCs w:val="20"/>
              </w:rPr>
            </w:pPr>
            <w:r>
              <w:rPr>
                <w:sz w:val="20"/>
                <w:szCs w:val="20"/>
              </w:rPr>
              <w:t>30</w:t>
            </w:r>
          </w:p>
        </w:tc>
      </w:tr>
      <w:tr w:rsidR="0048717C" w:rsidRPr="00C44FC7" w:rsidTr="00442035">
        <w:tc>
          <w:tcPr>
            <w:tcW w:w="4786" w:type="dxa"/>
            <w:tcBorders>
              <w:top w:val="nil"/>
              <w:bottom w:val="nil"/>
            </w:tcBorders>
          </w:tcPr>
          <w:p w:rsidR="0048717C" w:rsidRPr="00C44FC7" w:rsidRDefault="0048717C" w:rsidP="0048717C">
            <w:pPr>
              <w:rPr>
                <w:rFonts w:cs="Arial"/>
                <w:sz w:val="20"/>
                <w:szCs w:val="20"/>
              </w:rPr>
            </w:pPr>
            <w:r>
              <w:rPr>
                <w:rFonts w:cs="Arial"/>
                <w:sz w:val="20"/>
                <w:szCs w:val="20"/>
              </w:rPr>
              <w:t>Bacterial infections  NEC</w:t>
            </w:r>
          </w:p>
        </w:tc>
        <w:tc>
          <w:tcPr>
            <w:tcW w:w="2126" w:type="dxa"/>
            <w:tcBorders>
              <w:top w:val="nil"/>
              <w:bottom w:val="nil"/>
            </w:tcBorders>
          </w:tcPr>
          <w:p w:rsidR="0048717C" w:rsidRPr="00C44FC7" w:rsidRDefault="0048717C" w:rsidP="0048717C">
            <w:pPr>
              <w:jc w:val="center"/>
              <w:rPr>
                <w:sz w:val="20"/>
                <w:szCs w:val="20"/>
              </w:rPr>
            </w:pPr>
            <w:r>
              <w:rPr>
                <w:sz w:val="20"/>
                <w:szCs w:val="20"/>
              </w:rPr>
              <w:t>6</w:t>
            </w:r>
          </w:p>
        </w:tc>
        <w:tc>
          <w:tcPr>
            <w:tcW w:w="2127" w:type="dxa"/>
            <w:tcBorders>
              <w:top w:val="nil"/>
              <w:bottom w:val="nil"/>
            </w:tcBorders>
          </w:tcPr>
          <w:p w:rsidR="0048717C" w:rsidRPr="00C44FC7" w:rsidRDefault="0048717C" w:rsidP="0048717C">
            <w:pPr>
              <w:jc w:val="center"/>
              <w:rPr>
                <w:sz w:val="20"/>
                <w:szCs w:val="20"/>
              </w:rPr>
            </w:pPr>
            <w:r>
              <w:rPr>
                <w:sz w:val="20"/>
                <w:szCs w:val="20"/>
              </w:rPr>
              <w:t>3</w:t>
            </w:r>
          </w:p>
        </w:tc>
      </w:tr>
      <w:tr w:rsidR="0048717C" w:rsidRPr="00C44FC7" w:rsidTr="00442035">
        <w:tc>
          <w:tcPr>
            <w:tcW w:w="4786" w:type="dxa"/>
            <w:tcBorders>
              <w:top w:val="nil"/>
              <w:bottom w:val="nil"/>
            </w:tcBorders>
          </w:tcPr>
          <w:p w:rsidR="0048717C" w:rsidRPr="00C44FC7" w:rsidRDefault="0048717C" w:rsidP="0048717C">
            <w:pPr>
              <w:rPr>
                <w:rFonts w:cs="Arial"/>
                <w:sz w:val="20"/>
                <w:szCs w:val="20"/>
              </w:rPr>
            </w:pPr>
            <w:r>
              <w:rPr>
                <w:rFonts w:cs="Arial"/>
                <w:sz w:val="20"/>
                <w:szCs w:val="20"/>
              </w:rPr>
              <w:t>Herpes zoster/</w:t>
            </w:r>
            <w:proofErr w:type="spellStart"/>
            <w:r>
              <w:rPr>
                <w:rFonts w:cs="Arial"/>
                <w:sz w:val="20"/>
                <w:szCs w:val="20"/>
              </w:rPr>
              <w:t>varicella</w:t>
            </w:r>
            <w:proofErr w:type="spellEnd"/>
          </w:p>
        </w:tc>
        <w:tc>
          <w:tcPr>
            <w:tcW w:w="2126" w:type="dxa"/>
            <w:tcBorders>
              <w:top w:val="nil"/>
              <w:bottom w:val="nil"/>
            </w:tcBorders>
          </w:tcPr>
          <w:p w:rsidR="0048717C" w:rsidRPr="00C44FC7" w:rsidRDefault="0048717C" w:rsidP="0048717C">
            <w:pPr>
              <w:jc w:val="center"/>
              <w:rPr>
                <w:sz w:val="20"/>
                <w:szCs w:val="20"/>
              </w:rPr>
            </w:pPr>
            <w:r>
              <w:rPr>
                <w:sz w:val="20"/>
                <w:szCs w:val="20"/>
              </w:rPr>
              <w:t>5</w:t>
            </w:r>
          </w:p>
        </w:tc>
        <w:tc>
          <w:tcPr>
            <w:tcW w:w="2127" w:type="dxa"/>
            <w:tcBorders>
              <w:top w:val="nil"/>
              <w:bottom w:val="nil"/>
            </w:tcBorders>
          </w:tcPr>
          <w:p w:rsidR="0048717C" w:rsidRPr="00C44FC7" w:rsidRDefault="0048717C" w:rsidP="0048717C">
            <w:pPr>
              <w:jc w:val="center"/>
              <w:rPr>
                <w:sz w:val="20"/>
                <w:szCs w:val="20"/>
              </w:rPr>
            </w:pPr>
            <w:r>
              <w:rPr>
                <w:sz w:val="20"/>
                <w:szCs w:val="20"/>
              </w:rPr>
              <w:t>4</w:t>
            </w:r>
          </w:p>
        </w:tc>
      </w:tr>
      <w:tr w:rsidR="0048717C" w:rsidRPr="00C44FC7" w:rsidTr="00442035">
        <w:tc>
          <w:tcPr>
            <w:tcW w:w="4786" w:type="dxa"/>
            <w:tcBorders>
              <w:top w:val="nil"/>
              <w:bottom w:val="single" w:sz="4" w:space="0" w:color="auto"/>
            </w:tcBorders>
          </w:tcPr>
          <w:p w:rsidR="0048717C" w:rsidRPr="00C44FC7" w:rsidRDefault="0048717C" w:rsidP="0048717C">
            <w:pPr>
              <w:rPr>
                <w:rFonts w:cs="Arial"/>
                <w:sz w:val="20"/>
                <w:szCs w:val="20"/>
              </w:rPr>
            </w:pPr>
            <w:r>
              <w:rPr>
                <w:rFonts w:cs="Arial"/>
                <w:sz w:val="20"/>
                <w:szCs w:val="20"/>
              </w:rPr>
              <w:t>Lower respiratory tract and lung infections</w:t>
            </w:r>
          </w:p>
        </w:tc>
        <w:tc>
          <w:tcPr>
            <w:tcW w:w="2126" w:type="dxa"/>
            <w:tcBorders>
              <w:top w:val="nil"/>
              <w:bottom w:val="single" w:sz="4" w:space="0" w:color="auto"/>
            </w:tcBorders>
          </w:tcPr>
          <w:p w:rsidR="0048717C" w:rsidRPr="00C44FC7" w:rsidRDefault="0048717C" w:rsidP="0048717C">
            <w:pPr>
              <w:jc w:val="center"/>
              <w:rPr>
                <w:sz w:val="20"/>
                <w:szCs w:val="20"/>
              </w:rPr>
            </w:pPr>
            <w:r>
              <w:rPr>
                <w:sz w:val="20"/>
                <w:szCs w:val="20"/>
              </w:rPr>
              <w:t>3</w:t>
            </w:r>
          </w:p>
        </w:tc>
        <w:tc>
          <w:tcPr>
            <w:tcW w:w="2127" w:type="dxa"/>
            <w:tcBorders>
              <w:top w:val="nil"/>
              <w:bottom w:val="single" w:sz="4" w:space="0" w:color="auto"/>
            </w:tcBorders>
          </w:tcPr>
          <w:p w:rsidR="0048717C" w:rsidRPr="00C44FC7" w:rsidRDefault="0048717C" w:rsidP="0048717C">
            <w:pPr>
              <w:jc w:val="center"/>
              <w:rPr>
                <w:sz w:val="20"/>
                <w:szCs w:val="20"/>
              </w:rPr>
            </w:pPr>
            <w:r>
              <w:rPr>
                <w:sz w:val="20"/>
                <w:szCs w:val="20"/>
              </w:rPr>
              <w:t>2</w:t>
            </w:r>
          </w:p>
        </w:tc>
      </w:tr>
      <w:tr w:rsidR="0048717C" w:rsidRPr="00C44FC7" w:rsidTr="00442035">
        <w:tc>
          <w:tcPr>
            <w:tcW w:w="4786" w:type="dxa"/>
            <w:tcBorders>
              <w:top w:val="single" w:sz="4" w:space="0" w:color="auto"/>
              <w:bottom w:val="nil"/>
            </w:tcBorders>
          </w:tcPr>
          <w:p w:rsidR="0048717C" w:rsidRPr="00C44FC7" w:rsidRDefault="0048717C" w:rsidP="0048717C">
            <w:pPr>
              <w:autoSpaceDE w:val="0"/>
              <w:autoSpaceDN w:val="0"/>
              <w:adjustRightInd w:val="0"/>
              <w:rPr>
                <w:rFonts w:cs="Arial"/>
                <w:sz w:val="20"/>
                <w:szCs w:val="20"/>
              </w:rPr>
            </w:pPr>
            <w:proofErr w:type="spellStart"/>
            <w:r>
              <w:rPr>
                <w:rFonts w:cs="Arial"/>
                <w:sz w:val="20"/>
                <w:szCs w:val="20"/>
              </w:rPr>
              <w:t>Neisseria</w:t>
            </w:r>
            <w:proofErr w:type="spellEnd"/>
            <w:r>
              <w:rPr>
                <w:rFonts w:cs="Arial"/>
                <w:sz w:val="20"/>
                <w:szCs w:val="20"/>
              </w:rPr>
              <w:t xml:space="preserve"> infections</w:t>
            </w:r>
          </w:p>
        </w:tc>
        <w:tc>
          <w:tcPr>
            <w:tcW w:w="2126" w:type="dxa"/>
            <w:tcBorders>
              <w:top w:val="single" w:sz="4" w:space="0" w:color="auto"/>
              <w:bottom w:val="nil"/>
            </w:tcBorders>
          </w:tcPr>
          <w:p w:rsidR="0048717C" w:rsidRPr="00C44FC7" w:rsidRDefault="0048717C" w:rsidP="0048717C">
            <w:pPr>
              <w:jc w:val="center"/>
              <w:rPr>
                <w:sz w:val="20"/>
                <w:szCs w:val="20"/>
              </w:rPr>
            </w:pPr>
            <w:r>
              <w:rPr>
                <w:sz w:val="20"/>
                <w:szCs w:val="20"/>
              </w:rPr>
              <w:t>3</w:t>
            </w:r>
          </w:p>
        </w:tc>
        <w:tc>
          <w:tcPr>
            <w:tcW w:w="2127" w:type="dxa"/>
            <w:tcBorders>
              <w:top w:val="single" w:sz="4" w:space="0" w:color="auto"/>
              <w:bottom w:val="nil"/>
            </w:tcBorders>
          </w:tcPr>
          <w:p w:rsidR="0048717C" w:rsidRPr="00C44FC7" w:rsidRDefault="0048717C" w:rsidP="0048717C">
            <w:pPr>
              <w:jc w:val="center"/>
              <w:rPr>
                <w:sz w:val="20"/>
                <w:szCs w:val="20"/>
              </w:rPr>
            </w:pPr>
            <w:r>
              <w:rPr>
                <w:sz w:val="20"/>
                <w:szCs w:val="20"/>
              </w:rPr>
              <w:t>0</w:t>
            </w:r>
          </w:p>
        </w:tc>
      </w:tr>
      <w:tr w:rsidR="0048717C" w:rsidRPr="00C44FC7" w:rsidTr="00442035">
        <w:tc>
          <w:tcPr>
            <w:tcW w:w="4786" w:type="dxa"/>
            <w:tcBorders>
              <w:top w:val="nil"/>
              <w:bottom w:val="nil"/>
            </w:tcBorders>
          </w:tcPr>
          <w:p w:rsidR="0048717C" w:rsidRPr="00C44FC7" w:rsidRDefault="0048717C" w:rsidP="0048717C">
            <w:pPr>
              <w:rPr>
                <w:rFonts w:cs="Arial"/>
                <w:sz w:val="20"/>
                <w:szCs w:val="20"/>
              </w:rPr>
            </w:pPr>
            <w:proofErr w:type="spellStart"/>
            <w:r>
              <w:rPr>
                <w:rFonts w:cs="Arial"/>
                <w:sz w:val="20"/>
                <w:szCs w:val="20"/>
              </w:rPr>
              <w:t>Tinea</w:t>
            </w:r>
            <w:proofErr w:type="spellEnd"/>
            <w:r>
              <w:rPr>
                <w:rFonts w:cs="Arial"/>
                <w:sz w:val="20"/>
                <w:szCs w:val="20"/>
              </w:rPr>
              <w:t xml:space="preserve"> infections</w:t>
            </w:r>
          </w:p>
        </w:tc>
        <w:tc>
          <w:tcPr>
            <w:tcW w:w="2126" w:type="dxa"/>
            <w:tcBorders>
              <w:top w:val="nil"/>
              <w:bottom w:val="nil"/>
            </w:tcBorders>
          </w:tcPr>
          <w:p w:rsidR="0048717C" w:rsidRPr="00C44FC7" w:rsidRDefault="0048717C" w:rsidP="0048717C">
            <w:pPr>
              <w:jc w:val="center"/>
              <w:rPr>
                <w:sz w:val="20"/>
                <w:szCs w:val="20"/>
              </w:rPr>
            </w:pPr>
            <w:r>
              <w:rPr>
                <w:sz w:val="20"/>
                <w:szCs w:val="20"/>
              </w:rPr>
              <w:t>4</w:t>
            </w:r>
          </w:p>
        </w:tc>
        <w:tc>
          <w:tcPr>
            <w:tcW w:w="2127" w:type="dxa"/>
            <w:tcBorders>
              <w:top w:val="nil"/>
              <w:bottom w:val="nil"/>
            </w:tcBorders>
          </w:tcPr>
          <w:p w:rsidR="0048717C" w:rsidRPr="00C44FC7" w:rsidRDefault="0048717C" w:rsidP="0048717C">
            <w:pPr>
              <w:jc w:val="center"/>
              <w:rPr>
                <w:sz w:val="20"/>
                <w:szCs w:val="20"/>
              </w:rPr>
            </w:pPr>
            <w:r>
              <w:rPr>
                <w:sz w:val="20"/>
                <w:szCs w:val="20"/>
              </w:rPr>
              <w:t>3</w:t>
            </w:r>
          </w:p>
        </w:tc>
      </w:tr>
      <w:tr w:rsidR="0048717C" w:rsidRPr="00C44FC7" w:rsidTr="00442035">
        <w:tc>
          <w:tcPr>
            <w:tcW w:w="4786" w:type="dxa"/>
            <w:tcBorders>
              <w:top w:val="nil"/>
              <w:bottom w:val="single" w:sz="4" w:space="0" w:color="auto"/>
            </w:tcBorders>
          </w:tcPr>
          <w:p w:rsidR="0048717C" w:rsidRPr="00C44FC7" w:rsidRDefault="0048717C" w:rsidP="0048717C">
            <w:pPr>
              <w:autoSpaceDE w:val="0"/>
              <w:autoSpaceDN w:val="0"/>
              <w:adjustRightInd w:val="0"/>
              <w:rPr>
                <w:rFonts w:cs="Arial"/>
                <w:sz w:val="20"/>
                <w:szCs w:val="20"/>
              </w:rPr>
            </w:pPr>
            <w:r>
              <w:rPr>
                <w:rFonts w:cs="Arial"/>
                <w:sz w:val="20"/>
                <w:szCs w:val="20"/>
              </w:rPr>
              <w:t>Viral infections NEC</w:t>
            </w:r>
          </w:p>
        </w:tc>
        <w:tc>
          <w:tcPr>
            <w:tcW w:w="2126" w:type="dxa"/>
            <w:tcBorders>
              <w:top w:val="nil"/>
              <w:bottom w:val="single" w:sz="4" w:space="0" w:color="auto"/>
            </w:tcBorders>
          </w:tcPr>
          <w:p w:rsidR="0048717C" w:rsidRPr="00C44FC7" w:rsidRDefault="0048717C" w:rsidP="0048717C">
            <w:pPr>
              <w:jc w:val="center"/>
              <w:rPr>
                <w:sz w:val="20"/>
                <w:szCs w:val="20"/>
              </w:rPr>
            </w:pPr>
            <w:r>
              <w:rPr>
                <w:sz w:val="20"/>
                <w:szCs w:val="20"/>
              </w:rPr>
              <w:t>3</w:t>
            </w:r>
          </w:p>
        </w:tc>
        <w:tc>
          <w:tcPr>
            <w:tcW w:w="2127" w:type="dxa"/>
            <w:tcBorders>
              <w:top w:val="nil"/>
              <w:bottom w:val="single" w:sz="4" w:space="0" w:color="auto"/>
            </w:tcBorders>
          </w:tcPr>
          <w:p w:rsidR="0048717C" w:rsidRPr="00C44FC7" w:rsidRDefault="0048717C" w:rsidP="0048717C">
            <w:pPr>
              <w:jc w:val="center"/>
              <w:rPr>
                <w:sz w:val="20"/>
                <w:szCs w:val="20"/>
              </w:rPr>
            </w:pPr>
            <w:r>
              <w:rPr>
                <w:sz w:val="20"/>
                <w:szCs w:val="20"/>
              </w:rPr>
              <w:t>2</w:t>
            </w:r>
          </w:p>
        </w:tc>
      </w:tr>
      <w:tr w:rsidR="0048717C" w:rsidRPr="00C44FC7" w:rsidTr="00442035">
        <w:tc>
          <w:tcPr>
            <w:tcW w:w="4786" w:type="dxa"/>
            <w:tcBorders>
              <w:bottom w:val="single" w:sz="4" w:space="0" w:color="auto"/>
            </w:tcBorders>
          </w:tcPr>
          <w:p w:rsidR="0048717C" w:rsidRPr="00C44FC7" w:rsidRDefault="0048717C" w:rsidP="0048717C">
            <w:pPr>
              <w:rPr>
                <w:rFonts w:cs="Arial"/>
                <w:sz w:val="20"/>
                <w:szCs w:val="20"/>
              </w:rPr>
            </w:pPr>
          </w:p>
        </w:tc>
        <w:tc>
          <w:tcPr>
            <w:tcW w:w="2126" w:type="dxa"/>
            <w:tcBorders>
              <w:bottom w:val="single" w:sz="4" w:space="0" w:color="auto"/>
            </w:tcBorders>
          </w:tcPr>
          <w:p w:rsidR="0048717C" w:rsidRPr="00C44FC7" w:rsidRDefault="0048717C" w:rsidP="0048717C">
            <w:pPr>
              <w:jc w:val="center"/>
              <w:rPr>
                <w:sz w:val="20"/>
                <w:szCs w:val="20"/>
              </w:rPr>
            </w:pPr>
          </w:p>
        </w:tc>
        <w:tc>
          <w:tcPr>
            <w:tcW w:w="2127" w:type="dxa"/>
            <w:tcBorders>
              <w:bottom w:val="single" w:sz="4" w:space="0" w:color="auto"/>
            </w:tcBorders>
          </w:tcPr>
          <w:p w:rsidR="0048717C" w:rsidRPr="00C44FC7" w:rsidRDefault="0048717C" w:rsidP="0048717C">
            <w:pPr>
              <w:jc w:val="center"/>
              <w:rPr>
                <w:sz w:val="20"/>
                <w:szCs w:val="20"/>
              </w:rPr>
            </w:pPr>
          </w:p>
        </w:tc>
      </w:tr>
      <w:tr w:rsidR="0048717C" w:rsidRPr="00C44FC7" w:rsidTr="00442035">
        <w:tc>
          <w:tcPr>
            <w:tcW w:w="4786"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MUSCULOSKELETAL AND CONNECTIVE TISSUE DISORDERS</w:t>
            </w:r>
          </w:p>
        </w:tc>
        <w:tc>
          <w:tcPr>
            <w:tcW w:w="2126" w:type="dxa"/>
            <w:tcBorders>
              <w:bottom w:val="nil"/>
            </w:tcBorders>
          </w:tcPr>
          <w:p w:rsidR="0048717C" w:rsidRPr="00C44FC7" w:rsidRDefault="0048717C" w:rsidP="0048717C">
            <w:pPr>
              <w:jc w:val="center"/>
              <w:rPr>
                <w:color w:val="000000"/>
                <w:sz w:val="20"/>
                <w:szCs w:val="20"/>
              </w:rPr>
            </w:pPr>
          </w:p>
        </w:tc>
        <w:tc>
          <w:tcPr>
            <w:tcW w:w="2127" w:type="dxa"/>
            <w:tcBorders>
              <w:bottom w:val="nil"/>
            </w:tcBorders>
          </w:tcPr>
          <w:p w:rsidR="0048717C" w:rsidRPr="00C44FC7" w:rsidRDefault="0048717C" w:rsidP="0048717C">
            <w:pPr>
              <w:jc w:val="center"/>
              <w:rPr>
                <w:color w:val="000000"/>
                <w:sz w:val="20"/>
                <w:szCs w:val="20"/>
              </w:rPr>
            </w:pPr>
          </w:p>
        </w:tc>
      </w:tr>
      <w:tr w:rsidR="0048717C" w:rsidRPr="00C44FC7" w:rsidTr="00442035">
        <w:tc>
          <w:tcPr>
            <w:tcW w:w="4786" w:type="dxa"/>
            <w:tcBorders>
              <w:top w:val="nil"/>
            </w:tcBorders>
          </w:tcPr>
          <w:p w:rsidR="0048717C" w:rsidRPr="00C44FC7" w:rsidRDefault="0048717C" w:rsidP="0048717C">
            <w:pPr>
              <w:rPr>
                <w:rFonts w:cs="Arial"/>
                <w:color w:val="000000"/>
                <w:sz w:val="20"/>
                <w:szCs w:val="20"/>
              </w:rPr>
            </w:pPr>
            <w:r w:rsidRPr="00C44FC7">
              <w:rPr>
                <w:rFonts w:cs="Arial"/>
                <w:color w:val="000000"/>
                <w:sz w:val="20"/>
                <w:szCs w:val="20"/>
              </w:rPr>
              <w:t>Joint related signs and symptoms</w:t>
            </w:r>
          </w:p>
        </w:tc>
        <w:tc>
          <w:tcPr>
            <w:tcW w:w="2126" w:type="dxa"/>
            <w:tcBorders>
              <w:top w:val="nil"/>
            </w:tcBorders>
          </w:tcPr>
          <w:p w:rsidR="0048717C" w:rsidRPr="00C44FC7" w:rsidRDefault="0048717C" w:rsidP="0048717C">
            <w:pPr>
              <w:jc w:val="center"/>
              <w:rPr>
                <w:color w:val="000000"/>
                <w:sz w:val="20"/>
                <w:szCs w:val="20"/>
              </w:rPr>
            </w:pPr>
            <w:r>
              <w:rPr>
                <w:color w:val="000000"/>
                <w:sz w:val="20"/>
                <w:szCs w:val="20"/>
              </w:rPr>
              <w:t>6</w:t>
            </w:r>
          </w:p>
        </w:tc>
        <w:tc>
          <w:tcPr>
            <w:tcW w:w="2127" w:type="dxa"/>
            <w:tcBorders>
              <w:top w:val="nil"/>
            </w:tcBorders>
          </w:tcPr>
          <w:p w:rsidR="0048717C" w:rsidRPr="00C44FC7" w:rsidRDefault="0048717C" w:rsidP="0048717C">
            <w:pPr>
              <w:jc w:val="center"/>
              <w:rPr>
                <w:color w:val="000000"/>
                <w:sz w:val="20"/>
                <w:szCs w:val="20"/>
              </w:rPr>
            </w:pPr>
            <w:r>
              <w:rPr>
                <w:color w:val="000000"/>
                <w:sz w:val="20"/>
                <w:szCs w:val="20"/>
              </w:rPr>
              <w:t>5</w:t>
            </w:r>
          </w:p>
        </w:tc>
      </w:tr>
      <w:tr w:rsidR="0048717C" w:rsidRPr="00C44FC7" w:rsidTr="00442035">
        <w:tc>
          <w:tcPr>
            <w:tcW w:w="4786" w:type="dxa"/>
            <w:tcBorders>
              <w:bottom w:val="single" w:sz="4" w:space="0" w:color="auto"/>
            </w:tcBorders>
          </w:tcPr>
          <w:p w:rsidR="0048717C" w:rsidRPr="00C44FC7" w:rsidRDefault="0048717C" w:rsidP="0048717C">
            <w:pPr>
              <w:rPr>
                <w:rFonts w:cs="Arial"/>
                <w:color w:val="000000"/>
                <w:sz w:val="20"/>
                <w:szCs w:val="20"/>
              </w:rPr>
            </w:pPr>
          </w:p>
        </w:tc>
        <w:tc>
          <w:tcPr>
            <w:tcW w:w="2126" w:type="dxa"/>
            <w:tcBorders>
              <w:bottom w:val="single" w:sz="4" w:space="0" w:color="auto"/>
            </w:tcBorders>
          </w:tcPr>
          <w:p w:rsidR="0048717C" w:rsidRPr="00C44FC7" w:rsidRDefault="0048717C" w:rsidP="0048717C">
            <w:pPr>
              <w:jc w:val="center"/>
              <w:rPr>
                <w:color w:val="000000"/>
                <w:sz w:val="20"/>
                <w:szCs w:val="20"/>
              </w:rPr>
            </w:pPr>
          </w:p>
        </w:tc>
        <w:tc>
          <w:tcPr>
            <w:tcW w:w="2127"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42035">
        <w:tc>
          <w:tcPr>
            <w:tcW w:w="4786"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NERVOUS SYSTEM DISORDERS</w:t>
            </w:r>
          </w:p>
        </w:tc>
        <w:tc>
          <w:tcPr>
            <w:tcW w:w="2126" w:type="dxa"/>
            <w:tcBorders>
              <w:bottom w:val="nil"/>
            </w:tcBorders>
          </w:tcPr>
          <w:p w:rsidR="0048717C" w:rsidRPr="00C44FC7" w:rsidRDefault="0048717C" w:rsidP="0048717C">
            <w:pPr>
              <w:jc w:val="center"/>
              <w:rPr>
                <w:color w:val="000000"/>
                <w:sz w:val="20"/>
                <w:szCs w:val="20"/>
              </w:rPr>
            </w:pPr>
          </w:p>
        </w:tc>
        <w:tc>
          <w:tcPr>
            <w:tcW w:w="2127" w:type="dxa"/>
            <w:tcBorders>
              <w:bottom w:val="nil"/>
            </w:tcBorders>
          </w:tcPr>
          <w:p w:rsidR="0048717C" w:rsidRPr="00C44FC7" w:rsidRDefault="0048717C" w:rsidP="0048717C">
            <w:pPr>
              <w:jc w:val="center"/>
              <w:rPr>
                <w:color w:val="000000"/>
                <w:sz w:val="20"/>
                <w:szCs w:val="20"/>
              </w:rPr>
            </w:pPr>
          </w:p>
        </w:tc>
      </w:tr>
      <w:tr w:rsidR="0048717C" w:rsidRPr="00C44FC7" w:rsidTr="00442035">
        <w:tc>
          <w:tcPr>
            <w:tcW w:w="4786" w:type="dxa"/>
            <w:tcBorders>
              <w:top w:val="nil"/>
              <w:bottom w:val="nil"/>
            </w:tcBorders>
          </w:tcPr>
          <w:p w:rsidR="0048717C" w:rsidRPr="00C44FC7" w:rsidRDefault="0048717C" w:rsidP="0048717C">
            <w:pPr>
              <w:rPr>
                <w:rFonts w:cs="Arial"/>
                <w:color w:val="000000"/>
                <w:sz w:val="20"/>
                <w:szCs w:val="20"/>
              </w:rPr>
            </w:pPr>
            <w:r>
              <w:rPr>
                <w:rFonts w:cs="Arial"/>
                <w:color w:val="000000"/>
                <w:sz w:val="20"/>
                <w:szCs w:val="20"/>
              </w:rPr>
              <w:t>Memory loss (excluding dementia)</w:t>
            </w:r>
          </w:p>
        </w:tc>
        <w:tc>
          <w:tcPr>
            <w:tcW w:w="2126" w:type="dxa"/>
            <w:tcBorders>
              <w:top w:val="nil"/>
              <w:bottom w:val="nil"/>
            </w:tcBorders>
          </w:tcPr>
          <w:p w:rsidR="0048717C" w:rsidRPr="00C44FC7" w:rsidRDefault="0048717C" w:rsidP="0048717C">
            <w:pPr>
              <w:jc w:val="center"/>
              <w:rPr>
                <w:color w:val="000000"/>
                <w:sz w:val="20"/>
                <w:szCs w:val="20"/>
              </w:rPr>
            </w:pPr>
            <w:r>
              <w:rPr>
                <w:color w:val="000000"/>
                <w:sz w:val="20"/>
                <w:szCs w:val="20"/>
              </w:rPr>
              <w:t>3</w:t>
            </w:r>
          </w:p>
        </w:tc>
        <w:tc>
          <w:tcPr>
            <w:tcW w:w="2127" w:type="dxa"/>
            <w:tcBorders>
              <w:top w:val="nil"/>
              <w:bottom w:val="nil"/>
            </w:tcBorders>
          </w:tcPr>
          <w:p w:rsidR="0048717C" w:rsidRPr="00C44FC7" w:rsidRDefault="0048717C" w:rsidP="0048717C">
            <w:pPr>
              <w:jc w:val="center"/>
              <w:rPr>
                <w:color w:val="000000"/>
                <w:sz w:val="20"/>
                <w:szCs w:val="20"/>
              </w:rPr>
            </w:pPr>
            <w:r>
              <w:rPr>
                <w:color w:val="000000"/>
                <w:sz w:val="20"/>
                <w:szCs w:val="20"/>
              </w:rPr>
              <w:t>1</w:t>
            </w:r>
          </w:p>
        </w:tc>
      </w:tr>
      <w:tr w:rsidR="0048717C" w:rsidRPr="00C44FC7" w:rsidTr="00442035">
        <w:tc>
          <w:tcPr>
            <w:tcW w:w="4786" w:type="dxa"/>
            <w:tcBorders>
              <w:top w:val="nil"/>
            </w:tcBorders>
          </w:tcPr>
          <w:p w:rsidR="0048717C" w:rsidRPr="00C44FC7" w:rsidRDefault="0048717C" w:rsidP="0048717C">
            <w:pPr>
              <w:rPr>
                <w:rFonts w:cs="Arial"/>
                <w:color w:val="000000"/>
                <w:sz w:val="20"/>
                <w:szCs w:val="20"/>
              </w:rPr>
            </w:pPr>
            <w:proofErr w:type="spellStart"/>
            <w:r w:rsidRPr="00C44FC7">
              <w:rPr>
                <w:rFonts w:cs="Arial"/>
                <w:color w:val="000000"/>
                <w:sz w:val="20"/>
                <w:szCs w:val="20"/>
              </w:rPr>
              <w:t>Paresthesias</w:t>
            </w:r>
            <w:proofErr w:type="spellEnd"/>
            <w:r w:rsidRPr="00C44FC7">
              <w:rPr>
                <w:rFonts w:cs="Arial"/>
                <w:color w:val="000000"/>
                <w:sz w:val="20"/>
                <w:szCs w:val="20"/>
              </w:rPr>
              <w:t xml:space="preserve"> and </w:t>
            </w:r>
            <w:proofErr w:type="spellStart"/>
            <w:r w:rsidRPr="00C44FC7">
              <w:rPr>
                <w:rFonts w:cs="Arial"/>
                <w:color w:val="000000"/>
                <w:sz w:val="20"/>
                <w:szCs w:val="20"/>
              </w:rPr>
              <w:t>dysesthesias</w:t>
            </w:r>
            <w:proofErr w:type="spellEnd"/>
          </w:p>
        </w:tc>
        <w:tc>
          <w:tcPr>
            <w:tcW w:w="2126" w:type="dxa"/>
            <w:tcBorders>
              <w:top w:val="nil"/>
            </w:tcBorders>
          </w:tcPr>
          <w:p w:rsidR="0048717C" w:rsidRPr="00C44FC7" w:rsidRDefault="0048717C" w:rsidP="0048717C">
            <w:pPr>
              <w:jc w:val="center"/>
              <w:rPr>
                <w:color w:val="000000"/>
                <w:sz w:val="20"/>
                <w:szCs w:val="20"/>
              </w:rPr>
            </w:pPr>
            <w:r>
              <w:rPr>
                <w:color w:val="000000"/>
                <w:sz w:val="20"/>
                <w:szCs w:val="20"/>
              </w:rPr>
              <w:t>4</w:t>
            </w:r>
          </w:p>
        </w:tc>
        <w:tc>
          <w:tcPr>
            <w:tcW w:w="2127" w:type="dxa"/>
            <w:tcBorders>
              <w:top w:val="nil"/>
            </w:tcBorders>
          </w:tcPr>
          <w:p w:rsidR="0048717C" w:rsidRPr="00C44FC7" w:rsidRDefault="0048717C" w:rsidP="0048717C">
            <w:pPr>
              <w:jc w:val="center"/>
              <w:rPr>
                <w:color w:val="000000"/>
                <w:sz w:val="20"/>
                <w:szCs w:val="20"/>
              </w:rPr>
            </w:pPr>
            <w:r w:rsidRPr="00C44FC7">
              <w:rPr>
                <w:color w:val="000000"/>
                <w:sz w:val="20"/>
                <w:szCs w:val="20"/>
              </w:rPr>
              <w:t>3</w:t>
            </w:r>
          </w:p>
        </w:tc>
      </w:tr>
      <w:tr w:rsidR="0048717C" w:rsidRPr="00C44FC7" w:rsidTr="00442035">
        <w:tc>
          <w:tcPr>
            <w:tcW w:w="4786" w:type="dxa"/>
            <w:tcBorders>
              <w:bottom w:val="single" w:sz="4" w:space="0" w:color="auto"/>
            </w:tcBorders>
          </w:tcPr>
          <w:p w:rsidR="0048717C" w:rsidRPr="00C44FC7" w:rsidRDefault="0048717C" w:rsidP="0048717C">
            <w:pPr>
              <w:rPr>
                <w:rFonts w:cs="Arial"/>
                <w:color w:val="000000"/>
                <w:sz w:val="20"/>
                <w:szCs w:val="20"/>
              </w:rPr>
            </w:pPr>
          </w:p>
        </w:tc>
        <w:tc>
          <w:tcPr>
            <w:tcW w:w="2126" w:type="dxa"/>
            <w:tcBorders>
              <w:bottom w:val="single" w:sz="4" w:space="0" w:color="auto"/>
            </w:tcBorders>
          </w:tcPr>
          <w:p w:rsidR="0048717C" w:rsidRPr="00C44FC7" w:rsidRDefault="0048717C" w:rsidP="0048717C">
            <w:pPr>
              <w:jc w:val="center"/>
              <w:rPr>
                <w:color w:val="000000"/>
                <w:sz w:val="20"/>
                <w:szCs w:val="20"/>
              </w:rPr>
            </w:pPr>
          </w:p>
        </w:tc>
        <w:tc>
          <w:tcPr>
            <w:tcW w:w="2127"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42035">
        <w:tc>
          <w:tcPr>
            <w:tcW w:w="4786"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RENAL AND URINARY DISORDERS</w:t>
            </w:r>
          </w:p>
        </w:tc>
        <w:tc>
          <w:tcPr>
            <w:tcW w:w="2126" w:type="dxa"/>
            <w:tcBorders>
              <w:bottom w:val="nil"/>
            </w:tcBorders>
          </w:tcPr>
          <w:p w:rsidR="0048717C" w:rsidRPr="00C44FC7" w:rsidRDefault="0048717C" w:rsidP="0048717C">
            <w:pPr>
              <w:jc w:val="center"/>
              <w:rPr>
                <w:color w:val="000000"/>
                <w:sz w:val="20"/>
                <w:szCs w:val="20"/>
              </w:rPr>
            </w:pPr>
          </w:p>
        </w:tc>
        <w:tc>
          <w:tcPr>
            <w:tcW w:w="2127" w:type="dxa"/>
            <w:tcBorders>
              <w:bottom w:val="nil"/>
            </w:tcBorders>
          </w:tcPr>
          <w:p w:rsidR="0048717C" w:rsidRPr="00C44FC7" w:rsidRDefault="0048717C" w:rsidP="0048717C">
            <w:pPr>
              <w:jc w:val="center"/>
              <w:rPr>
                <w:color w:val="000000"/>
                <w:sz w:val="20"/>
                <w:szCs w:val="20"/>
              </w:rPr>
            </w:pPr>
          </w:p>
        </w:tc>
      </w:tr>
      <w:tr w:rsidR="0048717C" w:rsidRPr="00C44FC7" w:rsidTr="00442035">
        <w:tc>
          <w:tcPr>
            <w:tcW w:w="4786" w:type="dxa"/>
            <w:tcBorders>
              <w:top w:val="nil"/>
            </w:tcBorders>
          </w:tcPr>
          <w:p w:rsidR="0048717C" w:rsidRPr="00C44FC7" w:rsidRDefault="0048717C" w:rsidP="0048717C">
            <w:pPr>
              <w:rPr>
                <w:rFonts w:cs="Arial"/>
                <w:color w:val="000000"/>
                <w:sz w:val="20"/>
                <w:szCs w:val="20"/>
              </w:rPr>
            </w:pPr>
            <w:r w:rsidRPr="00C44FC7">
              <w:rPr>
                <w:rFonts w:cs="Arial"/>
                <w:color w:val="000000"/>
                <w:sz w:val="20"/>
                <w:szCs w:val="20"/>
              </w:rPr>
              <w:t>Bladder and urethral symptoms</w:t>
            </w:r>
          </w:p>
        </w:tc>
        <w:tc>
          <w:tcPr>
            <w:tcW w:w="2126" w:type="dxa"/>
            <w:tcBorders>
              <w:top w:val="nil"/>
            </w:tcBorders>
          </w:tcPr>
          <w:p w:rsidR="0048717C" w:rsidRPr="00C44FC7" w:rsidRDefault="0048717C" w:rsidP="0048717C">
            <w:pPr>
              <w:jc w:val="center"/>
              <w:rPr>
                <w:color w:val="000000"/>
                <w:sz w:val="20"/>
                <w:szCs w:val="20"/>
              </w:rPr>
            </w:pPr>
            <w:r>
              <w:rPr>
                <w:color w:val="000000"/>
                <w:sz w:val="20"/>
                <w:szCs w:val="20"/>
              </w:rPr>
              <w:t>4</w:t>
            </w:r>
          </w:p>
        </w:tc>
        <w:tc>
          <w:tcPr>
            <w:tcW w:w="2127" w:type="dxa"/>
            <w:tcBorders>
              <w:top w:val="nil"/>
            </w:tcBorders>
          </w:tcPr>
          <w:p w:rsidR="0048717C" w:rsidRPr="00C44FC7" w:rsidRDefault="0048717C" w:rsidP="0048717C">
            <w:pPr>
              <w:jc w:val="center"/>
              <w:rPr>
                <w:color w:val="000000"/>
                <w:sz w:val="20"/>
                <w:szCs w:val="20"/>
              </w:rPr>
            </w:pPr>
            <w:r>
              <w:rPr>
                <w:color w:val="000000"/>
                <w:sz w:val="20"/>
                <w:szCs w:val="20"/>
              </w:rPr>
              <w:t>3</w:t>
            </w:r>
          </w:p>
        </w:tc>
      </w:tr>
      <w:tr w:rsidR="0048717C" w:rsidRPr="00C44FC7" w:rsidTr="00442035">
        <w:tc>
          <w:tcPr>
            <w:tcW w:w="4786" w:type="dxa"/>
            <w:tcBorders>
              <w:bottom w:val="single" w:sz="4" w:space="0" w:color="auto"/>
            </w:tcBorders>
          </w:tcPr>
          <w:p w:rsidR="0048717C" w:rsidRDefault="0048717C" w:rsidP="0048717C">
            <w:pPr>
              <w:rPr>
                <w:rFonts w:cs="Arial"/>
                <w:color w:val="000000"/>
                <w:sz w:val="20"/>
                <w:szCs w:val="20"/>
                <w:lang w:val="pt-BR"/>
              </w:rPr>
            </w:pPr>
          </w:p>
          <w:p w:rsidR="00AB4376" w:rsidRDefault="00AB4376" w:rsidP="0048717C">
            <w:pPr>
              <w:rPr>
                <w:rFonts w:cs="Arial"/>
                <w:color w:val="000000"/>
                <w:sz w:val="20"/>
                <w:szCs w:val="20"/>
                <w:lang w:val="pt-BR"/>
              </w:rPr>
            </w:pPr>
          </w:p>
          <w:p w:rsidR="00AB4376" w:rsidRPr="00C44FC7" w:rsidRDefault="00AB4376" w:rsidP="0048717C">
            <w:pPr>
              <w:rPr>
                <w:rFonts w:cs="Arial"/>
                <w:color w:val="000000"/>
                <w:sz w:val="20"/>
                <w:szCs w:val="20"/>
                <w:lang w:val="pt-BR"/>
              </w:rPr>
            </w:pPr>
          </w:p>
        </w:tc>
        <w:tc>
          <w:tcPr>
            <w:tcW w:w="2126" w:type="dxa"/>
            <w:tcBorders>
              <w:bottom w:val="single" w:sz="4" w:space="0" w:color="auto"/>
            </w:tcBorders>
          </w:tcPr>
          <w:p w:rsidR="0048717C" w:rsidRPr="00C44FC7" w:rsidRDefault="0048717C" w:rsidP="0048717C">
            <w:pPr>
              <w:jc w:val="center"/>
              <w:rPr>
                <w:color w:val="000000"/>
                <w:sz w:val="20"/>
                <w:szCs w:val="20"/>
                <w:lang w:val="pt-BR"/>
              </w:rPr>
            </w:pPr>
          </w:p>
        </w:tc>
        <w:tc>
          <w:tcPr>
            <w:tcW w:w="2127" w:type="dxa"/>
            <w:tcBorders>
              <w:bottom w:val="single" w:sz="4" w:space="0" w:color="auto"/>
            </w:tcBorders>
          </w:tcPr>
          <w:p w:rsidR="0048717C" w:rsidRPr="00C44FC7" w:rsidRDefault="0048717C" w:rsidP="0048717C">
            <w:pPr>
              <w:jc w:val="center"/>
              <w:rPr>
                <w:color w:val="000000"/>
                <w:sz w:val="20"/>
                <w:szCs w:val="20"/>
                <w:lang w:val="pt-BR"/>
              </w:rPr>
            </w:pPr>
          </w:p>
        </w:tc>
      </w:tr>
      <w:tr w:rsidR="0048717C" w:rsidRPr="00C44FC7" w:rsidTr="00442035">
        <w:tc>
          <w:tcPr>
            <w:tcW w:w="4786" w:type="dxa"/>
            <w:tcBorders>
              <w:bottom w:val="nil"/>
            </w:tcBorders>
          </w:tcPr>
          <w:p w:rsidR="0048717C" w:rsidRPr="008D48F3" w:rsidRDefault="0048717C" w:rsidP="0048717C">
            <w:pPr>
              <w:rPr>
                <w:rFonts w:cs="Arial"/>
                <w:b/>
                <w:color w:val="000000"/>
                <w:sz w:val="20"/>
                <w:szCs w:val="20"/>
                <w:lang w:val="pt-BR"/>
              </w:rPr>
            </w:pPr>
            <w:r w:rsidRPr="008D48F3">
              <w:rPr>
                <w:rFonts w:cs="Arial"/>
                <w:b/>
                <w:color w:val="000000"/>
                <w:sz w:val="20"/>
                <w:szCs w:val="20"/>
                <w:lang w:val="pt-BR"/>
              </w:rPr>
              <w:lastRenderedPageBreak/>
              <w:t>REPRODUCTIVE, SYSTEM AND BREAST DISORDERS</w:t>
            </w:r>
          </w:p>
        </w:tc>
        <w:tc>
          <w:tcPr>
            <w:tcW w:w="2126" w:type="dxa"/>
            <w:tcBorders>
              <w:bottom w:val="nil"/>
            </w:tcBorders>
          </w:tcPr>
          <w:p w:rsidR="0048717C" w:rsidRPr="00C44FC7" w:rsidRDefault="0048717C" w:rsidP="0048717C">
            <w:pPr>
              <w:jc w:val="center"/>
              <w:rPr>
                <w:color w:val="000000"/>
                <w:sz w:val="20"/>
                <w:szCs w:val="20"/>
                <w:lang w:val="pt-BR"/>
              </w:rPr>
            </w:pPr>
          </w:p>
        </w:tc>
        <w:tc>
          <w:tcPr>
            <w:tcW w:w="2127" w:type="dxa"/>
            <w:tcBorders>
              <w:bottom w:val="nil"/>
            </w:tcBorders>
          </w:tcPr>
          <w:p w:rsidR="0048717C" w:rsidRPr="00C44FC7" w:rsidRDefault="0048717C" w:rsidP="0048717C">
            <w:pPr>
              <w:jc w:val="center"/>
              <w:rPr>
                <w:color w:val="000000"/>
                <w:sz w:val="20"/>
                <w:szCs w:val="20"/>
                <w:lang w:val="pt-BR"/>
              </w:rPr>
            </w:pPr>
          </w:p>
        </w:tc>
      </w:tr>
      <w:tr w:rsidR="0048717C" w:rsidRPr="00C44FC7" w:rsidTr="00442035">
        <w:tc>
          <w:tcPr>
            <w:tcW w:w="4786" w:type="dxa"/>
            <w:tcBorders>
              <w:top w:val="nil"/>
            </w:tcBorders>
          </w:tcPr>
          <w:p w:rsidR="0048717C" w:rsidRPr="008D48F3" w:rsidRDefault="0048717C" w:rsidP="0048717C">
            <w:pPr>
              <w:rPr>
                <w:rFonts w:cs="Arial"/>
                <w:color w:val="000000"/>
                <w:sz w:val="20"/>
                <w:szCs w:val="20"/>
                <w:lang w:val="pt-BR"/>
              </w:rPr>
            </w:pPr>
            <w:r w:rsidRPr="008D48F3">
              <w:rPr>
                <w:rFonts w:cs="Arial"/>
                <w:color w:val="000000"/>
                <w:sz w:val="20"/>
                <w:szCs w:val="20"/>
                <w:lang w:val="pt-BR"/>
              </w:rPr>
              <w:t>Erection and ejaculation conditions and disorders</w:t>
            </w:r>
          </w:p>
        </w:tc>
        <w:tc>
          <w:tcPr>
            <w:tcW w:w="2126" w:type="dxa"/>
            <w:tcBorders>
              <w:top w:val="nil"/>
            </w:tcBorders>
          </w:tcPr>
          <w:p w:rsidR="0048717C" w:rsidRPr="00C44FC7" w:rsidRDefault="0048717C" w:rsidP="0048717C">
            <w:pPr>
              <w:jc w:val="center"/>
              <w:rPr>
                <w:color w:val="000000"/>
                <w:sz w:val="20"/>
                <w:szCs w:val="20"/>
                <w:lang w:val="pt-BR"/>
              </w:rPr>
            </w:pPr>
            <w:r>
              <w:rPr>
                <w:color w:val="000000"/>
                <w:sz w:val="20"/>
                <w:szCs w:val="20"/>
                <w:lang w:val="pt-BR"/>
              </w:rPr>
              <w:t>3</w:t>
            </w:r>
          </w:p>
        </w:tc>
        <w:tc>
          <w:tcPr>
            <w:tcW w:w="2127" w:type="dxa"/>
            <w:tcBorders>
              <w:top w:val="nil"/>
            </w:tcBorders>
          </w:tcPr>
          <w:p w:rsidR="0048717C" w:rsidRPr="00C44FC7" w:rsidRDefault="0048717C" w:rsidP="0048717C">
            <w:pPr>
              <w:jc w:val="center"/>
              <w:rPr>
                <w:color w:val="000000"/>
                <w:sz w:val="20"/>
                <w:szCs w:val="20"/>
                <w:lang w:val="pt-BR"/>
              </w:rPr>
            </w:pPr>
            <w:r>
              <w:rPr>
                <w:color w:val="000000"/>
                <w:sz w:val="20"/>
                <w:szCs w:val="20"/>
                <w:lang w:val="pt-BR"/>
              </w:rPr>
              <w:t>2</w:t>
            </w:r>
          </w:p>
        </w:tc>
      </w:tr>
      <w:tr w:rsidR="0048717C" w:rsidRPr="00C44FC7" w:rsidTr="00442035">
        <w:tc>
          <w:tcPr>
            <w:tcW w:w="4786" w:type="dxa"/>
            <w:tcBorders>
              <w:bottom w:val="single" w:sz="4" w:space="0" w:color="auto"/>
            </w:tcBorders>
          </w:tcPr>
          <w:p w:rsidR="0048717C" w:rsidRPr="008D48F3" w:rsidRDefault="0048717C" w:rsidP="0048717C">
            <w:pPr>
              <w:rPr>
                <w:rFonts w:cs="Arial"/>
                <w:b/>
                <w:color w:val="000000"/>
                <w:sz w:val="20"/>
                <w:szCs w:val="20"/>
                <w:lang w:val="pt-BR"/>
              </w:rPr>
            </w:pPr>
          </w:p>
        </w:tc>
        <w:tc>
          <w:tcPr>
            <w:tcW w:w="2126" w:type="dxa"/>
            <w:tcBorders>
              <w:bottom w:val="single" w:sz="4" w:space="0" w:color="auto"/>
            </w:tcBorders>
          </w:tcPr>
          <w:p w:rsidR="0048717C" w:rsidRPr="00C44FC7" w:rsidRDefault="0048717C" w:rsidP="0048717C">
            <w:pPr>
              <w:jc w:val="center"/>
              <w:rPr>
                <w:color w:val="000000"/>
                <w:sz w:val="20"/>
                <w:szCs w:val="20"/>
                <w:lang w:val="pt-BR"/>
              </w:rPr>
            </w:pPr>
          </w:p>
        </w:tc>
        <w:tc>
          <w:tcPr>
            <w:tcW w:w="2127" w:type="dxa"/>
            <w:tcBorders>
              <w:bottom w:val="single" w:sz="4" w:space="0" w:color="auto"/>
            </w:tcBorders>
          </w:tcPr>
          <w:p w:rsidR="0048717C" w:rsidRPr="00C44FC7" w:rsidRDefault="0048717C" w:rsidP="0048717C">
            <w:pPr>
              <w:jc w:val="center"/>
              <w:rPr>
                <w:color w:val="000000"/>
                <w:sz w:val="20"/>
                <w:szCs w:val="20"/>
                <w:lang w:val="pt-BR"/>
              </w:rPr>
            </w:pPr>
          </w:p>
        </w:tc>
      </w:tr>
      <w:tr w:rsidR="0048717C" w:rsidRPr="00C44FC7" w:rsidTr="00442035">
        <w:tc>
          <w:tcPr>
            <w:tcW w:w="4786"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RESPIRATORY, THORACIC AND MEDIASTINAL DISORDERS</w:t>
            </w:r>
          </w:p>
        </w:tc>
        <w:tc>
          <w:tcPr>
            <w:tcW w:w="2126" w:type="dxa"/>
            <w:tcBorders>
              <w:bottom w:val="nil"/>
            </w:tcBorders>
          </w:tcPr>
          <w:p w:rsidR="0048717C" w:rsidRPr="00C44FC7" w:rsidRDefault="0048717C" w:rsidP="0048717C">
            <w:pPr>
              <w:jc w:val="center"/>
              <w:rPr>
                <w:color w:val="000000"/>
                <w:sz w:val="20"/>
                <w:szCs w:val="20"/>
              </w:rPr>
            </w:pPr>
          </w:p>
        </w:tc>
        <w:tc>
          <w:tcPr>
            <w:tcW w:w="2127" w:type="dxa"/>
            <w:tcBorders>
              <w:bottom w:val="nil"/>
            </w:tcBorders>
          </w:tcPr>
          <w:p w:rsidR="0048717C" w:rsidRPr="00C44FC7" w:rsidRDefault="0048717C" w:rsidP="0048717C">
            <w:pPr>
              <w:jc w:val="center"/>
              <w:rPr>
                <w:color w:val="000000"/>
                <w:sz w:val="20"/>
                <w:szCs w:val="20"/>
              </w:rPr>
            </w:pPr>
          </w:p>
        </w:tc>
      </w:tr>
      <w:tr w:rsidR="0048717C" w:rsidRPr="00C44FC7" w:rsidTr="00442035">
        <w:tc>
          <w:tcPr>
            <w:tcW w:w="4786" w:type="dxa"/>
            <w:tcBorders>
              <w:top w:val="nil"/>
            </w:tcBorders>
          </w:tcPr>
          <w:p w:rsidR="0048717C" w:rsidRPr="00C44FC7" w:rsidRDefault="0048717C" w:rsidP="0048717C">
            <w:pPr>
              <w:autoSpaceDE w:val="0"/>
              <w:autoSpaceDN w:val="0"/>
              <w:adjustRightInd w:val="0"/>
              <w:rPr>
                <w:rFonts w:cs="Arial"/>
                <w:color w:val="000000"/>
                <w:sz w:val="20"/>
                <w:szCs w:val="20"/>
              </w:rPr>
            </w:pPr>
            <w:r w:rsidRPr="00C44FC7">
              <w:rPr>
                <w:rFonts w:cs="Arial"/>
                <w:color w:val="000000"/>
                <w:sz w:val="20"/>
                <w:szCs w:val="20"/>
              </w:rPr>
              <w:t>Upper respiratory tract signs and symptoms</w:t>
            </w:r>
          </w:p>
        </w:tc>
        <w:tc>
          <w:tcPr>
            <w:tcW w:w="2126" w:type="dxa"/>
            <w:tcBorders>
              <w:top w:val="nil"/>
            </w:tcBorders>
          </w:tcPr>
          <w:p w:rsidR="0048717C" w:rsidRPr="00C44FC7" w:rsidDel="00F474A0" w:rsidRDefault="0048717C" w:rsidP="0048717C">
            <w:pPr>
              <w:jc w:val="center"/>
              <w:rPr>
                <w:color w:val="000000"/>
                <w:sz w:val="20"/>
                <w:szCs w:val="20"/>
              </w:rPr>
            </w:pPr>
            <w:r>
              <w:rPr>
                <w:color w:val="000000"/>
                <w:sz w:val="20"/>
                <w:szCs w:val="20"/>
              </w:rPr>
              <w:t>9</w:t>
            </w:r>
          </w:p>
        </w:tc>
        <w:tc>
          <w:tcPr>
            <w:tcW w:w="2127" w:type="dxa"/>
            <w:tcBorders>
              <w:top w:val="nil"/>
            </w:tcBorders>
          </w:tcPr>
          <w:p w:rsidR="0048717C" w:rsidRPr="00C44FC7" w:rsidDel="00F474A0" w:rsidRDefault="0048717C" w:rsidP="0048717C">
            <w:pPr>
              <w:jc w:val="center"/>
              <w:rPr>
                <w:color w:val="000000"/>
                <w:sz w:val="20"/>
                <w:szCs w:val="20"/>
              </w:rPr>
            </w:pPr>
            <w:r>
              <w:rPr>
                <w:color w:val="000000"/>
                <w:sz w:val="20"/>
                <w:szCs w:val="20"/>
              </w:rPr>
              <w:t>5</w:t>
            </w:r>
          </w:p>
        </w:tc>
      </w:tr>
      <w:tr w:rsidR="0048717C" w:rsidRPr="00C44FC7" w:rsidTr="00442035">
        <w:tc>
          <w:tcPr>
            <w:tcW w:w="4786" w:type="dxa"/>
            <w:tcBorders>
              <w:bottom w:val="single" w:sz="4" w:space="0" w:color="auto"/>
            </w:tcBorders>
          </w:tcPr>
          <w:p w:rsidR="0048717C" w:rsidRPr="00C44FC7" w:rsidRDefault="0048717C" w:rsidP="0048717C">
            <w:pPr>
              <w:rPr>
                <w:rFonts w:cs="Arial"/>
                <w:color w:val="000000"/>
                <w:sz w:val="20"/>
                <w:szCs w:val="20"/>
              </w:rPr>
            </w:pPr>
          </w:p>
        </w:tc>
        <w:tc>
          <w:tcPr>
            <w:tcW w:w="2126" w:type="dxa"/>
            <w:tcBorders>
              <w:bottom w:val="single" w:sz="4" w:space="0" w:color="auto"/>
            </w:tcBorders>
          </w:tcPr>
          <w:p w:rsidR="0048717C" w:rsidRPr="00C44FC7" w:rsidRDefault="0048717C" w:rsidP="0048717C">
            <w:pPr>
              <w:jc w:val="center"/>
              <w:rPr>
                <w:color w:val="000000"/>
                <w:sz w:val="20"/>
                <w:szCs w:val="20"/>
              </w:rPr>
            </w:pPr>
          </w:p>
        </w:tc>
        <w:tc>
          <w:tcPr>
            <w:tcW w:w="2127" w:type="dxa"/>
            <w:tcBorders>
              <w:bottom w:val="single" w:sz="4" w:space="0" w:color="auto"/>
            </w:tcBorders>
          </w:tcPr>
          <w:p w:rsidR="0048717C" w:rsidRPr="00C44FC7" w:rsidRDefault="0048717C" w:rsidP="0048717C">
            <w:pPr>
              <w:jc w:val="center"/>
              <w:rPr>
                <w:color w:val="000000"/>
                <w:sz w:val="20"/>
                <w:szCs w:val="20"/>
              </w:rPr>
            </w:pPr>
          </w:p>
        </w:tc>
      </w:tr>
      <w:tr w:rsidR="0048717C" w:rsidRPr="00C44FC7" w:rsidTr="00442035">
        <w:tc>
          <w:tcPr>
            <w:tcW w:w="4786" w:type="dxa"/>
            <w:tcBorders>
              <w:bottom w:val="nil"/>
            </w:tcBorders>
          </w:tcPr>
          <w:p w:rsidR="0048717C" w:rsidRPr="00C44FC7" w:rsidRDefault="0048717C" w:rsidP="0048717C">
            <w:pPr>
              <w:rPr>
                <w:rFonts w:cs="Arial"/>
                <w:b/>
                <w:color w:val="000000"/>
                <w:sz w:val="20"/>
                <w:szCs w:val="20"/>
              </w:rPr>
            </w:pPr>
            <w:r w:rsidRPr="00C44FC7">
              <w:rPr>
                <w:rFonts w:cs="Arial"/>
                <w:b/>
                <w:color w:val="000000"/>
                <w:sz w:val="20"/>
                <w:szCs w:val="20"/>
              </w:rPr>
              <w:t>SKIN AND SUBCUTANEOUS TISSUE DISORDERS</w:t>
            </w:r>
          </w:p>
        </w:tc>
        <w:tc>
          <w:tcPr>
            <w:tcW w:w="2126" w:type="dxa"/>
            <w:tcBorders>
              <w:bottom w:val="nil"/>
            </w:tcBorders>
          </w:tcPr>
          <w:p w:rsidR="0048717C" w:rsidRPr="00C44FC7" w:rsidRDefault="0048717C" w:rsidP="0048717C">
            <w:pPr>
              <w:jc w:val="center"/>
              <w:rPr>
                <w:color w:val="000000"/>
                <w:sz w:val="20"/>
                <w:szCs w:val="20"/>
              </w:rPr>
            </w:pPr>
          </w:p>
        </w:tc>
        <w:tc>
          <w:tcPr>
            <w:tcW w:w="2127" w:type="dxa"/>
            <w:tcBorders>
              <w:bottom w:val="nil"/>
            </w:tcBorders>
          </w:tcPr>
          <w:p w:rsidR="0048717C" w:rsidRPr="00C44FC7" w:rsidRDefault="0048717C" w:rsidP="0048717C">
            <w:pPr>
              <w:jc w:val="center"/>
              <w:rPr>
                <w:color w:val="000000"/>
                <w:sz w:val="20"/>
                <w:szCs w:val="20"/>
              </w:rPr>
            </w:pPr>
          </w:p>
        </w:tc>
      </w:tr>
      <w:tr w:rsidR="0048717C" w:rsidRPr="00C44FC7" w:rsidTr="00442035">
        <w:tc>
          <w:tcPr>
            <w:tcW w:w="4786" w:type="dxa"/>
            <w:tcBorders>
              <w:top w:val="nil"/>
              <w:bottom w:val="nil"/>
            </w:tcBorders>
          </w:tcPr>
          <w:p w:rsidR="0048717C" w:rsidRPr="00C44FC7" w:rsidRDefault="0048717C" w:rsidP="0048717C">
            <w:pPr>
              <w:rPr>
                <w:rFonts w:cs="Arial"/>
                <w:color w:val="000000"/>
                <w:sz w:val="20"/>
                <w:szCs w:val="20"/>
              </w:rPr>
            </w:pPr>
            <w:r>
              <w:rPr>
                <w:rFonts w:cs="Arial"/>
                <w:color w:val="000000"/>
                <w:sz w:val="20"/>
                <w:szCs w:val="20"/>
              </w:rPr>
              <w:t>Acnes</w:t>
            </w:r>
          </w:p>
        </w:tc>
        <w:tc>
          <w:tcPr>
            <w:tcW w:w="2126" w:type="dxa"/>
            <w:tcBorders>
              <w:top w:val="nil"/>
              <w:bottom w:val="nil"/>
            </w:tcBorders>
          </w:tcPr>
          <w:p w:rsidR="0048717C" w:rsidRPr="00C44FC7" w:rsidRDefault="0048717C" w:rsidP="0048717C">
            <w:pPr>
              <w:jc w:val="center"/>
              <w:rPr>
                <w:color w:val="000000"/>
                <w:sz w:val="20"/>
                <w:szCs w:val="20"/>
              </w:rPr>
            </w:pPr>
            <w:r>
              <w:rPr>
                <w:color w:val="000000"/>
                <w:sz w:val="20"/>
                <w:szCs w:val="20"/>
              </w:rPr>
              <w:t>3</w:t>
            </w:r>
          </w:p>
        </w:tc>
        <w:tc>
          <w:tcPr>
            <w:tcW w:w="2127" w:type="dxa"/>
            <w:tcBorders>
              <w:top w:val="nil"/>
              <w:bottom w:val="nil"/>
            </w:tcBorders>
          </w:tcPr>
          <w:p w:rsidR="0048717C" w:rsidRPr="00C44FC7" w:rsidRDefault="0048717C" w:rsidP="0048717C">
            <w:pPr>
              <w:jc w:val="center"/>
              <w:rPr>
                <w:color w:val="000000"/>
                <w:sz w:val="20"/>
                <w:szCs w:val="20"/>
              </w:rPr>
            </w:pPr>
            <w:r>
              <w:rPr>
                <w:color w:val="000000"/>
                <w:sz w:val="20"/>
                <w:szCs w:val="20"/>
              </w:rPr>
              <w:t>2</w:t>
            </w:r>
          </w:p>
        </w:tc>
      </w:tr>
      <w:tr w:rsidR="0048717C" w:rsidRPr="00C44FC7" w:rsidTr="00442035">
        <w:tc>
          <w:tcPr>
            <w:tcW w:w="4786" w:type="dxa"/>
            <w:tcBorders>
              <w:top w:val="nil"/>
              <w:bottom w:val="nil"/>
            </w:tcBorders>
          </w:tcPr>
          <w:p w:rsidR="0048717C" w:rsidRPr="00C44FC7" w:rsidRDefault="0048717C" w:rsidP="0048717C">
            <w:pPr>
              <w:rPr>
                <w:rFonts w:cs="Arial"/>
                <w:color w:val="000000"/>
                <w:sz w:val="20"/>
                <w:szCs w:val="20"/>
              </w:rPr>
            </w:pPr>
            <w:proofErr w:type="spellStart"/>
            <w:r>
              <w:rPr>
                <w:rFonts w:cs="Arial"/>
                <w:color w:val="000000"/>
                <w:sz w:val="20"/>
                <w:szCs w:val="20"/>
              </w:rPr>
              <w:t>Alopecias</w:t>
            </w:r>
            <w:proofErr w:type="spellEnd"/>
          </w:p>
        </w:tc>
        <w:tc>
          <w:tcPr>
            <w:tcW w:w="2126" w:type="dxa"/>
            <w:tcBorders>
              <w:top w:val="nil"/>
              <w:bottom w:val="nil"/>
            </w:tcBorders>
          </w:tcPr>
          <w:p w:rsidR="0048717C" w:rsidRPr="00C44FC7" w:rsidRDefault="0048717C" w:rsidP="0048717C">
            <w:pPr>
              <w:jc w:val="center"/>
              <w:rPr>
                <w:color w:val="000000"/>
                <w:sz w:val="20"/>
                <w:szCs w:val="20"/>
              </w:rPr>
            </w:pPr>
            <w:r>
              <w:rPr>
                <w:color w:val="000000"/>
                <w:sz w:val="20"/>
                <w:szCs w:val="20"/>
              </w:rPr>
              <w:t>2</w:t>
            </w:r>
          </w:p>
        </w:tc>
        <w:tc>
          <w:tcPr>
            <w:tcW w:w="2127" w:type="dxa"/>
            <w:tcBorders>
              <w:top w:val="nil"/>
              <w:bottom w:val="nil"/>
            </w:tcBorders>
          </w:tcPr>
          <w:p w:rsidR="0048717C" w:rsidRPr="00C44FC7" w:rsidRDefault="0048717C" w:rsidP="0048717C">
            <w:pPr>
              <w:jc w:val="center"/>
              <w:rPr>
                <w:color w:val="000000"/>
                <w:sz w:val="20"/>
                <w:szCs w:val="20"/>
              </w:rPr>
            </w:pPr>
            <w:r>
              <w:rPr>
                <w:color w:val="000000"/>
                <w:sz w:val="20"/>
                <w:szCs w:val="20"/>
              </w:rPr>
              <w:t>1</w:t>
            </w:r>
          </w:p>
        </w:tc>
      </w:tr>
      <w:tr w:rsidR="0048717C" w:rsidRPr="00C44FC7" w:rsidTr="00442035">
        <w:tc>
          <w:tcPr>
            <w:tcW w:w="4786" w:type="dxa"/>
            <w:tcBorders>
              <w:top w:val="nil"/>
              <w:bottom w:val="nil"/>
            </w:tcBorders>
          </w:tcPr>
          <w:p w:rsidR="0048717C" w:rsidRPr="00C44FC7" w:rsidRDefault="0048717C" w:rsidP="0048717C">
            <w:pPr>
              <w:rPr>
                <w:rFonts w:cs="Arial"/>
                <w:color w:val="000000"/>
                <w:sz w:val="20"/>
                <w:szCs w:val="20"/>
              </w:rPr>
            </w:pPr>
            <w:proofErr w:type="spellStart"/>
            <w:r w:rsidRPr="00C44FC7">
              <w:rPr>
                <w:rFonts w:cs="Arial"/>
                <w:color w:val="000000"/>
                <w:sz w:val="20"/>
                <w:szCs w:val="20"/>
              </w:rPr>
              <w:t>Lipodystrophies</w:t>
            </w:r>
            <w:proofErr w:type="spellEnd"/>
          </w:p>
        </w:tc>
        <w:tc>
          <w:tcPr>
            <w:tcW w:w="2126" w:type="dxa"/>
            <w:tcBorders>
              <w:top w:val="nil"/>
              <w:bottom w:val="nil"/>
            </w:tcBorders>
          </w:tcPr>
          <w:p w:rsidR="0048717C" w:rsidRPr="00C44FC7" w:rsidRDefault="0048717C" w:rsidP="0048717C">
            <w:pPr>
              <w:jc w:val="center"/>
              <w:rPr>
                <w:color w:val="000000"/>
                <w:sz w:val="20"/>
                <w:szCs w:val="20"/>
              </w:rPr>
            </w:pPr>
            <w:r>
              <w:rPr>
                <w:color w:val="000000"/>
                <w:sz w:val="20"/>
                <w:szCs w:val="20"/>
              </w:rPr>
              <w:t>4</w:t>
            </w:r>
          </w:p>
        </w:tc>
        <w:tc>
          <w:tcPr>
            <w:tcW w:w="2127" w:type="dxa"/>
            <w:tcBorders>
              <w:top w:val="nil"/>
              <w:bottom w:val="nil"/>
            </w:tcBorders>
          </w:tcPr>
          <w:p w:rsidR="0048717C" w:rsidRPr="00C44FC7" w:rsidRDefault="0048717C" w:rsidP="0048717C">
            <w:pPr>
              <w:jc w:val="center"/>
              <w:rPr>
                <w:color w:val="000000"/>
                <w:sz w:val="20"/>
                <w:szCs w:val="20"/>
              </w:rPr>
            </w:pPr>
            <w:r>
              <w:rPr>
                <w:color w:val="000000"/>
                <w:sz w:val="20"/>
                <w:szCs w:val="20"/>
              </w:rPr>
              <w:t>3</w:t>
            </w:r>
          </w:p>
        </w:tc>
      </w:tr>
      <w:tr w:rsidR="0048717C" w:rsidRPr="00C44FC7" w:rsidTr="00442035">
        <w:tc>
          <w:tcPr>
            <w:tcW w:w="4786" w:type="dxa"/>
            <w:tcBorders>
              <w:top w:val="nil"/>
            </w:tcBorders>
          </w:tcPr>
          <w:p w:rsidR="0048717C" w:rsidRPr="00C44FC7" w:rsidRDefault="0048717C" w:rsidP="0048717C">
            <w:pPr>
              <w:rPr>
                <w:rFonts w:cs="Arial"/>
                <w:color w:val="000000"/>
                <w:sz w:val="20"/>
                <w:szCs w:val="20"/>
              </w:rPr>
            </w:pPr>
            <w:r>
              <w:rPr>
                <w:rFonts w:cs="Arial"/>
                <w:color w:val="000000"/>
                <w:sz w:val="20"/>
                <w:szCs w:val="20"/>
              </w:rPr>
              <w:t>Nail and nail bed conditions (excluding infections and infestations</w:t>
            </w:r>
          </w:p>
        </w:tc>
        <w:tc>
          <w:tcPr>
            <w:tcW w:w="2126" w:type="dxa"/>
            <w:tcBorders>
              <w:top w:val="nil"/>
            </w:tcBorders>
          </w:tcPr>
          <w:p w:rsidR="0048717C" w:rsidRPr="00C44FC7" w:rsidRDefault="0048717C" w:rsidP="0048717C">
            <w:pPr>
              <w:jc w:val="center"/>
              <w:rPr>
                <w:color w:val="000000"/>
                <w:sz w:val="20"/>
                <w:szCs w:val="20"/>
              </w:rPr>
            </w:pPr>
            <w:r>
              <w:rPr>
                <w:color w:val="000000"/>
                <w:sz w:val="20"/>
                <w:szCs w:val="20"/>
              </w:rPr>
              <w:t>6</w:t>
            </w:r>
          </w:p>
        </w:tc>
        <w:tc>
          <w:tcPr>
            <w:tcW w:w="2127" w:type="dxa"/>
            <w:tcBorders>
              <w:top w:val="nil"/>
            </w:tcBorders>
          </w:tcPr>
          <w:p w:rsidR="0048717C" w:rsidRPr="00C44FC7" w:rsidRDefault="0048717C" w:rsidP="0048717C">
            <w:pPr>
              <w:jc w:val="center"/>
              <w:rPr>
                <w:color w:val="000000"/>
                <w:sz w:val="20"/>
                <w:szCs w:val="20"/>
              </w:rPr>
            </w:pPr>
            <w:r>
              <w:rPr>
                <w:color w:val="000000"/>
                <w:sz w:val="20"/>
                <w:szCs w:val="20"/>
              </w:rPr>
              <w:t>2</w:t>
            </w:r>
          </w:p>
        </w:tc>
      </w:tr>
    </w:tbl>
    <w:p w:rsidR="0048717C" w:rsidRPr="007473FC" w:rsidRDefault="0048717C" w:rsidP="00AB4376">
      <w:pPr>
        <w:pStyle w:val="Heading3"/>
        <w:spacing w:before="240"/>
      </w:pPr>
      <w:r w:rsidRPr="00EB4A2C">
        <w:t>Laboratory abnormalities</w:t>
      </w:r>
    </w:p>
    <w:p w:rsidR="0048717C" w:rsidRDefault="0048717C" w:rsidP="0048717C">
      <w:pPr>
        <w:keepNext/>
        <w:rPr>
          <w:b/>
        </w:rPr>
      </w:pPr>
      <w:r w:rsidRPr="00BF6F85">
        <w:rPr>
          <w:b/>
          <w:color w:val="000000"/>
        </w:rPr>
        <w:t xml:space="preserve">Table </w:t>
      </w:r>
      <w:r>
        <w:rPr>
          <w:b/>
          <w:color w:val="000000"/>
        </w:rPr>
        <w:t>11</w:t>
      </w:r>
      <w:r w:rsidRPr="00BF6F85">
        <w:rPr>
          <w:b/>
          <w:color w:val="000000"/>
        </w:rPr>
        <w:t xml:space="preserve">: </w:t>
      </w:r>
      <w:r>
        <w:rPr>
          <w:b/>
        </w:rPr>
        <w:t xml:space="preserve"> </w:t>
      </w:r>
      <w:r w:rsidRPr="0048475A">
        <w:rPr>
          <w:b/>
        </w:rPr>
        <w:t xml:space="preserve">Maximum Shift in Laboratory Test Values </w:t>
      </w:r>
      <w:r>
        <w:rPr>
          <w:b/>
        </w:rPr>
        <w:t>(</w:t>
      </w:r>
      <w:r w:rsidRPr="0048475A">
        <w:rPr>
          <w:b/>
        </w:rPr>
        <w:t>Without Regard to Baseline</w:t>
      </w:r>
      <w:r>
        <w:rPr>
          <w:b/>
        </w:rPr>
        <w:t>)</w:t>
      </w:r>
      <w:r w:rsidR="00CA7010">
        <w:rPr>
          <w:b/>
        </w:rPr>
        <w:t xml:space="preserve"> </w:t>
      </w:r>
      <w:r>
        <w:rPr>
          <w:b/>
        </w:rPr>
        <w:t xml:space="preserve">Incidence </w:t>
      </w:r>
      <w:r w:rsidRPr="004F02F2">
        <w:rPr>
          <w:b/>
          <w:u w:val="single"/>
        </w:rPr>
        <w:t>&gt;</w:t>
      </w:r>
      <w:r>
        <w:rPr>
          <w:b/>
        </w:rPr>
        <w:t>2% of Grade 3-4 Abnormalities (ACTG Criteria)</w:t>
      </w:r>
      <w:r w:rsidR="00CA7010">
        <w:rPr>
          <w:b/>
        </w:rPr>
        <w:t xml:space="preserve"> </w:t>
      </w:r>
      <w:r>
        <w:rPr>
          <w:b/>
        </w:rPr>
        <w:t xml:space="preserve">MERIT </w:t>
      </w:r>
      <w:proofErr w:type="gramStart"/>
      <w:r>
        <w:rPr>
          <w:b/>
        </w:rPr>
        <w:t>study</w:t>
      </w:r>
      <w:proofErr w:type="gramEnd"/>
      <w:r>
        <w:rPr>
          <w:b/>
        </w:rPr>
        <w:t xml:space="preserve"> (96 Weeks)</w:t>
      </w:r>
    </w:p>
    <w:tbl>
      <w:tblPr>
        <w:tblW w:w="87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1559"/>
        <w:gridCol w:w="1984"/>
        <w:gridCol w:w="1701"/>
        <w:gridCol w:w="1584"/>
      </w:tblGrid>
      <w:tr w:rsidR="002861EB" w:rsidRPr="00C44FC7" w:rsidTr="003C11FE">
        <w:tc>
          <w:tcPr>
            <w:tcW w:w="1920" w:type="dxa"/>
          </w:tcPr>
          <w:p w:rsidR="002861EB" w:rsidRPr="00C44FC7" w:rsidRDefault="002861EB" w:rsidP="003C11FE">
            <w:pPr>
              <w:keepNext/>
              <w:rPr>
                <w:b/>
              </w:rPr>
            </w:pPr>
          </w:p>
          <w:p w:rsidR="002861EB" w:rsidRPr="00C44FC7" w:rsidRDefault="002861EB" w:rsidP="003C11FE">
            <w:pPr>
              <w:keepNext/>
              <w:jc w:val="center"/>
              <w:rPr>
                <w:b/>
              </w:rPr>
            </w:pPr>
            <w:r w:rsidRPr="00C44FC7">
              <w:rPr>
                <w:b/>
              </w:rPr>
              <w:t>Laboratory Parameter</w:t>
            </w:r>
          </w:p>
          <w:p w:rsidR="002861EB" w:rsidRPr="00C44FC7" w:rsidRDefault="002861EB" w:rsidP="003C11FE">
            <w:pPr>
              <w:keepNext/>
              <w:jc w:val="center"/>
              <w:rPr>
                <w:b/>
              </w:rPr>
            </w:pPr>
            <w:r>
              <w:rPr>
                <w:b/>
              </w:rPr>
              <w:t>Preferred Term</w:t>
            </w:r>
          </w:p>
          <w:p w:rsidR="002861EB" w:rsidRPr="00C44FC7" w:rsidRDefault="002861EB" w:rsidP="003C11FE">
            <w:pPr>
              <w:keepNext/>
              <w:rPr>
                <w:b/>
              </w:rPr>
            </w:pPr>
          </w:p>
          <w:p w:rsidR="002861EB" w:rsidRPr="00C44FC7" w:rsidRDefault="002861EB" w:rsidP="003C11FE">
            <w:pPr>
              <w:keepNext/>
              <w:rPr>
                <w:b/>
              </w:rPr>
            </w:pPr>
          </w:p>
        </w:tc>
        <w:tc>
          <w:tcPr>
            <w:tcW w:w="1559" w:type="dxa"/>
          </w:tcPr>
          <w:p w:rsidR="002861EB" w:rsidRPr="00C44FC7" w:rsidRDefault="002861EB" w:rsidP="003C11FE">
            <w:pPr>
              <w:keepNext/>
              <w:jc w:val="center"/>
              <w:rPr>
                <w:b/>
              </w:rPr>
            </w:pPr>
            <w:r>
              <w:rPr>
                <w:b/>
              </w:rPr>
              <w:t>Abnormality Grade</w:t>
            </w:r>
          </w:p>
        </w:tc>
        <w:tc>
          <w:tcPr>
            <w:tcW w:w="1984" w:type="dxa"/>
          </w:tcPr>
          <w:p w:rsidR="002861EB" w:rsidRPr="00C44FC7" w:rsidRDefault="002861EB" w:rsidP="003C11FE">
            <w:pPr>
              <w:keepNext/>
              <w:jc w:val="center"/>
              <w:rPr>
                <w:b/>
              </w:rPr>
            </w:pPr>
          </w:p>
          <w:p w:rsidR="002861EB" w:rsidRDefault="002861EB" w:rsidP="003C11FE">
            <w:pPr>
              <w:keepNext/>
              <w:jc w:val="center"/>
              <w:rPr>
                <w:b/>
              </w:rPr>
            </w:pPr>
          </w:p>
          <w:p w:rsidR="002861EB" w:rsidRPr="00C44FC7" w:rsidRDefault="002861EB" w:rsidP="003C11FE">
            <w:pPr>
              <w:keepNext/>
              <w:jc w:val="center"/>
              <w:rPr>
                <w:b/>
              </w:rPr>
            </w:pPr>
            <w:r>
              <w:rPr>
                <w:b/>
              </w:rPr>
              <w:t>Abnormality Range</w:t>
            </w:r>
          </w:p>
        </w:tc>
        <w:tc>
          <w:tcPr>
            <w:tcW w:w="1701" w:type="dxa"/>
          </w:tcPr>
          <w:p w:rsidR="002861EB" w:rsidRDefault="002861EB" w:rsidP="003C11FE">
            <w:pPr>
              <w:keepNext/>
              <w:jc w:val="center"/>
              <w:rPr>
                <w:b/>
              </w:rPr>
            </w:pPr>
            <w:r>
              <w:rPr>
                <w:b/>
              </w:rPr>
              <w:t>CELSENTRI</w:t>
            </w:r>
          </w:p>
          <w:p w:rsidR="002861EB" w:rsidRPr="00C44FC7" w:rsidRDefault="002861EB" w:rsidP="003C11FE">
            <w:pPr>
              <w:keepNext/>
              <w:jc w:val="center"/>
              <w:rPr>
                <w:b/>
              </w:rPr>
            </w:pPr>
            <w:r w:rsidRPr="00C44FC7">
              <w:rPr>
                <w:b/>
              </w:rPr>
              <w:t>300 mg</w:t>
            </w:r>
          </w:p>
          <w:p w:rsidR="002861EB" w:rsidRPr="00C44FC7" w:rsidRDefault="002861EB" w:rsidP="003C11FE">
            <w:pPr>
              <w:keepNext/>
              <w:jc w:val="center"/>
              <w:rPr>
                <w:b/>
              </w:rPr>
            </w:pPr>
            <w:r w:rsidRPr="00C44FC7">
              <w:rPr>
                <w:b/>
              </w:rPr>
              <w:t xml:space="preserve">twice daily </w:t>
            </w:r>
          </w:p>
          <w:p w:rsidR="002861EB" w:rsidRDefault="002861EB" w:rsidP="003C11FE">
            <w:pPr>
              <w:keepNext/>
              <w:jc w:val="center"/>
              <w:rPr>
                <w:b/>
              </w:rPr>
            </w:pPr>
            <w:r>
              <w:rPr>
                <w:b/>
              </w:rPr>
              <w:t xml:space="preserve">+ </w:t>
            </w:r>
          </w:p>
          <w:p w:rsidR="002861EB" w:rsidRPr="00086BE6" w:rsidRDefault="002861EB" w:rsidP="003C11FE">
            <w:pPr>
              <w:keepNext/>
              <w:jc w:val="center"/>
              <w:rPr>
                <w:b/>
                <w:sz w:val="22"/>
                <w:szCs w:val="22"/>
                <w:lang w:val="pt-BR"/>
              </w:rPr>
            </w:pPr>
            <w:r w:rsidRPr="00086BE6">
              <w:rPr>
                <w:b/>
                <w:sz w:val="22"/>
                <w:szCs w:val="22"/>
                <w:lang w:val="pt-BR"/>
              </w:rPr>
              <w:t>zidovudine/lamivudine</w:t>
            </w:r>
          </w:p>
          <w:p w:rsidR="002861EB" w:rsidRPr="00C44FC7" w:rsidRDefault="002861EB" w:rsidP="003C11FE">
            <w:pPr>
              <w:keepNext/>
              <w:jc w:val="center"/>
              <w:rPr>
                <w:b/>
              </w:rPr>
            </w:pPr>
            <w:r w:rsidRPr="00C44FC7">
              <w:rPr>
                <w:b/>
              </w:rPr>
              <w:t>N =</w:t>
            </w:r>
            <w:r>
              <w:rPr>
                <w:b/>
              </w:rPr>
              <w:t>353</w:t>
            </w:r>
            <w:r w:rsidRPr="00D46705">
              <w:t>*</w:t>
            </w:r>
          </w:p>
          <w:p w:rsidR="002861EB" w:rsidRPr="00C44FC7" w:rsidRDefault="002861EB" w:rsidP="003C11FE">
            <w:pPr>
              <w:keepNext/>
              <w:jc w:val="center"/>
              <w:rPr>
                <w:b/>
              </w:rPr>
            </w:pPr>
            <w:r w:rsidRPr="00C44FC7">
              <w:rPr>
                <w:b/>
              </w:rPr>
              <w:t>(%)</w:t>
            </w:r>
          </w:p>
        </w:tc>
        <w:tc>
          <w:tcPr>
            <w:tcW w:w="1584" w:type="dxa"/>
          </w:tcPr>
          <w:p w:rsidR="002861EB" w:rsidRPr="00C44FC7" w:rsidRDefault="002861EB" w:rsidP="003C11FE">
            <w:pPr>
              <w:keepNext/>
              <w:jc w:val="center"/>
              <w:rPr>
                <w:b/>
              </w:rPr>
            </w:pPr>
            <w:r>
              <w:rPr>
                <w:b/>
              </w:rPr>
              <w:t>EFAVIRENZ</w:t>
            </w:r>
            <w:r w:rsidRPr="00C44FC7">
              <w:rPr>
                <w:b/>
              </w:rPr>
              <w:t xml:space="preserve"> </w:t>
            </w:r>
          </w:p>
          <w:p w:rsidR="002861EB" w:rsidRPr="00C44FC7" w:rsidRDefault="002861EB" w:rsidP="003C11FE">
            <w:pPr>
              <w:keepNext/>
              <w:jc w:val="center"/>
              <w:rPr>
                <w:b/>
              </w:rPr>
            </w:pPr>
            <w:r>
              <w:rPr>
                <w:b/>
              </w:rPr>
              <w:t>6</w:t>
            </w:r>
            <w:r w:rsidRPr="00C44FC7">
              <w:rPr>
                <w:b/>
              </w:rPr>
              <w:t>00 mg</w:t>
            </w:r>
            <w:r>
              <w:rPr>
                <w:b/>
              </w:rPr>
              <w:t xml:space="preserve"> QD</w:t>
            </w:r>
          </w:p>
          <w:p w:rsidR="002861EB" w:rsidRDefault="002861EB" w:rsidP="003C11FE">
            <w:pPr>
              <w:keepNext/>
              <w:jc w:val="center"/>
              <w:rPr>
                <w:b/>
              </w:rPr>
            </w:pPr>
          </w:p>
          <w:p w:rsidR="002861EB" w:rsidRDefault="002861EB" w:rsidP="003C11FE">
            <w:pPr>
              <w:keepNext/>
              <w:jc w:val="center"/>
              <w:rPr>
                <w:b/>
              </w:rPr>
            </w:pPr>
            <w:r>
              <w:rPr>
                <w:b/>
              </w:rPr>
              <w:t xml:space="preserve">+ </w:t>
            </w:r>
          </w:p>
          <w:p w:rsidR="002861EB" w:rsidRPr="00086BE6" w:rsidRDefault="002861EB" w:rsidP="003C11FE">
            <w:pPr>
              <w:keepNext/>
              <w:jc w:val="center"/>
              <w:rPr>
                <w:b/>
                <w:sz w:val="22"/>
                <w:szCs w:val="22"/>
                <w:lang w:val="pt-BR"/>
              </w:rPr>
            </w:pPr>
            <w:r w:rsidRPr="00086BE6">
              <w:rPr>
                <w:b/>
                <w:sz w:val="22"/>
                <w:szCs w:val="22"/>
                <w:lang w:val="pt-BR"/>
              </w:rPr>
              <w:t>zidovudine/lamivudine</w:t>
            </w:r>
          </w:p>
          <w:p w:rsidR="002861EB" w:rsidRPr="00C44FC7" w:rsidRDefault="002861EB" w:rsidP="003C11FE">
            <w:pPr>
              <w:keepNext/>
              <w:jc w:val="center"/>
              <w:rPr>
                <w:b/>
              </w:rPr>
            </w:pPr>
            <w:r w:rsidRPr="00C44FC7">
              <w:rPr>
                <w:b/>
              </w:rPr>
              <w:t>N =</w:t>
            </w:r>
            <w:r>
              <w:rPr>
                <w:b/>
              </w:rPr>
              <w:t>350</w:t>
            </w:r>
            <w:r w:rsidRPr="00D46705">
              <w:t>*</w:t>
            </w:r>
          </w:p>
          <w:p w:rsidR="002861EB" w:rsidRPr="00C44FC7" w:rsidRDefault="002861EB" w:rsidP="003C11FE">
            <w:pPr>
              <w:keepNext/>
              <w:jc w:val="center"/>
              <w:rPr>
                <w:b/>
              </w:rPr>
            </w:pPr>
            <w:r w:rsidRPr="00C44FC7">
              <w:rPr>
                <w:b/>
              </w:rPr>
              <w:t xml:space="preserve"> (%)</w:t>
            </w:r>
          </w:p>
        </w:tc>
      </w:tr>
      <w:tr w:rsidR="002861EB" w:rsidRPr="00C44FC7" w:rsidTr="003C11FE">
        <w:tc>
          <w:tcPr>
            <w:tcW w:w="1920" w:type="dxa"/>
            <w:vMerge w:val="restart"/>
          </w:tcPr>
          <w:p w:rsidR="002861EB" w:rsidRPr="00956476" w:rsidRDefault="002861EB" w:rsidP="003C11FE">
            <w:pPr>
              <w:keepNext/>
            </w:pPr>
            <w:proofErr w:type="spellStart"/>
            <w:r>
              <w:t>Aspartate</w:t>
            </w:r>
            <w:proofErr w:type="spellEnd"/>
            <w:r>
              <w:t xml:space="preserve"> </w:t>
            </w:r>
            <w:proofErr w:type="spellStart"/>
            <w:r>
              <w:t>aminotransferase</w:t>
            </w:r>
            <w:proofErr w:type="spellEnd"/>
          </w:p>
        </w:tc>
        <w:tc>
          <w:tcPr>
            <w:tcW w:w="1559" w:type="dxa"/>
          </w:tcPr>
          <w:p w:rsidR="002861EB" w:rsidRPr="008747A1" w:rsidRDefault="002861EB" w:rsidP="003C11FE">
            <w:pPr>
              <w:keepNext/>
              <w:jc w:val="center"/>
            </w:pPr>
            <w:r>
              <w:t>Grade 3</w:t>
            </w:r>
          </w:p>
        </w:tc>
        <w:tc>
          <w:tcPr>
            <w:tcW w:w="1984" w:type="dxa"/>
          </w:tcPr>
          <w:p w:rsidR="002861EB" w:rsidRPr="008747A1" w:rsidRDefault="002861EB" w:rsidP="003C11FE">
            <w:pPr>
              <w:keepNext/>
              <w:jc w:val="center"/>
            </w:pPr>
            <w:r>
              <w:t>&gt;5.0x ULN</w:t>
            </w:r>
          </w:p>
        </w:tc>
        <w:tc>
          <w:tcPr>
            <w:tcW w:w="1701" w:type="dxa"/>
          </w:tcPr>
          <w:p w:rsidR="002861EB" w:rsidRPr="000C1D46" w:rsidRDefault="002861EB" w:rsidP="003C11FE">
            <w:pPr>
              <w:keepNext/>
              <w:jc w:val="center"/>
            </w:pPr>
            <w:r w:rsidRPr="000C1D46">
              <w:t>2.3 (8/353)</w:t>
            </w:r>
          </w:p>
        </w:tc>
        <w:tc>
          <w:tcPr>
            <w:tcW w:w="1584" w:type="dxa"/>
          </w:tcPr>
          <w:p w:rsidR="002861EB" w:rsidRPr="000C1D46" w:rsidRDefault="002861EB" w:rsidP="003C11FE">
            <w:pPr>
              <w:keepNext/>
              <w:jc w:val="center"/>
            </w:pPr>
            <w:r w:rsidRPr="000C1D46">
              <w:t>3.4 (12/350)</w:t>
            </w:r>
          </w:p>
        </w:tc>
      </w:tr>
      <w:tr w:rsidR="002861EB" w:rsidRPr="00C44FC7" w:rsidTr="003C11FE">
        <w:tc>
          <w:tcPr>
            <w:tcW w:w="1920" w:type="dxa"/>
            <w:vMerge/>
          </w:tcPr>
          <w:p w:rsidR="002861EB" w:rsidRDefault="002861EB" w:rsidP="003C11FE">
            <w:pPr>
              <w:keepNext/>
            </w:pPr>
          </w:p>
        </w:tc>
        <w:tc>
          <w:tcPr>
            <w:tcW w:w="1559" w:type="dxa"/>
          </w:tcPr>
          <w:p w:rsidR="002861EB" w:rsidRPr="008747A1" w:rsidRDefault="002861EB" w:rsidP="003C11FE">
            <w:pPr>
              <w:keepNext/>
              <w:jc w:val="center"/>
            </w:pPr>
            <w:r>
              <w:t>Grade 4</w:t>
            </w:r>
          </w:p>
        </w:tc>
        <w:tc>
          <w:tcPr>
            <w:tcW w:w="1984" w:type="dxa"/>
          </w:tcPr>
          <w:p w:rsidR="002861EB" w:rsidRPr="008747A1" w:rsidRDefault="002861EB" w:rsidP="003C11FE">
            <w:pPr>
              <w:keepNext/>
              <w:jc w:val="center"/>
            </w:pPr>
            <w:r w:rsidRPr="008747A1">
              <w:t>&gt;</w:t>
            </w:r>
            <w:r>
              <w:t>10.0x</w:t>
            </w:r>
            <w:r w:rsidRPr="008747A1">
              <w:t xml:space="preserve"> ULN</w:t>
            </w:r>
          </w:p>
        </w:tc>
        <w:tc>
          <w:tcPr>
            <w:tcW w:w="1701" w:type="dxa"/>
          </w:tcPr>
          <w:p w:rsidR="002861EB" w:rsidRPr="000C1D46" w:rsidRDefault="002861EB" w:rsidP="003C11FE">
            <w:pPr>
              <w:keepNext/>
              <w:jc w:val="center"/>
            </w:pPr>
            <w:r w:rsidRPr="000C1D46">
              <w:t>1.7 (6/353)</w:t>
            </w:r>
          </w:p>
        </w:tc>
        <w:tc>
          <w:tcPr>
            <w:tcW w:w="1584" w:type="dxa"/>
          </w:tcPr>
          <w:p w:rsidR="002861EB" w:rsidRPr="000C1D46" w:rsidRDefault="002861EB" w:rsidP="003C11FE">
            <w:pPr>
              <w:keepNext/>
              <w:jc w:val="center"/>
            </w:pPr>
            <w:r w:rsidRPr="000C1D46">
              <w:t>0.6 (2/350)</w:t>
            </w:r>
          </w:p>
        </w:tc>
      </w:tr>
      <w:tr w:rsidR="002861EB" w:rsidRPr="00C44FC7" w:rsidTr="003C11FE">
        <w:tc>
          <w:tcPr>
            <w:tcW w:w="1920" w:type="dxa"/>
            <w:vMerge w:val="restart"/>
          </w:tcPr>
          <w:p w:rsidR="002861EB" w:rsidRPr="00C44FC7" w:rsidRDefault="002861EB" w:rsidP="003C11FE">
            <w:pPr>
              <w:keepNext/>
              <w:rPr>
                <w:b/>
              </w:rPr>
            </w:pPr>
            <w:proofErr w:type="spellStart"/>
            <w:r w:rsidRPr="008747A1">
              <w:t>Alanine</w:t>
            </w:r>
            <w:proofErr w:type="spellEnd"/>
            <w:r>
              <w:t xml:space="preserve"> </w:t>
            </w:r>
            <w:proofErr w:type="spellStart"/>
            <w:r w:rsidRPr="008747A1">
              <w:t>aminotransferase</w:t>
            </w:r>
            <w:proofErr w:type="spellEnd"/>
          </w:p>
        </w:tc>
        <w:tc>
          <w:tcPr>
            <w:tcW w:w="1559" w:type="dxa"/>
          </w:tcPr>
          <w:p w:rsidR="002861EB" w:rsidRDefault="002861EB" w:rsidP="003C11FE">
            <w:pPr>
              <w:keepNext/>
              <w:jc w:val="center"/>
            </w:pPr>
            <w:r>
              <w:t>Grade 3</w:t>
            </w:r>
          </w:p>
        </w:tc>
        <w:tc>
          <w:tcPr>
            <w:tcW w:w="1984" w:type="dxa"/>
          </w:tcPr>
          <w:p w:rsidR="002861EB" w:rsidRPr="008747A1" w:rsidRDefault="002861EB" w:rsidP="003C11FE">
            <w:pPr>
              <w:keepNext/>
              <w:jc w:val="center"/>
            </w:pPr>
            <w:r>
              <w:t>&gt;5.0x ULN</w:t>
            </w:r>
          </w:p>
        </w:tc>
        <w:tc>
          <w:tcPr>
            <w:tcW w:w="1701" w:type="dxa"/>
          </w:tcPr>
          <w:p w:rsidR="002861EB" w:rsidRPr="000C1D46" w:rsidRDefault="002861EB" w:rsidP="003C11FE">
            <w:pPr>
              <w:keepNext/>
              <w:jc w:val="center"/>
            </w:pPr>
            <w:r w:rsidRPr="000C1D46">
              <w:t>3.1 (11/353)</w:t>
            </w:r>
          </w:p>
        </w:tc>
        <w:tc>
          <w:tcPr>
            <w:tcW w:w="1584" w:type="dxa"/>
          </w:tcPr>
          <w:p w:rsidR="002861EB" w:rsidRPr="000C1D46" w:rsidRDefault="002861EB" w:rsidP="003C11FE">
            <w:pPr>
              <w:keepNext/>
              <w:jc w:val="center"/>
            </w:pPr>
            <w:r w:rsidRPr="000C1D46">
              <w:t>3.4 (12/350)</w:t>
            </w:r>
          </w:p>
        </w:tc>
      </w:tr>
      <w:tr w:rsidR="002861EB" w:rsidRPr="00C44FC7" w:rsidTr="003C11FE">
        <w:tc>
          <w:tcPr>
            <w:tcW w:w="1920" w:type="dxa"/>
            <w:vMerge/>
          </w:tcPr>
          <w:p w:rsidR="002861EB" w:rsidRPr="008747A1" w:rsidRDefault="002861EB" w:rsidP="003C11FE">
            <w:pPr>
              <w:keepNext/>
            </w:pPr>
          </w:p>
        </w:tc>
        <w:tc>
          <w:tcPr>
            <w:tcW w:w="1559" w:type="dxa"/>
          </w:tcPr>
          <w:p w:rsidR="002861EB" w:rsidRDefault="002861EB" w:rsidP="003C11FE">
            <w:pPr>
              <w:keepNext/>
              <w:jc w:val="center"/>
            </w:pPr>
            <w:r>
              <w:t>Grade 4</w:t>
            </w:r>
          </w:p>
        </w:tc>
        <w:tc>
          <w:tcPr>
            <w:tcW w:w="1984" w:type="dxa"/>
          </w:tcPr>
          <w:p w:rsidR="002861EB" w:rsidRDefault="002861EB" w:rsidP="003C11FE">
            <w:pPr>
              <w:keepNext/>
              <w:jc w:val="center"/>
            </w:pPr>
            <w:r w:rsidRPr="008747A1">
              <w:t>&gt;</w:t>
            </w:r>
            <w:r>
              <w:t>10.0x</w:t>
            </w:r>
            <w:r w:rsidRPr="008747A1">
              <w:t xml:space="preserve"> ULN</w:t>
            </w:r>
          </w:p>
        </w:tc>
        <w:tc>
          <w:tcPr>
            <w:tcW w:w="1701" w:type="dxa"/>
          </w:tcPr>
          <w:p w:rsidR="002861EB" w:rsidRPr="000C1D46" w:rsidRDefault="002861EB" w:rsidP="003C11FE">
            <w:pPr>
              <w:keepNext/>
              <w:jc w:val="center"/>
            </w:pPr>
            <w:r w:rsidRPr="000C1D46">
              <w:t>0.8 (3/353)</w:t>
            </w:r>
          </w:p>
        </w:tc>
        <w:tc>
          <w:tcPr>
            <w:tcW w:w="1584" w:type="dxa"/>
          </w:tcPr>
          <w:p w:rsidR="002861EB" w:rsidRPr="000C1D46" w:rsidRDefault="002861EB" w:rsidP="003C11FE">
            <w:pPr>
              <w:keepNext/>
              <w:jc w:val="center"/>
            </w:pPr>
            <w:r w:rsidRPr="000C1D46">
              <w:t>0.6 (2/350)</w:t>
            </w:r>
          </w:p>
        </w:tc>
      </w:tr>
      <w:tr w:rsidR="002861EB" w:rsidRPr="00C44FC7" w:rsidTr="003C11FE">
        <w:tc>
          <w:tcPr>
            <w:tcW w:w="1920" w:type="dxa"/>
            <w:vMerge w:val="restart"/>
          </w:tcPr>
          <w:p w:rsidR="002861EB" w:rsidRDefault="002861EB" w:rsidP="003C11FE">
            <w:pPr>
              <w:keepNext/>
            </w:pPr>
            <w:proofErr w:type="spellStart"/>
            <w:r>
              <w:t>Creatine</w:t>
            </w:r>
            <w:proofErr w:type="spellEnd"/>
            <w:r>
              <w:t xml:space="preserve"> </w:t>
            </w:r>
            <w:proofErr w:type="spellStart"/>
            <w:r>
              <w:t>kinase</w:t>
            </w:r>
            <w:proofErr w:type="spellEnd"/>
          </w:p>
        </w:tc>
        <w:tc>
          <w:tcPr>
            <w:tcW w:w="1559" w:type="dxa"/>
          </w:tcPr>
          <w:p w:rsidR="002861EB" w:rsidRDefault="002861EB" w:rsidP="003C11FE">
            <w:pPr>
              <w:keepNext/>
              <w:jc w:val="center"/>
            </w:pPr>
            <w:r>
              <w:t>Grade 3</w:t>
            </w:r>
          </w:p>
        </w:tc>
        <w:tc>
          <w:tcPr>
            <w:tcW w:w="1984" w:type="dxa"/>
          </w:tcPr>
          <w:p w:rsidR="002861EB" w:rsidRDefault="002861EB" w:rsidP="003C11FE">
            <w:pPr>
              <w:keepNext/>
              <w:jc w:val="center"/>
            </w:pPr>
            <w:r>
              <w:t>&gt;10.0x to 20.0x ULN</w:t>
            </w:r>
          </w:p>
        </w:tc>
        <w:tc>
          <w:tcPr>
            <w:tcW w:w="1701" w:type="dxa"/>
          </w:tcPr>
          <w:p w:rsidR="002861EB" w:rsidRPr="000C1D46" w:rsidRDefault="002861EB" w:rsidP="003C11FE">
            <w:pPr>
              <w:keepNext/>
              <w:jc w:val="center"/>
            </w:pPr>
            <w:r w:rsidRPr="000C1D46">
              <w:t>2.8 (10/353)</w:t>
            </w:r>
          </w:p>
        </w:tc>
        <w:tc>
          <w:tcPr>
            <w:tcW w:w="1584" w:type="dxa"/>
          </w:tcPr>
          <w:p w:rsidR="002861EB" w:rsidRPr="000C1D46" w:rsidRDefault="002861EB" w:rsidP="003C11FE">
            <w:pPr>
              <w:keepNext/>
              <w:jc w:val="center"/>
            </w:pPr>
            <w:r w:rsidRPr="000C1D46">
              <w:t>3.1 (11/350)</w:t>
            </w:r>
          </w:p>
        </w:tc>
      </w:tr>
      <w:tr w:rsidR="002861EB" w:rsidRPr="00C44FC7" w:rsidTr="003C11FE">
        <w:tc>
          <w:tcPr>
            <w:tcW w:w="1920" w:type="dxa"/>
            <w:vMerge/>
          </w:tcPr>
          <w:p w:rsidR="002861EB" w:rsidRDefault="002861EB" w:rsidP="003C11FE">
            <w:pPr>
              <w:keepNext/>
            </w:pPr>
          </w:p>
        </w:tc>
        <w:tc>
          <w:tcPr>
            <w:tcW w:w="1559" w:type="dxa"/>
          </w:tcPr>
          <w:p w:rsidR="002861EB" w:rsidRDefault="002861EB" w:rsidP="003C11FE">
            <w:pPr>
              <w:keepNext/>
              <w:jc w:val="center"/>
            </w:pPr>
            <w:r>
              <w:t>Grade 4</w:t>
            </w:r>
          </w:p>
        </w:tc>
        <w:tc>
          <w:tcPr>
            <w:tcW w:w="1984" w:type="dxa"/>
          </w:tcPr>
          <w:p w:rsidR="002861EB" w:rsidRDefault="002861EB" w:rsidP="003C11FE">
            <w:pPr>
              <w:keepNext/>
              <w:jc w:val="center"/>
            </w:pPr>
            <w:r>
              <w:t>&gt;20.0x ULN</w:t>
            </w:r>
          </w:p>
        </w:tc>
        <w:tc>
          <w:tcPr>
            <w:tcW w:w="1701" w:type="dxa"/>
          </w:tcPr>
          <w:p w:rsidR="002861EB" w:rsidRPr="000C1D46" w:rsidRDefault="002861EB" w:rsidP="003C11FE">
            <w:pPr>
              <w:keepNext/>
              <w:jc w:val="center"/>
            </w:pPr>
            <w:r w:rsidRPr="000C1D46">
              <w:t>1.1 (4/353)</w:t>
            </w:r>
          </w:p>
        </w:tc>
        <w:tc>
          <w:tcPr>
            <w:tcW w:w="1584" w:type="dxa"/>
          </w:tcPr>
          <w:p w:rsidR="002861EB" w:rsidRPr="000C1D46" w:rsidRDefault="002861EB" w:rsidP="003C11FE">
            <w:pPr>
              <w:keepNext/>
              <w:jc w:val="center"/>
            </w:pPr>
            <w:r w:rsidRPr="000C1D46">
              <w:t>1.7 (6/350)</w:t>
            </w:r>
          </w:p>
        </w:tc>
      </w:tr>
      <w:tr w:rsidR="002861EB" w:rsidRPr="00C44FC7" w:rsidTr="003C11FE">
        <w:tc>
          <w:tcPr>
            <w:tcW w:w="1920" w:type="dxa"/>
            <w:vMerge w:val="restart"/>
          </w:tcPr>
          <w:p w:rsidR="002861EB" w:rsidRDefault="002861EB" w:rsidP="003C11FE">
            <w:r>
              <w:t>Amylase</w:t>
            </w:r>
          </w:p>
        </w:tc>
        <w:tc>
          <w:tcPr>
            <w:tcW w:w="1559" w:type="dxa"/>
          </w:tcPr>
          <w:p w:rsidR="002861EB" w:rsidRDefault="002861EB" w:rsidP="003C11FE">
            <w:pPr>
              <w:jc w:val="center"/>
            </w:pPr>
            <w:r>
              <w:t>Grade 3</w:t>
            </w:r>
          </w:p>
        </w:tc>
        <w:tc>
          <w:tcPr>
            <w:tcW w:w="1984" w:type="dxa"/>
          </w:tcPr>
          <w:p w:rsidR="002861EB" w:rsidRDefault="002861EB" w:rsidP="003C11FE">
            <w:pPr>
              <w:jc w:val="center"/>
            </w:pPr>
            <w:r>
              <w:t>&gt;2.0x to 5.0x ULN</w:t>
            </w:r>
          </w:p>
        </w:tc>
        <w:tc>
          <w:tcPr>
            <w:tcW w:w="1701" w:type="dxa"/>
          </w:tcPr>
          <w:p w:rsidR="002861EB" w:rsidRPr="000C1D46" w:rsidRDefault="002861EB" w:rsidP="003C11FE">
            <w:pPr>
              <w:jc w:val="center"/>
            </w:pPr>
            <w:r w:rsidRPr="000C1D46">
              <w:t>4.0 (14/352)</w:t>
            </w:r>
          </w:p>
        </w:tc>
        <w:tc>
          <w:tcPr>
            <w:tcW w:w="1584" w:type="dxa"/>
          </w:tcPr>
          <w:p w:rsidR="002861EB" w:rsidRPr="000C1D46" w:rsidRDefault="002861EB" w:rsidP="003C11FE">
            <w:pPr>
              <w:jc w:val="center"/>
            </w:pPr>
            <w:r w:rsidRPr="000C1D46">
              <w:t>5.7 (20/350)</w:t>
            </w:r>
          </w:p>
        </w:tc>
      </w:tr>
      <w:tr w:rsidR="002861EB" w:rsidRPr="00C44FC7" w:rsidTr="003C11FE">
        <w:tc>
          <w:tcPr>
            <w:tcW w:w="1920" w:type="dxa"/>
            <w:vMerge/>
          </w:tcPr>
          <w:p w:rsidR="002861EB" w:rsidRDefault="002861EB" w:rsidP="003C11FE"/>
        </w:tc>
        <w:tc>
          <w:tcPr>
            <w:tcW w:w="1559" w:type="dxa"/>
          </w:tcPr>
          <w:p w:rsidR="002861EB" w:rsidRDefault="002861EB" w:rsidP="003C11FE">
            <w:pPr>
              <w:jc w:val="center"/>
            </w:pPr>
            <w:r>
              <w:t>Grade 4</w:t>
            </w:r>
          </w:p>
        </w:tc>
        <w:tc>
          <w:tcPr>
            <w:tcW w:w="1984" w:type="dxa"/>
          </w:tcPr>
          <w:p w:rsidR="002861EB" w:rsidRDefault="002861EB" w:rsidP="003C11FE">
            <w:pPr>
              <w:jc w:val="center"/>
            </w:pPr>
            <w:r>
              <w:t>&gt;5.0x ULN</w:t>
            </w:r>
          </w:p>
        </w:tc>
        <w:tc>
          <w:tcPr>
            <w:tcW w:w="1701" w:type="dxa"/>
          </w:tcPr>
          <w:p w:rsidR="002861EB" w:rsidRPr="000C1D46" w:rsidRDefault="002861EB" w:rsidP="003C11FE">
            <w:pPr>
              <w:jc w:val="center"/>
            </w:pPr>
            <w:r w:rsidRPr="000C1D46">
              <w:t>0.3 (1/352)</w:t>
            </w:r>
          </w:p>
        </w:tc>
        <w:tc>
          <w:tcPr>
            <w:tcW w:w="1584" w:type="dxa"/>
          </w:tcPr>
          <w:p w:rsidR="002861EB" w:rsidRPr="000C1D46" w:rsidRDefault="002861EB" w:rsidP="003C11FE">
            <w:pPr>
              <w:jc w:val="center"/>
            </w:pPr>
            <w:r w:rsidRPr="000C1D46">
              <w:t>0.3 (1/350)</w:t>
            </w:r>
          </w:p>
        </w:tc>
      </w:tr>
      <w:tr w:rsidR="002861EB" w:rsidRPr="00C44FC7" w:rsidTr="003C11FE">
        <w:tc>
          <w:tcPr>
            <w:tcW w:w="1920" w:type="dxa"/>
            <w:vMerge w:val="restart"/>
          </w:tcPr>
          <w:p w:rsidR="002861EB" w:rsidRDefault="002861EB" w:rsidP="003C11FE">
            <w:r>
              <w:t>Absolute neutrophil count</w:t>
            </w:r>
          </w:p>
        </w:tc>
        <w:tc>
          <w:tcPr>
            <w:tcW w:w="1559" w:type="dxa"/>
          </w:tcPr>
          <w:p w:rsidR="002861EB" w:rsidRPr="00D46705" w:rsidRDefault="002861EB" w:rsidP="003C11FE">
            <w:pPr>
              <w:jc w:val="center"/>
            </w:pPr>
            <w:r>
              <w:t>Grade 3</w:t>
            </w:r>
          </w:p>
        </w:tc>
        <w:tc>
          <w:tcPr>
            <w:tcW w:w="1984" w:type="dxa"/>
          </w:tcPr>
          <w:p w:rsidR="002861EB" w:rsidRDefault="002861EB" w:rsidP="003C11FE">
            <w:pPr>
              <w:jc w:val="center"/>
            </w:pPr>
            <w:r>
              <w:t>0.5 to 0.749</w:t>
            </w:r>
          </w:p>
        </w:tc>
        <w:tc>
          <w:tcPr>
            <w:tcW w:w="1701" w:type="dxa"/>
          </w:tcPr>
          <w:p w:rsidR="002861EB" w:rsidRPr="000C1D46" w:rsidRDefault="002861EB" w:rsidP="003C11FE">
            <w:pPr>
              <w:jc w:val="center"/>
            </w:pPr>
            <w:r w:rsidRPr="000C1D46">
              <w:t>4.3 (15/352)</w:t>
            </w:r>
          </w:p>
        </w:tc>
        <w:tc>
          <w:tcPr>
            <w:tcW w:w="1584" w:type="dxa"/>
          </w:tcPr>
          <w:p w:rsidR="002861EB" w:rsidRPr="000C1D46" w:rsidRDefault="002861EB" w:rsidP="003C11FE">
            <w:pPr>
              <w:jc w:val="center"/>
            </w:pPr>
            <w:r w:rsidRPr="000C1D46">
              <w:t>4.0 (14/349)</w:t>
            </w:r>
          </w:p>
        </w:tc>
      </w:tr>
      <w:tr w:rsidR="002861EB" w:rsidRPr="00C44FC7" w:rsidTr="003C11FE">
        <w:tc>
          <w:tcPr>
            <w:tcW w:w="1920" w:type="dxa"/>
            <w:vMerge/>
          </w:tcPr>
          <w:p w:rsidR="002861EB" w:rsidRDefault="002861EB" w:rsidP="003C11FE"/>
        </w:tc>
        <w:tc>
          <w:tcPr>
            <w:tcW w:w="1559" w:type="dxa"/>
          </w:tcPr>
          <w:p w:rsidR="002861EB" w:rsidRPr="00D46705" w:rsidRDefault="002861EB" w:rsidP="003C11FE">
            <w:pPr>
              <w:jc w:val="center"/>
            </w:pPr>
            <w:r>
              <w:t>Grade 4</w:t>
            </w:r>
          </w:p>
        </w:tc>
        <w:tc>
          <w:tcPr>
            <w:tcW w:w="1984" w:type="dxa"/>
          </w:tcPr>
          <w:p w:rsidR="002861EB" w:rsidRPr="00D46705" w:rsidRDefault="002861EB" w:rsidP="003C11FE">
            <w:pPr>
              <w:jc w:val="center"/>
            </w:pPr>
            <w:r>
              <w:t>&lt;0.5</w:t>
            </w:r>
          </w:p>
        </w:tc>
        <w:tc>
          <w:tcPr>
            <w:tcW w:w="1701" w:type="dxa"/>
          </w:tcPr>
          <w:p w:rsidR="002861EB" w:rsidRPr="000C1D46" w:rsidRDefault="002861EB" w:rsidP="003C11FE">
            <w:pPr>
              <w:jc w:val="center"/>
            </w:pPr>
            <w:r w:rsidRPr="000C1D46">
              <w:t>1.4 (5/352)</w:t>
            </w:r>
          </w:p>
        </w:tc>
        <w:tc>
          <w:tcPr>
            <w:tcW w:w="1584" w:type="dxa"/>
          </w:tcPr>
          <w:p w:rsidR="002861EB" w:rsidRPr="000C1D46" w:rsidRDefault="002861EB" w:rsidP="003C11FE">
            <w:pPr>
              <w:jc w:val="center"/>
            </w:pPr>
            <w:r w:rsidRPr="000C1D46">
              <w:t>0.9 (3/349)</w:t>
            </w:r>
          </w:p>
        </w:tc>
      </w:tr>
      <w:tr w:rsidR="002861EB" w:rsidRPr="00C44FC7" w:rsidTr="003C11FE">
        <w:tc>
          <w:tcPr>
            <w:tcW w:w="1920" w:type="dxa"/>
            <w:vMerge w:val="restart"/>
          </w:tcPr>
          <w:p w:rsidR="002861EB" w:rsidRDefault="002861EB" w:rsidP="003C11FE">
            <w:r>
              <w:t>Haemoglobin</w:t>
            </w:r>
          </w:p>
        </w:tc>
        <w:tc>
          <w:tcPr>
            <w:tcW w:w="1559" w:type="dxa"/>
          </w:tcPr>
          <w:p w:rsidR="002861EB" w:rsidRDefault="002861EB" w:rsidP="003C11FE">
            <w:pPr>
              <w:jc w:val="center"/>
            </w:pPr>
            <w:r>
              <w:t>Grade 3</w:t>
            </w:r>
          </w:p>
        </w:tc>
        <w:tc>
          <w:tcPr>
            <w:tcW w:w="1984" w:type="dxa"/>
          </w:tcPr>
          <w:p w:rsidR="002861EB" w:rsidRPr="00D46705" w:rsidRDefault="002861EB" w:rsidP="003C11FE">
            <w:pPr>
              <w:jc w:val="center"/>
            </w:pPr>
            <w:r>
              <w:t>6.5 to 6.9</w:t>
            </w:r>
          </w:p>
        </w:tc>
        <w:tc>
          <w:tcPr>
            <w:tcW w:w="1701" w:type="dxa"/>
          </w:tcPr>
          <w:p w:rsidR="002861EB" w:rsidRPr="000C1D46" w:rsidRDefault="002861EB" w:rsidP="003C11FE">
            <w:pPr>
              <w:jc w:val="center"/>
            </w:pPr>
            <w:r w:rsidRPr="000C1D46">
              <w:t>0.6 (2/352)</w:t>
            </w:r>
          </w:p>
        </w:tc>
        <w:tc>
          <w:tcPr>
            <w:tcW w:w="1584" w:type="dxa"/>
          </w:tcPr>
          <w:p w:rsidR="002861EB" w:rsidRPr="000C1D46" w:rsidRDefault="002861EB" w:rsidP="003C11FE">
            <w:pPr>
              <w:jc w:val="center"/>
            </w:pPr>
            <w:r w:rsidRPr="000C1D46">
              <w:t>0.6 (2/350)</w:t>
            </w:r>
          </w:p>
        </w:tc>
      </w:tr>
      <w:tr w:rsidR="002861EB" w:rsidRPr="00C44FC7" w:rsidTr="003C11FE">
        <w:tc>
          <w:tcPr>
            <w:tcW w:w="1920" w:type="dxa"/>
            <w:vMerge/>
          </w:tcPr>
          <w:p w:rsidR="002861EB" w:rsidRDefault="002861EB" w:rsidP="003C11FE"/>
        </w:tc>
        <w:tc>
          <w:tcPr>
            <w:tcW w:w="1559" w:type="dxa"/>
          </w:tcPr>
          <w:p w:rsidR="002861EB" w:rsidRDefault="002861EB" w:rsidP="003C11FE">
            <w:pPr>
              <w:jc w:val="center"/>
            </w:pPr>
            <w:r>
              <w:t>Grade 4</w:t>
            </w:r>
          </w:p>
        </w:tc>
        <w:tc>
          <w:tcPr>
            <w:tcW w:w="1984" w:type="dxa"/>
          </w:tcPr>
          <w:p w:rsidR="002861EB" w:rsidRDefault="002861EB" w:rsidP="003C11FE">
            <w:pPr>
              <w:jc w:val="center"/>
            </w:pPr>
            <w:r>
              <w:t>&lt;6.5</w:t>
            </w:r>
          </w:p>
        </w:tc>
        <w:tc>
          <w:tcPr>
            <w:tcW w:w="1701" w:type="dxa"/>
          </w:tcPr>
          <w:p w:rsidR="002861EB" w:rsidRDefault="002861EB" w:rsidP="003C11FE">
            <w:pPr>
              <w:jc w:val="center"/>
            </w:pPr>
            <w:r>
              <w:t>2.3 (8/352)</w:t>
            </w:r>
          </w:p>
        </w:tc>
        <w:tc>
          <w:tcPr>
            <w:tcW w:w="1584" w:type="dxa"/>
          </w:tcPr>
          <w:p w:rsidR="002861EB" w:rsidRDefault="002861EB" w:rsidP="003C11FE">
            <w:pPr>
              <w:jc w:val="center"/>
            </w:pPr>
            <w:r>
              <w:t>1.7 (6/350)</w:t>
            </w:r>
          </w:p>
        </w:tc>
      </w:tr>
    </w:tbl>
    <w:p w:rsidR="0048717C" w:rsidRPr="00606893" w:rsidRDefault="0048717C" w:rsidP="0048717C">
      <w:pPr>
        <w:ind w:left="-180"/>
        <w:rPr>
          <w:sz w:val="20"/>
          <w:szCs w:val="20"/>
        </w:rPr>
      </w:pPr>
      <w:r w:rsidRPr="00606893">
        <w:rPr>
          <w:sz w:val="20"/>
          <w:szCs w:val="20"/>
        </w:rPr>
        <w:t>*</w:t>
      </w:r>
      <w:r>
        <w:rPr>
          <w:sz w:val="20"/>
          <w:szCs w:val="20"/>
        </w:rPr>
        <w:t xml:space="preserve">N = total number of </w:t>
      </w:r>
      <w:r w:rsidR="00551A77">
        <w:rPr>
          <w:sz w:val="20"/>
          <w:szCs w:val="20"/>
        </w:rPr>
        <w:t>patients</w:t>
      </w:r>
      <w:r>
        <w:rPr>
          <w:sz w:val="20"/>
          <w:szCs w:val="20"/>
        </w:rPr>
        <w:t xml:space="preserve"> evaluable for laboratory abnormalities.</w:t>
      </w:r>
    </w:p>
    <w:p w:rsidR="0048717C" w:rsidRPr="00606893" w:rsidRDefault="0048717C" w:rsidP="00AB4376">
      <w:pPr>
        <w:spacing w:before="240" w:after="240"/>
        <w:rPr>
          <w:sz w:val="20"/>
          <w:szCs w:val="20"/>
        </w:rPr>
      </w:pPr>
      <w:r w:rsidRPr="00606893">
        <w:rPr>
          <w:sz w:val="20"/>
          <w:szCs w:val="20"/>
        </w:rPr>
        <w:lastRenderedPageBreak/>
        <w:t>Percentages based on total patients evaluated for each laboratory parameter</w:t>
      </w:r>
      <w:r>
        <w:rPr>
          <w:sz w:val="20"/>
          <w:szCs w:val="20"/>
        </w:rPr>
        <w:t>. If the same subject in a given treatment group had &gt;1 occurrence of the same abnormality, only the most severe is counted.</w:t>
      </w:r>
    </w:p>
    <w:p w:rsidR="0048717C" w:rsidRDefault="0048717C" w:rsidP="00AB4376">
      <w:pPr>
        <w:pStyle w:val="Heading3"/>
      </w:pPr>
      <w:r w:rsidRPr="00243624">
        <w:t>Less Common Adverse Events</w:t>
      </w:r>
      <w:r>
        <w:t xml:space="preserve"> in Clinical </w:t>
      </w:r>
      <w:r w:rsidR="002372EB">
        <w:t>T</w:t>
      </w:r>
      <w:r>
        <w:t>rials</w:t>
      </w:r>
    </w:p>
    <w:p w:rsidR="0048717C" w:rsidRPr="00243624" w:rsidRDefault="0048717C" w:rsidP="00AB4376">
      <w:pPr>
        <w:autoSpaceDE w:val="0"/>
        <w:autoSpaceDN w:val="0"/>
        <w:adjustRightInd w:val="0"/>
        <w:spacing w:before="240" w:after="240"/>
        <w:jc w:val="both"/>
        <w:rPr>
          <w:rFonts w:eastAsia="Times New Roman"/>
          <w:lang w:eastAsia="en-AU"/>
        </w:rPr>
      </w:pPr>
      <w:r w:rsidRPr="00243624">
        <w:rPr>
          <w:rFonts w:eastAsia="Times New Roman"/>
          <w:lang w:eastAsia="en-AU"/>
        </w:rPr>
        <w:t>The following adverse events</w:t>
      </w:r>
      <w:r>
        <w:rPr>
          <w:rFonts w:eastAsia="Times New Roman"/>
          <w:lang w:eastAsia="en-AU"/>
        </w:rPr>
        <w:t xml:space="preserve"> occurred in &lt;2% of CELSENTRI</w:t>
      </w:r>
      <w:r w:rsidRPr="00243624">
        <w:rPr>
          <w:rFonts w:eastAsia="Times New Roman"/>
          <w:lang w:eastAsia="en-AU"/>
        </w:rPr>
        <w:t xml:space="preserve">-treated patients. These events have been included because of their seriousness and either </w:t>
      </w:r>
      <w:r>
        <w:rPr>
          <w:rFonts w:eastAsia="Times New Roman"/>
          <w:lang w:eastAsia="en-AU"/>
        </w:rPr>
        <w:t>increased frequency on CELSENTRI</w:t>
      </w:r>
      <w:r w:rsidRPr="00243624">
        <w:rPr>
          <w:rFonts w:eastAsia="Times New Roman"/>
          <w:lang w:eastAsia="en-AU"/>
        </w:rPr>
        <w:t xml:space="preserve"> or are potential risks due to the mechanism of action. Events attributed to the patient’s underlying HIV infection are not listed.</w:t>
      </w:r>
    </w:p>
    <w:p w:rsidR="0048717C" w:rsidRPr="00C35111" w:rsidRDefault="0048717C" w:rsidP="00AB4376">
      <w:pPr>
        <w:autoSpaceDE w:val="0"/>
        <w:autoSpaceDN w:val="0"/>
        <w:adjustRightInd w:val="0"/>
        <w:spacing w:before="240" w:after="240"/>
        <w:jc w:val="both"/>
        <w:rPr>
          <w:rFonts w:eastAsia="Times New Roman"/>
          <w:lang w:eastAsia="en-AU"/>
        </w:rPr>
      </w:pPr>
      <w:r>
        <w:rPr>
          <w:rFonts w:eastAsia="Times New Roman"/>
          <w:b/>
          <w:lang w:eastAsia="en-AU"/>
        </w:rPr>
        <w:t xml:space="preserve">Blood and Lymphatic System: </w:t>
      </w:r>
      <w:r>
        <w:rPr>
          <w:rFonts w:eastAsia="Times New Roman"/>
          <w:lang w:eastAsia="en-AU"/>
        </w:rPr>
        <w:t>m</w:t>
      </w:r>
      <w:r w:rsidRPr="00C35111">
        <w:rPr>
          <w:rFonts w:eastAsia="Times New Roman"/>
          <w:lang w:eastAsia="en-AU"/>
        </w:rPr>
        <w:t xml:space="preserve">arrow depression and </w:t>
      </w:r>
      <w:proofErr w:type="spellStart"/>
      <w:r w:rsidRPr="00C35111">
        <w:rPr>
          <w:rFonts w:eastAsia="Times New Roman"/>
          <w:lang w:eastAsia="en-AU"/>
        </w:rPr>
        <w:t>hypoplastic</w:t>
      </w:r>
      <w:proofErr w:type="spellEnd"/>
      <w:r w:rsidRPr="00C35111">
        <w:rPr>
          <w:rFonts w:eastAsia="Times New Roman"/>
          <w:lang w:eastAsia="en-AU"/>
        </w:rPr>
        <w:t xml:space="preserve"> anaemia</w:t>
      </w:r>
    </w:p>
    <w:p w:rsidR="0048717C" w:rsidRPr="00243624" w:rsidRDefault="0048717C" w:rsidP="00AB4376">
      <w:pPr>
        <w:autoSpaceDE w:val="0"/>
        <w:autoSpaceDN w:val="0"/>
        <w:adjustRightInd w:val="0"/>
        <w:spacing w:before="240" w:after="240"/>
        <w:jc w:val="both"/>
        <w:rPr>
          <w:rFonts w:eastAsia="Times New Roman"/>
          <w:lang w:eastAsia="en-AU"/>
        </w:rPr>
      </w:pPr>
      <w:r w:rsidRPr="00C35111">
        <w:rPr>
          <w:rFonts w:eastAsia="Times New Roman"/>
          <w:b/>
          <w:lang w:eastAsia="en-AU"/>
        </w:rPr>
        <w:t>Cardiac Disorders:</w:t>
      </w:r>
      <w:r w:rsidRPr="00243624">
        <w:rPr>
          <w:rFonts w:eastAsia="Times New Roman"/>
          <w:lang w:eastAsia="en-AU"/>
        </w:rPr>
        <w:t xml:space="preserve"> unstable angina, acute cardiac failure, coronary artery disease, coronary artery occlusion, myocardial infarction, myocardial isch</w:t>
      </w:r>
      <w:r>
        <w:rPr>
          <w:rFonts w:eastAsia="Times New Roman"/>
          <w:lang w:eastAsia="en-AU"/>
        </w:rPr>
        <w:t>e</w:t>
      </w:r>
      <w:r w:rsidRPr="00243624">
        <w:rPr>
          <w:rFonts w:eastAsia="Times New Roman"/>
          <w:lang w:eastAsia="en-AU"/>
        </w:rPr>
        <w:t>mia</w:t>
      </w:r>
    </w:p>
    <w:p w:rsidR="0048717C" w:rsidRPr="005624C9" w:rsidRDefault="0048717C" w:rsidP="00AB4376">
      <w:pPr>
        <w:autoSpaceDE w:val="0"/>
        <w:autoSpaceDN w:val="0"/>
        <w:adjustRightInd w:val="0"/>
        <w:spacing w:before="240" w:after="240"/>
        <w:jc w:val="both"/>
        <w:rPr>
          <w:rFonts w:eastAsia="Times New Roman"/>
          <w:lang w:eastAsia="en-AU"/>
        </w:rPr>
      </w:pPr>
      <w:proofErr w:type="spellStart"/>
      <w:r w:rsidRPr="00C35111">
        <w:rPr>
          <w:rFonts w:eastAsia="Times New Roman"/>
          <w:b/>
          <w:lang w:eastAsia="en-AU"/>
        </w:rPr>
        <w:t>Hepatobiliary</w:t>
      </w:r>
      <w:proofErr w:type="spellEnd"/>
      <w:r w:rsidRPr="00C35111">
        <w:rPr>
          <w:rFonts w:eastAsia="Times New Roman"/>
          <w:b/>
          <w:lang w:eastAsia="en-AU"/>
        </w:rPr>
        <w:t xml:space="preserve"> </w:t>
      </w:r>
      <w:r w:rsidRPr="005624C9">
        <w:rPr>
          <w:rFonts w:eastAsia="Times New Roman"/>
          <w:b/>
          <w:lang w:eastAsia="en-AU"/>
        </w:rPr>
        <w:t>Disorders</w:t>
      </w:r>
      <w:r w:rsidRPr="005624C9">
        <w:rPr>
          <w:rFonts w:eastAsia="Times New Roman"/>
          <w:b/>
          <w:bCs/>
          <w:lang w:eastAsia="en-AU"/>
        </w:rPr>
        <w:t xml:space="preserve">: </w:t>
      </w:r>
      <w:r w:rsidRPr="005624C9">
        <w:rPr>
          <w:rFonts w:eastAsia="Times New Roman"/>
          <w:lang w:eastAsia="en-AU"/>
        </w:rPr>
        <w:t xml:space="preserve">hepatic cirrhosis, hepatic failure, </w:t>
      </w:r>
      <w:proofErr w:type="spellStart"/>
      <w:r w:rsidRPr="005624C9">
        <w:rPr>
          <w:rFonts w:eastAsia="Times New Roman"/>
          <w:lang w:eastAsia="en-AU"/>
        </w:rPr>
        <w:t>cholestatic</w:t>
      </w:r>
      <w:proofErr w:type="spellEnd"/>
      <w:r w:rsidRPr="005624C9">
        <w:rPr>
          <w:rFonts w:eastAsia="Times New Roman"/>
          <w:lang w:eastAsia="en-AU"/>
        </w:rPr>
        <w:t xml:space="preserve"> jaundice, portal vein thrombosis</w:t>
      </w:r>
      <w:r w:rsidR="00767457" w:rsidRPr="005624C9">
        <w:rPr>
          <w:rFonts w:eastAsia="Times New Roman"/>
          <w:lang w:eastAsia="en-AU"/>
        </w:rPr>
        <w:t xml:space="preserve">, </w:t>
      </w:r>
      <w:proofErr w:type="spellStart"/>
      <w:r w:rsidR="00767457" w:rsidRPr="005624C9">
        <w:rPr>
          <w:rFonts w:eastAsia="Times New Roman"/>
          <w:lang w:eastAsia="en-AU"/>
        </w:rPr>
        <w:t>hypertransaminaseamia</w:t>
      </w:r>
      <w:proofErr w:type="spellEnd"/>
      <w:r w:rsidR="00767457" w:rsidRPr="005624C9">
        <w:rPr>
          <w:rFonts w:eastAsia="Times New Roman"/>
          <w:lang w:eastAsia="en-AU"/>
        </w:rPr>
        <w:t xml:space="preserve">, </w:t>
      </w:r>
      <w:r w:rsidR="00573F92" w:rsidRPr="005624C9">
        <w:rPr>
          <w:rFonts w:eastAsia="Times New Roman"/>
          <w:lang w:eastAsia="en-AU"/>
        </w:rPr>
        <w:t>jaundice</w:t>
      </w:r>
    </w:p>
    <w:p w:rsidR="0048717C" w:rsidRPr="005624C9" w:rsidRDefault="0048717C" w:rsidP="00AB4376">
      <w:pPr>
        <w:autoSpaceDE w:val="0"/>
        <w:autoSpaceDN w:val="0"/>
        <w:adjustRightInd w:val="0"/>
        <w:spacing w:before="240" w:after="240"/>
        <w:jc w:val="both"/>
        <w:rPr>
          <w:rFonts w:eastAsia="Times New Roman"/>
          <w:lang w:eastAsia="en-AU"/>
        </w:rPr>
      </w:pPr>
      <w:r w:rsidRPr="005624C9">
        <w:rPr>
          <w:rFonts w:eastAsia="Times New Roman"/>
          <w:b/>
          <w:lang w:eastAsia="en-AU"/>
        </w:rPr>
        <w:t>Infections and Infestations</w:t>
      </w:r>
      <w:r w:rsidRPr="005624C9">
        <w:rPr>
          <w:rFonts w:eastAsia="Times New Roman"/>
          <w:b/>
          <w:bCs/>
          <w:lang w:eastAsia="en-AU"/>
        </w:rPr>
        <w:t xml:space="preserve">: </w:t>
      </w:r>
      <w:proofErr w:type="spellStart"/>
      <w:r w:rsidRPr="005624C9">
        <w:rPr>
          <w:rFonts w:eastAsia="Times New Roman"/>
          <w:bCs/>
          <w:lang w:eastAsia="en-AU"/>
        </w:rPr>
        <w:t>endocarditis</w:t>
      </w:r>
      <w:proofErr w:type="spellEnd"/>
      <w:r w:rsidRPr="005624C9">
        <w:rPr>
          <w:rFonts w:eastAsia="Times New Roman"/>
          <w:bCs/>
          <w:lang w:eastAsia="en-AU"/>
        </w:rPr>
        <w:t xml:space="preserve">, infective </w:t>
      </w:r>
      <w:proofErr w:type="spellStart"/>
      <w:r w:rsidRPr="005624C9">
        <w:rPr>
          <w:rFonts w:eastAsia="Times New Roman"/>
          <w:bCs/>
          <w:lang w:eastAsia="en-AU"/>
        </w:rPr>
        <w:t>myositis</w:t>
      </w:r>
      <w:proofErr w:type="spellEnd"/>
      <w:r w:rsidRPr="005624C9">
        <w:rPr>
          <w:rFonts w:eastAsia="Times New Roman"/>
          <w:bCs/>
          <w:lang w:eastAsia="en-AU"/>
        </w:rPr>
        <w:t xml:space="preserve">, </w:t>
      </w:r>
      <w:r w:rsidRPr="005624C9">
        <w:rPr>
          <w:rFonts w:eastAsia="Times New Roman"/>
          <w:lang w:eastAsia="en-AU"/>
        </w:rPr>
        <w:t xml:space="preserve">viral meningitis, pneumonia, </w:t>
      </w:r>
      <w:proofErr w:type="spellStart"/>
      <w:r w:rsidRPr="005624C9">
        <w:rPr>
          <w:rFonts w:eastAsia="Times New Roman"/>
          <w:lang w:eastAsia="en-AU"/>
        </w:rPr>
        <w:t>treponema</w:t>
      </w:r>
      <w:proofErr w:type="spellEnd"/>
      <w:r w:rsidRPr="005624C9">
        <w:rPr>
          <w:rFonts w:eastAsia="Times New Roman"/>
          <w:lang w:eastAsia="en-AU"/>
        </w:rPr>
        <w:t xml:space="preserve"> infections, septic shock</w:t>
      </w:r>
      <w:r w:rsidR="00504883" w:rsidRPr="005624C9">
        <w:rPr>
          <w:rFonts w:eastAsia="Times New Roman"/>
          <w:lang w:eastAsia="en-AU"/>
        </w:rPr>
        <w:t>,</w:t>
      </w:r>
      <w:r w:rsidR="00504883" w:rsidRPr="005624C9">
        <w:rPr>
          <w:rFonts w:eastAsia="Times New Roman"/>
          <w:i/>
          <w:lang w:eastAsia="en-AU"/>
        </w:rPr>
        <w:t xml:space="preserve"> Clostridium </w:t>
      </w:r>
      <w:proofErr w:type="spellStart"/>
      <w:r w:rsidR="00504883" w:rsidRPr="005624C9">
        <w:rPr>
          <w:rFonts w:eastAsia="Times New Roman"/>
          <w:lang w:eastAsia="en-AU"/>
        </w:rPr>
        <w:t>difficile</w:t>
      </w:r>
      <w:proofErr w:type="spellEnd"/>
      <w:r w:rsidR="00504883" w:rsidRPr="005624C9">
        <w:rPr>
          <w:rFonts w:eastAsia="Times New Roman"/>
          <w:lang w:eastAsia="en-AU"/>
        </w:rPr>
        <w:t xml:space="preserve"> colitis, meningitis</w:t>
      </w:r>
    </w:p>
    <w:p w:rsidR="0048717C" w:rsidRPr="005624C9" w:rsidRDefault="0048717C" w:rsidP="00AB4376">
      <w:pPr>
        <w:autoSpaceDE w:val="0"/>
        <w:autoSpaceDN w:val="0"/>
        <w:adjustRightInd w:val="0"/>
        <w:spacing w:before="240" w:after="240"/>
        <w:jc w:val="both"/>
        <w:rPr>
          <w:rFonts w:eastAsia="Times New Roman"/>
          <w:lang w:eastAsia="en-AU"/>
        </w:rPr>
      </w:pPr>
      <w:r w:rsidRPr="005624C9">
        <w:rPr>
          <w:rFonts w:eastAsia="Times New Roman"/>
          <w:b/>
          <w:lang w:eastAsia="en-AU"/>
        </w:rPr>
        <w:t>Musculoskeletal and Connective Tissue Disorders</w:t>
      </w:r>
      <w:r w:rsidRPr="005624C9">
        <w:rPr>
          <w:rFonts w:eastAsia="Times New Roman"/>
          <w:b/>
          <w:bCs/>
          <w:lang w:eastAsia="en-AU"/>
        </w:rPr>
        <w:t xml:space="preserve">: </w:t>
      </w:r>
      <w:proofErr w:type="spellStart"/>
      <w:r w:rsidRPr="005624C9">
        <w:rPr>
          <w:rFonts w:eastAsia="Times New Roman"/>
          <w:lang w:eastAsia="en-AU"/>
        </w:rPr>
        <w:t>myositis</w:t>
      </w:r>
      <w:proofErr w:type="spellEnd"/>
      <w:r w:rsidRPr="005624C9">
        <w:rPr>
          <w:rFonts w:eastAsia="Times New Roman"/>
          <w:lang w:eastAsia="en-AU"/>
        </w:rPr>
        <w:t xml:space="preserve">, </w:t>
      </w:r>
      <w:proofErr w:type="spellStart"/>
      <w:r w:rsidRPr="005624C9">
        <w:rPr>
          <w:rFonts w:eastAsia="Times New Roman"/>
          <w:lang w:eastAsia="en-AU"/>
        </w:rPr>
        <w:t>osteonecrosis</w:t>
      </w:r>
      <w:proofErr w:type="spellEnd"/>
      <w:r w:rsidRPr="005624C9">
        <w:rPr>
          <w:rFonts w:eastAsia="Times New Roman"/>
          <w:lang w:eastAsia="en-AU"/>
        </w:rPr>
        <w:t xml:space="preserve">, </w:t>
      </w:r>
      <w:proofErr w:type="spellStart"/>
      <w:r w:rsidRPr="005624C9">
        <w:rPr>
          <w:rFonts w:eastAsia="Times New Roman"/>
          <w:lang w:eastAsia="en-AU"/>
        </w:rPr>
        <w:t>rhabdomyolysis</w:t>
      </w:r>
      <w:proofErr w:type="spellEnd"/>
      <w:r w:rsidRPr="005624C9">
        <w:rPr>
          <w:rFonts w:eastAsia="Times New Roman"/>
          <w:lang w:eastAsia="en-AU"/>
        </w:rPr>
        <w:t>, blood CK increased</w:t>
      </w:r>
    </w:p>
    <w:p w:rsidR="0048717C" w:rsidRPr="005624C9" w:rsidRDefault="0048717C" w:rsidP="00AB4376">
      <w:pPr>
        <w:autoSpaceDE w:val="0"/>
        <w:autoSpaceDN w:val="0"/>
        <w:adjustRightInd w:val="0"/>
        <w:spacing w:before="240" w:after="240"/>
        <w:jc w:val="both"/>
        <w:rPr>
          <w:rFonts w:eastAsia="Times New Roman"/>
          <w:lang w:eastAsia="en-AU"/>
        </w:rPr>
      </w:pPr>
      <w:proofErr w:type="spellStart"/>
      <w:r w:rsidRPr="005624C9">
        <w:rPr>
          <w:rFonts w:eastAsia="Times New Roman"/>
          <w:b/>
          <w:lang w:eastAsia="en-AU"/>
        </w:rPr>
        <w:t>Neoplasms</w:t>
      </w:r>
      <w:proofErr w:type="spellEnd"/>
      <w:r w:rsidRPr="005624C9">
        <w:rPr>
          <w:rFonts w:eastAsia="Times New Roman"/>
          <w:b/>
          <w:lang w:eastAsia="en-AU"/>
        </w:rPr>
        <w:t xml:space="preserve"> benign, Malignant and Unspecified (including Cysts and Polyps)</w:t>
      </w:r>
      <w:r w:rsidRPr="005624C9">
        <w:rPr>
          <w:rFonts w:eastAsia="Times New Roman"/>
          <w:b/>
          <w:bCs/>
          <w:lang w:eastAsia="en-AU"/>
        </w:rPr>
        <w:t>:</w:t>
      </w:r>
      <w:r w:rsidRPr="005624C9">
        <w:rPr>
          <w:rFonts w:eastAsia="Times New Roman"/>
          <w:lang w:eastAsia="en-AU"/>
        </w:rPr>
        <w:t xml:space="preserve"> </w:t>
      </w:r>
      <w:r w:rsidR="00AE1B2C" w:rsidRPr="005624C9">
        <w:rPr>
          <w:rFonts w:eastAsia="Times New Roman"/>
          <w:lang w:eastAsia="en-AU"/>
        </w:rPr>
        <w:t xml:space="preserve">abdominal </w:t>
      </w:r>
      <w:proofErr w:type="spellStart"/>
      <w:r w:rsidR="00AE1B2C" w:rsidRPr="005624C9">
        <w:rPr>
          <w:rFonts w:eastAsia="Times New Roman"/>
          <w:lang w:eastAsia="en-AU"/>
        </w:rPr>
        <w:t>neoplasia</w:t>
      </w:r>
      <w:proofErr w:type="spellEnd"/>
      <w:r w:rsidR="00AE1B2C" w:rsidRPr="005624C9">
        <w:rPr>
          <w:rFonts w:eastAsia="Times New Roman"/>
          <w:lang w:eastAsia="en-AU"/>
        </w:rPr>
        <w:t xml:space="preserve">, </w:t>
      </w:r>
      <w:r w:rsidRPr="005624C9">
        <w:rPr>
          <w:rFonts w:eastAsia="Times New Roman"/>
          <w:lang w:eastAsia="en-AU"/>
        </w:rPr>
        <w:t xml:space="preserve">anal cancer, </w:t>
      </w:r>
      <w:r w:rsidR="00AE1B2C" w:rsidRPr="005624C9">
        <w:rPr>
          <w:rFonts w:eastAsia="Times New Roman"/>
          <w:lang w:eastAsia="en-AU"/>
        </w:rPr>
        <w:t xml:space="preserve">basal cell carcinoma, Bowen’s disease, </w:t>
      </w:r>
      <w:proofErr w:type="spellStart"/>
      <w:r w:rsidR="00AE1B2C" w:rsidRPr="005624C9">
        <w:rPr>
          <w:rFonts w:eastAsia="Times New Roman"/>
          <w:lang w:eastAsia="en-AU"/>
        </w:rPr>
        <w:t>cholangiocarcinoma</w:t>
      </w:r>
      <w:proofErr w:type="spellEnd"/>
      <w:r w:rsidR="00AE1B2C" w:rsidRPr="005624C9">
        <w:rPr>
          <w:rFonts w:eastAsia="Times New Roman"/>
          <w:lang w:eastAsia="en-AU"/>
        </w:rPr>
        <w:t xml:space="preserve">, diffuse large B-cell lymphoma, metastases to liver, </w:t>
      </w:r>
      <w:r w:rsidR="00844F90" w:rsidRPr="005624C9">
        <w:rPr>
          <w:rFonts w:eastAsia="Times New Roman"/>
          <w:lang w:eastAsia="en-AU"/>
        </w:rPr>
        <w:t xml:space="preserve">oesophageal carcinoma, nasopharyngeal carcinoma, </w:t>
      </w:r>
      <w:proofErr w:type="spellStart"/>
      <w:r w:rsidR="00844F90" w:rsidRPr="00717664">
        <w:rPr>
          <w:rFonts w:eastAsia="Times New Roman"/>
          <w:lang w:eastAsia="en-AU"/>
        </w:rPr>
        <w:t>squamous</w:t>
      </w:r>
      <w:proofErr w:type="spellEnd"/>
      <w:r w:rsidR="00844F90" w:rsidRPr="00717664">
        <w:rPr>
          <w:rFonts w:eastAsia="Times New Roman"/>
          <w:lang w:eastAsia="en-AU"/>
        </w:rPr>
        <w:t xml:space="preserve"> cell carcinoma,</w:t>
      </w:r>
      <w:r w:rsidR="00213762" w:rsidRPr="00717664">
        <w:rPr>
          <w:rFonts w:eastAsia="Times New Roman"/>
          <w:lang w:eastAsia="en-AU"/>
        </w:rPr>
        <w:t xml:space="preserve"> tongue </w:t>
      </w:r>
      <w:proofErr w:type="spellStart"/>
      <w:r w:rsidR="00213762" w:rsidRPr="00717664">
        <w:rPr>
          <w:rFonts w:eastAsia="Times New Roman"/>
          <w:lang w:eastAsia="en-AU"/>
        </w:rPr>
        <w:t>neoplasia</w:t>
      </w:r>
      <w:proofErr w:type="spellEnd"/>
      <w:r w:rsidR="00213762" w:rsidRPr="00717664">
        <w:rPr>
          <w:rFonts w:eastAsia="Times New Roman"/>
          <w:lang w:eastAsia="en-AU"/>
        </w:rPr>
        <w:t xml:space="preserve"> (malignant stage unspecified), </w:t>
      </w:r>
      <w:proofErr w:type="spellStart"/>
      <w:r w:rsidRPr="00717664">
        <w:rPr>
          <w:rFonts w:eastAsia="Times New Roman"/>
          <w:lang w:eastAsia="en-AU"/>
        </w:rPr>
        <w:t>anaplastic</w:t>
      </w:r>
      <w:proofErr w:type="spellEnd"/>
      <w:r w:rsidRPr="00717664">
        <w:rPr>
          <w:rFonts w:eastAsia="Times New Roman"/>
          <w:lang w:eastAsia="en-AU"/>
        </w:rPr>
        <w:t xml:space="preserve"> large cell lymphomas T- and null-cell types, bile duct </w:t>
      </w:r>
      <w:proofErr w:type="spellStart"/>
      <w:r w:rsidRPr="00717664">
        <w:rPr>
          <w:rFonts w:eastAsia="Times New Roman"/>
          <w:lang w:eastAsia="en-AU"/>
        </w:rPr>
        <w:t>neoplasms</w:t>
      </w:r>
      <w:proofErr w:type="spellEnd"/>
      <w:r w:rsidRPr="00717664">
        <w:rPr>
          <w:rFonts w:eastAsia="Times New Roman"/>
          <w:lang w:eastAsia="en-AU"/>
        </w:rPr>
        <w:t xml:space="preserve"> malignant, endocrine </w:t>
      </w:r>
      <w:proofErr w:type="spellStart"/>
      <w:r w:rsidRPr="00717664">
        <w:rPr>
          <w:rFonts w:eastAsia="Times New Roman"/>
          <w:lang w:eastAsia="en-AU"/>
        </w:rPr>
        <w:t>neoplasms</w:t>
      </w:r>
      <w:proofErr w:type="spellEnd"/>
      <w:r w:rsidRPr="00717664">
        <w:rPr>
          <w:rFonts w:eastAsia="Times New Roman"/>
          <w:lang w:eastAsia="en-AU"/>
        </w:rPr>
        <w:t xml:space="preserve"> malignant and unspecified</w:t>
      </w:r>
      <w:r w:rsidR="00717664">
        <w:rPr>
          <w:rFonts w:eastAsia="Times New Roman"/>
          <w:lang w:eastAsia="en-AU"/>
        </w:rPr>
        <w:t>.</w:t>
      </w:r>
    </w:p>
    <w:p w:rsidR="0048717C" w:rsidRPr="005624C9" w:rsidRDefault="0048717C" w:rsidP="00AB4376">
      <w:pPr>
        <w:autoSpaceDE w:val="0"/>
        <w:autoSpaceDN w:val="0"/>
        <w:adjustRightInd w:val="0"/>
        <w:spacing w:before="240" w:after="240"/>
        <w:rPr>
          <w:rFonts w:eastAsia="Times New Roman"/>
          <w:lang w:eastAsia="en-AU"/>
        </w:rPr>
      </w:pPr>
      <w:r w:rsidRPr="005624C9">
        <w:rPr>
          <w:rFonts w:eastAsia="Times New Roman"/>
          <w:b/>
          <w:lang w:eastAsia="en-AU"/>
        </w:rPr>
        <w:t>Nervous System Disorders</w:t>
      </w:r>
      <w:r w:rsidRPr="005624C9">
        <w:rPr>
          <w:rFonts w:eastAsia="Times New Roman"/>
          <w:b/>
          <w:bCs/>
          <w:lang w:eastAsia="en-AU"/>
        </w:rPr>
        <w:t xml:space="preserve">: </w:t>
      </w:r>
      <w:proofErr w:type="spellStart"/>
      <w:r w:rsidRPr="005624C9">
        <w:rPr>
          <w:rFonts w:eastAsia="Times New Roman"/>
          <w:lang w:eastAsia="en-AU"/>
        </w:rPr>
        <w:t>cerebrovascular</w:t>
      </w:r>
      <w:proofErr w:type="spellEnd"/>
      <w:r w:rsidRPr="005624C9">
        <w:rPr>
          <w:rFonts w:eastAsia="Times New Roman"/>
          <w:lang w:eastAsia="en-AU"/>
        </w:rPr>
        <w:t xml:space="preserve"> accident, convulsions and epilepsy</w:t>
      </w:r>
      <w:r w:rsidR="00C47599">
        <w:rPr>
          <w:rFonts w:eastAsia="Times New Roman"/>
          <w:lang w:eastAsia="en-AU"/>
        </w:rPr>
        <w:t>, tremor (excluding congenital)</w:t>
      </w:r>
    </w:p>
    <w:p w:rsidR="0048717C" w:rsidRDefault="0048717C" w:rsidP="00AB4376">
      <w:pPr>
        <w:spacing w:before="240" w:after="240"/>
        <w:jc w:val="both"/>
        <w:rPr>
          <w:color w:val="000000"/>
        </w:rPr>
      </w:pPr>
      <w:r w:rsidRPr="005624C9">
        <w:rPr>
          <w:color w:val="000000"/>
        </w:rPr>
        <w:t>In HIV infected patients with severe immune deficiency at the time of initiation of combination antiretroviral therapy (CART), an inflammatory reaction to asymptomatic or residual opportunis</w:t>
      </w:r>
      <w:r w:rsidRPr="00EB4A2C">
        <w:rPr>
          <w:color w:val="000000"/>
        </w:rPr>
        <w:t>tic infections may arise (see PRECAUTIONS).</w:t>
      </w:r>
    </w:p>
    <w:p w:rsidR="00B33235" w:rsidRPr="00264006" w:rsidRDefault="00B33235" w:rsidP="00997047">
      <w:pPr>
        <w:spacing w:after="240"/>
        <w:jc w:val="both"/>
        <w:rPr>
          <w:color w:val="000000" w:themeColor="text1"/>
        </w:rPr>
      </w:pPr>
      <w:r w:rsidRPr="00BF28A1">
        <w:rPr>
          <w:color w:val="000000" w:themeColor="text1"/>
        </w:rPr>
        <w:t>Hepatotoxicity and hepatic failure with allergic features have been reported in association with CELSENTRI in clinical trials and post-marketing (see PRECAUTIONS).</w:t>
      </w:r>
      <w:r w:rsidR="00997047" w:rsidRPr="00997047">
        <w:rPr>
          <w:color w:val="000000"/>
          <w:sz w:val="20"/>
          <w:szCs w:val="20"/>
          <w:lang w:eastAsia="en-AU"/>
        </w:rPr>
        <w:t xml:space="preserve"> </w:t>
      </w:r>
    </w:p>
    <w:p w:rsidR="0048717C" w:rsidRPr="0051388B" w:rsidRDefault="0048717C" w:rsidP="004D6F00">
      <w:pPr>
        <w:pStyle w:val="Heading3"/>
      </w:pPr>
      <w:proofErr w:type="spellStart"/>
      <w:r w:rsidRPr="0051388B">
        <w:t>Postmarketing</w:t>
      </w:r>
      <w:proofErr w:type="spellEnd"/>
      <w:r w:rsidRPr="0051388B">
        <w:t xml:space="preserve"> Experience</w:t>
      </w:r>
    </w:p>
    <w:p w:rsidR="0048717C" w:rsidRPr="0051388B" w:rsidRDefault="0048717C" w:rsidP="0048717C">
      <w:pPr>
        <w:spacing w:after="240"/>
        <w:jc w:val="both"/>
        <w:rPr>
          <w:color w:val="000000"/>
        </w:rPr>
      </w:pPr>
      <w:r w:rsidRPr="0051388B">
        <w:rPr>
          <w:color w:val="000000"/>
        </w:rPr>
        <w:t>The following events have been identified during post-approval use of CELSENTRI. Because these reactions are reported voluntarily from a population of unknown size, it is not possible to estimate their frequency or establish a causal relationship to CELSENTRI exposure.</w:t>
      </w:r>
    </w:p>
    <w:p w:rsidR="0048717C" w:rsidRPr="004D6F00" w:rsidRDefault="0048717C" w:rsidP="004D6F00">
      <w:pPr>
        <w:pStyle w:val="Heading3"/>
        <w:rPr>
          <w:i/>
          <w:u w:val="none"/>
        </w:rPr>
      </w:pPr>
      <w:r w:rsidRPr="004D6F00">
        <w:rPr>
          <w:i/>
          <w:u w:val="none"/>
        </w:rPr>
        <w:lastRenderedPageBreak/>
        <w:t>Skin and Subcutaneous Tissue Disorders</w:t>
      </w:r>
    </w:p>
    <w:p w:rsidR="004B65DA" w:rsidRPr="0051388B" w:rsidRDefault="004B65DA" w:rsidP="004B65DA">
      <w:pPr>
        <w:jc w:val="both"/>
        <w:rPr>
          <w:color w:val="000000"/>
        </w:rPr>
      </w:pPr>
      <w:r w:rsidRPr="0051388B">
        <w:rPr>
          <w:color w:val="000000"/>
        </w:rPr>
        <w:t>Severe hypersensitivity reactions including:</w:t>
      </w:r>
    </w:p>
    <w:p w:rsidR="0048717C" w:rsidRPr="0051388B" w:rsidRDefault="0048717C" w:rsidP="004B65DA">
      <w:pPr>
        <w:ind w:firstLine="720"/>
        <w:jc w:val="both"/>
        <w:rPr>
          <w:color w:val="000000"/>
        </w:rPr>
      </w:pPr>
      <w:proofErr w:type="gramStart"/>
      <w:r w:rsidRPr="0051388B">
        <w:rPr>
          <w:color w:val="000000"/>
        </w:rPr>
        <w:t>Stevens-Johnson Syndrome</w:t>
      </w:r>
      <w:proofErr w:type="gramEnd"/>
    </w:p>
    <w:p w:rsidR="00B26F0C" w:rsidRPr="0051388B" w:rsidRDefault="00B26F0C" w:rsidP="004B65DA">
      <w:pPr>
        <w:ind w:firstLine="720"/>
        <w:rPr>
          <w:rFonts w:eastAsia="Times New Roman"/>
          <w:bCs/>
          <w:snapToGrid w:val="0"/>
          <w:lang w:val="en-GB" w:eastAsia="en-US"/>
        </w:rPr>
      </w:pPr>
      <w:r w:rsidRPr="0051388B">
        <w:rPr>
          <w:rFonts w:eastAsia="Times New Roman"/>
          <w:bCs/>
          <w:snapToGrid w:val="0"/>
          <w:lang w:val="en-GB" w:eastAsia="en-US"/>
        </w:rPr>
        <w:t xml:space="preserve">Toxic Epidermal </w:t>
      </w:r>
      <w:proofErr w:type="spellStart"/>
      <w:r w:rsidRPr="0051388B">
        <w:rPr>
          <w:rFonts w:eastAsia="Times New Roman"/>
          <w:bCs/>
          <w:snapToGrid w:val="0"/>
          <w:lang w:val="en-GB" w:eastAsia="en-US"/>
        </w:rPr>
        <w:t>Necrolysis</w:t>
      </w:r>
      <w:proofErr w:type="spellEnd"/>
      <w:r w:rsidRPr="0051388B">
        <w:rPr>
          <w:rFonts w:eastAsia="Times New Roman"/>
          <w:bCs/>
          <w:snapToGrid w:val="0"/>
          <w:lang w:val="en-GB" w:eastAsia="en-US"/>
        </w:rPr>
        <w:t xml:space="preserve"> (TEN)</w:t>
      </w:r>
    </w:p>
    <w:p w:rsidR="00B26F0C" w:rsidRPr="001D620C" w:rsidRDefault="00B26F0C" w:rsidP="004B65DA">
      <w:pPr>
        <w:ind w:firstLine="720"/>
        <w:rPr>
          <w:rFonts w:eastAsia="Times New Roman"/>
          <w:bCs/>
          <w:snapToGrid w:val="0"/>
          <w:lang w:val="en-GB" w:eastAsia="en-US"/>
        </w:rPr>
      </w:pPr>
      <w:r w:rsidRPr="0051388B">
        <w:rPr>
          <w:rFonts w:eastAsia="Times New Roman"/>
          <w:bCs/>
          <w:snapToGrid w:val="0"/>
          <w:lang w:val="en-GB" w:eastAsia="en-US"/>
        </w:rPr>
        <w:t xml:space="preserve">Drug Rash with </w:t>
      </w:r>
      <w:proofErr w:type="spellStart"/>
      <w:r w:rsidRPr="0051388B">
        <w:rPr>
          <w:rFonts w:eastAsia="Times New Roman"/>
          <w:bCs/>
          <w:snapToGrid w:val="0"/>
          <w:lang w:val="en-GB" w:eastAsia="en-US"/>
        </w:rPr>
        <w:t>Eosinophilia</w:t>
      </w:r>
      <w:proofErr w:type="spellEnd"/>
      <w:r w:rsidRPr="0051388B">
        <w:rPr>
          <w:rFonts w:eastAsia="Times New Roman"/>
          <w:bCs/>
          <w:snapToGrid w:val="0"/>
          <w:lang w:val="en-GB" w:eastAsia="en-US"/>
        </w:rPr>
        <w:t xml:space="preserve"> and systemic symptoms (DRESS)</w:t>
      </w:r>
    </w:p>
    <w:p w:rsidR="00E66B00" w:rsidRPr="00E70E9C" w:rsidRDefault="00E66B00" w:rsidP="004D6F00">
      <w:pPr>
        <w:pStyle w:val="Heading1"/>
      </w:pPr>
      <w:r w:rsidRPr="00EB4A2C">
        <w:t>DOSAGE AND ADMINISTRATION</w:t>
      </w:r>
    </w:p>
    <w:p w:rsidR="00E66B00" w:rsidRPr="00E70E9C" w:rsidRDefault="00E66B00" w:rsidP="003F445E">
      <w:pPr>
        <w:autoSpaceDE w:val="0"/>
        <w:autoSpaceDN w:val="0"/>
        <w:adjustRightInd w:val="0"/>
        <w:spacing w:after="240"/>
        <w:jc w:val="both"/>
      </w:pPr>
      <w:r w:rsidRPr="00D00EDA">
        <w:t>Therapy should be initiated by a physician experienced in the management of HIV infection.</w:t>
      </w:r>
    </w:p>
    <w:p w:rsidR="00E66B00" w:rsidRPr="00CA5920" w:rsidRDefault="00E66B00" w:rsidP="003F445E">
      <w:pPr>
        <w:spacing w:after="240"/>
        <w:jc w:val="both"/>
      </w:pPr>
      <w:r w:rsidRPr="00CA5920">
        <w:t>The following points should be considered when initiating therapy with CELSENTRI:</w:t>
      </w:r>
    </w:p>
    <w:p w:rsidR="00E66B00" w:rsidRPr="00CA5920" w:rsidRDefault="00E66B00" w:rsidP="00CA5920">
      <w:pPr>
        <w:numPr>
          <w:ilvl w:val="0"/>
          <w:numId w:val="7"/>
        </w:numPr>
        <w:tabs>
          <w:tab w:val="num" w:pos="284"/>
        </w:tabs>
        <w:spacing w:after="240"/>
        <w:ind w:left="284" w:hanging="284"/>
        <w:jc w:val="both"/>
      </w:pPr>
      <w:r w:rsidRPr="00CA5920">
        <w:t>Tropism testing, resistance testing and treatment history should guide the use of CELSENTRI.</w:t>
      </w:r>
    </w:p>
    <w:p w:rsidR="0063411C" w:rsidRPr="00CA5920" w:rsidRDefault="0063411C" w:rsidP="00CA5920">
      <w:pPr>
        <w:numPr>
          <w:ilvl w:val="0"/>
          <w:numId w:val="7"/>
        </w:numPr>
        <w:tabs>
          <w:tab w:val="num" w:pos="284"/>
        </w:tabs>
        <w:spacing w:after="240"/>
        <w:ind w:left="284" w:hanging="284"/>
        <w:jc w:val="both"/>
      </w:pPr>
      <w:r w:rsidRPr="00CA5920">
        <w:t>Adult patients infected with only CCR5-tropic HIV-1 should use CELSENTRI.</w:t>
      </w:r>
    </w:p>
    <w:p w:rsidR="0063411C" w:rsidRPr="00CA5920" w:rsidRDefault="0063411C" w:rsidP="00CA5920">
      <w:pPr>
        <w:numPr>
          <w:ilvl w:val="0"/>
          <w:numId w:val="7"/>
        </w:numPr>
        <w:tabs>
          <w:tab w:val="num" w:pos="284"/>
        </w:tabs>
        <w:spacing w:after="240"/>
        <w:ind w:left="284" w:hanging="284"/>
        <w:jc w:val="both"/>
      </w:pPr>
      <w:r w:rsidRPr="00CA5920">
        <w:t xml:space="preserve">CCR5 tropism should be confirmed using a highly sensitive tropism assay prior to initiation of CELSENTRI therapy. Outgrowth of pre-existing low-level CXCR4- or dual/mixed tropic HIV-1 not detected by tropism testing at screening has been associated with </w:t>
      </w:r>
      <w:proofErr w:type="spellStart"/>
      <w:r w:rsidRPr="00CA5920">
        <w:t>virologic</w:t>
      </w:r>
      <w:proofErr w:type="spellEnd"/>
      <w:r w:rsidRPr="00CA5920">
        <w:t xml:space="preserve"> failure on CELSENTRI.</w:t>
      </w:r>
    </w:p>
    <w:p w:rsidR="00E66B00" w:rsidRPr="00CA5920" w:rsidRDefault="00E66B00" w:rsidP="00CA5920">
      <w:pPr>
        <w:numPr>
          <w:ilvl w:val="0"/>
          <w:numId w:val="7"/>
        </w:numPr>
        <w:tabs>
          <w:tab w:val="num" w:pos="284"/>
        </w:tabs>
        <w:spacing w:after="240"/>
        <w:ind w:left="284" w:hanging="284"/>
        <w:jc w:val="both"/>
      </w:pPr>
      <w:r w:rsidRPr="00CA5920">
        <w:rPr>
          <w:rFonts w:cs="Arial"/>
          <w:color w:val="000000"/>
        </w:rPr>
        <w:t>CELSENTRI is not recommended in patients with dual/mixed or CXCR4-tropic HIV-1</w:t>
      </w:r>
      <w:r w:rsidR="0063411C" w:rsidRPr="00CA5920">
        <w:rPr>
          <w:rFonts w:cs="Arial"/>
          <w:color w:val="000000"/>
        </w:rPr>
        <w:t>.</w:t>
      </w:r>
    </w:p>
    <w:p w:rsidR="00647FA2" w:rsidRPr="00CA5920" w:rsidRDefault="00647FA2" w:rsidP="00CA5920">
      <w:pPr>
        <w:numPr>
          <w:ilvl w:val="0"/>
          <w:numId w:val="7"/>
        </w:numPr>
        <w:tabs>
          <w:tab w:val="num" w:pos="284"/>
        </w:tabs>
        <w:spacing w:after="240"/>
        <w:ind w:left="284" w:hanging="284"/>
        <w:jc w:val="both"/>
      </w:pPr>
      <w:r w:rsidRPr="00CA5920">
        <w:rPr>
          <w:rFonts w:cs="Arial"/>
          <w:color w:val="000000"/>
        </w:rPr>
        <w:t xml:space="preserve">In treatment-naive subjects, more subjects treated with CELSENTRI experienced </w:t>
      </w:r>
      <w:proofErr w:type="spellStart"/>
      <w:r w:rsidRPr="00CA5920">
        <w:rPr>
          <w:rFonts w:cs="Arial"/>
          <w:color w:val="000000"/>
        </w:rPr>
        <w:t>virologic</w:t>
      </w:r>
      <w:proofErr w:type="spellEnd"/>
      <w:r w:rsidRPr="00CA5920">
        <w:rPr>
          <w:rFonts w:cs="Arial"/>
          <w:color w:val="000000"/>
        </w:rPr>
        <w:t xml:space="preserve"> failure and developed lamivudine resistance compared to efavirenz</w:t>
      </w:r>
      <w:r w:rsidR="00CA5920">
        <w:rPr>
          <w:rFonts w:cs="Arial"/>
          <w:color w:val="000000"/>
        </w:rPr>
        <w:t>.</w:t>
      </w:r>
    </w:p>
    <w:p w:rsidR="00647FA2" w:rsidRPr="00CA5920" w:rsidRDefault="00647FA2" w:rsidP="00CA5920">
      <w:pPr>
        <w:numPr>
          <w:ilvl w:val="0"/>
          <w:numId w:val="7"/>
        </w:numPr>
        <w:tabs>
          <w:tab w:val="num" w:pos="284"/>
        </w:tabs>
        <w:spacing w:after="240"/>
        <w:ind w:left="284" w:hanging="284"/>
        <w:jc w:val="both"/>
      </w:pPr>
      <w:r w:rsidRPr="00CA5920">
        <w:rPr>
          <w:rFonts w:cs="Arial"/>
          <w:color w:val="000000"/>
        </w:rPr>
        <w:t>The safety and efficacy of CELSENTRI have not been established in paediatric patients</w:t>
      </w:r>
      <w:r w:rsidR="00CA5920">
        <w:rPr>
          <w:rFonts w:cs="Arial"/>
          <w:color w:val="000000"/>
        </w:rPr>
        <w:t>.</w:t>
      </w:r>
    </w:p>
    <w:p w:rsidR="00D508EC" w:rsidRDefault="00E66B00" w:rsidP="003F445E">
      <w:pPr>
        <w:spacing w:after="240"/>
        <w:jc w:val="both"/>
        <w:rPr>
          <w:color w:val="000000"/>
        </w:rPr>
      </w:pPr>
      <w:r w:rsidRPr="00CA5920">
        <w:rPr>
          <w:color w:val="000000"/>
          <w:u w:val="single"/>
        </w:rPr>
        <w:t>Adults</w:t>
      </w:r>
      <w:r w:rsidRPr="00CA5920">
        <w:rPr>
          <w:color w:val="000000"/>
        </w:rPr>
        <w:t>: the recommended dose of CELSENTRI is 150 mg, 300 mg or 600 mg twice daily depending</w:t>
      </w:r>
      <w:r>
        <w:rPr>
          <w:color w:val="000000"/>
        </w:rPr>
        <w:t xml:space="preserve"> on </w:t>
      </w:r>
      <w:r w:rsidRPr="00EB4A2C">
        <w:rPr>
          <w:color w:val="000000"/>
        </w:rPr>
        <w:t xml:space="preserve">interactions with </w:t>
      </w:r>
      <w:r>
        <w:rPr>
          <w:color w:val="000000"/>
        </w:rPr>
        <w:t xml:space="preserve">co-administered antiretroviral therapy and </w:t>
      </w:r>
      <w:r w:rsidRPr="00EB4A2C">
        <w:rPr>
          <w:color w:val="000000"/>
        </w:rPr>
        <w:t xml:space="preserve">other medicinal products (see Table </w:t>
      </w:r>
      <w:r w:rsidR="00F42EDD">
        <w:rPr>
          <w:color w:val="000000"/>
        </w:rPr>
        <w:t>12</w:t>
      </w:r>
      <w:r w:rsidRPr="00EB4A2C">
        <w:rPr>
          <w:color w:val="000000"/>
        </w:rPr>
        <w:t xml:space="preserve"> and INTE</w:t>
      </w:r>
      <w:r w:rsidR="00D508EC">
        <w:rPr>
          <w:color w:val="000000"/>
        </w:rPr>
        <w:t>RACTIONS WITH OTHER MEDICINES).</w:t>
      </w:r>
    </w:p>
    <w:p w:rsidR="001403D5" w:rsidRPr="0063411C" w:rsidRDefault="00E66B00" w:rsidP="003F445E">
      <w:pPr>
        <w:spacing w:after="240"/>
        <w:jc w:val="both"/>
        <w:rPr>
          <w:b/>
          <w:bCs/>
          <w:color w:val="000000"/>
        </w:rPr>
      </w:pPr>
      <w:r w:rsidRPr="0063411C">
        <w:rPr>
          <w:color w:val="000000"/>
        </w:rPr>
        <w:t>CELSENTRI can be taken with or without food.</w:t>
      </w:r>
    </w:p>
    <w:p w:rsidR="001403D5" w:rsidRDefault="00BF6F85">
      <w:pPr>
        <w:rPr>
          <w:b/>
          <w:bCs/>
          <w:iCs/>
          <w:szCs w:val="22"/>
        </w:rPr>
      </w:pPr>
      <w:r w:rsidRPr="00AA5421">
        <w:rPr>
          <w:b/>
          <w:bCs/>
          <w:iCs/>
          <w:szCs w:val="22"/>
        </w:rPr>
        <w:t xml:space="preserve">Table </w:t>
      </w:r>
      <w:r w:rsidR="00F42EDD">
        <w:rPr>
          <w:b/>
          <w:bCs/>
          <w:iCs/>
          <w:szCs w:val="22"/>
        </w:rPr>
        <w:t>12</w:t>
      </w:r>
      <w:r>
        <w:rPr>
          <w:b/>
          <w:bCs/>
          <w:iCs/>
          <w:szCs w:val="22"/>
        </w:rPr>
        <w:t>:</w:t>
      </w:r>
      <w:r w:rsidR="001403D5" w:rsidRPr="00564C8A">
        <w:rPr>
          <w:b/>
          <w:bCs/>
          <w:iCs/>
          <w:szCs w:val="22"/>
        </w:rPr>
        <w:t xml:space="preserve"> </w:t>
      </w:r>
      <w:r>
        <w:rPr>
          <w:b/>
          <w:bCs/>
          <w:iCs/>
          <w:szCs w:val="22"/>
        </w:rPr>
        <w:t xml:space="preserve"> </w:t>
      </w:r>
      <w:r w:rsidR="001403D5" w:rsidRPr="00564C8A">
        <w:rPr>
          <w:b/>
          <w:bCs/>
          <w:iCs/>
          <w:szCs w:val="22"/>
        </w:rPr>
        <w:t>Recommended Dosing Regimen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688"/>
        <w:gridCol w:w="3420"/>
      </w:tblGrid>
      <w:tr w:rsidR="001403D5" w:rsidRPr="008914BF" w:rsidTr="008914BF">
        <w:trPr>
          <w:tblHeader/>
        </w:trPr>
        <w:tc>
          <w:tcPr>
            <w:tcW w:w="5688" w:type="dxa"/>
          </w:tcPr>
          <w:p w:rsidR="001403D5" w:rsidRPr="008914BF" w:rsidRDefault="001403D5" w:rsidP="001403D5">
            <w:pPr>
              <w:rPr>
                <w:b/>
                <w:szCs w:val="22"/>
              </w:rPr>
            </w:pPr>
            <w:r w:rsidRPr="008914BF">
              <w:rPr>
                <w:b/>
                <w:szCs w:val="22"/>
              </w:rPr>
              <w:t>Concomitant Medications</w:t>
            </w:r>
          </w:p>
        </w:tc>
        <w:tc>
          <w:tcPr>
            <w:tcW w:w="3420" w:type="dxa"/>
          </w:tcPr>
          <w:p w:rsidR="001403D5" w:rsidRPr="008914BF" w:rsidRDefault="001403D5" w:rsidP="001403D5">
            <w:pPr>
              <w:rPr>
                <w:b/>
                <w:szCs w:val="22"/>
              </w:rPr>
            </w:pPr>
            <w:r w:rsidRPr="008914BF">
              <w:rPr>
                <w:b/>
                <w:szCs w:val="22"/>
              </w:rPr>
              <w:t>Recommended CELSENTRI Dose</w:t>
            </w:r>
          </w:p>
        </w:tc>
      </w:tr>
      <w:tr w:rsidR="001403D5" w:rsidRPr="008914BF" w:rsidTr="008914BF">
        <w:tc>
          <w:tcPr>
            <w:tcW w:w="5688" w:type="dxa"/>
          </w:tcPr>
          <w:p w:rsidR="001403D5" w:rsidRPr="00AA5421" w:rsidRDefault="001D60CA" w:rsidP="001403D5">
            <w:pPr>
              <w:rPr>
                <w:szCs w:val="22"/>
              </w:rPr>
            </w:pPr>
            <w:r w:rsidRPr="00AA5421">
              <w:rPr>
                <w:szCs w:val="22"/>
              </w:rPr>
              <w:t>Potent</w:t>
            </w:r>
            <w:r w:rsidR="003D2E0D" w:rsidRPr="00AA5421">
              <w:rPr>
                <w:szCs w:val="22"/>
              </w:rPr>
              <w:t xml:space="preserve"> </w:t>
            </w:r>
            <w:r w:rsidR="001403D5" w:rsidRPr="00AA5421">
              <w:rPr>
                <w:szCs w:val="22"/>
              </w:rPr>
              <w:t xml:space="preserve">CYP3A inhibitors </w:t>
            </w:r>
            <w:r w:rsidR="00A40A60" w:rsidRPr="00AA5421">
              <w:t xml:space="preserve">(with or without a CYP3A inducer) </w:t>
            </w:r>
            <w:r w:rsidR="001403D5" w:rsidRPr="00AA5421">
              <w:rPr>
                <w:szCs w:val="22"/>
              </w:rPr>
              <w:t>including:</w:t>
            </w:r>
          </w:p>
          <w:p w:rsidR="001403D5" w:rsidRPr="00AA5421" w:rsidRDefault="001403D5" w:rsidP="008914BF">
            <w:pPr>
              <w:numPr>
                <w:ilvl w:val="0"/>
                <w:numId w:val="5"/>
              </w:numPr>
              <w:rPr>
                <w:szCs w:val="22"/>
              </w:rPr>
            </w:pPr>
            <w:r w:rsidRPr="00AA5421">
              <w:rPr>
                <w:szCs w:val="22"/>
              </w:rPr>
              <w:t xml:space="preserve">protease inhibitors (except </w:t>
            </w:r>
            <w:proofErr w:type="spellStart"/>
            <w:r w:rsidRPr="00AA5421">
              <w:rPr>
                <w:szCs w:val="22"/>
              </w:rPr>
              <w:t>tipranavir</w:t>
            </w:r>
            <w:proofErr w:type="spellEnd"/>
            <w:r w:rsidRPr="00AA5421">
              <w:rPr>
                <w:szCs w:val="22"/>
              </w:rPr>
              <w:t>/</w:t>
            </w:r>
            <w:proofErr w:type="spellStart"/>
            <w:r w:rsidRPr="00AA5421">
              <w:rPr>
                <w:szCs w:val="22"/>
              </w:rPr>
              <w:t>ritonavir</w:t>
            </w:r>
            <w:proofErr w:type="spellEnd"/>
            <w:r w:rsidR="003C5BC1" w:rsidRPr="00AA5421">
              <w:t xml:space="preserve"> or </w:t>
            </w:r>
            <w:proofErr w:type="spellStart"/>
            <w:r w:rsidR="003C5BC1" w:rsidRPr="00AA5421">
              <w:t>fosamprenavir</w:t>
            </w:r>
            <w:proofErr w:type="spellEnd"/>
            <w:r w:rsidR="003C5BC1" w:rsidRPr="00AA5421">
              <w:t>/</w:t>
            </w:r>
            <w:proofErr w:type="spellStart"/>
            <w:r w:rsidR="003C5BC1" w:rsidRPr="00AA5421">
              <w:t>ritonavir</w:t>
            </w:r>
            <w:proofErr w:type="spellEnd"/>
            <w:r w:rsidRPr="00AA5421">
              <w:rPr>
                <w:szCs w:val="22"/>
              </w:rPr>
              <w:t xml:space="preserve">) </w:t>
            </w:r>
          </w:p>
          <w:p w:rsidR="007B00FC" w:rsidRPr="00AA5421" w:rsidRDefault="007B00FC" w:rsidP="008914BF">
            <w:pPr>
              <w:numPr>
                <w:ilvl w:val="0"/>
                <w:numId w:val="5"/>
              </w:numPr>
              <w:rPr>
                <w:szCs w:val="22"/>
              </w:rPr>
            </w:pPr>
            <w:proofErr w:type="spellStart"/>
            <w:r w:rsidRPr="00AA5421">
              <w:rPr>
                <w:szCs w:val="22"/>
              </w:rPr>
              <w:t>delavirdine</w:t>
            </w:r>
            <w:proofErr w:type="spellEnd"/>
          </w:p>
          <w:p w:rsidR="00A40A60" w:rsidRPr="00AA5421" w:rsidRDefault="001403D5" w:rsidP="008914BF">
            <w:pPr>
              <w:numPr>
                <w:ilvl w:val="0"/>
                <w:numId w:val="5"/>
              </w:numPr>
              <w:rPr>
                <w:szCs w:val="22"/>
              </w:rPr>
            </w:pPr>
            <w:proofErr w:type="spellStart"/>
            <w:r w:rsidRPr="00AA5421">
              <w:rPr>
                <w:szCs w:val="22"/>
              </w:rPr>
              <w:t>ketoconazole</w:t>
            </w:r>
            <w:proofErr w:type="spellEnd"/>
            <w:r w:rsidRPr="00AA5421">
              <w:rPr>
                <w:szCs w:val="22"/>
              </w:rPr>
              <w:t xml:space="preserve">, </w:t>
            </w:r>
            <w:proofErr w:type="spellStart"/>
            <w:r w:rsidRPr="00AA5421">
              <w:rPr>
                <w:szCs w:val="22"/>
              </w:rPr>
              <w:t>itraconazole</w:t>
            </w:r>
            <w:proofErr w:type="spellEnd"/>
            <w:r w:rsidRPr="00AA5421">
              <w:rPr>
                <w:szCs w:val="22"/>
              </w:rPr>
              <w:t xml:space="preserve">, </w:t>
            </w:r>
            <w:proofErr w:type="spellStart"/>
            <w:r w:rsidRPr="00AA5421">
              <w:rPr>
                <w:szCs w:val="22"/>
              </w:rPr>
              <w:t>clarithromycin</w:t>
            </w:r>
            <w:proofErr w:type="spellEnd"/>
          </w:p>
          <w:p w:rsidR="001403D5" w:rsidRPr="00AA5421" w:rsidRDefault="00A40A60" w:rsidP="008914BF">
            <w:pPr>
              <w:numPr>
                <w:ilvl w:val="0"/>
                <w:numId w:val="5"/>
              </w:numPr>
              <w:rPr>
                <w:szCs w:val="22"/>
              </w:rPr>
            </w:pPr>
            <w:r w:rsidRPr="00AA5421">
              <w:rPr>
                <w:szCs w:val="22"/>
              </w:rPr>
              <w:lastRenderedPageBreak/>
              <w:t xml:space="preserve">other </w:t>
            </w:r>
            <w:r w:rsidR="00A63BB8" w:rsidRPr="00AA5421">
              <w:rPr>
                <w:szCs w:val="22"/>
              </w:rPr>
              <w:t>potent</w:t>
            </w:r>
            <w:r w:rsidRPr="00AA5421">
              <w:rPr>
                <w:szCs w:val="22"/>
              </w:rPr>
              <w:t xml:space="preserve"> CYP3A inhibitors (e.g.,</w:t>
            </w:r>
            <w:r w:rsidR="001403D5" w:rsidRPr="00AA5421">
              <w:rPr>
                <w:szCs w:val="22"/>
              </w:rPr>
              <w:t xml:space="preserve"> </w:t>
            </w:r>
            <w:proofErr w:type="spellStart"/>
            <w:r w:rsidR="007B00FC" w:rsidRPr="00AA5421">
              <w:rPr>
                <w:szCs w:val="22"/>
              </w:rPr>
              <w:t>nefazodone</w:t>
            </w:r>
            <w:proofErr w:type="spellEnd"/>
            <w:r w:rsidR="007B00FC" w:rsidRPr="00AA5421">
              <w:rPr>
                <w:szCs w:val="22"/>
              </w:rPr>
              <w:t xml:space="preserve">, </w:t>
            </w:r>
            <w:proofErr w:type="spellStart"/>
            <w:r w:rsidR="001403D5" w:rsidRPr="00AA5421">
              <w:rPr>
                <w:szCs w:val="22"/>
              </w:rPr>
              <w:t>telithromycin</w:t>
            </w:r>
            <w:proofErr w:type="spellEnd"/>
            <w:r w:rsidRPr="00AA5421">
              <w:rPr>
                <w:szCs w:val="22"/>
              </w:rPr>
              <w:t>)</w:t>
            </w:r>
            <w:r w:rsidR="001403D5" w:rsidRPr="00AA5421">
              <w:rPr>
                <w:szCs w:val="22"/>
              </w:rPr>
              <w:t xml:space="preserve"> </w:t>
            </w:r>
          </w:p>
        </w:tc>
        <w:tc>
          <w:tcPr>
            <w:tcW w:w="3420" w:type="dxa"/>
          </w:tcPr>
          <w:p w:rsidR="001403D5" w:rsidRPr="008914BF" w:rsidRDefault="001403D5" w:rsidP="001403D5">
            <w:pPr>
              <w:rPr>
                <w:szCs w:val="22"/>
              </w:rPr>
            </w:pPr>
            <w:r w:rsidRPr="008914BF">
              <w:rPr>
                <w:szCs w:val="22"/>
              </w:rPr>
              <w:lastRenderedPageBreak/>
              <w:t>150 mg twice daily</w:t>
            </w:r>
          </w:p>
        </w:tc>
      </w:tr>
      <w:tr w:rsidR="00A40A60" w:rsidRPr="008914BF" w:rsidTr="008914BF">
        <w:tc>
          <w:tcPr>
            <w:tcW w:w="5688" w:type="dxa"/>
          </w:tcPr>
          <w:p w:rsidR="00A40A60" w:rsidRPr="00AA5421" w:rsidRDefault="00A40A60" w:rsidP="001403D5">
            <w:pPr>
              <w:rPr>
                <w:szCs w:val="22"/>
              </w:rPr>
            </w:pPr>
            <w:r w:rsidRPr="00AA5421">
              <w:lastRenderedPageBreak/>
              <w:t xml:space="preserve">Other concomitant medicinal products, including </w:t>
            </w:r>
            <w:proofErr w:type="spellStart"/>
            <w:r w:rsidRPr="00AA5421">
              <w:t>tipranavir</w:t>
            </w:r>
            <w:proofErr w:type="spellEnd"/>
            <w:r w:rsidRPr="00AA5421">
              <w:t>/</w:t>
            </w:r>
            <w:proofErr w:type="spellStart"/>
            <w:r w:rsidRPr="00AA5421">
              <w:t>ritonavir</w:t>
            </w:r>
            <w:proofErr w:type="spellEnd"/>
            <w:r w:rsidRPr="00AA5421">
              <w:t>,</w:t>
            </w:r>
            <w:r w:rsidR="003C5BC1" w:rsidRPr="00AA5421">
              <w:t xml:space="preserve"> </w:t>
            </w:r>
            <w:proofErr w:type="spellStart"/>
            <w:r w:rsidR="003C5BC1" w:rsidRPr="00AA5421">
              <w:t>fosamprenavir</w:t>
            </w:r>
            <w:proofErr w:type="spellEnd"/>
            <w:r w:rsidR="003C5BC1" w:rsidRPr="00AA5421">
              <w:t>/</w:t>
            </w:r>
            <w:proofErr w:type="spellStart"/>
            <w:r w:rsidR="003C5BC1" w:rsidRPr="00AA5421">
              <w:t>ritonavir</w:t>
            </w:r>
            <w:proofErr w:type="spellEnd"/>
            <w:r w:rsidR="003C5BC1" w:rsidRPr="00AA5421">
              <w:t>,</w:t>
            </w:r>
            <w:r w:rsidRPr="00AA5421">
              <w:t xml:space="preserve"> </w:t>
            </w:r>
            <w:proofErr w:type="spellStart"/>
            <w:r w:rsidRPr="00AA5421">
              <w:t>nevirapine</w:t>
            </w:r>
            <w:proofErr w:type="spellEnd"/>
            <w:r w:rsidRPr="00AA5421">
              <w:t>,</w:t>
            </w:r>
            <w:r w:rsidR="001D60CA" w:rsidRPr="00AA5421">
              <w:t xml:space="preserve"> </w:t>
            </w:r>
            <w:proofErr w:type="spellStart"/>
            <w:r w:rsidR="001D60CA" w:rsidRPr="00AA5421">
              <w:t>raltegravir</w:t>
            </w:r>
            <w:proofErr w:type="spellEnd"/>
            <w:r w:rsidR="001D60CA" w:rsidRPr="00AA5421">
              <w:t>,</w:t>
            </w:r>
            <w:r w:rsidRPr="00AA5421">
              <w:t xml:space="preserve"> all NRTIs and </w:t>
            </w:r>
            <w:proofErr w:type="spellStart"/>
            <w:r w:rsidRPr="00AA5421">
              <w:t>enfuvirtide</w:t>
            </w:r>
            <w:proofErr w:type="spellEnd"/>
          </w:p>
        </w:tc>
        <w:tc>
          <w:tcPr>
            <w:tcW w:w="3420" w:type="dxa"/>
          </w:tcPr>
          <w:p w:rsidR="00A40A60" w:rsidRPr="008914BF" w:rsidRDefault="00A40A60" w:rsidP="001403D5">
            <w:pPr>
              <w:rPr>
                <w:szCs w:val="22"/>
              </w:rPr>
            </w:pPr>
            <w:r>
              <w:t>300</w:t>
            </w:r>
            <w:r w:rsidR="00683B6D">
              <w:t xml:space="preserve"> </w:t>
            </w:r>
            <w:r>
              <w:t>mg twice daily</w:t>
            </w:r>
          </w:p>
        </w:tc>
      </w:tr>
      <w:tr w:rsidR="00A40A60" w:rsidRPr="008914BF" w:rsidTr="008914BF">
        <w:tc>
          <w:tcPr>
            <w:tcW w:w="5688" w:type="dxa"/>
          </w:tcPr>
          <w:p w:rsidR="00A40A60" w:rsidRPr="00AA5421" w:rsidRDefault="001D60CA" w:rsidP="001403D5">
            <w:pPr>
              <w:rPr>
                <w:szCs w:val="22"/>
              </w:rPr>
            </w:pPr>
            <w:r w:rsidRPr="00AA5421">
              <w:rPr>
                <w:szCs w:val="22"/>
              </w:rPr>
              <w:t xml:space="preserve">Potent </w:t>
            </w:r>
            <w:r w:rsidR="00A40A60" w:rsidRPr="00AA5421">
              <w:rPr>
                <w:szCs w:val="22"/>
              </w:rPr>
              <w:t xml:space="preserve">CYP3A inducers (without a </w:t>
            </w:r>
            <w:r w:rsidR="00A63BB8" w:rsidRPr="00AA5421">
              <w:rPr>
                <w:szCs w:val="22"/>
              </w:rPr>
              <w:t>potent</w:t>
            </w:r>
            <w:r w:rsidR="00A40A60" w:rsidRPr="00AA5421">
              <w:rPr>
                <w:szCs w:val="22"/>
              </w:rPr>
              <w:t xml:space="preserve"> CYP3A inhibitor) including:</w:t>
            </w:r>
          </w:p>
          <w:p w:rsidR="00A40A60" w:rsidRPr="00AA5421" w:rsidRDefault="00A40A60" w:rsidP="008914BF">
            <w:pPr>
              <w:numPr>
                <w:ilvl w:val="0"/>
                <w:numId w:val="6"/>
              </w:numPr>
              <w:rPr>
                <w:szCs w:val="22"/>
              </w:rPr>
            </w:pPr>
            <w:r w:rsidRPr="00AA5421">
              <w:rPr>
                <w:szCs w:val="22"/>
              </w:rPr>
              <w:t xml:space="preserve">efavirenz </w:t>
            </w:r>
          </w:p>
          <w:p w:rsidR="00A40A60" w:rsidRPr="00AA5421" w:rsidRDefault="003F2176" w:rsidP="008914BF">
            <w:pPr>
              <w:numPr>
                <w:ilvl w:val="0"/>
                <w:numId w:val="6"/>
              </w:numPr>
              <w:rPr>
                <w:szCs w:val="22"/>
              </w:rPr>
            </w:pPr>
            <w:proofErr w:type="spellStart"/>
            <w:r w:rsidRPr="00AA5421">
              <w:rPr>
                <w:szCs w:val="22"/>
              </w:rPr>
              <w:t>rifampin</w:t>
            </w:r>
            <w:proofErr w:type="spellEnd"/>
          </w:p>
          <w:p w:rsidR="001D60CA" w:rsidRPr="00AA5421" w:rsidRDefault="001D60CA" w:rsidP="008914BF">
            <w:pPr>
              <w:numPr>
                <w:ilvl w:val="0"/>
                <w:numId w:val="6"/>
              </w:numPr>
              <w:rPr>
                <w:szCs w:val="22"/>
              </w:rPr>
            </w:pPr>
            <w:proofErr w:type="spellStart"/>
            <w:r w:rsidRPr="00AA5421">
              <w:rPr>
                <w:szCs w:val="22"/>
              </w:rPr>
              <w:t>etravirine</w:t>
            </w:r>
            <w:proofErr w:type="spellEnd"/>
          </w:p>
          <w:p w:rsidR="003F2176" w:rsidRPr="00AA5421" w:rsidRDefault="003F2176" w:rsidP="008914BF">
            <w:pPr>
              <w:numPr>
                <w:ilvl w:val="0"/>
                <w:numId w:val="6"/>
              </w:numPr>
              <w:rPr>
                <w:szCs w:val="22"/>
              </w:rPr>
            </w:pPr>
            <w:proofErr w:type="spellStart"/>
            <w:r w:rsidRPr="00AA5421">
              <w:t>carbam</w:t>
            </w:r>
            <w:r w:rsidR="001D60CA" w:rsidRPr="00AA5421">
              <w:t>a</w:t>
            </w:r>
            <w:r w:rsidRPr="00AA5421">
              <w:t>zepine</w:t>
            </w:r>
            <w:proofErr w:type="spellEnd"/>
            <w:r w:rsidRPr="00AA5421">
              <w:t xml:space="preserve">, </w:t>
            </w:r>
            <w:proofErr w:type="spellStart"/>
            <w:r w:rsidRPr="00AA5421">
              <w:t>phenobarbital</w:t>
            </w:r>
            <w:proofErr w:type="spellEnd"/>
            <w:r w:rsidRPr="00AA5421">
              <w:t xml:space="preserve">, and </w:t>
            </w:r>
            <w:proofErr w:type="spellStart"/>
            <w:r w:rsidRPr="00AA5421">
              <w:t>phenytoin</w:t>
            </w:r>
            <w:proofErr w:type="spellEnd"/>
          </w:p>
        </w:tc>
        <w:tc>
          <w:tcPr>
            <w:tcW w:w="3420" w:type="dxa"/>
          </w:tcPr>
          <w:p w:rsidR="00A40A60" w:rsidRPr="008914BF" w:rsidRDefault="00A40A60" w:rsidP="001403D5">
            <w:pPr>
              <w:rPr>
                <w:szCs w:val="22"/>
              </w:rPr>
            </w:pPr>
            <w:r w:rsidRPr="008914BF">
              <w:rPr>
                <w:szCs w:val="22"/>
              </w:rPr>
              <w:t>600 mg twice daily</w:t>
            </w:r>
          </w:p>
        </w:tc>
      </w:tr>
    </w:tbl>
    <w:p w:rsidR="00E66B00" w:rsidRPr="00EB4A2C" w:rsidRDefault="00E66B00" w:rsidP="004D6F00">
      <w:pPr>
        <w:spacing w:before="240" w:after="240"/>
        <w:jc w:val="both"/>
        <w:rPr>
          <w:color w:val="000000"/>
          <w:highlight w:val="green"/>
        </w:rPr>
      </w:pPr>
      <w:r w:rsidRPr="00EB4A2C">
        <w:rPr>
          <w:color w:val="000000"/>
          <w:u w:val="single"/>
        </w:rPr>
        <w:t>Children:</w:t>
      </w:r>
      <w:r w:rsidRPr="00EB4A2C">
        <w:rPr>
          <w:color w:val="000000"/>
        </w:rPr>
        <w:t xml:space="preserve"> the safety and efficacy of CELSENTRI </w:t>
      </w:r>
      <w:r w:rsidRPr="00EB4A2C">
        <w:rPr>
          <w:iCs/>
          <w:color w:val="000000"/>
          <w:szCs w:val="18"/>
        </w:rPr>
        <w:t xml:space="preserve">in paediatric patients </w:t>
      </w:r>
      <w:r w:rsidRPr="00EB4A2C">
        <w:rPr>
          <w:color w:val="000000"/>
        </w:rPr>
        <w:t>have not been established</w:t>
      </w:r>
      <w:r w:rsidRPr="00EB4A2C">
        <w:rPr>
          <w:noProof/>
          <w:color w:val="000000"/>
        </w:rPr>
        <w:t xml:space="preserve">, therefore use in children is not recommended (see </w:t>
      </w:r>
      <w:r w:rsidRPr="00EB4A2C">
        <w:rPr>
          <w:color w:val="000000"/>
        </w:rPr>
        <w:t>PHARMACOLOGY, Pharmacokinetics and PRECAUTIONS).</w:t>
      </w:r>
    </w:p>
    <w:p w:rsidR="007B343E" w:rsidRPr="00EB4A2C" w:rsidRDefault="00E66B00" w:rsidP="00C35D98">
      <w:pPr>
        <w:tabs>
          <w:tab w:val="left" w:pos="0"/>
        </w:tabs>
        <w:spacing w:after="240"/>
        <w:jc w:val="both"/>
        <w:rPr>
          <w:color w:val="000000"/>
          <w:highlight w:val="green"/>
        </w:rPr>
      </w:pPr>
      <w:r w:rsidRPr="00EB4A2C">
        <w:rPr>
          <w:color w:val="000000"/>
          <w:u w:val="single"/>
        </w:rPr>
        <w:t>Elderly</w:t>
      </w:r>
      <w:r w:rsidRPr="007B343E">
        <w:rPr>
          <w:color w:val="000000"/>
          <w:u w:val="single"/>
        </w:rPr>
        <w:t>:</w:t>
      </w:r>
      <w:r w:rsidRPr="00EB4A2C">
        <w:rPr>
          <w:color w:val="000000"/>
        </w:rPr>
        <w:t xml:space="preserve"> there is limited experience in patients &gt;65 years of age, therefore caution should be exercised when administering CELSENTRI in elderly patients (</w:t>
      </w:r>
      <w:r w:rsidRPr="00EB4A2C">
        <w:rPr>
          <w:noProof/>
          <w:color w:val="000000"/>
        </w:rPr>
        <w:t xml:space="preserve">see </w:t>
      </w:r>
      <w:r w:rsidRPr="00EB4A2C">
        <w:rPr>
          <w:color w:val="000000"/>
        </w:rPr>
        <w:t>PHARMACOLOGY, Pharmacokinetics and PRECAUTIONS).</w:t>
      </w:r>
    </w:p>
    <w:p w:rsidR="0003660E" w:rsidRPr="00AA5421" w:rsidRDefault="00E66B00" w:rsidP="004D6F00">
      <w:pPr>
        <w:pStyle w:val="Heading3"/>
      </w:pPr>
      <w:r w:rsidRPr="00AA5421">
        <w:t>Renal impairment:</w:t>
      </w:r>
    </w:p>
    <w:p w:rsidR="0003660E" w:rsidRPr="00AA5421" w:rsidRDefault="0003660E" w:rsidP="0003660E">
      <w:pPr>
        <w:tabs>
          <w:tab w:val="left" w:pos="0"/>
        </w:tabs>
        <w:spacing w:after="240"/>
        <w:jc w:val="both"/>
      </w:pPr>
      <w:r w:rsidRPr="00AA5421">
        <w:t>Table 1</w:t>
      </w:r>
      <w:r w:rsidR="00F42EDD">
        <w:t>3</w:t>
      </w:r>
      <w:r w:rsidRPr="00AA5421">
        <w:t xml:space="preserve"> provides dosing recommendations for patients based on renal function and concomitant medications</w:t>
      </w:r>
    </w:p>
    <w:p w:rsidR="0003660E" w:rsidRPr="00680DFE" w:rsidRDefault="0003660E" w:rsidP="00CA7010">
      <w:pPr>
        <w:tabs>
          <w:tab w:val="left" w:pos="0"/>
        </w:tabs>
        <w:jc w:val="both"/>
        <w:rPr>
          <w:b/>
        </w:rPr>
      </w:pPr>
      <w:r w:rsidRPr="00680DFE">
        <w:rPr>
          <w:b/>
        </w:rPr>
        <w:t>Table 1</w:t>
      </w:r>
      <w:r w:rsidR="00F42EDD" w:rsidRPr="00680DFE">
        <w:rPr>
          <w:b/>
        </w:rPr>
        <w:t>3</w:t>
      </w:r>
      <w:r w:rsidRPr="00680DFE">
        <w:rPr>
          <w:b/>
        </w:rPr>
        <w:t>: Recommended dosing regimens based on renal function</w:t>
      </w:r>
    </w:p>
    <w:tbl>
      <w:tblPr>
        <w:tblStyle w:val="TableGrid"/>
        <w:tblW w:w="0" w:type="auto"/>
        <w:tblLayout w:type="fixed"/>
        <w:tblLook w:val="04A0"/>
      </w:tblPr>
      <w:tblGrid>
        <w:gridCol w:w="1951"/>
        <w:gridCol w:w="1276"/>
        <w:gridCol w:w="1417"/>
        <w:gridCol w:w="1418"/>
        <w:gridCol w:w="992"/>
        <w:gridCol w:w="1442"/>
      </w:tblGrid>
      <w:tr w:rsidR="00C062C0" w:rsidRPr="00AA5421" w:rsidTr="00C062C0">
        <w:tc>
          <w:tcPr>
            <w:tcW w:w="1951" w:type="dxa"/>
            <w:vMerge w:val="restart"/>
          </w:tcPr>
          <w:p w:rsidR="00C062C0" w:rsidRPr="00AA5421" w:rsidRDefault="00C062C0" w:rsidP="0003660E">
            <w:pPr>
              <w:tabs>
                <w:tab w:val="left" w:pos="0"/>
              </w:tabs>
              <w:spacing w:after="240"/>
              <w:jc w:val="both"/>
              <w:rPr>
                <w:sz w:val="20"/>
                <w:szCs w:val="20"/>
              </w:rPr>
            </w:pPr>
            <w:r w:rsidRPr="00AA5421">
              <w:rPr>
                <w:sz w:val="20"/>
                <w:szCs w:val="20"/>
              </w:rPr>
              <w:t>Concomitant Medications*</w:t>
            </w:r>
          </w:p>
        </w:tc>
        <w:tc>
          <w:tcPr>
            <w:tcW w:w="6545" w:type="dxa"/>
            <w:gridSpan w:val="5"/>
          </w:tcPr>
          <w:p w:rsidR="00C062C0" w:rsidRPr="00AA5421" w:rsidRDefault="00C062C0" w:rsidP="00C062C0">
            <w:pPr>
              <w:tabs>
                <w:tab w:val="left" w:pos="0"/>
              </w:tabs>
              <w:spacing w:after="240"/>
              <w:jc w:val="center"/>
              <w:rPr>
                <w:sz w:val="20"/>
                <w:szCs w:val="20"/>
              </w:rPr>
            </w:pPr>
            <w:r w:rsidRPr="00AA5421">
              <w:rPr>
                <w:sz w:val="20"/>
                <w:szCs w:val="20"/>
              </w:rPr>
              <w:t>CELSENTRI dose based on Renal Function</w:t>
            </w:r>
          </w:p>
        </w:tc>
      </w:tr>
      <w:tr w:rsidR="00C062C0" w:rsidRPr="00AA5421" w:rsidTr="00C062C0">
        <w:tc>
          <w:tcPr>
            <w:tcW w:w="1951" w:type="dxa"/>
            <w:vMerge/>
          </w:tcPr>
          <w:p w:rsidR="00C062C0" w:rsidRPr="00AA5421" w:rsidRDefault="00C062C0" w:rsidP="0003660E">
            <w:pPr>
              <w:tabs>
                <w:tab w:val="left" w:pos="0"/>
              </w:tabs>
              <w:spacing w:after="240"/>
              <w:jc w:val="both"/>
              <w:rPr>
                <w:sz w:val="20"/>
                <w:szCs w:val="20"/>
              </w:rPr>
            </w:pPr>
          </w:p>
        </w:tc>
        <w:tc>
          <w:tcPr>
            <w:tcW w:w="1276" w:type="dxa"/>
          </w:tcPr>
          <w:p w:rsidR="00C062C0" w:rsidRPr="00AA5421" w:rsidRDefault="00C062C0" w:rsidP="00C062C0">
            <w:pPr>
              <w:tabs>
                <w:tab w:val="left" w:pos="0"/>
              </w:tabs>
              <w:spacing w:after="240"/>
              <w:jc w:val="center"/>
              <w:rPr>
                <w:sz w:val="20"/>
                <w:szCs w:val="20"/>
              </w:rPr>
            </w:pPr>
            <w:r w:rsidRPr="00AA5421">
              <w:rPr>
                <w:sz w:val="20"/>
                <w:szCs w:val="20"/>
              </w:rPr>
              <w:t>Normal</w:t>
            </w:r>
          </w:p>
        </w:tc>
        <w:tc>
          <w:tcPr>
            <w:tcW w:w="1417" w:type="dxa"/>
          </w:tcPr>
          <w:p w:rsidR="00C062C0" w:rsidRPr="00AA5421" w:rsidRDefault="00C062C0" w:rsidP="00C062C0">
            <w:pPr>
              <w:tabs>
                <w:tab w:val="left" w:pos="0"/>
              </w:tabs>
              <w:spacing w:after="240"/>
              <w:jc w:val="center"/>
              <w:rPr>
                <w:sz w:val="20"/>
                <w:szCs w:val="20"/>
              </w:rPr>
            </w:pPr>
            <w:r w:rsidRPr="00AA5421">
              <w:rPr>
                <w:sz w:val="20"/>
                <w:szCs w:val="20"/>
              </w:rPr>
              <w:t>Mild</w:t>
            </w:r>
          </w:p>
        </w:tc>
        <w:tc>
          <w:tcPr>
            <w:tcW w:w="1418" w:type="dxa"/>
          </w:tcPr>
          <w:p w:rsidR="00C062C0" w:rsidRPr="00AA5421" w:rsidRDefault="00C062C0" w:rsidP="00C062C0">
            <w:pPr>
              <w:tabs>
                <w:tab w:val="left" w:pos="0"/>
              </w:tabs>
              <w:spacing w:after="240"/>
              <w:jc w:val="center"/>
              <w:rPr>
                <w:sz w:val="20"/>
                <w:szCs w:val="20"/>
              </w:rPr>
            </w:pPr>
            <w:r w:rsidRPr="00AA5421">
              <w:rPr>
                <w:sz w:val="20"/>
                <w:szCs w:val="20"/>
              </w:rPr>
              <w:t>Moderate</w:t>
            </w:r>
          </w:p>
        </w:tc>
        <w:tc>
          <w:tcPr>
            <w:tcW w:w="992" w:type="dxa"/>
          </w:tcPr>
          <w:p w:rsidR="00C062C0" w:rsidRPr="00AA5421" w:rsidRDefault="00C062C0" w:rsidP="00C062C0">
            <w:pPr>
              <w:tabs>
                <w:tab w:val="left" w:pos="0"/>
              </w:tabs>
              <w:spacing w:after="240"/>
              <w:jc w:val="center"/>
              <w:rPr>
                <w:sz w:val="20"/>
                <w:szCs w:val="20"/>
              </w:rPr>
            </w:pPr>
            <w:r w:rsidRPr="00AA5421">
              <w:rPr>
                <w:sz w:val="20"/>
                <w:szCs w:val="20"/>
              </w:rPr>
              <w:t>Severe</w:t>
            </w:r>
          </w:p>
        </w:tc>
        <w:tc>
          <w:tcPr>
            <w:tcW w:w="1442" w:type="dxa"/>
          </w:tcPr>
          <w:p w:rsidR="00C062C0" w:rsidRPr="00AA5421" w:rsidRDefault="00C062C0" w:rsidP="00C062C0">
            <w:pPr>
              <w:tabs>
                <w:tab w:val="left" w:pos="0"/>
              </w:tabs>
              <w:spacing w:after="240"/>
              <w:jc w:val="center"/>
              <w:rPr>
                <w:sz w:val="20"/>
                <w:szCs w:val="20"/>
              </w:rPr>
            </w:pPr>
            <w:r w:rsidRPr="00AA5421">
              <w:rPr>
                <w:sz w:val="20"/>
                <w:szCs w:val="20"/>
              </w:rPr>
              <w:t>End Stage Renal Disease (ESRD)</w:t>
            </w:r>
          </w:p>
        </w:tc>
      </w:tr>
      <w:tr w:rsidR="00C062C0" w:rsidRPr="00AA5421" w:rsidTr="00C062C0">
        <w:tc>
          <w:tcPr>
            <w:tcW w:w="1951" w:type="dxa"/>
          </w:tcPr>
          <w:p w:rsidR="0003660E" w:rsidRPr="00AA5421" w:rsidRDefault="0003660E" w:rsidP="0003660E">
            <w:pPr>
              <w:tabs>
                <w:tab w:val="left" w:pos="0"/>
              </w:tabs>
              <w:spacing w:after="240"/>
              <w:jc w:val="both"/>
              <w:rPr>
                <w:sz w:val="20"/>
                <w:szCs w:val="20"/>
              </w:rPr>
            </w:pPr>
          </w:p>
        </w:tc>
        <w:tc>
          <w:tcPr>
            <w:tcW w:w="1276" w:type="dxa"/>
          </w:tcPr>
          <w:p w:rsidR="0003660E" w:rsidRPr="00AA5421" w:rsidRDefault="00C062C0" w:rsidP="00C062C0">
            <w:pPr>
              <w:tabs>
                <w:tab w:val="left" w:pos="0"/>
              </w:tabs>
              <w:spacing w:after="240"/>
              <w:jc w:val="center"/>
              <w:rPr>
                <w:sz w:val="20"/>
                <w:szCs w:val="20"/>
              </w:rPr>
            </w:pPr>
            <w:proofErr w:type="spellStart"/>
            <w:r w:rsidRPr="00AA5421">
              <w:rPr>
                <w:sz w:val="20"/>
                <w:szCs w:val="20"/>
              </w:rPr>
              <w:t>CrCl</w:t>
            </w:r>
            <w:proofErr w:type="spellEnd"/>
            <w:r w:rsidRPr="00AA5421">
              <w:rPr>
                <w:sz w:val="20"/>
                <w:szCs w:val="20"/>
              </w:rPr>
              <w:t xml:space="preserve"> &gt;80 </w:t>
            </w:r>
            <w:proofErr w:type="spellStart"/>
            <w:r w:rsidRPr="00AA5421">
              <w:rPr>
                <w:sz w:val="20"/>
                <w:szCs w:val="20"/>
              </w:rPr>
              <w:t>mL</w:t>
            </w:r>
            <w:proofErr w:type="spellEnd"/>
            <w:r w:rsidRPr="00AA5421">
              <w:rPr>
                <w:sz w:val="20"/>
                <w:szCs w:val="20"/>
              </w:rPr>
              <w:t>/min</w:t>
            </w:r>
          </w:p>
        </w:tc>
        <w:tc>
          <w:tcPr>
            <w:tcW w:w="1417" w:type="dxa"/>
          </w:tcPr>
          <w:p w:rsidR="0003660E" w:rsidRPr="00AA5421" w:rsidRDefault="00C062C0" w:rsidP="00C062C0">
            <w:pPr>
              <w:tabs>
                <w:tab w:val="left" w:pos="0"/>
              </w:tabs>
              <w:spacing w:after="240"/>
              <w:jc w:val="center"/>
              <w:rPr>
                <w:sz w:val="20"/>
                <w:szCs w:val="20"/>
              </w:rPr>
            </w:pPr>
            <w:proofErr w:type="spellStart"/>
            <w:r w:rsidRPr="00AA5421">
              <w:rPr>
                <w:sz w:val="20"/>
                <w:szCs w:val="20"/>
              </w:rPr>
              <w:t>CrCl</w:t>
            </w:r>
            <w:proofErr w:type="spellEnd"/>
            <w:r w:rsidRPr="00AA5421">
              <w:rPr>
                <w:sz w:val="20"/>
                <w:szCs w:val="20"/>
              </w:rPr>
              <w:t xml:space="preserve"> &gt;50 </w:t>
            </w:r>
            <w:proofErr w:type="spellStart"/>
            <w:r w:rsidRPr="00AA5421">
              <w:rPr>
                <w:sz w:val="20"/>
                <w:szCs w:val="20"/>
              </w:rPr>
              <w:t>mL</w:t>
            </w:r>
            <w:proofErr w:type="spellEnd"/>
            <w:r w:rsidRPr="00AA5421">
              <w:rPr>
                <w:sz w:val="20"/>
                <w:szCs w:val="20"/>
              </w:rPr>
              <w:t>/min and ≤ 80-mL/min</w:t>
            </w:r>
          </w:p>
        </w:tc>
        <w:tc>
          <w:tcPr>
            <w:tcW w:w="1418" w:type="dxa"/>
          </w:tcPr>
          <w:p w:rsidR="0003660E" w:rsidRPr="00AA5421" w:rsidRDefault="00C062C0" w:rsidP="00C062C0">
            <w:pPr>
              <w:tabs>
                <w:tab w:val="left" w:pos="0"/>
              </w:tabs>
              <w:spacing w:after="240"/>
              <w:jc w:val="center"/>
              <w:rPr>
                <w:sz w:val="20"/>
                <w:szCs w:val="20"/>
              </w:rPr>
            </w:pPr>
            <w:proofErr w:type="spellStart"/>
            <w:r w:rsidRPr="00AA5421">
              <w:rPr>
                <w:sz w:val="20"/>
                <w:szCs w:val="20"/>
              </w:rPr>
              <w:t>CrCl</w:t>
            </w:r>
            <w:proofErr w:type="spellEnd"/>
            <w:r w:rsidRPr="00AA5421">
              <w:rPr>
                <w:sz w:val="20"/>
                <w:szCs w:val="20"/>
              </w:rPr>
              <w:t xml:space="preserve"> &gt;30 </w:t>
            </w:r>
            <w:proofErr w:type="spellStart"/>
            <w:r w:rsidRPr="00AA5421">
              <w:rPr>
                <w:sz w:val="20"/>
                <w:szCs w:val="20"/>
              </w:rPr>
              <w:t>mL</w:t>
            </w:r>
            <w:proofErr w:type="spellEnd"/>
            <w:r w:rsidRPr="00AA5421">
              <w:rPr>
                <w:sz w:val="20"/>
                <w:szCs w:val="20"/>
              </w:rPr>
              <w:t>/min and ≤ 50-mL/min</w:t>
            </w:r>
          </w:p>
        </w:tc>
        <w:tc>
          <w:tcPr>
            <w:tcW w:w="992" w:type="dxa"/>
          </w:tcPr>
          <w:p w:rsidR="0003660E" w:rsidRPr="00AA5421" w:rsidRDefault="00C062C0" w:rsidP="00C062C0">
            <w:pPr>
              <w:tabs>
                <w:tab w:val="left" w:pos="0"/>
              </w:tabs>
              <w:spacing w:after="240"/>
              <w:jc w:val="center"/>
              <w:rPr>
                <w:sz w:val="20"/>
                <w:szCs w:val="20"/>
              </w:rPr>
            </w:pPr>
            <w:proofErr w:type="spellStart"/>
            <w:r w:rsidRPr="00AA5421">
              <w:rPr>
                <w:sz w:val="20"/>
                <w:szCs w:val="20"/>
              </w:rPr>
              <w:t>CrCl</w:t>
            </w:r>
            <w:proofErr w:type="spellEnd"/>
            <w:r w:rsidRPr="00AA5421">
              <w:rPr>
                <w:sz w:val="20"/>
                <w:szCs w:val="20"/>
              </w:rPr>
              <w:t xml:space="preserve"> ≤ 30-mL/min</w:t>
            </w:r>
          </w:p>
        </w:tc>
        <w:tc>
          <w:tcPr>
            <w:tcW w:w="1442" w:type="dxa"/>
          </w:tcPr>
          <w:p w:rsidR="0003660E" w:rsidRPr="00AA5421" w:rsidRDefault="00C062C0" w:rsidP="00C062C0">
            <w:pPr>
              <w:tabs>
                <w:tab w:val="left" w:pos="0"/>
              </w:tabs>
              <w:spacing w:after="240"/>
              <w:jc w:val="center"/>
              <w:rPr>
                <w:sz w:val="20"/>
                <w:szCs w:val="20"/>
              </w:rPr>
            </w:pPr>
            <w:r w:rsidRPr="00AA5421">
              <w:rPr>
                <w:sz w:val="20"/>
                <w:szCs w:val="20"/>
              </w:rPr>
              <w:t>On Regular Haemodialysis</w:t>
            </w:r>
          </w:p>
        </w:tc>
      </w:tr>
      <w:tr w:rsidR="00C062C0" w:rsidRPr="00AA5421" w:rsidTr="00C062C0">
        <w:tc>
          <w:tcPr>
            <w:tcW w:w="1951" w:type="dxa"/>
          </w:tcPr>
          <w:p w:rsidR="0003660E" w:rsidRPr="00AA5421" w:rsidRDefault="00C062C0" w:rsidP="007159FC">
            <w:pPr>
              <w:tabs>
                <w:tab w:val="left" w:pos="0"/>
              </w:tabs>
              <w:spacing w:after="240"/>
              <w:rPr>
                <w:sz w:val="20"/>
                <w:szCs w:val="20"/>
              </w:rPr>
            </w:pPr>
            <w:r w:rsidRPr="00AA5421">
              <w:rPr>
                <w:sz w:val="20"/>
                <w:szCs w:val="20"/>
              </w:rPr>
              <w:t>Potent CYP3A inhibitors (with or without CYP3A inducer)*</w:t>
            </w:r>
          </w:p>
        </w:tc>
        <w:tc>
          <w:tcPr>
            <w:tcW w:w="1276" w:type="dxa"/>
          </w:tcPr>
          <w:p w:rsidR="0003660E" w:rsidRPr="00AA5421" w:rsidRDefault="00C062C0" w:rsidP="00C062C0">
            <w:pPr>
              <w:tabs>
                <w:tab w:val="left" w:pos="0"/>
              </w:tabs>
              <w:spacing w:after="240"/>
              <w:jc w:val="center"/>
              <w:rPr>
                <w:sz w:val="20"/>
                <w:szCs w:val="20"/>
              </w:rPr>
            </w:pPr>
            <w:r w:rsidRPr="00AA5421">
              <w:rPr>
                <w:sz w:val="20"/>
                <w:szCs w:val="20"/>
              </w:rPr>
              <w:t>150 mg twice daily</w:t>
            </w:r>
          </w:p>
        </w:tc>
        <w:tc>
          <w:tcPr>
            <w:tcW w:w="1417" w:type="dxa"/>
          </w:tcPr>
          <w:p w:rsidR="0003660E" w:rsidRPr="00AA5421" w:rsidRDefault="00C062C0" w:rsidP="00C062C0">
            <w:pPr>
              <w:tabs>
                <w:tab w:val="left" w:pos="0"/>
              </w:tabs>
              <w:spacing w:after="240"/>
              <w:jc w:val="center"/>
              <w:rPr>
                <w:sz w:val="20"/>
                <w:szCs w:val="20"/>
              </w:rPr>
            </w:pPr>
            <w:r w:rsidRPr="00AA5421">
              <w:rPr>
                <w:sz w:val="20"/>
                <w:szCs w:val="20"/>
              </w:rPr>
              <w:t>150 mg twice daily</w:t>
            </w:r>
          </w:p>
        </w:tc>
        <w:tc>
          <w:tcPr>
            <w:tcW w:w="1418" w:type="dxa"/>
          </w:tcPr>
          <w:p w:rsidR="0003660E" w:rsidRPr="00AA5421" w:rsidRDefault="00C062C0" w:rsidP="00C062C0">
            <w:pPr>
              <w:tabs>
                <w:tab w:val="left" w:pos="0"/>
              </w:tabs>
              <w:spacing w:after="240"/>
              <w:jc w:val="center"/>
              <w:rPr>
                <w:sz w:val="20"/>
                <w:szCs w:val="20"/>
              </w:rPr>
            </w:pPr>
            <w:r w:rsidRPr="00AA5421">
              <w:rPr>
                <w:sz w:val="20"/>
                <w:szCs w:val="20"/>
              </w:rPr>
              <w:t>150 mg twice daily</w:t>
            </w:r>
          </w:p>
        </w:tc>
        <w:tc>
          <w:tcPr>
            <w:tcW w:w="992" w:type="dxa"/>
          </w:tcPr>
          <w:p w:rsidR="0003660E" w:rsidRPr="00AA5421" w:rsidRDefault="00C062C0" w:rsidP="00C062C0">
            <w:pPr>
              <w:tabs>
                <w:tab w:val="left" w:pos="0"/>
              </w:tabs>
              <w:spacing w:after="240"/>
              <w:jc w:val="center"/>
              <w:rPr>
                <w:sz w:val="20"/>
                <w:szCs w:val="20"/>
              </w:rPr>
            </w:pPr>
            <w:r w:rsidRPr="00AA5421">
              <w:rPr>
                <w:sz w:val="20"/>
                <w:szCs w:val="20"/>
              </w:rPr>
              <w:t>NR</w:t>
            </w:r>
          </w:p>
        </w:tc>
        <w:tc>
          <w:tcPr>
            <w:tcW w:w="1442" w:type="dxa"/>
          </w:tcPr>
          <w:p w:rsidR="0003660E" w:rsidRPr="00AA5421" w:rsidRDefault="00C062C0" w:rsidP="00C062C0">
            <w:pPr>
              <w:tabs>
                <w:tab w:val="left" w:pos="0"/>
              </w:tabs>
              <w:spacing w:after="240"/>
              <w:jc w:val="center"/>
              <w:rPr>
                <w:sz w:val="20"/>
                <w:szCs w:val="20"/>
              </w:rPr>
            </w:pPr>
            <w:r w:rsidRPr="00AA5421">
              <w:rPr>
                <w:sz w:val="20"/>
                <w:szCs w:val="20"/>
              </w:rPr>
              <w:t>NR</w:t>
            </w:r>
          </w:p>
        </w:tc>
      </w:tr>
      <w:tr w:rsidR="00C062C0" w:rsidRPr="00AA5421" w:rsidTr="00C062C0">
        <w:tc>
          <w:tcPr>
            <w:tcW w:w="1951" w:type="dxa"/>
          </w:tcPr>
          <w:p w:rsidR="0003660E" w:rsidRPr="00AA5421" w:rsidRDefault="00C062C0" w:rsidP="007159FC">
            <w:pPr>
              <w:tabs>
                <w:tab w:val="left" w:pos="0"/>
              </w:tabs>
              <w:spacing w:after="240"/>
              <w:rPr>
                <w:sz w:val="20"/>
                <w:szCs w:val="20"/>
              </w:rPr>
            </w:pPr>
            <w:r w:rsidRPr="00AA5421">
              <w:rPr>
                <w:sz w:val="20"/>
                <w:szCs w:val="20"/>
              </w:rPr>
              <w:t>Other concomitant medications*</w:t>
            </w:r>
          </w:p>
        </w:tc>
        <w:tc>
          <w:tcPr>
            <w:tcW w:w="1276" w:type="dxa"/>
          </w:tcPr>
          <w:p w:rsidR="0003660E" w:rsidRPr="00AA5421" w:rsidRDefault="00C062C0" w:rsidP="00C062C0">
            <w:pPr>
              <w:tabs>
                <w:tab w:val="left" w:pos="0"/>
              </w:tabs>
              <w:spacing w:after="240"/>
              <w:jc w:val="center"/>
              <w:rPr>
                <w:sz w:val="20"/>
                <w:szCs w:val="20"/>
              </w:rPr>
            </w:pPr>
            <w:r w:rsidRPr="00AA5421">
              <w:rPr>
                <w:sz w:val="20"/>
                <w:szCs w:val="20"/>
              </w:rPr>
              <w:t>300 mg twice daily</w:t>
            </w:r>
          </w:p>
        </w:tc>
        <w:tc>
          <w:tcPr>
            <w:tcW w:w="1417" w:type="dxa"/>
          </w:tcPr>
          <w:p w:rsidR="0003660E" w:rsidRPr="00AA5421" w:rsidRDefault="00C062C0" w:rsidP="00C062C0">
            <w:pPr>
              <w:tabs>
                <w:tab w:val="left" w:pos="0"/>
              </w:tabs>
              <w:spacing w:after="240"/>
              <w:jc w:val="center"/>
              <w:rPr>
                <w:sz w:val="20"/>
                <w:szCs w:val="20"/>
              </w:rPr>
            </w:pPr>
            <w:r w:rsidRPr="00AA5421">
              <w:rPr>
                <w:sz w:val="20"/>
                <w:szCs w:val="20"/>
              </w:rPr>
              <w:t>300 mg twice daily</w:t>
            </w:r>
          </w:p>
        </w:tc>
        <w:tc>
          <w:tcPr>
            <w:tcW w:w="1418" w:type="dxa"/>
          </w:tcPr>
          <w:p w:rsidR="0003660E" w:rsidRPr="00AA5421" w:rsidRDefault="00C062C0" w:rsidP="00C062C0">
            <w:pPr>
              <w:tabs>
                <w:tab w:val="left" w:pos="0"/>
              </w:tabs>
              <w:spacing w:after="240"/>
              <w:jc w:val="center"/>
              <w:rPr>
                <w:sz w:val="20"/>
                <w:szCs w:val="20"/>
              </w:rPr>
            </w:pPr>
            <w:r w:rsidRPr="00AA5421">
              <w:rPr>
                <w:sz w:val="20"/>
                <w:szCs w:val="20"/>
              </w:rPr>
              <w:t>300 mg twice daily</w:t>
            </w:r>
          </w:p>
        </w:tc>
        <w:tc>
          <w:tcPr>
            <w:tcW w:w="992" w:type="dxa"/>
          </w:tcPr>
          <w:p w:rsidR="0003660E" w:rsidRPr="00AA5421" w:rsidRDefault="00C062C0" w:rsidP="00C062C0">
            <w:pPr>
              <w:tabs>
                <w:tab w:val="left" w:pos="0"/>
              </w:tabs>
              <w:spacing w:after="240"/>
              <w:jc w:val="center"/>
              <w:rPr>
                <w:sz w:val="20"/>
                <w:szCs w:val="20"/>
              </w:rPr>
            </w:pPr>
            <w:r w:rsidRPr="00AA5421">
              <w:rPr>
                <w:sz w:val="20"/>
                <w:szCs w:val="20"/>
              </w:rPr>
              <w:t>300 mg twice daily#</w:t>
            </w:r>
          </w:p>
        </w:tc>
        <w:tc>
          <w:tcPr>
            <w:tcW w:w="1442" w:type="dxa"/>
          </w:tcPr>
          <w:p w:rsidR="0003660E" w:rsidRPr="00AA5421" w:rsidRDefault="00C062C0" w:rsidP="00C062C0">
            <w:pPr>
              <w:tabs>
                <w:tab w:val="left" w:pos="0"/>
              </w:tabs>
              <w:spacing w:after="240"/>
              <w:jc w:val="center"/>
              <w:rPr>
                <w:sz w:val="20"/>
                <w:szCs w:val="20"/>
              </w:rPr>
            </w:pPr>
            <w:r w:rsidRPr="00AA5421">
              <w:rPr>
                <w:sz w:val="20"/>
                <w:szCs w:val="20"/>
              </w:rPr>
              <w:t>300 mg twice daily#</w:t>
            </w:r>
          </w:p>
        </w:tc>
      </w:tr>
      <w:tr w:rsidR="00C062C0" w:rsidRPr="00AA5421" w:rsidTr="00C062C0">
        <w:tc>
          <w:tcPr>
            <w:tcW w:w="1951" w:type="dxa"/>
          </w:tcPr>
          <w:p w:rsidR="0003660E" w:rsidRPr="00AA5421" w:rsidRDefault="00C062C0" w:rsidP="00A545CE">
            <w:pPr>
              <w:tabs>
                <w:tab w:val="left" w:pos="0"/>
              </w:tabs>
              <w:spacing w:after="240"/>
              <w:rPr>
                <w:sz w:val="20"/>
                <w:szCs w:val="20"/>
              </w:rPr>
            </w:pPr>
            <w:r w:rsidRPr="00AA5421">
              <w:rPr>
                <w:sz w:val="20"/>
                <w:szCs w:val="20"/>
              </w:rPr>
              <w:t>Potent CYP3A inducers</w:t>
            </w:r>
            <w:r w:rsidR="009360C5">
              <w:rPr>
                <w:sz w:val="20"/>
                <w:szCs w:val="20"/>
              </w:rPr>
              <w:t xml:space="preserve"> </w:t>
            </w:r>
            <w:r w:rsidRPr="00AA5421">
              <w:rPr>
                <w:sz w:val="20"/>
                <w:szCs w:val="20"/>
              </w:rPr>
              <w:t>(without CYP3A inhibitor)*</w:t>
            </w:r>
          </w:p>
        </w:tc>
        <w:tc>
          <w:tcPr>
            <w:tcW w:w="1276" w:type="dxa"/>
          </w:tcPr>
          <w:p w:rsidR="0003660E" w:rsidRPr="00AA5421" w:rsidRDefault="00C062C0" w:rsidP="00C062C0">
            <w:pPr>
              <w:tabs>
                <w:tab w:val="left" w:pos="0"/>
              </w:tabs>
              <w:spacing w:after="240"/>
              <w:jc w:val="center"/>
              <w:rPr>
                <w:sz w:val="20"/>
                <w:szCs w:val="20"/>
              </w:rPr>
            </w:pPr>
            <w:r w:rsidRPr="00AA5421">
              <w:rPr>
                <w:sz w:val="20"/>
                <w:szCs w:val="20"/>
              </w:rPr>
              <w:t>600 mg twice daily</w:t>
            </w:r>
          </w:p>
        </w:tc>
        <w:tc>
          <w:tcPr>
            <w:tcW w:w="1417" w:type="dxa"/>
          </w:tcPr>
          <w:p w:rsidR="0003660E" w:rsidRPr="00AA5421" w:rsidRDefault="00C062C0" w:rsidP="00C062C0">
            <w:pPr>
              <w:tabs>
                <w:tab w:val="left" w:pos="0"/>
              </w:tabs>
              <w:spacing w:after="240"/>
              <w:jc w:val="center"/>
              <w:rPr>
                <w:sz w:val="20"/>
                <w:szCs w:val="20"/>
              </w:rPr>
            </w:pPr>
            <w:r w:rsidRPr="00AA5421">
              <w:rPr>
                <w:sz w:val="20"/>
                <w:szCs w:val="20"/>
              </w:rPr>
              <w:t>600 mg twice daily</w:t>
            </w:r>
          </w:p>
        </w:tc>
        <w:tc>
          <w:tcPr>
            <w:tcW w:w="1418" w:type="dxa"/>
          </w:tcPr>
          <w:p w:rsidR="0003660E" w:rsidRPr="00AA5421" w:rsidRDefault="00C062C0" w:rsidP="00C062C0">
            <w:pPr>
              <w:tabs>
                <w:tab w:val="left" w:pos="0"/>
              </w:tabs>
              <w:spacing w:after="240"/>
              <w:jc w:val="center"/>
              <w:rPr>
                <w:sz w:val="20"/>
                <w:szCs w:val="20"/>
              </w:rPr>
            </w:pPr>
            <w:r w:rsidRPr="00AA5421">
              <w:rPr>
                <w:sz w:val="20"/>
                <w:szCs w:val="20"/>
              </w:rPr>
              <w:t>600 mg twice daily</w:t>
            </w:r>
          </w:p>
        </w:tc>
        <w:tc>
          <w:tcPr>
            <w:tcW w:w="992" w:type="dxa"/>
          </w:tcPr>
          <w:p w:rsidR="0003660E" w:rsidRPr="00AA5421" w:rsidRDefault="00C062C0" w:rsidP="00C062C0">
            <w:pPr>
              <w:tabs>
                <w:tab w:val="left" w:pos="0"/>
              </w:tabs>
              <w:spacing w:after="240"/>
              <w:jc w:val="center"/>
              <w:rPr>
                <w:sz w:val="20"/>
                <w:szCs w:val="20"/>
              </w:rPr>
            </w:pPr>
            <w:r w:rsidRPr="00AA5421">
              <w:rPr>
                <w:sz w:val="20"/>
                <w:szCs w:val="20"/>
              </w:rPr>
              <w:t>NR</w:t>
            </w:r>
          </w:p>
        </w:tc>
        <w:tc>
          <w:tcPr>
            <w:tcW w:w="1442" w:type="dxa"/>
          </w:tcPr>
          <w:p w:rsidR="0003660E" w:rsidRPr="00AA5421" w:rsidRDefault="00C062C0" w:rsidP="00C062C0">
            <w:pPr>
              <w:tabs>
                <w:tab w:val="left" w:pos="0"/>
              </w:tabs>
              <w:spacing w:after="240"/>
              <w:jc w:val="center"/>
              <w:rPr>
                <w:sz w:val="20"/>
                <w:szCs w:val="20"/>
              </w:rPr>
            </w:pPr>
            <w:r w:rsidRPr="00AA5421">
              <w:rPr>
                <w:sz w:val="20"/>
                <w:szCs w:val="20"/>
              </w:rPr>
              <w:t>NR</w:t>
            </w:r>
          </w:p>
        </w:tc>
      </w:tr>
    </w:tbl>
    <w:p w:rsidR="0003660E" w:rsidRPr="00AA5421" w:rsidRDefault="00197CD4" w:rsidP="00197CD4">
      <w:pPr>
        <w:tabs>
          <w:tab w:val="left" w:pos="0"/>
        </w:tabs>
        <w:ind w:left="360"/>
        <w:jc w:val="both"/>
        <w:rPr>
          <w:sz w:val="18"/>
          <w:szCs w:val="18"/>
        </w:rPr>
      </w:pPr>
      <w:r w:rsidRPr="00AA5421">
        <w:rPr>
          <w:sz w:val="18"/>
          <w:szCs w:val="18"/>
        </w:rPr>
        <w:t>NR = not recommended</w:t>
      </w:r>
    </w:p>
    <w:p w:rsidR="00197CD4" w:rsidRPr="00AA5421" w:rsidRDefault="00197CD4" w:rsidP="00197CD4">
      <w:pPr>
        <w:tabs>
          <w:tab w:val="left" w:pos="0"/>
        </w:tabs>
        <w:ind w:left="360"/>
        <w:jc w:val="both"/>
        <w:rPr>
          <w:sz w:val="18"/>
          <w:szCs w:val="18"/>
        </w:rPr>
      </w:pPr>
      <w:r w:rsidRPr="00AA5421">
        <w:rPr>
          <w:sz w:val="18"/>
          <w:szCs w:val="18"/>
        </w:rPr>
        <w:t xml:space="preserve">*See Table </w:t>
      </w:r>
      <w:r w:rsidR="00BC6545">
        <w:rPr>
          <w:sz w:val="18"/>
          <w:szCs w:val="18"/>
        </w:rPr>
        <w:t>7</w:t>
      </w:r>
      <w:r w:rsidR="00BC6545" w:rsidRPr="00AA5421">
        <w:rPr>
          <w:sz w:val="18"/>
          <w:szCs w:val="18"/>
        </w:rPr>
        <w:t xml:space="preserve"> </w:t>
      </w:r>
      <w:r w:rsidRPr="00AA5421">
        <w:rPr>
          <w:sz w:val="18"/>
          <w:szCs w:val="18"/>
        </w:rPr>
        <w:t>for list of concomitant medications</w:t>
      </w:r>
    </w:p>
    <w:p w:rsidR="00197CD4" w:rsidRPr="00AA5421" w:rsidRDefault="00197CD4" w:rsidP="00197CD4">
      <w:pPr>
        <w:tabs>
          <w:tab w:val="left" w:pos="0"/>
        </w:tabs>
        <w:ind w:left="360"/>
        <w:jc w:val="both"/>
        <w:rPr>
          <w:sz w:val="18"/>
          <w:szCs w:val="18"/>
        </w:rPr>
      </w:pPr>
      <w:r w:rsidRPr="00AA5421">
        <w:rPr>
          <w:sz w:val="18"/>
          <w:szCs w:val="18"/>
        </w:rPr>
        <w:lastRenderedPageBreak/>
        <w:t xml:space="preserve"># The CELSENTRI dose should be reduced to 150 mg twice daily if there are any symptoms of postural hypotension (see PRECAUTIONS, Renal </w:t>
      </w:r>
      <w:proofErr w:type="spellStart"/>
      <w:r w:rsidRPr="00AA5421">
        <w:rPr>
          <w:sz w:val="18"/>
          <w:szCs w:val="18"/>
        </w:rPr>
        <w:t>Impariments</w:t>
      </w:r>
      <w:proofErr w:type="spellEnd"/>
      <w:r w:rsidRPr="00AA5421">
        <w:rPr>
          <w:sz w:val="18"/>
          <w:szCs w:val="18"/>
        </w:rPr>
        <w:t>)</w:t>
      </w:r>
    </w:p>
    <w:p w:rsidR="00315256" w:rsidRPr="00315256" w:rsidRDefault="00E66B00" w:rsidP="004D6F00">
      <w:pPr>
        <w:spacing w:before="240" w:after="240"/>
        <w:jc w:val="both"/>
        <w:rPr>
          <w:color w:val="000000"/>
        </w:rPr>
      </w:pPr>
      <w:r w:rsidRPr="00AA5421">
        <w:rPr>
          <w:color w:val="000000"/>
          <w:u w:val="single"/>
        </w:rPr>
        <w:t>Hepatic impairment:</w:t>
      </w:r>
      <w:r w:rsidRPr="00AA5421">
        <w:rPr>
          <w:color w:val="000000"/>
        </w:rPr>
        <w:t xml:space="preserve"> limited data</w:t>
      </w:r>
      <w:r w:rsidR="00315256" w:rsidRPr="00AA5421">
        <w:rPr>
          <w:color w:val="000000"/>
        </w:rPr>
        <w:t xml:space="preserve"> in mild and moderately </w:t>
      </w:r>
      <w:proofErr w:type="spellStart"/>
      <w:r w:rsidR="00315256" w:rsidRPr="00AA5421">
        <w:rPr>
          <w:color w:val="000000"/>
        </w:rPr>
        <w:t>hepatically</w:t>
      </w:r>
      <w:proofErr w:type="spellEnd"/>
      <w:r w:rsidR="00315256" w:rsidRPr="00AA5421">
        <w:rPr>
          <w:color w:val="000000"/>
        </w:rPr>
        <w:t xml:space="preserve"> impaired </w:t>
      </w:r>
      <w:r w:rsidR="00306C28">
        <w:rPr>
          <w:color w:val="000000"/>
        </w:rPr>
        <w:t>patients</w:t>
      </w:r>
      <w:r w:rsidR="00315256" w:rsidRPr="00AA5421">
        <w:rPr>
          <w:color w:val="000000"/>
        </w:rPr>
        <w:t xml:space="preserve"> demonstrated small increase in the mean </w:t>
      </w:r>
      <w:proofErr w:type="spellStart"/>
      <w:r w:rsidR="00315256" w:rsidRPr="00AA5421">
        <w:rPr>
          <w:color w:val="000000"/>
        </w:rPr>
        <w:t>Cmax</w:t>
      </w:r>
      <w:proofErr w:type="spellEnd"/>
      <w:r w:rsidR="00315256" w:rsidRPr="00AA5421">
        <w:rPr>
          <w:color w:val="000000"/>
        </w:rPr>
        <w:t xml:space="preserve"> of </w:t>
      </w:r>
      <w:proofErr w:type="spellStart"/>
      <w:r w:rsidR="00315256" w:rsidRPr="00AA5421">
        <w:rPr>
          <w:color w:val="000000"/>
        </w:rPr>
        <w:t>maraviroc</w:t>
      </w:r>
      <w:proofErr w:type="spellEnd"/>
      <w:r w:rsidR="00315256" w:rsidRPr="00AA5421">
        <w:rPr>
          <w:color w:val="000000"/>
        </w:rPr>
        <w:t>, suggesting no dose adjustment is required.</w:t>
      </w:r>
      <w:r w:rsidRPr="00AA5421">
        <w:rPr>
          <w:color w:val="000000"/>
        </w:rPr>
        <w:t xml:space="preserve"> </w:t>
      </w:r>
      <w:r w:rsidR="00315256" w:rsidRPr="00AA5421">
        <w:rPr>
          <w:color w:val="000000"/>
        </w:rPr>
        <w:t xml:space="preserve">However, </w:t>
      </w:r>
      <w:r w:rsidRPr="00AA5421">
        <w:rPr>
          <w:lang w:val="en-US"/>
        </w:rPr>
        <w:t>CELSENTRI should be used with caution in patients with hepatic</w:t>
      </w:r>
      <w:r w:rsidRPr="00075B31">
        <w:rPr>
          <w:lang w:val="en-US"/>
        </w:rPr>
        <w:t xml:space="preserve"> impairment (see</w:t>
      </w:r>
      <w:r w:rsidRPr="00EB4A2C">
        <w:rPr>
          <w:color w:val="000000"/>
        </w:rPr>
        <w:t xml:space="preserve"> PHARMACOLOGY, Pharmacokinetics and PRECAUTIONS</w:t>
      </w:r>
      <w:r w:rsidRPr="00075B31">
        <w:rPr>
          <w:lang w:val="en-US"/>
        </w:rPr>
        <w:t>)</w:t>
      </w:r>
      <w:r>
        <w:rPr>
          <w:lang w:val="en-US"/>
        </w:rPr>
        <w:t>.</w:t>
      </w:r>
    </w:p>
    <w:p w:rsidR="00E66B00" w:rsidRPr="009B775E" w:rsidRDefault="00E66B00" w:rsidP="009B775E">
      <w:pPr>
        <w:autoSpaceDE w:val="0"/>
        <w:autoSpaceDN w:val="0"/>
        <w:adjustRightInd w:val="0"/>
        <w:spacing w:after="240"/>
        <w:jc w:val="both"/>
        <w:rPr>
          <w:u w:val="single"/>
          <w:lang w:val="en-US"/>
        </w:rPr>
      </w:pPr>
      <w:r w:rsidRPr="00CD6A9E">
        <w:rPr>
          <w:u w:val="single"/>
          <w:lang w:val="en-US"/>
        </w:rPr>
        <w:t>Race:</w:t>
      </w:r>
      <w:r w:rsidR="009B775E" w:rsidRPr="009B775E">
        <w:rPr>
          <w:lang w:val="en-US"/>
        </w:rPr>
        <w:t xml:space="preserve"> </w:t>
      </w:r>
      <w:r w:rsidR="009B775E">
        <w:rPr>
          <w:bCs/>
        </w:rPr>
        <w:t>n</w:t>
      </w:r>
      <w:r>
        <w:rPr>
          <w:bCs/>
        </w:rPr>
        <w:t xml:space="preserve">o dosage adjustment is necessary on the basis of race (see </w:t>
      </w:r>
      <w:r w:rsidRPr="00EB4A2C">
        <w:rPr>
          <w:color w:val="000000"/>
        </w:rPr>
        <w:t>PHARMACOLOGY, Pharmacokinetics</w:t>
      </w:r>
      <w:r>
        <w:rPr>
          <w:bCs/>
        </w:rPr>
        <w:t>).</w:t>
      </w:r>
    </w:p>
    <w:p w:rsidR="00E66B00" w:rsidRPr="00E70E9C" w:rsidRDefault="00E66B00" w:rsidP="003F445E">
      <w:pPr>
        <w:spacing w:after="240"/>
        <w:jc w:val="both"/>
        <w:rPr>
          <w:b/>
        </w:rPr>
      </w:pPr>
      <w:r w:rsidRPr="00CD6A9E">
        <w:rPr>
          <w:u w:val="single"/>
          <w:lang w:val="en-US"/>
        </w:rPr>
        <w:t>Gender:</w:t>
      </w:r>
      <w:r>
        <w:rPr>
          <w:b/>
        </w:rPr>
        <w:t xml:space="preserve"> </w:t>
      </w:r>
      <w:r w:rsidR="009B775E">
        <w:rPr>
          <w:iCs/>
        </w:rPr>
        <w:t>n</w:t>
      </w:r>
      <w:r>
        <w:rPr>
          <w:iCs/>
        </w:rPr>
        <w:t xml:space="preserve">o dosage adjustment is necessary on the basis of gender (see </w:t>
      </w:r>
      <w:r w:rsidRPr="00EB4A2C">
        <w:rPr>
          <w:color w:val="000000"/>
        </w:rPr>
        <w:t>PHARMACOLOGY, Pharmacokinetics</w:t>
      </w:r>
      <w:r>
        <w:rPr>
          <w:iCs/>
        </w:rPr>
        <w:t>).</w:t>
      </w:r>
    </w:p>
    <w:p w:rsidR="00E66B00" w:rsidRPr="00E70E9C" w:rsidRDefault="00E66B00" w:rsidP="004D6F00">
      <w:pPr>
        <w:pStyle w:val="Heading1"/>
      </w:pPr>
      <w:r w:rsidRPr="00EB4A2C">
        <w:t>OVERDOSAGE</w:t>
      </w:r>
    </w:p>
    <w:p w:rsidR="00E66B00" w:rsidRDefault="00E66B00" w:rsidP="003F445E">
      <w:pPr>
        <w:spacing w:after="240"/>
        <w:jc w:val="both"/>
        <w:rPr>
          <w:color w:val="000000"/>
          <w:szCs w:val="22"/>
        </w:rPr>
      </w:pPr>
      <w:r w:rsidRPr="00EB4A2C">
        <w:rPr>
          <w:color w:val="000000"/>
          <w:szCs w:val="22"/>
        </w:rPr>
        <w:t xml:space="preserve">The highest dose administered in clinical studies was 1200 mg. The dose limiting adverse </w:t>
      </w:r>
      <w:r>
        <w:rPr>
          <w:color w:val="000000"/>
          <w:szCs w:val="22"/>
        </w:rPr>
        <w:t>reaction</w:t>
      </w:r>
      <w:r w:rsidR="00E70E9C">
        <w:rPr>
          <w:color w:val="000000"/>
          <w:szCs w:val="22"/>
        </w:rPr>
        <w:t xml:space="preserve"> was postural hypotension.</w:t>
      </w:r>
    </w:p>
    <w:p w:rsidR="006E2CF7" w:rsidRPr="00E70E9C" w:rsidRDefault="006E2CF7" w:rsidP="00C35D98">
      <w:pPr>
        <w:spacing w:after="240"/>
        <w:jc w:val="both"/>
        <w:rPr>
          <w:color w:val="000000"/>
          <w:szCs w:val="22"/>
        </w:rPr>
      </w:pPr>
      <w:r w:rsidRPr="00EB4A2C">
        <w:rPr>
          <w:color w:val="000000"/>
        </w:rPr>
        <w:t>Prolongation of the QT interval was seen in dogs and monkeys at</w:t>
      </w:r>
      <w:r>
        <w:rPr>
          <w:color w:val="000000"/>
        </w:rPr>
        <w:t xml:space="preserve"> free</w:t>
      </w:r>
      <w:r w:rsidRPr="00EB4A2C">
        <w:rPr>
          <w:color w:val="000000"/>
        </w:rPr>
        <w:t xml:space="preserve"> plasma concentrations</w:t>
      </w:r>
      <w:r>
        <w:rPr>
          <w:color w:val="000000"/>
        </w:rPr>
        <w:t xml:space="preserve"> of maraviroc</w:t>
      </w:r>
      <w:r w:rsidRPr="00EB4A2C">
        <w:rPr>
          <w:color w:val="000000"/>
        </w:rPr>
        <w:t xml:space="preserve"> 6 times </w:t>
      </w:r>
      <w:r>
        <w:rPr>
          <w:color w:val="000000"/>
        </w:rPr>
        <w:t xml:space="preserve">higher than that </w:t>
      </w:r>
      <w:r w:rsidRPr="00EB4A2C">
        <w:rPr>
          <w:color w:val="000000"/>
        </w:rPr>
        <w:t xml:space="preserve">expected in humans at the </w:t>
      </w:r>
      <w:r>
        <w:rPr>
          <w:color w:val="000000"/>
        </w:rPr>
        <w:t xml:space="preserve">standard clinical </w:t>
      </w:r>
      <w:r w:rsidRPr="00EB4A2C">
        <w:rPr>
          <w:color w:val="000000"/>
        </w:rPr>
        <w:t>dose of 300 mg twice daily. However, no clinically significant QT prolongation compared to OBT alone was seen in the Phase 3 clinical studies using the recommended dose of maraviroc or in a specific pharmacokinetic study to evaluate the potential of CELSEN</w:t>
      </w:r>
      <w:r>
        <w:rPr>
          <w:color w:val="000000"/>
        </w:rPr>
        <w:t>TRI to prolong the QT interval.</w:t>
      </w:r>
    </w:p>
    <w:p w:rsidR="00E66B00" w:rsidRPr="00EB4A2C" w:rsidRDefault="00E66B00" w:rsidP="003F445E">
      <w:pPr>
        <w:spacing w:after="240"/>
        <w:jc w:val="both"/>
        <w:rPr>
          <w:color w:val="000000"/>
          <w:szCs w:val="22"/>
        </w:rPr>
      </w:pPr>
      <w:r w:rsidRPr="00EB4A2C">
        <w:rPr>
          <w:color w:val="000000"/>
          <w:szCs w:val="22"/>
        </w:rPr>
        <w:t xml:space="preserve">There is no specific antidote for overdose with CELSENTRI. Treatment of overdose should consist of general supportive measures </w:t>
      </w:r>
      <w:r w:rsidRPr="00EB4A2C">
        <w:rPr>
          <w:color w:val="000000"/>
        </w:rPr>
        <w:t>including keeping the patient in a supine position,</w:t>
      </w:r>
      <w:r w:rsidRPr="00EB4A2C">
        <w:rPr>
          <w:rFonts w:ascii="Arial" w:hAnsi="Arial" w:cs="Arial"/>
          <w:color w:val="000000"/>
          <w:sz w:val="20"/>
        </w:rPr>
        <w:t xml:space="preserve"> </w:t>
      </w:r>
      <w:r w:rsidRPr="00EB4A2C">
        <w:rPr>
          <w:color w:val="000000"/>
          <w:szCs w:val="22"/>
        </w:rPr>
        <w:t>careful assessment of patient vital signs, blood pressure and ECG.</w:t>
      </w:r>
    </w:p>
    <w:p w:rsidR="00E66B00" w:rsidRPr="00EB4A2C" w:rsidRDefault="00E66B00" w:rsidP="003F445E">
      <w:pPr>
        <w:spacing w:after="240"/>
        <w:jc w:val="both"/>
        <w:rPr>
          <w:color w:val="000000"/>
          <w:szCs w:val="22"/>
        </w:rPr>
      </w:pPr>
      <w:r w:rsidRPr="00EB4A2C">
        <w:rPr>
          <w:color w:val="000000"/>
          <w:szCs w:val="22"/>
        </w:rPr>
        <w:t>Consider administration of activated charcoal in the event of a potentially toxic ingestion. Activated charcoal is most effective when administered within 1-hour of ingestion.  Since maraviroc is moderately protein bound, dialysis may be beneficial in removal of this medicine.</w:t>
      </w:r>
    </w:p>
    <w:p w:rsidR="00E66B00" w:rsidRPr="00E70E9C" w:rsidRDefault="00E66B00" w:rsidP="003F445E">
      <w:pPr>
        <w:spacing w:after="240"/>
        <w:jc w:val="both"/>
        <w:rPr>
          <w:color w:val="000000"/>
          <w:szCs w:val="22"/>
        </w:rPr>
      </w:pPr>
      <w:r w:rsidRPr="00EB4A2C">
        <w:rPr>
          <w:color w:val="000000"/>
        </w:rPr>
        <w:t>Contact the Poisons Information Centre for advice on the management of an overdose.</w:t>
      </w:r>
    </w:p>
    <w:p w:rsidR="00E66B00" w:rsidRPr="00E70E9C" w:rsidRDefault="00E66B00" w:rsidP="004D6F00">
      <w:pPr>
        <w:pStyle w:val="Heading1"/>
      </w:pPr>
      <w:r w:rsidRPr="00A4591C">
        <w:t>PRESENTATION AND STORAGE CONDITIONS</w:t>
      </w:r>
    </w:p>
    <w:p w:rsidR="00E66B00" w:rsidRPr="00C57809" w:rsidRDefault="00E66B00" w:rsidP="003F445E">
      <w:pPr>
        <w:autoSpaceDE w:val="0"/>
        <w:autoSpaceDN w:val="0"/>
        <w:adjustRightInd w:val="0"/>
        <w:spacing w:after="240"/>
        <w:jc w:val="both"/>
        <w:rPr>
          <w:noProof/>
          <w:szCs w:val="22"/>
        </w:rPr>
      </w:pPr>
      <w:r>
        <w:rPr>
          <w:noProof/>
          <w:szCs w:val="22"/>
        </w:rPr>
        <w:t xml:space="preserve">High density polyethylene </w:t>
      </w:r>
      <w:r w:rsidRPr="009D1A39">
        <w:rPr>
          <w:noProof/>
          <w:szCs w:val="22"/>
        </w:rPr>
        <w:t>(HDPE)</w:t>
      </w:r>
      <w:r>
        <w:rPr>
          <w:noProof/>
          <w:szCs w:val="22"/>
        </w:rPr>
        <w:t xml:space="preserve"> b</w:t>
      </w:r>
      <w:r w:rsidRPr="009D1A39">
        <w:rPr>
          <w:noProof/>
          <w:szCs w:val="22"/>
        </w:rPr>
        <w:t>ottle</w:t>
      </w:r>
      <w:r>
        <w:rPr>
          <w:noProof/>
          <w:szCs w:val="22"/>
        </w:rPr>
        <w:t>s</w:t>
      </w:r>
      <w:r w:rsidRPr="009D1A39">
        <w:rPr>
          <w:noProof/>
          <w:szCs w:val="22"/>
        </w:rPr>
        <w:t xml:space="preserve"> with po</w:t>
      </w:r>
      <w:r>
        <w:rPr>
          <w:noProof/>
          <w:szCs w:val="22"/>
        </w:rPr>
        <w:t>lypropylene child resistant</w:t>
      </w:r>
      <w:r w:rsidRPr="009D1A39">
        <w:rPr>
          <w:noProof/>
          <w:szCs w:val="22"/>
        </w:rPr>
        <w:t xml:space="preserve"> closures and an aluminium foil/polyethylene heat induction seal containing </w:t>
      </w:r>
      <w:r w:rsidRPr="00C57809">
        <w:rPr>
          <w:noProof/>
          <w:szCs w:val="22"/>
        </w:rPr>
        <w:t xml:space="preserve">180 </w:t>
      </w:r>
      <w:r>
        <w:rPr>
          <w:noProof/>
          <w:szCs w:val="22"/>
        </w:rPr>
        <w:t>film-coated tablets for the 150 mg and 300 </w:t>
      </w:r>
      <w:r w:rsidRPr="00C57809">
        <w:rPr>
          <w:noProof/>
          <w:szCs w:val="22"/>
        </w:rPr>
        <w:t>mg strengths</w:t>
      </w:r>
      <w:r>
        <w:rPr>
          <w:noProof/>
          <w:szCs w:val="22"/>
        </w:rPr>
        <w:t>.</w:t>
      </w:r>
    </w:p>
    <w:p w:rsidR="00452C2F" w:rsidRDefault="00452C2F" w:rsidP="00452C2F">
      <w:pPr>
        <w:autoSpaceDE w:val="0"/>
        <w:autoSpaceDN w:val="0"/>
        <w:adjustRightInd w:val="0"/>
        <w:spacing w:after="240"/>
        <w:jc w:val="both"/>
        <w:rPr>
          <w:noProof/>
          <w:szCs w:val="22"/>
        </w:rPr>
      </w:pPr>
      <w:r w:rsidRPr="0063411C">
        <w:rPr>
          <w:noProof/>
          <w:szCs w:val="22"/>
        </w:rPr>
        <w:t>Polyvinyl chloride (PVC) blisters with aluminium foil backing in a carton containing 60, film-coated tablets for the 150 mg and 300 mg strengths.</w:t>
      </w:r>
    </w:p>
    <w:p w:rsidR="00E66B00" w:rsidRDefault="001D2FE2" w:rsidP="003F445E">
      <w:pPr>
        <w:spacing w:after="240"/>
        <w:jc w:val="both"/>
        <w:rPr>
          <w:noProof/>
        </w:rPr>
      </w:pPr>
      <w:r>
        <w:rPr>
          <w:szCs w:val="22"/>
        </w:rPr>
        <w:t>Store below 30°C.</w:t>
      </w:r>
    </w:p>
    <w:p w:rsidR="00D508EC" w:rsidRPr="0063411C" w:rsidRDefault="00D508EC" w:rsidP="004D6F00">
      <w:pPr>
        <w:pStyle w:val="Heading1"/>
      </w:pPr>
      <w:r w:rsidRPr="0063411C">
        <w:lastRenderedPageBreak/>
        <w:t>NAME AND ADDRESS OF SPONSOR</w:t>
      </w:r>
    </w:p>
    <w:p w:rsidR="00D508EC" w:rsidRPr="0063411C" w:rsidRDefault="00D508EC" w:rsidP="00D508EC">
      <w:pPr>
        <w:rPr>
          <w:lang w:eastAsia="en-US"/>
        </w:rPr>
      </w:pPr>
      <w:proofErr w:type="spellStart"/>
      <w:r w:rsidRPr="0063411C">
        <w:rPr>
          <w:lang w:eastAsia="en-US"/>
        </w:rPr>
        <w:t>ViiV</w:t>
      </w:r>
      <w:proofErr w:type="spellEnd"/>
      <w:r w:rsidRPr="0063411C">
        <w:rPr>
          <w:lang w:eastAsia="en-US"/>
        </w:rPr>
        <w:t xml:space="preserve"> Healthcare Pty Ltd</w:t>
      </w:r>
    </w:p>
    <w:p w:rsidR="00D508EC" w:rsidRPr="0063411C" w:rsidRDefault="00D508EC" w:rsidP="00D508EC">
      <w:pPr>
        <w:rPr>
          <w:lang w:eastAsia="en-US"/>
        </w:rPr>
      </w:pPr>
      <w:r w:rsidRPr="0063411C">
        <w:rPr>
          <w:lang w:eastAsia="en-US"/>
        </w:rPr>
        <w:t>Level 4, 436 Johnston Street</w:t>
      </w:r>
    </w:p>
    <w:p w:rsidR="00D508EC" w:rsidRPr="0063411C" w:rsidRDefault="00D508EC" w:rsidP="00D508EC">
      <w:pPr>
        <w:rPr>
          <w:lang w:eastAsia="en-US"/>
        </w:rPr>
      </w:pPr>
      <w:proofErr w:type="gramStart"/>
      <w:r w:rsidRPr="0063411C">
        <w:rPr>
          <w:lang w:eastAsia="en-US"/>
        </w:rPr>
        <w:t>Abbotsford  VIC</w:t>
      </w:r>
      <w:proofErr w:type="gramEnd"/>
      <w:r w:rsidRPr="0063411C">
        <w:rPr>
          <w:lang w:eastAsia="en-US"/>
        </w:rPr>
        <w:t xml:space="preserve">  3067</w:t>
      </w:r>
    </w:p>
    <w:p w:rsidR="00D508EC" w:rsidRPr="0063411C" w:rsidRDefault="00D508EC" w:rsidP="00B470B9">
      <w:pPr>
        <w:pStyle w:val="Heading1"/>
      </w:pPr>
      <w:r w:rsidRPr="0063411C">
        <w:t>POISON SCHEDULE OF THE MEDICINE</w:t>
      </w:r>
    </w:p>
    <w:p w:rsidR="00D508EC" w:rsidRPr="0063411C" w:rsidRDefault="00D508EC" w:rsidP="00D508EC">
      <w:pPr>
        <w:spacing w:after="240"/>
        <w:jc w:val="both"/>
      </w:pPr>
      <w:r w:rsidRPr="0063411C">
        <w:t>Prescription only medicine (S4)</w:t>
      </w:r>
    </w:p>
    <w:p w:rsidR="00D508EC" w:rsidRPr="0063411C" w:rsidRDefault="00D508EC" w:rsidP="004D6F00">
      <w:pPr>
        <w:pStyle w:val="Heading1"/>
      </w:pPr>
      <w:r w:rsidRPr="0063411C">
        <w:t xml:space="preserve">DATE OF first inclusion on the Australian register of therapeutic goods (the ARTG): </w:t>
      </w:r>
      <w:r w:rsidRPr="0063411C">
        <w:rPr>
          <w:rFonts w:ascii="Times New Roman" w:hAnsi="Times New Roman"/>
        </w:rPr>
        <w:t>22 January 2008</w:t>
      </w:r>
    </w:p>
    <w:p w:rsidR="00D508EC" w:rsidRPr="0063411C" w:rsidRDefault="00D508EC" w:rsidP="00D508EC">
      <w:pPr>
        <w:spacing w:after="240"/>
        <w:jc w:val="both"/>
      </w:pPr>
      <w:r w:rsidRPr="0063411C">
        <w:rPr>
          <w:b/>
        </w:rPr>
        <w:t>DATE OF MOST RECENT AMENDMENT:</w:t>
      </w:r>
      <w:r w:rsidRPr="0063411C">
        <w:t xml:space="preserve"> </w:t>
      </w:r>
      <w:r w:rsidR="0051388B">
        <w:t>31 August 2012</w:t>
      </w:r>
    </w:p>
    <w:p w:rsidR="00D508EC" w:rsidRPr="0063411C" w:rsidRDefault="00FF7FA0" w:rsidP="00D508EC">
      <w:pPr>
        <w:spacing w:after="240"/>
        <w:jc w:val="both"/>
      </w:pPr>
      <w:r>
        <w:t>CELSENTRI</w:t>
      </w:r>
      <w:r w:rsidR="00D508EC" w:rsidRPr="0063411C">
        <w:rPr>
          <w:vertAlign w:val="superscript"/>
        </w:rPr>
        <w:t>®</w:t>
      </w:r>
      <w:r>
        <w:t xml:space="preserve"> is a registered trade mark of the </w:t>
      </w:r>
      <w:proofErr w:type="spellStart"/>
      <w:r>
        <w:t>ViiV</w:t>
      </w:r>
      <w:proofErr w:type="spellEnd"/>
      <w:r>
        <w:t xml:space="preserve"> Healthcare group of companies</w:t>
      </w:r>
    </w:p>
    <w:p w:rsidR="00F978E2" w:rsidRPr="00AE2682" w:rsidRDefault="007B4B93" w:rsidP="00B470B9">
      <w:pPr>
        <w:spacing w:after="240"/>
        <w:jc w:val="both"/>
      </w:pPr>
      <w:r w:rsidRPr="0063411C">
        <w:rPr>
          <w:color w:val="000000"/>
          <w:sz w:val="22"/>
          <w:szCs w:val="22"/>
        </w:rPr>
        <w:t>Version</w:t>
      </w:r>
      <w:r>
        <w:rPr>
          <w:color w:val="000000"/>
          <w:sz w:val="22"/>
          <w:szCs w:val="22"/>
        </w:rPr>
        <w:t xml:space="preserve"> </w:t>
      </w:r>
      <w:r w:rsidR="00FF7FA0">
        <w:rPr>
          <w:color w:val="000000"/>
          <w:sz w:val="22"/>
          <w:szCs w:val="22"/>
        </w:rPr>
        <w:t>6.0</w:t>
      </w:r>
    </w:p>
    <w:sectPr w:rsidR="00F978E2" w:rsidRPr="00AE2682" w:rsidSect="0017754F">
      <w:headerReference w:type="default" r:id="rId10"/>
      <w:footerReference w:type="default" r:id="rId11"/>
      <w:pgSz w:w="11906" w:h="16838"/>
      <w:pgMar w:top="1440" w:right="182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889" w:rsidRDefault="00990889">
      <w:r>
        <w:separator/>
      </w:r>
    </w:p>
  </w:endnote>
  <w:endnote w:type="continuationSeparator" w:id="0">
    <w:p w:rsidR="00990889" w:rsidRDefault="00990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8070000" w:usb2="00000010" w:usb3="00000000" w:csb0="0002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FF" w:rsidRPr="0069503D" w:rsidRDefault="003B1464" w:rsidP="00FC153C">
    <w:pPr>
      <w:pStyle w:val="Footer"/>
      <w:tabs>
        <w:tab w:val="clear" w:pos="4153"/>
        <w:tab w:val="clear" w:pos="8306"/>
        <w:tab w:val="right" w:pos="9000"/>
      </w:tabs>
      <w:jc w:val="center"/>
      <w:rPr>
        <w:sz w:val="20"/>
        <w:szCs w:val="20"/>
      </w:rPr>
    </w:pPr>
    <w:r w:rsidRPr="0069503D">
      <w:rPr>
        <w:sz w:val="20"/>
        <w:szCs w:val="20"/>
        <w:lang w:val="en-US"/>
      </w:rPr>
      <w:fldChar w:fldCharType="begin"/>
    </w:r>
    <w:r w:rsidR="00DC00FF" w:rsidRPr="0069503D">
      <w:rPr>
        <w:sz w:val="20"/>
        <w:szCs w:val="20"/>
        <w:lang w:val="en-US"/>
      </w:rPr>
      <w:instrText xml:space="preserve"> PAGE </w:instrText>
    </w:r>
    <w:r w:rsidRPr="0069503D">
      <w:rPr>
        <w:sz w:val="20"/>
        <w:szCs w:val="20"/>
        <w:lang w:val="en-US"/>
      </w:rPr>
      <w:fldChar w:fldCharType="separate"/>
    </w:r>
    <w:r w:rsidR="00CD2748">
      <w:rPr>
        <w:noProof/>
        <w:sz w:val="20"/>
        <w:szCs w:val="20"/>
        <w:lang w:val="en-US"/>
      </w:rPr>
      <w:t>35</w:t>
    </w:r>
    <w:r w:rsidRPr="0069503D">
      <w:rPr>
        <w:sz w:val="20"/>
        <w:szCs w:val="20"/>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889" w:rsidRDefault="00990889">
      <w:r>
        <w:separator/>
      </w:r>
    </w:p>
  </w:footnote>
  <w:footnote w:type="continuationSeparator" w:id="0">
    <w:p w:rsidR="00990889" w:rsidRDefault="00990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9E" w:rsidRPr="00796D9E" w:rsidRDefault="00796D9E" w:rsidP="00796D9E">
    <w:pPr>
      <w:pBdr>
        <w:top w:val="single" w:sz="4" w:space="1" w:color="auto"/>
        <w:left w:val="single" w:sz="4" w:space="4" w:color="auto"/>
        <w:bottom w:val="single" w:sz="4" w:space="1" w:color="auto"/>
        <w:right w:val="single" w:sz="4" w:space="4" w:color="auto"/>
      </w:pBdr>
      <w:shd w:val="clear" w:color="auto" w:fill="E4F2E0"/>
      <w:spacing w:before="40" w:after="40"/>
      <w:jc w:val="both"/>
      <w:rPr>
        <w:rFonts w:ascii="Cambria" w:hAnsi="Cambria"/>
        <w:b/>
        <w:sz w:val="20"/>
        <w:szCs w:val="20"/>
      </w:rPr>
    </w:pPr>
    <w:r w:rsidRPr="00796D9E">
      <w:rPr>
        <w:rFonts w:ascii="Cambria" w:hAnsi="Cambria"/>
        <w:b/>
        <w:sz w:val="20"/>
        <w:szCs w:val="20"/>
      </w:rPr>
      <w:t xml:space="preserve">Attachment 1: Product information for </w:t>
    </w:r>
    <w:proofErr w:type="spellStart"/>
    <w:r w:rsidRPr="00796D9E">
      <w:rPr>
        <w:rFonts w:ascii="Cambria" w:hAnsi="Cambria"/>
        <w:b/>
        <w:sz w:val="20"/>
        <w:szCs w:val="20"/>
      </w:rPr>
      <w:t>AusPAR</w:t>
    </w:r>
    <w:proofErr w:type="spellEnd"/>
    <w:r w:rsidRPr="00796D9E">
      <w:rPr>
        <w:rFonts w:ascii="Cambria" w:hAnsi="Cambria"/>
        <w:b/>
        <w:sz w:val="20"/>
        <w:szCs w:val="20"/>
      </w:rPr>
      <w:t xml:space="preserve"> </w:t>
    </w:r>
    <w:proofErr w:type="spellStart"/>
    <w:r w:rsidRPr="00796D9E">
      <w:rPr>
        <w:rFonts w:ascii="Cambria" w:hAnsi="Cambria"/>
        <w:b/>
        <w:sz w:val="20"/>
        <w:szCs w:val="20"/>
      </w:rPr>
      <w:t>Celsentri</w:t>
    </w:r>
    <w:proofErr w:type="spellEnd"/>
    <w:r w:rsidRPr="00796D9E">
      <w:rPr>
        <w:rFonts w:ascii="Cambria" w:hAnsi="Cambria"/>
        <w:b/>
        <w:sz w:val="20"/>
        <w:szCs w:val="20"/>
      </w:rPr>
      <w:t xml:space="preserve"> </w:t>
    </w:r>
    <w:proofErr w:type="spellStart"/>
    <w:r w:rsidRPr="00796D9E">
      <w:rPr>
        <w:rFonts w:ascii="Cambria" w:hAnsi="Cambria"/>
        <w:b/>
        <w:sz w:val="20"/>
        <w:szCs w:val="20"/>
      </w:rPr>
      <w:t>Maraviroc</w:t>
    </w:r>
    <w:proofErr w:type="spellEnd"/>
    <w:r w:rsidRPr="00796D9E">
      <w:rPr>
        <w:rFonts w:ascii="Cambria" w:hAnsi="Cambria"/>
        <w:b/>
        <w:sz w:val="20"/>
        <w:szCs w:val="20"/>
      </w:rPr>
      <w:t xml:space="preserve"> </w:t>
    </w:r>
    <w:proofErr w:type="spellStart"/>
    <w:r w:rsidRPr="00796D9E">
      <w:rPr>
        <w:rFonts w:ascii="Cambria" w:hAnsi="Cambria"/>
        <w:b/>
        <w:sz w:val="20"/>
        <w:szCs w:val="20"/>
      </w:rPr>
      <w:t>ViiV</w:t>
    </w:r>
    <w:proofErr w:type="spellEnd"/>
    <w:r w:rsidRPr="00796D9E">
      <w:rPr>
        <w:rFonts w:ascii="Cambria" w:hAnsi="Cambria"/>
        <w:b/>
        <w:sz w:val="20"/>
        <w:szCs w:val="20"/>
      </w:rPr>
      <w:t xml:space="preserve"> Healthcare Pty Ltd PM-2010-02896-3-2 Date of finalisation: 12 May 2013</w:t>
    </w:r>
    <w:r w:rsidRPr="00796D9E">
      <w:rPr>
        <w:rFonts w:ascii="Cambria" w:hAnsi="Cambria"/>
        <w:b/>
        <w:sz w:val="20"/>
        <w:szCs w:val="20"/>
      </w:rPr>
      <w:t xml:space="preserve">. This Product Information was approved at the time this </w:t>
    </w:r>
    <w:proofErr w:type="spellStart"/>
    <w:r w:rsidRPr="00796D9E">
      <w:rPr>
        <w:rFonts w:ascii="Cambria" w:hAnsi="Cambria"/>
        <w:b/>
        <w:sz w:val="20"/>
        <w:szCs w:val="20"/>
      </w:rPr>
      <w:t>AusPAR</w:t>
    </w:r>
    <w:proofErr w:type="spellEnd"/>
    <w:r w:rsidRPr="00796D9E">
      <w:rPr>
        <w:rFonts w:ascii="Cambria" w:hAnsi="Cambria"/>
        <w:b/>
        <w:sz w:val="20"/>
        <w:szCs w:val="20"/>
      </w:rPr>
      <w:t xml:space="preserve"> was published.</w:t>
    </w:r>
  </w:p>
  <w:p w:rsidR="00796D9E" w:rsidRDefault="00796D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04FE4"/>
    <w:multiLevelType w:val="hybridMultilevel"/>
    <w:tmpl w:val="9EE0688E"/>
    <w:lvl w:ilvl="0" w:tplc="654EF7EC">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B14430"/>
    <w:multiLevelType w:val="hybridMultilevel"/>
    <w:tmpl w:val="5394B0C0"/>
    <w:lvl w:ilvl="0" w:tplc="48A0ADBC">
      <w:start w:val="1"/>
      <w:numFmt w:val="bullet"/>
      <w:lvlText w:val=""/>
      <w:lvlJc w:val="left"/>
      <w:pPr>
        <w:tabs>
          <w:tab w:val="num" w:pos="3240"/>
        </w:tabs>
        <w:ind w:left="324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852C6A"/>
    <w:multiLevelType w:val="hybridMultilevel"/>
    <w:tmpl w:val="5C22ED08"/>
    <w:lvl w:ilvl="0" w:tplc="DA825990">
      <w:start w:val="4"/>
      <w:numFmt w:val="bullet"/>
      <w:lvlText w:val="-"/>
      <w:lvlJc w:val="left"/>
      <w:pPr>
        <w:ind w:left="720" w:hanging="360"/>
      </w:pPr>
      <w:rPr>
        <w:rFonts w:ascii="TimesNewRomanPSMT" w:eastAsia="MS Mincho" w:hAnsi="TimesNewRomanPSMT" w:cs="TimesNewRomanPS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BA3513"/>
    <w:multiLevelType w:val="hybridMultilevel"/>
    <w:tmpl w:val="8C7005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79F3DAB"/>
    <w:multiLevelType w:val="hybridMultilevel"/>
    <w:tmpl w:val="23E68C56"/>
    <w:lvl w:ilvl="0" w:tplc="C532B272">
      <w:start w:val="1"/>
      <w:numFmt w:val="bullet"/>
      <w:pStyle w:val="List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80A2FC8"/>
    <w:multiLevelType w:val="hybridMultilevel"/>
    <w:tmpl w:val="883044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B9A666F"/>
    <w:multiLevelType w:val="hybridMultilevel"/>
    <w:tmpl w:val="979A7062"/>
    <w:lvl w:ilvl="0" w:tplc="E88249AA">
      <w:start w:val="4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D24FF7"/>
    <w:multiLevelType w:val="hybridMultilevel"/>
    <w:tmpl w:val="37EA780E"/>
    <w:lvl w:ilvl="0" w:tplc="1D96636A">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337893"/>
    <w:multiLevelType w:val="hybridMultilevel"/>
    <w:tmpl w:val="F544B318"/>
    <w:lvl w:ilvl="0" w:tplc="FFFFFFFF">
      <w:start w:val="1"/>
      <w:numFmt w:val="bullet"/>
      <w:lvlText w:val="•"/>
      <w:lvlJc w:val="left"/>
      <w:pPr>
        <w:tabs>
          <w:tab w:val="num" w:pos="720"/>
        </w:tabs>
        <w:ind w:left="72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0553A5C"/>
    <w:multiLevelType w:val="hybridMultilevel"/>
    <w:tmpl w:val="91F4D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7A4FCA"/>
    <w:multiLevelType w:val="hybridMultilevel"/>
    <w:tmpl w:val="75E8B78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B331F0E"/>
    <w:multiLevelType w:val="hybridMultilevel"/>
    <w:tmpl w:val="11D445E0"/>
    <w:lvl w:ilvl="0" w:tplc="48A0ADBC">
      <w:start w:val="1"/>
      <w:numFmt w:val="bullet"/>
      <w:lvlText w:val=""/>
      <w:lvlJc w:val="left"/>
      <w:pPr>
        <w:tabs>
          <w:tab w:val="num" w:pos="3240"/>
        </w:tabs>
        <w:ind w:left="3240" w:hanging="360"/>
      </w:pPr>
      <w:rPr>
        <w:rFonts w:ascii="Symbol" w:hAnsi="Symbol" w:hint="default"/>
        <w:color w:val="auto"/>
      </w:rPr>
    </w:lvl>
    <w:lvl w:ilvl="1" w:tplc="04090003">
      <w:start w:val="1"/>
      <w:numFmt w:val="decimal"/>
      <w:lvlText w:val="%2."/>
      <w:lvlJc w:val="left"/>
      <w:pPr>
        <w:tabs>
          <w:tab w:val="num" w:pos="3960"/>
        </w:tabs>
        <w:ind w:left="3960" w:hanging="360"/>
      </w:pPr>
    </w:lvl>
    <w:lvl w:ilvl="2" w:tplc="04090005">
      <w:start w:val="1"/>
      <w:numFmt w:val="decimal"/>
      <w:lvlText w:val="%3."/>
      <w:lvlJc w:val="left"/>
      <w:pPr>
        <w:tabs>
          <w:tab w:val="num" w:pos="4680"/>
        </w:tabs>
        <w:ind w:left="4680" w:hanging="360"/>
      </w:pPr>
    </w:lvl>
    <w:lvl w:ilvl="3" w:tplc="04090001">
      <w:start w:val="1"/>
      <w:numFmt w:val="decimal"/>
      <w:lvlText w:val="%4."/>
      <w:lvlJc w:val="left"/>
      <w:pPr>
        <w:tabs>
          <w:tab w:val="num" w:pos="5400"/>
        </w:tabs>
        <w:ind w:left="5400" w:hanging="360"/>
      </w:pPr>
    </w:lvl>
    <w:lvl w:ilvl="4" w:tplc="04090003">
      <w:start w:val="1"/>
      <w:numFmt w:val="decimal"/>
      <w:lvlText w:val="%5."/>
      <w:lvlJc w:val="left"/>
      <w:pPr>
        <w:tabs>
          <w:tab w:val="num" w:pos="6120"/>
        </w:tabs>
        <w:ind w:left="6120" w:hanging="360"/>
      </w:pPr>
    </w:lvl>
    <w:lvl w:ilvl="5" w:tplc="04090005">
      <w:start w:val="1"/>
      <w:numFmt w:val="decimal"/>
      <w:lvlText w:val="%6."/>
      <w:lvlJc w:val="left"/>
      <w:pPr>
        <w:tabs>
          <w:tab w:val="num" w:pos="6840"/>
        </w:tabs>
        <w:ind w:left="6840" w:hanging="360"/>
      </w:pPr>
    </w:lvl>
    <w:lvl w:ilvl="6" w:tplc="04090001">
      <w:start w:val="1"/>
      <w:numFmt w:val="decimal"/>
      <w:lvlText w:val="%7."/>
      <w:lvlJc w:val="left"/>
      <w:pPr>
        <w:tabs>
          <w:tab w:val="num" w:pos="7560"/>
        </w:tabs>
        <w:ind w:left="7560" w:hanging="360"/>
      </w:pPr>
    </w:lvl>
    <w:lvl w:ilvl="7" w:tplc="04090003">
      <w:start w:val="1"/>
      <w:numFmt w:val="decimal"/>
      <w:lvlText w:val="%8."/>
      <w:lvlJc w:val="left"/>
      <w:pPr>
        <w:tabs>
          <w:tab w:val="num" w:pos="8280"/>
        </w:tabs>
        <w:ind w:left="8280" w:hanging="360"/>
      </w:pPr>
    </w:lvl>
    <w:lvl w:ilvl="8" w:tplc="04090005">
      <w:start w:val="1"/>
      <w:numFmt w:val="decimal"/>
      <w:lvlText w:val="%9."/>
      <w:lvlJc w:val="left"/>
      <w:pPr>
        <w:tabs>
          <w:tab w:val="num" w:pos="9000"/>
        </w:tabs>
        <w:ind w:left="9000" w:hanging="360"/>
      </w:pPr>
    </w:lvl>
  </w:abstractNum>
  <w:abstractNum w:abstractNumId="12">
    <w:nsid w:val="4C8D0899"/>
    <w:multiLevelType w:val="hybridMultilevel"/>
    <w:tmpl w:val="E2A4397A"/>
    <w:lvl w:ilvl="0" w:tplc="A97EB220">
      <w:start w:val="4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4E705C4A"/>
    <w:multiLevelType w:val="hybridMultilevel"/>
    <w:tmpl w:val="9FBC9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3F6D27"/>
    <w:multiLevelType w:val="multilevel"/>
    <w:tmpl w:val="85FC9856"/>
    <w:lvl w:ilvl="0">
      <w:start w:val="14"/>
      <w:numFmt w:val="decimal"/>
      <w:lvlText w:val="%1."/>
      <w:lvlJc w:val="left"/>
      <w:pPr>
        <w:tabs>
          <w:tab w:val="num" w:pos="0"/>
        </w:tabs>
        <w:ind w:left="432" w:hanging="432"/>
      </w:pPr>
      <w:rPr>
        <w:rFonts w:ascii="Times New Roman Bold" w:hAnsi="Times New Roman Bold" w:hint="default"/>
        <w:b/>
        <w:i w:val="0"/>
        <w:sz w:val="24"/>
        <w:szCs w:val="24"/>
      </w:rPr>
    </w:lvl>
    <w:lvl w:ilvl="1">
      <w:start w:val="1"/>
      <w:numFmt w:val="decimal"/>
      <w:lvlText w:val="%1.%2"/>
      <w:lvlJc w:val="left"/>
      <w:pPr>
        <w:tabs>
          <w:tab w:val="num" w:pos="0"/>
        </w:tabs>
        <w:ind w:left="576" w:hanging="576"/>
      </w:pPr>
      <w:rPr>
        <w:rFonts w:ascii="Times New Roman Bold" w:hAnsi="Times New Roman Bold" w:hint="default"/>
        <w:b/>
        <w:i w:val="0"/>
        <w:color w:val="000000"/>
        <w:sz w:val="24"/>
        <w:szCs w:val="24"/>
      </w:rPr>
    </w:lvl>
    <w:lvl w:ilvl="2">
      <w:start w:val="1"/>
      <w:numFmt w:val="decimal"/>
      <w:lvlText w:val="%1.%2.%3"/>
      <w:lvlJc w:val="left"/>
      <w:pPr>
        <w:tabs>
          <w:tab w:val="num" w:pos="0"/>
        </w:tabs>
        <w:ind w:left="0" w:firstLine="0"/>
      </w:pPr>
      <w:rPr>
        <w:rFonts w:ascii="Times New Roman Bold" w:hAnsi="Times New Roman Bold" w:hint="default"/>
        <w:b/>
        <w:i w:val="0"/>
        <w:sz w:val="24"/>
        <w:szCs w:val="24"/>
      </w:rPr>
    </w:lvl>
    <w:lvl w:ilvl="3">
      <w:start w:val="1"/>
      <w:numFmt w:val="decimal"/>
      <w:lvlText w:val="%1.%2.%3.%4"/>
      <w:lvlJc w:val="left"/>
      <w:pPr>
        <w:tabs>
          <w:tab w:val="num" w:pos="0"/>
        </w:tabs>
        <w:ind w:left="864" w:hanging="864"/>
      </w:pPr>
      <w:rPr>
        <w:rFonts w:ascii="Times New Roman Bold" w:hAnsi="Times New Roman Bold" w:hint="default"/>
        <w:b/>
        <w:i w:val="0"/>
        <w:sz w:val="24"/>
        <w:szCs w:val="24"/>
      </w:rPr>
    </w:lvl>
    <w:lvl w:ilvl="4">
      <w:start w:val="1"/>
      <w:numFmt w:val="decimal"/>
      <w:lvlText w:val="%1.%2.%3.%4.%5"/>
      <w:lvlJc w:val="left"/>
      <w:pPr>
        <w:tabs>
          <w:tab w:val="num" w:pos="0"/>
        </w:tabs>
        <w:ind w:left="1008" w:hanging="1008"/>
      </w:pPr>
      <w:rPr>
        <w:rFonts w:ascii="Times New Roman Bold" w:hAnsi="Times New Roman Bold" w:hint="default"/>
        <w:b/>
        <w:i w:val="0"/>
        <w:sz w:val="24"/>
        <w:szCs w:val="24"/>
      </w:rPr>
    </w:lvl>
    <w:lvl w:ilvl="5">
      <w:start w:val="1"/>
      <w:numFmt w:val="decimal"/>
      <w:lvlText w:val="5.3.5.4.%1.%2.%3.%4.%5.%6"/>
      <w:lvlJc w:val="left"/>
      <w:pPr>
        <w:tabs>
          <w:tab w:val="num" w:pos="0"/>
        </w:tabs>
        <w:ind w:left="1152" w:hanging="1152"/>
      </w:pPr>
      <w:rPr>
        <w:rFonts w:ascii="Times New Roman Bold" w:hAnsi="Times New Roman Bold" w:hint="default"/>
        <w:b/>
        <w:i w:val="0"/>
        <w:sz w:val="24"/>
        <w:szCs w:val="24"/>
      </w:rPr>
    </w:lvl>
    <w:lvl w:ilvl="6">
      <w:start w:val="1"/>
      <w:numFmt w:val="decimal"/>
      <w:lvlText w:val="5.3.5.4.%1.%2.%3.%4.%5.%6.%7"/>
      <w:lvlJc w:val="left"/>
      <w:pPr>
        <w:tabs>
          <w:tab w:val="num" w:pos="0"/>
        </w:tabs>
        <w:ind w:left="1296" w:hanging="1296"/>
      </w:pPr>
      <w:rPr>
        <w:rFonts w:ascii="Times New Roman Bold" w:hAnsi="Times New Roman Bold" w:hint="default"/>
        <w:b/>
        <w:i w:val="0"/>
        <w:sz w:val="24"/>
        <w:szCs w:val="24"/>
      </w:rPr>
    </w:lvl>
    <w:lvl w:ilvl="7">
      <w:start w:val="1"/>
      <w:numFmt w:val="decimal"/>
      <w:lvlText w:val="5.3.5.4.%1.%2.%3.%4.%5.%6.%7.%8"/>
      <w:lvlJc w:val="left"/>
      <w:pPr>
        <w:tabs>
          <w:tab w:val="num" w:pos="0"/>
        </w:tabs>
        <w:ind w:left="1440" w:hanging="1440"/>
      </w:pPr>
      <w:rPr>
        <w:rFonts w:ascii="Times New Roman Bold" w:hAnsi="Times New Roman Bold" w:hint="default"/>
        <w:b/>
        <w:i w:val="0"/>
        <w:sz w:val="24"/>
        <w:szCs w:val="24"/>
      </w:rPr>
    </w:lvl>
    <w:lvl w:ilvl="8">
      <w:start w:val="1"/>
      <w:numFmt w:val="decimal"/>
      <w:lvlText w:val="%1.%2.%3.%4.%5.%6.%7.%8.%9"/>
      <w:lvlJc w:val="left"/>
      <w:pPr>
        <w:tabs>
          <w:tab w:val="num" w:pos="1584"/>
        </w:tabs>
        <w:ind w:left="1584" w:hanging="1584"/>
      </w:pPr>
      <w:rPr>
        <w:rFonts w:hint="default"/>
      </w:rPr>
    </w:lvl>
  </w:abstractNum>
  <w:abstractNum w:abstractNumId="15">
    <w:nsid w:val="59BF311D"/>
    <w:multiLevelType w:val="hybridMultilevel"/>
    <w:tmpl w:val="7E34FA00"/>
    <w:lvl w:ilvl="0" w:tplc="1758FA42">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D22262C"/>
    <w:multiLevelType w:val="hybridMultilevel"/>
    <w:tmpl w:val="19820F60"/>
    <w:lvl w:ilvl="0" w:tplc="238AD89A">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07529A4"/>
    <w:multiLevelType w:val="hybridMultilevel"/>
    <w:tmpl w:val="571EB53E"/>
    <w:lvl w:ilvl="0" w:tplc="2C447D6E">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81B7762"/>
    <w:multiLevelType w:val="hybridMultilevel"/>
    <w:tmpl w:val="7986AF4A"/>
    <w:lvl w:ilvl="0" w:tplc="C09A9012">
      <w:start w:val="118"/>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4"/>
  </w:num>
  <w:num w:numId="4">
    <w:abstractNumId w:val="18"/>
  </w:num>
  <w:num w:numId="5">
    <w:abstractNumId w:val="10"/>
  </w:num>
  <w:num w:numId="6">
    <w:abstractNumId w:val="5"/>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9"/>
  </w:num>
  <w:num w:numId="11">
    <w:abstractNumId w:val="2"/>
  </w:num>
  <w:num w:numId="12">
    <w:abstractNumId w:val="6"/>
  </w:num>
  <w:num w:numId="13">
    <w:abstractNumId w:val="17"/>
  </w:num>
  <w:num w:numId="14">
    <w:abstractNumId w:val="15"/>
  </w:num>
  <w:num w:numId="15">
    <w:abstractNumId w:val="16"/>
  </w:num>
  <w:num w:numId="16">
    <w:abstractNumId w:val="7"/>
  </w:num>
  <w:num w:numId="17">
    <w:abstractNumId w:val="0"/>
  </w:num>
  <w:num w:numId="18">
    <w:abstractNumId w:val="12"/>
  </w:num>
  <w:num w:numId="19">
    <w:abstractNumId w:val="11"/>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proofState w:spelling="clean" w:grammar="clean"/>
  <w:stylePaneFormatFilter w:val="3F01"/>
  <w:doNotTrackFormatting/>
  <w:defaultTabStop w:val="720"/>
  <w:noPunctuationKerning/>
  <w:characterSpacingControl w:val="doNotCompress"/>
  <w:hdrShapeDefaults>
    <o:shapedefaults v:ext="edit" spidmax="89090"/>
  </w:hdrShapeDefaults>
  <w:footnotePr>
    <w:footnote w:id="-1"/>
    <w:footnote w:id="0"/>
  </w:footnotePr>
  <w:endnotePr>
    <w:endnote w:id="-1"/>
    <w:endnote w:id="0"/>
  </w:endnotePr>
  <w:compat>
    <w:useFELayout/>
  </w:compat>
  <w:rsids>
    <w:rsidRoot w:val="007723B2"/>
    <w:rsid w:val="00005504"/>
    <w:rsid w:val="00005EBA"/>
    <w:rsid w:val="00012ED4"/>
    <w:rsid w:val="0001462E"/>
    <w:rsid w:val="0001510E"/>
    <w:rsid w:val="000153A0"/>
    <w:rsid w:val="000157D7"/>
    <w:rsid w:val="00021749"/>
    <w:rsid w:val="00021F1C"/>
    <w:rsid w:val="0002253A"/>
    <w:rsid w:val="00023201"/>
    <w:rsid w:val="00026BEF"/>
    <w:rsid w:val="00027F50"/>
    <w:rsid w:val="0003057A"/>
    <w:rsid w:val="000316A5"/>
    <w:rsid w:val="00031C3B"/>
    <w:rsid w:val="0003234A"/>
    <w:rsid w:val="00033C41"/>
    <w:rsid w:val="0003660E"/>
    <w:rsid w:val="00036E1E"/>
    <w:rsid w:val="00042655"/>
    <w:rsid w:val="00050FA8"/>
    <w:rsid w:val="000520E2"/>
    <w:rsid w:val="000610F1"/>
    <w:rsid w:val="000632E2"/>
    <w:rsid w:val="00066FCA"/>
    <w:rsid w:val="00067588"/>
    <w:rsid w:val="000725AA"/>
    <w:rsid w:val="000737E5"/>
    <w:rsid w:val="00073AD6"/>
    <w:rsid w:val="00074421"/>
    <w:rsid w:val="00074950"/>
    <w:rsid w:val="00074E3A"/>
    <w:rsid w:val="000760EA"/>
    <w:rsid w:val="00077FD4"/>
    <w:rsid w:val="00082A9C"/>
    <w:rsid w:val="00085761"/>
    <w:rsid w:val="00086C66"/>
    <w:rsid w:val="00091A2C"/>
    <w:rsid w:val="00092E5A"/>
    <w:rsid w:val="00093478"/>
    <w:rsid w:val="0009447E"/>
    <w:rsid w:val="0009590B"/>
    <w:rsid w:val="00095936"/>
    <w:rsid w:val="00095F90"/>
    <w:rsid w:val="000A2250"/>
    <w:rsid w:val="000A22DA"/>
    <w:rsid w:val="000A26C3"/>
    <w:rsid w:val="000A538E"/>
    <w:rsid w:val="000A58FC"/>
    <w:rsid w:val="000A7067"/>
    <w:rsid w:val="000A7A50"/>
    <w:rsid w:val="000B02F1"/>
    <w:rsid w:val="000B16D4"/>
    <w:rsid w:val="000C0E2F"/>
    <w:rsid w:val="000C3DE9"/>
    <w:rsid w:val="000C5589"/>
    <w:rsid w:val="000D0A9F"/>
    <w:rsid w:val="000D20E5"/>
    <w:rsid w:val="000D4336"/>
    <w:rsid w:val="000E039D"/>
    <w:rsid w:val="000E09DE"/>
    <w:rsid w:val="000E0A87"/>
    <w:rsid w:val="000E121C"/>
    <w:rsid w:val="000E1FAD"/>
    <w:rsid w:val="000E229A"/>
    <w:rsid w:val="000E72DF"/>
    <w:rsid w:val="000F001F"/>
    <w:rsid w:val="000F0E31"/>
    <w:rsid w:val="000F0EFC"/>
    <w:rsid w:val="000F3E60"/>
    <w:rsid w:val="00102C8A"/>
    <w:rsid w:val="00103661"/>
    <w:rsid w:val="00105791"/>
    <w:rsid w:val="00106D81"/>
    <w:rsid w:val="001070B5"/>
    <w:rsid w:val="00111347"/>
    <w:rsid w:val="00112054"/>
    <w:rsid w:val="001124CE"/>
    <w:rsid w:val="0012096B"/>
    <w:rsid w:val="00120F9E"/>
    <w:rsid w:val="00121B4C"/>
    <w:rsid w:val="00121E78"/>
    <w:rsid w:val="00122E98"/>
    <w:rsid w:val="001301CC"/>
    <w:rsid w:val="00130392"/>
    <w:rsid w:val="001316C5"/>
    <w:rsid w:val="00135249"/>
    <w:rsid w:val="00137696"/>
    <w:rsid w:val="001403D5"/>
    <w:rsid w:val="0014108C"/>
    <w:rsid w:val="00141AFB"/>
    <w:rsid w:val="00142EB3"/>
    <w:rsid w:val="001438A9"/>
    <w:rsid w:val="0014691A"/>
    <w:rsid w:val="001478C2"/>
    <w:rsid w:val="001519CE"/>
    <w:rsid w:val="00151E1A"/>
    <w:rsid w:val="00155F43"/>
    <w:rsid w:val="001622BC"/>
    <w:rsid w:val="0016624A"/>
    <w:rsid w:val="00172281"/>
    <w:rsid w:val="00172931"/>
    <w:rsid w:val="001750CE"/>
    <w:rsid w:val="0017515C"/>
    <w:rsid w:val="00175E67"/>
    <w:rsid w:val="0017754F"/>
    <w:rsid w:val="00177DA5"/>
    <w:rsid w:val="00180ED5"/>
    <w:rsid w:val="00181387"/>
    <w:rsid w:val="00190478"/>
    <w:rsid w:val="0019173D"/>
    <w:rsid w:val="00191EEB"/>
    <w:rsid w:val="0019513A"/>
    <w:rsid w:val="00195BAA"/>
    <w:rsid w:val="00197CD4"/>
    <w:rsid w:val="001A0FDC"/>
    <w:rsid w:val="001A3B22"/>
    <w:rsid w:val="001A4870"/>
    <w:rsid w:val="001A6D40"/>
    <w:rsid w:val="001B3A17"/>
    <w:rsid w:val="001B4148"/>
    <w:rsid w:val="001B5FB9"/>
    <w:rsid w:val="001B6343"/>
    <w:rsid w:val="001B7D3D"/>
    <w:rsid w:val="001C2F84"/>
    <w:rsid w:val="001C4481"/>
    <w:rsid w:val="001C7338"/>
    <w:rsid w:val="001C76DF"/>
    <w:rsid w:val="001C7B3A"/>
    <w:rsid w:val="001D0AF0"/>
    <w:rsid w:val="001D1314"/>
    <w:rsid w:val="001D1D37"/>
    <w:rsid w:val="001D268E"/>
    <w:rsid w:val="001D2A41"/>
    <w:rsid w:val="001D2BF3"/>
    <w:rsid w:val="001D2FE2"/>
    <w:rsid w:val="001D419B"/>
    <w:rsid w:val="001D50CF"/>
    <w:rsid w:val="001D60CA"/>
    <w:rsid w:val="001D620C"/>
    <w:rsid w:val="001D7BCF"/>
    <w:rsid w:val="001E06CF"/>
    <w:rsid w:val="001E4EDA"/>
    <w:rsid w:val="001F0B79"/>
    <w:rsid w:val="001F2C0B"/>
    <w:rsid w:val="001F42DB"/>
    <w:rsid w:val="001F4A90"/>
    <w:rsid w:val="001F7163"/>
    <w:rsid w:val="00200D5F"/>
    <w:rsid w:val="00203163"/>
    <w:rsid w:val="00205021"/>
    <w:rsid w:val="0020644C"/>
    <w:rsid w:val="00207E2D"/>
    <w:rsid w:val="0021176C"/>
    <w:rsid w:val="00212499"/>
    <w:rsid w:val="002136C9"/>
    <w:rsid w:val="00213762"/>
    <w:rsid w:val="00213FF9"/>
    <w:rsid w:val="002156C4"/>
    <w:rsid w:val="0022168B"/>
    <w:rsid w:val="0022676C"/>
    <w:rsid w:val="00227213"/>
    <w:rsid w:val="00227993"/>
    <w:rsid w:val="0023131A"/>
    <w:rsid w:val="00231760"/>
    <w:rsid w:val="0023246E"/>
    <w:rsid w:val="0023302A"/>
    <w:rsid w:val="002372EB"/>
    <w:rsid w:val="00237471"/>
    <w:rsid w:val="00240294"/>
    <w:rsid w:val="00243624"/>
    <w:rsid w:val="002460A8"/>
    <w:rsid w:val="002505C5"/>
    <w:rsid w:val="00253B1B"/>
    <w:rsid w:val="002567B4"/>
    <w:rsid w:val="00257947"/>
    <w:rsid w:val="0026325F"/>
    <w:rsid w:val="0026455A"/>
    <w:rsid w:val="00267667"/>
    <w:rsid w:val="002676F8"/>
    <w:rsid w:val="002705D5"/>
    <w:rsid w:val="00271191"/>
    <w:rsid w:val="00273FF5"/>
    <w:rsid w:val="00274624"/>
    <w:rsid w:val="002760EE"/>
    <w:rsid w:val="00281A0C"/>
    <w:rsid w:val="00281AED"/>
    <w:rsid w:val="00282F0C"/>
    <w:rsid w:val="002855FA"/>
    <w:rsid w:val="0028600B"/>
    <w:rsid w:val="002860DF"/>
    <w:rsid w:val="002861EB"/>
    <w:rsid w:val="00287BA1"/>
    <w:rsid w:val="002933F3"/>
    <w:rsid w:val="002936AA"/>
    <w:rsid w:val="00294692"/>
    <w:rsid w:val="00294C23"/>
    <w:rsid w:val="00297C33"/>
    <w:rsid w:val="00297C52"/>
    <w:rsid w:val="002A17AB"/>
    <w:rsid w:val="002A3D44"/>
    <w:rsid w:val="002A4234"/>
    <w:rsid w:val="002A45A5"/>
    <w:rsid w:val="002A4716"/>
    <w:rsid w:val="002A4CC0"/>
    <w:rsid w:val="002A78AD"/>
    <w:rsid w:val="002B0D9C"/>
    <w:rsid w:val="002B31F7"/>
    <w:rsid w:val="002B3708"/>
    <w:rsid w:val="002B7855"/>
    <w:rsid w:val="002C2268"/>
    <w:rsid w:val="002C3139"/>
    <w:rsid w:val="002C53CC"/>
    <w:rsid w:val="002C6458"/>
    <w:rsid w:val="002C6EF7"/>
    <w:rsid w:val="002C74C8"/>
    <w:rsid w:val="002D1AC5"/>
    <w:rsid w:val="002D1DE5"/>
    <w:rsid w:val="002D445C"/>
    <w:rsid w:val="002D5666"/>
    <w:rsid w:val="002D5D0F"/>
    <w:rsid w:val="002D6F35"/>
    <w:rsid w:val="002D7297"/>
    <w:rsid w:val="002E25D6"/>
    <w:rsid w:val="002E31AD"/>
    <w:rsid w:val="002E6095"/>
    <w:rsid w:val="002E74EC"/>
    <w:rsid w:val="002E7583"/>
    <w:rsid w:val="002E77A0"/>
    <w:rsid w:val="002E787E"/>
    <w:rsid w:val="002E7CB5"/>
    <w:rsid w:val="002F0A59"/>
    <w:rsid w:val="002F47B3"/>
    <w:rsid w:val="002F6D75"/>
    <w:rsid w:val="0030345F"/>
    <w:rsid w:val="00304385"/>
    <w:rsid w:val="003065FF"/>
    <w:rsid w:val="00306C28"/>
    <w:rsid w:val="00306DB8"/>
    <w:rsid w:val="00306DF7"/>
    <w:rsid w:val="00307E5C"/>
    <w:rsid w:val="00310C0B"/>
    <w:rsid w:val="0031143F"/>
    <w:rsid w:val="003137B1"/>
    <w:rsid w:val="00315256"/>
    <w:rsid w:val="00320C79"/>
    <w:rsid w:val="00324625"/>
    <w:rsid w:val="00324855"/>
    <w:rsid w:val="00325E00"/>
    <w:rsid w:val="003262FD"/>
    <w:rsid w:val="00327EB9"/>
    <w:rsid w:val="00334C05"/>
    <w:rsid w:val="00334E1B"/>
    <w:rsid w:val="003371B8"/>
    <w:rsid w:val="00340B71"/>
    <w:rsid w:val="00341253"/>
    <w:rsid w:val="003426EE"/>
    <w:rsid w:val="0034513E"/>
    <w:rsid w:val="00345456"/>
    <w:rsid w:val="00345C74"/>
    <w:rsid w:val="00347691"/>
    <w:rsid w:val="003509E9"/>
    <w:rsid w:val="00352D97"/>
    <w:rsid w:val="003538E7"/>
    <w:rsid w:val="00353DC3"/>
    <w:rsid w:val="003547B3"/>
    <w:rsid w:val="00356AF8"/>
    <w:rsid w:val="003572E4"/>
    <w:rsid w:val="0036190B"/>
    <w:rsid w:val="003624FC"/>
    <w:rsid w:val="003631B9"/>
    <w:rsid w:val="00363570"/>
    <w:rsid w:val="00365860"/>
    <w:rsid w:val="00366AFB"/>
    <w:rsid w:val="00371803"/>
    <w:rsid w:val="00371B6E"/>
    <w:rsid w:val="00371FE6"/>
    <w:rsid w:val="00375F5B"/>
    <w:rsid w:val="00376EBC"/>
    <w:rsid w:val="0037714A"/>
    <w:rsid w:val="0038297A"/>
    <w:rsid w:val="00383881"/>
    <w:rsid w:val="003853CD"/>
    <w:rsid w:val="00386FAB"/>
    <w:rsid w:val="00390D82"/>
    <w:rsid w:val="0039337B"/>
    <w:rsid w:val="00393D0C"/>
    <w:rsid w:val="0039477C"/>
    <w:rsid w:val="00397C0F"/>
    <w:rsid w:val="003A1EEC"/>
    <w:rsid w:val="003A2C77"/>
    <w:rsid w:val="003A2CDC"/>
    <w:rsid w:val="003A3B1A"/>
    <w:rsid w:val="003A55AD"/>
    <w:rsid w:val="003A78B6"/>
    <w:rsid w:val="003B1464"/>
    <w:rsid w:val="003B3C4E"/>
    <w:rsid w:val="003C0C05"/>
    <w:rsid w:val="003C11FE"/>
    <w:rsid w:val="003C2C29"/>
    <w:rsid w:val="003C3BC3"/>
    <w:rsid w:val="003C5063"/>
    <w:rsid w:val="003C5BC1"/>
    <w:rsid w:val="003C7014"/>
    <w:rsid w:val="003D04CC"/>
    <w:rsid w:val="003D0874"/>
    <w:rsid w:val="003D19F5"/>
    <w:rsid w:val="003D1F4C"/>
    <w:rsid w:val="003D2E0D"/>
    <w:rsid w:val="003D305A"/>
    <w:rsid w:val="003D515D"/>
    <w:rsid w:val="003D6531"/>
    <w:rsid w:val="003E36DF"/>
    <w:rsid w:val="003E590D"/>
    <w:rsid w:val="003E7D44"/>
    <w:rsid w:val="003E7EA2"/>
    <w:rsid w:val="003F2176"/>
    <w:rsid w:val="003F26BC"/>
    <w:rsid w:val="003F445E"/>
    <w:rsid w:val="003F4E09"/>
    <w:rsid w:val="003F53D7"/>
    <w:rsid w:val="003F552B"/>
    <w:rsid w:val="003F7080"/>
    <w:rsid w:val="00400F7C"/>
    <w:rsid w:val="00401D93"/>
    <w:rsid w:val="004037FA"/>
    <w:rsid w:val="00404BD0"/>
    <w:rsid w:val="00404D67"/>
    <w:rsid w:val="004053EC"/>
    <w:rsid w:val="00407117"/>
    <w:rsid w:val="00410C5E"/>
    <w:rsid w:val="00411430"/>
    <w:rsid w:val="00420895"/>
    <w:rsid w:val="004309C1"/>
    <w:rsid w:val="00432979"/>
    <w:rsid w:val="00433A75"/>
    <w:rsid w:val="004342A0"/>
    <w:rsid w:val="00434960"/>
    <w:rsid w:val="00434A84"/>
    <w:rsid w:val="00434B21"/>
    <w:rsid w:val="004351ED"/>
    <w:rsid w:val="00435F90"/>
    <w:rsid w:val="00436BB1"/>
    <w:rsid w:val="00440DF7"/>
    <w:rsid w:val="00442035"/>
    <w:rsid w:val="004422E1"/>
    <w:rsid w:val="00442CF4"/>
    <w:rsid w:val="00444500"/>
    <w:rsid w:val="00445889"/>
    <w:rsid w:val="00445AC8"/>
    <w:rsid w:val="00446247"/>
    <w:rsid w:val="00446842"/>
    <w:rsid w:val="004506F0"/>
    <w:rsid w:val="00452C2F"/>
    <w:rsid w:val="0045491E"/>
    <w:rsid w:val="00457253"/>
    <w:rsid w:val="004577C2"/>
    <w:rsid w:val="00457ADB"/>
    <w:rsid w:val="004639FA"/>
    <w:rsid w:val="00463E7A"/>
    <w:rsid w:val="00466151"/>
    <w:rsid w:val="00466551"/>
    <w:rsid w:val="00470AF6"/>
    <w:rsid w:val="004750D8"/>
    <w:rsid w:val="00480DAC"/>
    <w:rsid w:val="00481F13"/>
    <w:rsid w:val="004832C5"/>
    <w:rsid w:val="0048717C"/>
    <w:rsid w:val="00497954"/>
    <w:rsid w:val="00497CD4"/>
    <w:rsid w:val="004A2F3E"/>
    <w:rsid w:val="004A3647"/>
    <w:rsid w:val="004A51A1"/>
    <w:rsid w:val="004A65BD"/>
    <w:rsid w:val="004B06D6"/>
    <w:rsid w:val="004B388D"/>
    <w:rsid w:val="004B4DA4"/>
    <w:rsid w:val="004B65DA"/>
    <w:rsid w:val="004C3BCB"/>
    <w:rsid w:val="004C4541"/>
    <w:rsid w:val="004C63E1"/>
    <w:rsid w:val="004D04B3"/>
    <w:rsid w:val="004D0AC2"/>
    <w:rsid w:val="004D0B3F"/>
    <w:rsid w:val="004D1F00"/>
    <w:rsid w:val="004D6F00"/>
    <w:rsid w:val="004E024C"/>
    <w:rsid w:val="004E0325"/>
    <w:rsid w:val="004E146D"/>
    <w:rsid w:val="004E1786"/>
    <w:rsid w:val="004E46E2"/>
    <w:rsid w:val="004E60C8"/>
    <w:rsid w:val="004E6B6C"/>
    <w:rsid w:val="004F02F2"/>
    <w:rsid w:val="004F135C"/>
    <w:rsid w:val="004F1D28"/>
    <w:rsid w:val="004F2153"/>
    <w:rsid w:val="004F57DF"/>
    <w:rsid w:val="005029D4"/>
    <w:rsid w:val="00504883"/>
    <w:rsid w:val="00504CD7"/>
    <w:rsid w:val="00505BBE"/>
    <w:rsid w:val="0050612A"/>
    <w:rsid w:val="00512187"/>
    <w:rsid w:val="00512C73"/>
    <w:rsid w:val="0051388B"/>
    <w:rsid w:val="00516BBE"/>
    <w:rsid w:val="00516E0E"/>
    <w:rsid w:val="005173E3"/>
    <w:rsid w:val="005207DB"/>
    <w:rsid w:val="005213D2"/>
    <w:rsid w:val="00522CFB"/>
    <w:rsid w:val="00522F48"/>
    <w:rsid w:val="00526090"/>
    <w:rsid w:val="005300E1"/>
    <w:rsid w:val="005325B4"/>
    <w:rsid w:val="0053261D"/>
    <w:rsid w:val="00533158"/>
    <w:rsid w:val="00534DE4"/>
    <w:rsid w:val="0053636D"/>
    <w:rsid w:val="005414EF"/>
    <w:rsid w:val="00541BBB"/>
    <w:rsid w:val="00541C2C"/>
    <w:rsid w:val="0054446A"/>
    <w:rsid w:val="00544CA9"/>
    <w:rsid w:val="005501AD"/>
    <w:rsid w:val="00551A77"/>
    <w:rsid w:val="0055321B"/>
    <w:rsid w:val="005532F4"/>
    <w:rsid w:val="00554BFE"/>
    <w:rsid w:val="005600C9"/>
    <w:rsid w:val="00560B27"/>
    <w:rsid w:val="005624C9"/>
    <w:rsid w:val="00562B3C"/>
    <w:rsid w:val="00563036"/>
    <w:rsid w:val="00564C8A"/>
    <w:rsid w:val="005656D9"/>
    <w:rsid w:val="0056616E"/>
    <w:rsid w:val="00567C46"/>
    <w:rsid w:val="0057134F"/>
    <w:rsid w:val="00573762"/>
    <w:rsid w:val="00573F92"/>
    <w:rsid w:val="0058239B"/>
    <w:rsid w:val="00582F4B"/>
    <w:rsid w:val="00583621"/>
    <w:rsid w:val="00584219"/>
    <w:rsid w:val="00584710"/>
    <w:rsid w:val="00584C2D"/>
    <w:rsid w:val="00586F8E"/>
    <w:rsid w:val="005915E1"/>
    <w:rsid w:val="00591F3E"/>
    <w:rsid w:val="00593226"/>
    <w:rsid w:val="0059488D"/>
    <w:rsid w:val="0059539A"/>
    <w:rsid w:val="005962F2"/>
    <w:rsid w:val="005A0D06"/>
    <w:rsid w:val="005A22DB"/>
    <w:rsid w:val="005A4725"/>
    <w:rsid w:val="005A4B8C"/>
    <w:rsid w:val="005A5245"/>
    <w:rsid w:val="005A583C"/>
    <w:rsid w:val="005A76B5"/>
    <w:rsid w:val="005B1147"/>
    <w:rsid w:val="005B3D52"/>
    <w:rsid w:val="005B6E35"/>
    <w:rsid w:val="005B7849"/>
    <w:rsid w:val="005C00CC"/>
    <w:rsid w:val="005C4AEE"/>
    <w:rsid w:val="005C62AB"/>
    <w:rsid w:val="005C6C71"/>
    <w:rsid w:val="005C7013"/>
    <w:rsid w:val="005D2450"/>
    <w:rsid w:val="005D2632"/>
    <w:rsid w:val="005D6B59"/>
    <w:rsid w:val="005D6E91"/>
    <w:rsid w:val="005D7BCA"/>
    <w:rsid w:val="005E05C1"/>
    <w:rsid w:val="005E3BE7"/>
    <w:rsid w:val="005E701A"/>
    <w:rsid w:val="005F2F74"/>
    <w:rsid w:val="005F4DD0"/>
    <w:rsid w:val="0060384F"/>
    <w:rsid w:val="006047F0"/>
    <w:rsid w:val="00606893"/>
    <w:rsid w:val="006101B4"/>
    <w:rsid w:val="00610979"/>
    <w:rsid w:val="00611B5C"/>
    <w:rsid w:val="00620A01"/>
    <w:rsid w:val="00623ACD"/>
    <w:rsid w:val="0062420A"/>
    <w:rsid w:val="00624A17"/>
    <w:rsid w:val="00624A82"/>
    <w:rsid w:val="00624F14"/>
    <w:rsid w:val="00625E89"/>
    <w:rsid w:val="00626474"/>
    <w:rsid w:val="0062774F"/>
    <w:rsid w:val="0063411C"/>
    <w:rsid w:val="006342B9"/>
    <w:rsid w:val="006361CF"/>
    <w:rsid w:val="00637551"/>
    <w:rsid w:val="006402DE"/>
    <w:rsid w:val="00641CAC"/>
    <w:rsid w:val="00641D85"/>
    <w:rsid w:val="00645AEB"/>
    <w:rsid w:val="00645F95"/>
    <w:rsid w:val="00646204"/>
    <w:rsid w:val="006466FC"/>
    <w:rsid w:val="00647FA2"/>
    <w:rsid w:val="0065088F"/>
    <w:rsid w:val="00650FEF"/>
    <w:rsid w:val="006512FE"/>
    <w:rsid w:val="0065486D"/>
    <w:rsid w:val="00654BA7"/>
    <w:rsid w:val="00656C42"/>
    <w:rsid w:val="00656ED7"/>
    <w:rsid w:val="00656F99"/>
    <w:rsid w:val="0066173C"/>
    <w:rsid w:val="00661996"/>
    <w:rsid w:val="00663D77"/>
    <w:rsid w:val="006643F0"/>
    <w:rsid w:val="00667FF2"/>
    <w:rsid w:val="00671385"/>
    <w:rsid w:val="00671D1B"/>
    <w:rsid w:val="00673EE4"/>
    <w:rsid w:val="00676538"/>
    <w:rsid w:val="00676EA8"/>
    <w:rsid w:val="0067784C"/>
    <w:rsid w:val="00680DFE"/>
    <w:rsid w:val="006815C2"/>
    <w:rsid w:val="00683B6D"/>
    <w:rsid w:val="00683D0E"/>
    <w:rsid w:val="0068422D"/>
    <w:rsid w:val="00684336"/>
    <w:rsid w:val="00690F7E"/>
    <w:rsid w:val="006936B7"/>
    <w:rsid w:val="00693736"/>
    <w:rsid w:val="0069503D"/>
    <w:rsid w:val="00696162"/>
    <w:rsid w:val="006A420C"/>
    <w:rsid w:val="006A69C9"/>
    <w:rsid w:val="006A743A"/>
    <w:rsid w:val="006B2F2B"/>
    <w:rsid w:val="006B3C60"/>
    <w:rsid w:val="006B3FCB"/>
    <w:rsid w:val="006B5382"/>
    <w:rsid w:val="006B65A7"/>
    <w:rsid w:val="006B68BF"/>
    <w:rsid w:val="006B6FB1"/>
    <w:rsid w:val="006B7CD7"/>
    <w:rsid w:val="006C3517"/>
    <w:rsid w:val="006C45DD"/>
    <w:rsid w:val="006C4B89"/>
    <w:rsid w:val="006C608E"/>
    <w:rsid w:val="006D1405"/>
    <w:rsid w:val="006D68E5"/>
    <w:rsid w:val="006E0B0F"/>
    <w:rsid w:val="006E2CF7"/>
    <w:rsid w:val="006F0DF9"/>
    <w:rsid w:val="006F5862"/>
    <w:rsid w:val="006F5F75"/>
    <w:rsid w:val="006F732C"/>
    <w:rsid w:val="00702BB8"/>
    <w:rsid w:val="00710A75"/>
    <w:rsid w:val="00712512"/>
    <w:rsid w:val="00712827"/>
    <w:rsid w:val="007131FA"/>
    <w:rsid w:val="007135D8"/>
    <w:rsid w:val="007159FC"/>
    <w:rsid w:val="00717664"/>
    <w:rsid w:val="00721770"/>
    <w:rsid w:val="007223A6"/>
    <w:rsid w:val="00726815"/>
    <w:rsid w:val="007324C5"/>
    <w:rsid w:val="00733DA0"/>
    <w:rsid w:val="00734434"/>
    <w:rsid w:val="00734CA4"/>
    <w:rsid w:val="00734F14"/>
    <w:rsid w:val="00735B1A"/>
    <w:rsid w:val="00737422"/>
    <w:rsid w:val="007436D5"/>
    <w:rsid w:val="00744076"/>
    <w:rsid w:val="007444A2"/>
    <w:rsid w:val="00746B52"/>
    <w:rsid w:val="0075080D"/>
    <w:rsid w:val="00751718"/>
    <w:rsid w:val="0075279D"/>
    <w:rsid w:val="0075452B"/>
    <w:rsid w:val="0076037E"/>
    <w:rsid w:val="0076315D"/>
    <w:rsid w:val="007639D0"/>
    <w:rsid w:val="007646E2"/>
    <w:rsid w:val="00765094"/>
    <w:rsid w:val="0076727F"/>
    <w:rsid w:val="00767457"/>
    <w:rsid w:val="007723B2"/>
    <w:rsid w:val="00772613"/>
    <w:rsid w:val="00773185"/>
    <w:rsid w:val="00773A93"/>
    <w:rsid w:val="0077517C"/>
    <w:rsid w:val="00776F23"/>
    <w:rsid w:val="007779E7"/>
    <w:rsid w:val="0078099F"/>
    <w:rsid w:val="007812B9"/>
    <w:rsid w:val="0078156A"/>
    <w:rsid w:val="00783CD4"/>
    <w:rsid w:val="00784BE8"/>
    <w:rsid w:val="00786665"/>
    <w:rsid w:val="0078725B"/>
    <w:rsid w:val="0078787A"/>
    <w:rsid w:val="007900E1"/>
    <w:rsid w:val="00790202"/>
    <w:rsid w:val="007909DA"/>
    <w:rsid w:val="00791853"/>
    <w:rsid w:val="007924A5"/>
    <w:rsid w:val="00793D80"/>
    <w:rsid w:val="00793E3D"/>
    <w:rsid w:val="007953F9"/>
    <w:rsid w:val="00795C5B"/>
    <w:rsid w:val="00796D9E"/>
    <w:rsid w:val="007978D9"/>
    <w:rsid w:val="007A33D2"/>
    <w:rsid w:val="007A3C0E"/>
    <w:rsid w:val="007A5174"/>
    <w:rsid w:val="007A689E"/>
    <w:rsid w:val="007A7E42"/>
    <w:rsid w:val="007B00FC"/>
    <w:rsid w:val="007B1FEB"/>
    <w:rsid w:val="007B2B6E"/>
    <w:rsid w:val="007B343E"/>
    <w:rsid w:val="007B498B"/>
    <w:rsid w:val="007B4B93"/>
    <w:rsid w:val="007C01BD"/>
    <w:rsid w:val="007C1103"/>
    <w:rsid w:val="007C1C23"/>
    <w:rsid w:val="007C28D5"/>
    <w:rsid w:val="007C2B61"/>
    <w:rsid w:val="007C400D"/>
    <w:rsid w:val="007C4999"/>
    <w:rsid w:val="007C5F5E"/>
    <w:rsid w:val="007C6E6A"/>
    <w:rsid w:val="007C7F07"/>
    <w:rsid w:val="007D006B"/>
    <w:rsid w:val="007D0F40"/>
    <w:rsid w:val="007D2531"/>
    <w:rsid w:val="007D3EAD"/>
    <w:rsid w:val="007D4B7F"/>
    <w:rsid w:val="007D6092"/>
    <w:rsid w:val="007E32DA"/>
    <w:rsid w:val="007E3779"/>
    <w:rsid w:val="007E4A75"/>
    <w:rsid w:val="007E7A16"/>
    <w:rsid w:val="007E7E79"/>
    <w:rsid w:val="007F1D21"/>
    <w:rsid w:val="007F2971"/>
    <w:rsid w:val="007F2A6F"/>
    <w:rsid w:val="00810518"/>
    <w:rsid w:val="008114BA"/>
    <w:rsid w:val="008125C6"/>
    <w:rsid w:val="00813090"/>
    <w:rsid w:val="008163D4"/>
    <w:rsid w:val="00816756"/>
    <w:rsid w:val="00822A3C"/>
    <w:rsid w:val="00822D4F"/>
    <w:rsid w:val="00823132"/>
    <w:rsid w:val="008234CD"/>
    <w:rsid w:val="00823FB9"/>
    <w:rsid w:val="008256D1"/>
    <w:rsid w:val="00827116"/>
    <w:rsid w:val="00827B9D"/>
    <w:rsid w:val="00830EFE"/>
    <w:rsid w:val="00832186"/>
    <w:rsid w:val="00833672"/>
    <w:rsid w:val="00834E91"/>
    <w:rsid w:val="00835851"/>
    <w:rsid w:val="0083595B"/>
    <w:rsid w:val="00837231"/>
    <w:rsid w:val="00837506"/>
    <w:rsid w:val="00837E65"/>
    <w:rsid w:val="00841B6D"/>
    <w:rsid w:val="00844BA6"/>
    <w:rsid w:val="00844F90"/>
    <w:rsid w:val="0084580F"/>
    <w:rsid w:val="0085022D"/>
    <w:rsid w:val="0085086C"/>
    <w:rsid w:val="008512CB"/>
    <w:rsid w:val="00853D70"/>
    <w:rsid w:val="00854D29"/>
    <w:rsid w:val="008575CC"/>
    <w:rsid w:val="008609B6"/>
    <w:rsid w:val="00860F29"/>
    <w:rsid w:val="00861A71"/>
    <w:rsid w:val="00862ACA"/>
    <w:rsid w:val="00862E6A"/>
    <w:rsid w:val="00863FF1"/>
    <w:rsid w:val="0086491B"/>
    <w:rsid w:val="008650E6"/>
    <w:rsid w:val="0086587D"/>
    <w:rsid w:val="0087031C"/>
    <w:rsid w:val="008738F3"/>
    <w:rsid w:val="00873BC9"/>
    <w:rsid w:val="008741EE"/>
    <w:rsid w:val="008752D9"/>
    <w:rsid w:val="0087674D"/>
    <w:rsid w:val="008779DD"/>
    <w:rsid w:val="00881C1E"/>
    <w:rsid w:val="00882148"/>
    <w:rsid w:val="008847D2"/>
    <w:rsid w:val="008852B7"/>
    <w:rsid w:val="008914BF"/>
    <w:rsid w:val="008939E1"/>
    <w:rsid w:val="00895482"/>
    <w:rsid w:val="00896C13"/>
    <w:rsid w:val="008A03F1"/>
    <w:rsid w:val="008A588D"/>
    <w:rsid w:val="008A5A04"/>
    <w:rsid w:val="008A5A3D"/>
    <w:rsid w:val="008B1535"/>
    <w:rsid w:val="008B1627"/>
    <w:rsid w:val="008B1DC5"/>
    <w:rsid w:val="008B253D"/>
    <w:rsid w:val="008B3B9D"/>
    <w:rsid w:val="008B7EC8"/>
    <w:rsid w:val="008C0549"/>
    <w:rsid w:val="008C0DB3"/>
    <w:rsid w:val="008C1804"/>
    <w:rsid w:val="008C5F79"/>
    <w:rsid w:val="008C5FE5"/>
    <w:rsid w:val="008C6C6D"/>
    <w:rsid w:val="008D19A2"/>
    <w:rsid w:val="008E1345"/>
    <w:rsid w:val="008E2685"/>
    <w:rsid w:val="008E44CD"/>
    <w:rsid w:val="008F4631"/>
    <w:rsid w:val="00901934"/>
    <w:rsid w:val="009019F3"/>
    <w:rsid w:val="00901A84"/>
    <w:rsid w:val="0090294A"/>
    <w:rsid w:val="009048A8"/>
    <w:rsid w:val="00906BE9"/>
    <w:rsid w:val="00912F01"/>
    <w:rsid w:val="009138C7"/>
    <w:rsid w:val="0091605E"/>
    <w:rsid w:val="00916E07"/>
    <w:rsid w:val="00924587"/>
    <w:rsid w:val="00924DD7"/>
    <w:rsid w:val="00926516"/>
    <w:rsid w:val="00932423"/>
    <w:rsid w:val="009325A3"/>
    <w:rsid w:val="009343B3"/>
    <w:rsid w:val="009360C5"/>
    <w:rsid w:val="009411A0"/>
    <w:rsid w:val="00941629"/>
    <w:rsid w:val="00942E2E"/>
    <w:rsid w:val="00946237"/>
    <w:rsid w:val="009518F4"/>
    <w:rsid w:val="00953FC3"/>
    <w:rsid w:val="00954700"/>
    <w:rsid w:val="00954DFD"/>
    <w:rsid w:val="00961EDA"/>
    <w:rsid w:val="00962062"/>
    <w:rsid w:val="00962B68"/>
    <w:rsid w:val="0096434C"/>
    <w:rsid w:val="009664A4"/>
    <w:rsid w:val="00970106"/>
    <w:rsid w:val="00970421"/>
    <w:rsid w:val="009746FB"/>
    <w:rsid w:val="00974926"/>
    <w:rsid w:val="00974A90"/>
    <w:rsid w:val="009752AF"/>
    <w:rsid w:val="0097648F"/>
    <w:rsid w:val="0098180F"/>
    <w:rsid w:val="00986D2B"/>
    <w:rsid w:val="00990889"/>
    <w:rsid w:val="00991944"/>
    <w:rsid w:val="00991FD1"/>
    <w:rsid w:val="00992C46"/>
    <w:rsid w:val="00994161"/>
    <w:rsid w:val="00995088"/>
    <w:rsid w:val="0099609F"/>
    <w:rsid w:val="009960CB"/>
    <w:rsid w:val="00997047"/>
    <w:rsid w:val="009A0724"/>
    <w:rsid w:val="009A2419"/>
    <w:rsid w:val="009A3D79"/>
    <w:rsid w:val="009A40DC"/>
    <w:rsid w:val="009A4790"/>
    <w:rsid w:val="009A56FD"/>
    <w:rsid w:val="009A57CE"/>
    <w:rsid w:val="009A7AB1"/>
    <w:rsid w:val="009B1DEB"/>
    <w:rsid w:val="009B20B4"/>
    <w:rsid w:val="009B28AC"/>
    <w:rsid w:val="009B2DB3"/>
    <w:rsid w:val="009B4B15"/>
    <w:rsid w:val="009B4E45"/>
    <w:rsid w:val="009B775E"/>
    <w:rsid w:val="009C0FE6"/>
    <w:rsid w:val="009C2999"/>
    <w:rsid w:val="009C4BAE"/>
    <w:rsid w:val="009C51CB"/>
    <w:rsid w:val="009C54F6"/>
    <w:rsid w:val="009D563D"/>
    <w:rsid w:val="009D5C90"/>
    <w:rsid w:val="009D7596"/>
    <w:rsid w:val="009E03B2"/>
    <w:rsid w:val="009E109C"/>
    <w:rsid w:val="009F3B06"/>
    <w:rsid w:val="009F413B"/>
    <w:rsid w:val="009F64D1"/>
    <w:rsid w:val="009F7C7D"/>
    <w:rsid w:val="009F7E9C"/>
    <w:rsid w:val="00A00455"/>
    <w:rsid w:val="00A0296C"/>
    <w:rsid w:val="00A03C63"/>
    <w:rsid w:val="00A10956"/>
    <w:rsid w:val="00A12896"/>
    <w:rsid w:val="00A14534"/>
    <w:rsid w:val="00A15A8B"/>
    <w:rsid w:val="00A16155"/>
    <w:rsid w:val="00A17BC7"/>
    <w:rsid w:val="00A21394"/>
    <w:rsid w:val="00A2261A"/>
    <w:rsid w:val="00A2698C"/>
    <w:rsid w:val="00A26A0F"/>
    <w:rsid w:val="00A26D1D"/>
    <w:rsid w:val="00A3138B"/>
    <w:rsid w:val="00A32550"/>
    <w:rsid w:val="00A32560"/>
    <w:rsid w:val="00A3283E"/>
    <w:rsid w:val="00A342C2"/>
    <w:rsid w:val="00A35053"/>
    <w:rsid w:val="00A3576E"/>
    <w:rsid w:val="00A36F8C"/>
    <w:rsid w:val="00A37D58"/>
    <w:rsid w:val="00A40A60"/>
    <w:rsid w:val="00A4166F"/>
    <w:rsid w:val="00A43075"/>
    <w:rsid w:val="00A43754"/>
    <w:rsid w:val="00A4591C"/>
    <w:rsid w:val="00A521C3"/>
    <w:rsid w:val="00A53543"/>
    <w:rsid w:val="00A545CE"/>
    <w:rsid w:val="00A54F0B"/>
    <w:rsid w:val="00A5750E"/>
    <w:rsid w:val="00A60870"/>
    <w:rsid w:val="00A61EA6"/>
    <w:rsid w:val="00A62876"/>
    <w:rsid w:val="00A63BB8"/>
    <w:rsid w:val="00A6625C"/>
    <w:rsid w:val="00A67387"/>
    <w:rsid w:val="00A67BB8"/>
    <w:rsid w:val="00A73B46"/>
    <w:rsid w:val="00A800FE"/>
    <w:rsid w:val="00A8119D"/>
    <w:rsid w:val="00A81729"/>
    <w:rsid w:val="00A8314E"/>
    <w:rsid w:val="00A8441B"/>
    <w:rsid w:val="00A86782"/>
    <w:rsid w:val="00A87720"/>
    <w:rsid w:val="00A9023C"/>
    <w:rsid w:val="00A9039E"/>
    <w:rsid w:val="00A9099E"/>
    <w:rsid w:val="00A92A01"/>
    <w:rsid w:val="00A92A7E"/>
    <w:rsid w:val="00A93E25"/>
    <w:rsid w:val="00A97BB3"/>
    <w:rsid w:val="00AA1F84"/>
    <w:rsid w:val="00AA3B3F"/>
    <w:rsid w:val="00AA5421"/>
    <w:rsid w:val="00AA6EFE"/>
    <w:rsid w:val="00AB2907"/>
    <w:rsid w:val="00AB4376"/>
    <w:rsid w:val="00AB4815"/>
    <w:rsid w:val="00AB7E90"/>
    <w:rsid w:val="00AC309C"/>
    <w:rsid w:val="00AC381E"/>
    <w:rsid w:val="00AC394A"/>
    <w:rsid w:val="00AC3EF2"/>
    <w:rsid w:val="00AC688D"/>
    <w:rsid w:val="00AD04D0"/>
    <w:rsid w:val="00AD2052"/>
    <w:rsid w:val="00AD4341"/>
    <w:rsid w:val="00AD5BE7"/>
    <w:rsid w:val="00AD75FE"/>
    <w:rsid w:val="00AD7981"/>
    <w:rsid w:val="00AE1459"/>
    <w:rsid w:val="00AE1575"/>
    <w:rsid w:val="00AE1814"/>
    <w:rsid w:val="00AE1B2C"/>
    <w:rsid w:val="00AE21EC"/>
    <w:rsid w:val="00AE2682"/>
    <w:rsid w:val="00AE4A24"/>
    <w:rsid w:val="00AE5DF0"/>
    <w:rsid w:val="00AE6330"/>
    <w:rsid w:val="00AE637A"/>
    <w:rsid w:val="00AE6B09"/>
    <w:rsid w:val="00AE734B"/>
    <w:rsid w:val="00AE747C"/>
    <w:rsid w:val="00AF367C"/>
    <w:rsid w:val="00AF3857"/>
    <w:rsid w:val="00AF51BE"/>
    <w:rsid w:val="00AF7137"/>
    <w:rsid w:val="00B00B27"/>
    <w:rsid w:val="00B034C2"/>
    <w:rsid w:val="00B10276"/>
    <w:rsid w:val="00B10806"/>
    <w:rsid w:val="00B10BE0"/>
    <w:rsid w:val="00B1167A"/>
    <w:rsid w:val="00B11948"/>
    <w:rsid w:val="00B16C67"/>
    <w:rsid w:val="00B20C6A"/>
    <w:rsid w:val="00B20E96"/>
    <w:rsid w:val="00B215CF"/>
    <w:rsid w:val="00B21839"/>
    <w:rsid w:val="00B22B66"/>
    <w:rsid w:val="00B26F0C"/>
    <w:rsid w:val="00B27AFD"/>
    <w:rsid w:val="00B308AA"/>
    <w:rsid w:val="00B311D6"/>
    <w:rsid w:val="00B33235"/>
    <w:rsid w:val="00B34421"/>
    <w:rsid w:val="00B377BA"/>
    <w:rsid w:val="00B40760"/>
    <w:rsid w:val="00B41693"/>
    <w:rsid w:val="00B43DEA"/>
    <w:rsid w:val="00B470B9"/>
    <w:rsid w:val="00B50213"/>
    <w:rsid w:val="00B51AC9"/>
    <w:rsid w:val="00B60FAD"/>
    <w:rsid w:val="00B61784"/>
    <w:rsid w:val="00B61E1A"/>
    <w:rsid w:val="00B658D9"/>
    <w:rsid w:val="00B659F5"/>
    <w:rsid w:val="00B65FB5"/>
    <w:rsid w:val="00B67B12"/>
    <w:rsid w:val="00B7064C"/>
    <w:rsid w:val="00B73008"/>
    <w:rsid w:val="00B73177"/>
    <w:rsid w:val="00B73C81"/>
    <w:rsid w:val="00B75587"/>
    <w:rsid w:val="00B755D8"/>
    <w:rsid w:val="00B768B1"/>
    <w:rsid w:val="00B76C0C"/>
    <w:rsid w:val="00B81E07"/>
    <w:rsid w:val="00B905E3"/>
    <w:rsid w:val="00B909FD"/>
    <w:rsid w:val="00B93638"/>
    <w:rsid w:val="00B937F7"/>
    <w:rsid w:val="00B947E0"/>
    <w:rsid w:val="00B949D4"/>
    <w:rsid w:val="00B96B88"/>
    <w:rsid w:val="00BA0949"/>
    <w:rsid w:val="00BA1930"/>
    <w:rsid w:val="00BA5626"/>
    <w:rsid w:val="00BA6662"/>
    <w:rsid w:val="00BA75DF"/>
    <w:rsid w:val="00BA7718"/>
    <w:rsid w:val="00BB0DAE"/>
    <w:rsid w:val="00BB1D39"/>
    <w:rsid w:val="00BB2A53"/>
    <w:rsid w:val="00BB36E6"/>
    <w:rsid w:val="00BB779E"/>
    <w:rsid w:val="00BC06AE"/>
    <w:rsid w:val="00BC3D87"/>
    <w:rsid w:val="00BC61DE"/>
    <w:rsid w:val="00BC6545"/>
    <w:rsid w:val="00BC6EC4"/>
    <w:rsid w:val="00BC71D5"/>
    <w:rsid w:val="00BD0142"/>
    <w:rsid w:val="00BD0481"/>
    <w:rsid w:val="00BD1015"/>
    <w:rsid w:val="00BD510A"/>
    <w:rsid w:val="00BD53C9"/>
    <w:rsid w:val="00BD72A5"/>
    <w:rsid w:val="00BE526A"/>
    <w:rsid w:val="00BE536E"/>
    <w:rsid w:val="00BE692B"/>
    <w:rsid w:val="00BE7E67"/>
    <w:rsid w:val="00BF28A1"/>
    <w:rsid w:val="00BF6471"/>
    <w:rsid w:val="00BF6F85"/>
    <w:rsid w:val="00C01140"/>
    <w:rsid w:val="00C01E7F"/>
    <w:rsid w:val="00C01F54"/>
    <w:rsid w:val="00C0237C"/>
    <w:rsid w:val="00C062C0"/>
    <w:rsid w:val="00C1258D"/>
    <w:rsid w:val="00C16E2C"/>
    <w:rsid w:val="00C17305"/>
    <w:rsid w:val="00C20728"/>
    <w:rsid w:val="00C22E0B"/>
    <w:rsid w:val="00C24335"/>
    <w:rsid w:val="00C26A86"/>
    <w:rsid w:val="00C26FDD"/>
    <w:rsid w:val="00C309D8"/>
    <w:rsid w:val="00C313CE"/>
    <w:rsid w:val="00C35111"/>
    <w:rsid w:val="00C35D98"/>
    <w:rsid w:val="00C40542"/>
    <w:rsid w:val="00C41842"/>
    <w:rsid w:val="00C41CB2"/>
    <w:rsid w:val="00C41F7D"/>
    <w:rsid w:val="00C45CC9"/>
    <w:rsid w:val="00C47599"/>
    <w:rsid w:val="00C514B5"/>
    <w:rsid w:val="00C52732"/>
    <w:rsid w:val="00C52C1B"/>
    <w:rsid w:val="00C53522"/>
    <w:rsid w:val="00C54516"/>
    <w:rsid w:val="00C56F88"/>
    <w:rsid w:val="00C602E5"/>
    <w:rsid w:val="00C640A1"/>
    <w:rsid w:val="00C644FD"/>
    <w:rsid w:val="00C679F3"/>
    <w:rsid w:val="00C703F7"/>
    <w:rsid w:val="00C7044F"/>
    <w:rsid w:val="00C70735"/>
    <w:rsid w:val="00C7385E"/>
    <w:rsid w:val="00C75E19"/>
    <w:rsid w:val="00C75F96"/>
    <w:rsid w:val="00C76F5D"/>
    <w:rsid w:val="00C77F66"/>
    <w:rsid w:val="00C80891"/>
    <w:rsid w:val="00C80E07"/>
    <w:rsid w:val="00C81F18"/>
    <w:rsid w:val="00C82016"/>
    <w:rsid w:val="00C82257"/>
    <w:rsid w:val="00C83290"/>
    <w:rsid w:val="00C8415D"/>
    <w:rsid w:val="00C87A36"/>
    <w:rsid w:val="00C91CA2"/>
    <w:rsid w:val="00C925C2"/>
    <w:rsid w:val="00C92756"/>
    <w:rsid w:val="00C93B83"/>
    <w:rsid w:val="00C962F3"/>
    <w:rsid w:val="00CA05C5"/>
    <w:rsid w:val="00CA0CFD"/>
    <w:rsid w:val="00CA286E"/>
    <w:rsid w:val="00CA2DCB"/>
    <w:rsid w:val="00CA510D"/>
    <w:rsid w:val="00CA5920"/>
    <w:rsid w:val="00CA7010"/>
    <w:rsid w:val="00CA72F5"/>
    <w:rsid w:val="00CB2914"/>
    <w:rsid w:val="00CB2D68"/>
    <w:rsid w:val="00CB496A"/>
    <w:rsid w:val="00CB6F00"/>
    <w:rsid w:val="00CC06A5"/>
    <w:rsid w:val="00CC1323"/>
    <w:rsid w:val="00CC1952"/>
    <w:rsid w:val="00CC2216"/>
    <w:rsid w:val="00CC2C74"/>
    <w:rsid w:val="00CC44B5"/>
    <w:rsid w:val="00CC66A5"/>
    <w:rsid w:val="00CC6FD9"/>
    <w:rsid w:val="00CC725E"/>
    <w:rsid w:val="00CD2748"/>
    <w:rsid w:val="00CD3A0E"/>
    <w:rsid w:val="00CD75D5"/>
    <w:rsid w:val="00CE02A4"/>
    <w:rsid w:val="00CE0910"/>
    <w:rsid w:val="00CE2DAC"/>
    <w:rsid w:val="00CE3ADC"/>
    <w:rsid w:val="00CE67AB"/>
    <w:rsid w:val="00CE7ECF"/>
    <w:rsid w:val="00CF03EB"/>
    <w:rsid w:val="00CF0831"/>
    <w:rsid w:val="00CF1D31"/>
    <w:rsid w:val="00CF1DE1"/>
    <w:rsid w:val="00CF5968"/>
    <w:rsid w:val="00D0112E"/>
    <w:rsid w:val="00D017AC"/>
    <w:rsid w:val="00D02F30"/>
    <w:rsid w:val="00D03601"/>
    <w:rsid w:val="00D03A98"/>
    <w:rsid w:val="00D05729"/>
    <w:rsid w:val="00D1382C"/>
    <w:rsid w:val="00D14EF7"/>
    <w:rsid w:val="00D2134E"/>
    <w:rsid w:val="00D22DBE"/>
    <w:rsid w:val="00D32490"/>
    <w:rsid w:val="00D325F1"/>
    <w:rsid w:val="00D3349D"/>
    <w:rsid w:val="00D35748"/>
    <w:rsid w:val="00D40734"/>
    <w:rsid w:val="00D423E0"/>
    <w:rsid w:val="00D46422"/>
    <w:rsid w:val="00D4764B"/>
    <w:rsid w:val="00D508EC"/>
    <w:rsid w:val="00D519F9"/>
    <w:rsid w:val="00D51F96"/>
    <w:rsid w:val="00D52FE0"/>
    <w:rsid w:val="00D56AB4"/>
    <w:rsid w:val="00D614C3"/>
    <w:rsid w:val="00D61937"/>
    <w:rsid w:val="00D61958"/>
    <w:rsid w:val="00D64D55"/>
    <w:rsid w:val="00D7269E"/>
    <w:rsid w:val="00D74D6A"/>
    <w:rsid w:val="00D82746"/>
    <w:rsid w:val="00D82EBF"/>
    <w:rsid w:val="00D85749"/>
    <w:rsid w:val="00D864EF"/>
    <w:rsid w:val="00D90A76"/>
    <w:rsid w:val="00D90CA4"/>
    <w:rsid w:val="00D912A2"/>
    <w:rsid w:val="00D91777"/>
    <w:rsid w:val="00D93061"/>
    <w:rsid w:val="00D95A48"/>
    <w:rsid w:val="00DA319D"/>
    <w:rsid w:val="00DA3779"/>
    <w:rsid w:val="00DA40D3"/>
    <w:rsid w:val="00DA445C"/>
    <w:rsid w:val="00DA4B4F"/>
    <w:rsid w:val="00DA620B"/>
    <w:rsid w:val="00DA7741"/>
    <w:rsid w:val="00DB26AA"/>
    <w:rsid w:val="00DB3E4D"/>
    <w:rsid w:val="00DB454F"/>
    <w:rsid w:val="00DB59AF"/>
    <w:rsid w:val="00DC00FF"/>
    <w:rsid w:val="00DC0A74"/>
    <w:rsid w:val="00DC3258"/>
    <w:rsid w:val="00DC4777"/>
    <w:rsid w:val="00DC5DD2"/>
    <w:rsid w:val="00DC755F"/>
    <w:rsid w:val="00DD0027"/>
    <w:rsid w:val="00DD394E"/>
    <w:rsid w:val="00DD68CE"/>
    <w:rsid w:val="00DD6C0A"/>
    <w:rsid w:val="00DD7031"/>
    <w:rsid w:val="00DD7B23"/>
    <w:rsid w:val="00DE0300"/>
    <w:rsid w:val="00DE046D"/>
    <w:rsid w:val="00DE3BAE"/>
    <w:rsid w:val="00DE4C65"/>
    <w:rsid w:val="00DE4E2A"/>
    <w:rsid w:val="00DE6C99"/>
    <w:rsid w:val="00DF09F1"/>
    <w:rsid w:val="00DF1853"/>
    <w:rsid w:val="00DF1FE4"/>
    <w:rsid w:val="00DF2829"/>
    <w:rsid w:val="00DF3E02"/>
    <w:rsid w:val="00DF442B"/>
    <w:rsid w:val="00DF4B3C"/>
    <w:rsid w:val="00E04A4A"/>
    <w:rsid w:val="00E07547"/>
    <w:rsid w:val="00E07548"/>
    <w:rsid w:val="00E078C5"/>
    <w:rsid w:val="00E07C83"/>
    <w:rsid w:val="00E10AFB"/>
    <w:rsid w:val="00E11AC4"/>
    <w:rsid w:val="00E143C3"/>
    <w:rsid w:val="00E14804"/>
    <w:rsid w:val="00E14C48"/>
    <w:rsid w:val="00E15CA8"/>
    <w:rsid w:val="00E2168B"/>
    <w:rsid w:val="00E25186"/>
    <w:rsid w:val="00E26115"/>
    <w:rsid w:val="00E26697"/>
    <w:rsid w:val="00E2674D"/>
    <w:rsid w:val="00E30D3F"/>
    <w:rsid w:val="00E310D7"/>
    <w:rsid w:val="00E317B4"/>
    <w:rsid w:val="00E321B1"/>
    <w:rsid w:val="00E42341"/>
    <w:rsid w:val="00E44B95"/>
    <w:rsid w:val="00E462B3"/>
    <w:rsid w:val="00E4667E"/>
    <w:rsid w:val="00E4772D"/>
    <w:rsid w:val="00E47A2C"/>
    <w:rsid w:val="00E51EFB"/>
    <w:rsid w:val="00E52E27"/>
    <w:rsid w:val="00E53A5C"/>
    <w:rsid w:val="00E55C1F"/>
    <w:rsid w:val="00E60417"/>
    <w:rsid w:val="00E617CB"/>
    <w:rsid w:val="00E62F00"/>
    <w:rsid w:val="00E64068"/>
    <w:rsid w:val="00E66B00"/>
    <w:rsid w:val="00E67D72"/>
    <w:rsid w:val="00E70A81"/>
    <w:rsid w:val="00E70E9C"/>
    <w:rsid w:val="00E72188"/>
    <w:rsid w:val="00E744FE"/>
    <w:rsid w:val="00E759EE"/>
    <w:rsid w:val="00E76040"/>
    <w:rsid w:val="00E80174"/>
    <w:rsid w:val="00E83145"/>
    <w:rsid w:val="00E837D6"/>
    <w:rsid w:val="00E84361"/>
    <w:rsid w:val="00E858D1"/>
    <w:rsid w:val="00E85C76"/>
    <w:rsid w:val="00E8630C"/>
    <w:rsid w:val="00E90724"/>
    <w:rsid w:val="00E90E82"/>
    <w:rsid w:val="00E95DB6"/>
    <w:rsid w:val="00E96508"/>
    <w:rsid w:val="00E96F2D"/>
    <w:rsid w:val="00EA0267"/>
    <w:rsid w:val="00EA27A6"/>
    <w:rsid w:val="00EA46FC"/>
    <w:rsid w:val="00EA4BED"/>
    <w:rsid w:val="00EA7883"/>
    <w:rsid w:val="00EB11B7"/>
    <w:rsid w:val="00EB19AB"/>
    <w:rsid w:val="00EB3ADB"/>
    <w:rsid w:val="00EB4135"/>
    <w:rsid w:val="00EB4477"/>
    <w:rsid w:val="00EB4A2C"/>
    <w:rsid w:val="00EB69C2"/>
    <w:rsid w:val="00EC07FA"/>
    <w:rsid w:val="00EC2734"/>
    <w:rsid w:val="00EC34A5"/>
    <w:rsid w:val="00EC41F1"/>
    <w:rsid w:val="00EC4DC9"/>
    <w:rsid w:val="00EC6F56"/>
    <w:rsid w:val="00ED17B9"/>
    <w:rsid w:val="00ED241F"/>
    <w:rsid w:val="00ED7374"/>
    <w:rsid w:val="00EE04E6"/>
    <w:rsid w:val="00EE4E40"/>
    <w:rsid w:val="00EF386E"/>
    <w:rsid w:val="00EF519E"/>
    <w:rsid w:val="00F04013"/>
    <w:rsid w:val="00F06B5B"/>
    <w:rsid w:val="00F1022C"/>
    <w:rsid w:val="00F1201F"/>
    <w:rsid w:val="00F121DA"/>
    <w:rsid w:val="00F13542"/>
    <w:rsid w:val="00F13F3C"/>
    <w:rsid w:val="00F15BFD"/>
    <w:rsid w:val="00F17465"/>
    <w:rsid w:val="00F17CDF"/>
    <w:rsid w:val="00F209E1"/>
    <w:rsid w:val="00F21BD7"/>
    <w:rsid w:val="00F258B8"/>
    <w:rsid w:val="00F26190"/>
    <w:rsid w:val="00F3083D"/>
    <w:rsid w:val="00F30D80"/>
    <w:rsid w:val="00F31CE1"/>
    <w:rsid w:val="00F3500A"/>
    <w:rsid w:val="00F35262"/>
    <w:rsid w:val="00F365C1"/>
    <w:rsid w:val="00F40497"/>
    <w:rsid w:val="00F4056B"/>
    <w:rsid w:val="00F4299B"/>
    <w:rsid w:val="00F42AEF"/>
    <w:rsid w:val="00F42EDD"/>
    <w:rsid w:val="00F432A7"/>
    <w:rsid w:val="00F45210"/>
    <w:rsid w:val="00F45C05"/>
    <w:rsid w:val="00F474A0"/>
    <w:rsid w:val="00F475DD"/>
    <w:rsid w:val="00F52260"/>
    <w:rsid w:val="00F52F95"/>
    <w:rsid w:val="00F55EA0"/>
    <w:rsid w:val="00F60BAB"/>
    <w:rsid w:val="00F621B5"/>
    <w:rsid w:val="00F62A8E"/>
    <w:rsid w:val="00F645EE"/>
    <w:rsid w:val="00F652D7"/>
    <w:rsid w:val="00F67038"/>
    <w:rsid w:val="00F70388"/>
    <w:rsid w:val="00F725B3"/>
    <w:rsid w:val="00F76C3C"/>
    <w:rsid w:val="00F777B1"/>
    <w:rsid w:val="00F77F71"/>
    <w:rsid w:val="00F8026B"/>
    <w:rsid w:val="00F81F88"/>
    <w:rsid w:val="00F8285F"/>
    <w:rsid w:val="00F85342"/>
    <w:rsid w:val="00F87AD9"/>
    <w:rsid w:val="00F90107"/>
    <w:rsid w:val="00F90D5F"/>
    <w:rsid w:val="00F92A96"/>
    <w:rsid w:val="00F930CB"/>
    <w:rsid w:val="00F931ED"/>
    <w:rsid w:val="00F94E59"/>
    <w:rsid w:val="00F95E53"/>
    <w:rsid w:val="00F96562"/>
    <w:rsid w:val="00F96667"/>
    <w:rsid w:val="00F978E2"/>
    <w:rsid w:val="00F97B81"/>
    <w:rsid w:val="00F97C78"/>
    <w:rsid w:val="00FA0414"/>
    <w:rsid w:val="00FA1339"/>
    <w:rsid w:val="00FA5716"/>
    <w:rsid w:val="00FA5BED"/>
    <w:rsid w:val="00FA5CB6"/>
    <w:rsid w:val="00FA7EF4"/>
    <w:rsid w:val="00FB0C29"/>
    <w:rsid w:val="00FB1652"/>
    <w:rsid w:val="00FB40FC"/>
    <w:rsid w:val="00FB60B3"/>
    <w:rsid w:val="00FB69CF"/>
    <w:rsid w:val="00FC153C"/>
    <w:rsid w:val="00FC790D"/>
    <w:rsid w:val="00FD0CAE"/>
    <w:rsid w:val="00FD206D"/>
    <w:rsid w:val="00FD288D"/>
    <w:rsid w:val="00FD6865"/>
    <w:rsid w:val="00FD6BED"/>
    <w:rsid w:val="00FE2B95"/>
    <w:rsid w:val="00FE2BBF"/>
    <w:rsid w:val="00FE4961"/>
    <w:rsid w:val="00FE7CE5"/>
    <w:rsid w:val="00FE7DF7"/>
    <w:rsid w:val="00FF534D"/>
    <w:rsid w:val="00FF6617"/>
    <w:rsid w:val="00FF7FA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934"/>
    <w:rPr>
      <w:sz w:val="24"/>
      <w:szCs w:val="24"/>
      <w:lang w:eastAsia="ja-JP"/>
    </w:rPr>
  </w:style>
  <w:style w:type="paragraph" w:styleId="Heading1">
    <w:name w:val="heading 1"/>
    <w:basedOn w:val="Normal"/>
    <w:next w:val="Normal"/>
    <w:autoRedefine/>
    <w:qFormat/>
    <w:rsid w:val="004D6F00"/>
    <w:pPr>
      <w:keepNext/>
      <w:autoSpaceDE w:val="0"/>
      <w:autoSpaceDN w:val="0"/>
      <w:adjustRightInd w:val="0"/>
      <w:spacing w:before="240" w:after="240"/>
      <w:jc w:val="both"/>
      <w:outlineLvl w:val="0"/>
    </w:pPr>
    <w:rPr>
      <w:rFonts w:ascii="Times New Roman Bold" w:eastAsia="Times New Roman" w:hAnsi="Times New Roman Bold"/>
      <w:b/>
      <w:caps/>
      <w:kern w:val="28"/>
      <w:lang w:eastAsia="en-US"/>
    </w:rPr>
  </w:style>
  <w:style w:type="paragraph" w:styleId="Heading2">
    <w:name w:val="heading 2"/>
    <w:basedOn w:val="Normal"/>
    <w:next w:val="Normal"/>
    <w:autoRedefine/>
    <w:qFormat/>
    <w:rsid w:val="003F26BC"/>
    <w:pPr>
      <w:keepNext/>
      <w:spacing w:before="240" w:after="240"/>
      <w:jc w:val="both"/>
      <w:outlineLvl w:val="1"/>
    </w:pPr>
    <w:rPr>
      <w:b/>
      <w:bCs/>
    </w:rPr>
  </w:style>
  <w:style w:type="paragraph" w:styleId="Heading3">
    <w:name w:val="heading 3"/>
    <w:basedOn w:val="Header"/>
    <w:next w:val="Normal"/>
    <w:qFormat/>
    <w:rsid w:val="00005504"/>
    <w:pPr>
      <w:keepNext/>
      <w:spacing w:after="240"/>
      <w:outlineLvl w:val="2"/>
    </w:pPr>
    <w:rPr>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723B2"/>
    <w:pPr>
      <w:numPr>
        <w:numId w:val="1"/>
      </w:numPr>
      <w:autoSpaceDE w:val="0"/>
      <w:autoSpaceDN w:val="0"/>
      <w:adjustRightInd w:val="0"/>
      <w:jc w:val="both"/>
    </w:pPr>
    <w:rPr>
      <w:rFonts w:eastAsia="Times New Roman"/>
      <w:lang w:eastAsia="en-US"/>
    </w:rPr>
  </w:style>
  <w:style w:type="paragraph" w:styleId="Title">
    <w:name w:val="Title"/>
    <w:basedOn w:val="Normal"/>
    <w:autoRedefine/>
    <w:qFormat/>
    <w:rsid w:val="003624FC"/>
    <w:pPr>
      <w:autoSpaceDE w:val="0"/>
      <w:autoSpaceDN w:val="0"/>
      <w:adjustRightInd w:val="0"/>
      <w:spacing w:after="240"/>
      <w:jc w:val="both"/>
      <w:outlineLvl w:val="0"/>
    </w:pPr>
    <w:rPr>
      <w:rFonts w:ascii="Times New Roman Bold" w:eastAsia="Times New Roman" w:hAnsi="Times New Roman Bold"/>
      <w:b/>
      <w:caps/>
      <w:kern w:val="28"/>
      <w:sz w:val="32"/>
      <w:szCs w:val="32"/>
      <w:lang w:eastAsia="en-US"/>
    </w:rPr>
  </w:style>
  <w:style w:type="paragraph" w:customStyle="1" w:styleId="Annotation">
    <w:name w:val="Annotation"/>
    <w:basedOn w:val="Normal"/>
    <w:autoRedefine/>
    <w:rsid w:val="005C00CC"/>
    <w:pPr>
      <w:autoSpaceDE w:val="0"/>
      <w:autoSpaceDN w:val="0"/>
      <w:adjustRightInd w:val="0"/>
    </w:pPr>
    <w:rPr>
      <w:rFonts w:eastAsia="Times New Roman"/>
      <w:i/>
      <w:iCs/>
      <w:color w:val="000000"/>
      <w:sz w:val="20"/>
      <w:szCs w:val="20"/>
      <w:lang w:eastAsia="en-US"/>
    </w:rPr>
  </w:style>
  <w:style w:type="paragraph" w:styleId="Subtitle">
    <w:name w:val="Subtitle"/>
    <w:basedOn w:val="Normal"/>
    <w:autoRedefine/>
    <w:qFormat/>
    <w:rsid w:val="007723B2"/>
    <w:pPr>
      <w:autoSpaceDE w:val="0"/>
      <w:autoSpaceDN w:val="0"/>
      <w:adjustRightInd w:val="0"/>
      <w:spacing w:after="240"/>
      <w:jc w:val="both"/>
      <w:outlineLvl w:val="1"/>
    </w:pPr>
    <w:rPr>
      <w:rFonts w:eastAsia="Times New Roman"/>
      <w:b/>
      <w:sz w:val="40"/>
      <w:szCs w:val="40"/>
      <w:lang w:eastAsia="en-US"/>
    </w:rPr>
  </w:style>
  <w:style w:type="paragraph" w:customStyle="1" w:styleId="NormalBold">
    <w:name w:val="Normal Bold"/>
    <w:basedOn w:val="Normal"/>
    <w:rsid w:val="007723B2"/>
    <w:pPr>
      <w:spacing w:after="200"/>
    </w:pPr>
    <w:rPr>
      <w:rFonts w:eastAsia="Times New Roman"/>
      <w:b/>
      <w:szCs w:val="20"/>
      <w:lang w:val="en-US" w:eastAsia="en-US"/>
    </w:rPr>
  </w:style>
  <w:style w:type="paragraph" w:styleId="Header">
    <w:name w:val="header"/>
    <w:basedOn w:val="Normal"/>
    <w:rsid w:val="007723B2"/>
    <w:pPr>
      <w:tabs>
        <w:tab w:val="center" w:pos="4320"/>
        <w:tab w:val="right" w:pos="8640"/>
      </w:tabs>
      <w:autoSpaceDE w:val="0"/>
      <w:autoSpaceDN w:val="0"/>
      <w:adjustRightInd w:val="0"/>
      <w:jc w:val="both"/>
    </w:pPr>
    <w:rPr>
      <w:rFonts w:eastAsia="Times New Roman"/>
      <w:lang w:val="en-US" w:eastAsia="en-US"/>
    </w:rPr>
  </w:style>
  <w:style w:type="paragraph" w:styleId="BodyText3">
    <w:name w:val="Body Text 3"/>
    <w:basedOn w:val="Normal"/>
    <w:rsid w:val="007723B2"/>
    <w:pPr>
      <w:autoSpaceDE w:val="0"/>
      <w:autoSpaceDN w:val="0"/>
      <w:adjustRightInd w:val="0"/>
      <w:jc w:val="both"/>
    </w:pPr>
    <w:rPr>
      <w:rFonts w:eastAsia="Times New Roman"/>
      <w:sz w:val="20"/>
      <w:lang w:val="en-US" w:eastAsia="en-US"/>
    </w:rPr>
  </w:style>
  <w:style w:type="paragraph" w:customStyle="1" w:styleId="Address">
    <w:name w:val="Address"/>
    <w:basedOn w:val="Normal"/>
    <w:rsid w:val="00C45CC9"/>
    <w:pPr>
      <w:autoSpaceDE w:val="0"/>
      <w:autoSpaceDN w:val="0"/>
      <w:adjustRightInd w:val="0"/>
    </w:pPr>
    <w:rPr>
      <w:rFonts w:eastAsia="Times New Roman"/>
      <w:lang w:eastAsia="en-US"/>
    </w:rPr>
  </w:style>
  <w:style w:type="character" w:customStyle="1" w:styleId="TableText12">
    <w:name w:val="TableText 12"/>
    <w:basedOn w:val="DefaultParagraphFont"/>
    <w:rsid w:val="003C2C29"/>
    <w:rPr>
      <w:rFonts w:ascii="Times New Roman" w:hAnsi="Times New Roman"/>
      <w:sz w:val="24"/>
    </w:rPr>
  </w:style>
  <w:style w:type="paragraph" w:styleId="BodyText2">
    <w:name w:val="Body Text 2"/>
    <w:basedOn w:val="Normal"/>
    <w:rsid w:val="00924587"/>
    <w:pPr>
      <w:spacing w:after="120" w:line="480" w:lineRule="auto"/>
    </w:pPr>
  </w:style>
  <w:style w:type="paragraph" w:customStyle="1" w:styleId="TableText">
    <w:name w:val="Table Text"/>
    <w:rsid w:val="00924587"/>
    <w:pPr>
      <w:keepNext/>
      <w:keepLines/>
      <w:tabs>
        <w:tab w:val="left" w:pos="288"/>
        <w:tab w:val="left" w:pos="576"/>
      </w:tabs>
    </w:pPr>
    <w:rPr>
      <w:rFonts w:eastAsia="Times New Roman"/>
      <w:lang w:val="en-US" w:eastAsia="en-US"/>
    </w:rPr>
  </w:style>
  <w:style w:type="character" w:styleId="CommentReference">
    <w:name w:val="annotation reference"/>
    <w:basedOn w:val="DefaultParagraphFont"/>
    <w:semiHidden/>
    <w:rsid w:val="00E4772D"/>
    <w:rPr>
      <w:sz w:val="16"/>
      <w:szCs w:val="16"/>
    </w:rPr>
  </w:style>
  <w:style w:type="paragraph" w:styleId="CommentText">
    <w:name w:val="annotation text"/>
    <w:basedOn w:val="Normal"/>
    <w:link w:val="CommentTextChar"/>
    <w:rsid w:val="00E4772D"/>
    <w:rPr>
      <w:sz w:val="20"/>
      <w:szCs w:val="20"/>
    </w:rPr>
  </w:style>
  <w:style w:type="paragraph" w:styleId="CommentSubject">
    <w:name w:val="annotation subject"/>
    <w:basedOn w:val="CommentText"/>
    <w:next w:val="CommentText"/>
    <w:semiHidden/>
    <w:rsid w:val="00E4772D"/>
    <w:rPr>
      <w:b/>
      <w:bCs/>
    </w:rPr>
  </w:style>
  <w:style w:type="paragraph" w:styleId="BalloonText">
    <w:name w:val="Balloon Text"/>
    <w:basedOn w:val="Normal"/>
    <w:semiHidden/>
    <w:rsid w:val="00E4772D"/>
    <w:rPr>
      <w:rFonts w:ascii="Tahoma" w:hAnsi="Tahoma" w:cs="Tahoma"/>
      <w:sz w:val="16"/>
      <w:szCs w:val="16"/>
    </w:rPr>
  </w:style>
  <w:style w:type="character" w:customStyle="1" w:styleId="BlueText">
    <w:name w:val="Blue Text"/>
    <w:basedOn w:val="DefaultParagraphFont"/>
    <w:rsid w:val="00B27AFD"/>
    <w:rPr>
      <w:color w:val="0000FF"/>
    </w:rPr>
  </w:style>
  <w:style w:type="character" w:customStyle="1" w:styleId="EmailStyle321">
    <w:name w:val="EmailStyle32"/>
    <w:aliases w:val="EmailStyle32"/>
    <w:basedOn w:val="DefaultParagraphFont"/>
    <w:semiHidden/>
    <w:personal/>
    <w:personalReply/>
    <w:rsid w:val="00606893"/>
    <w:rPr>
      <w:rFonts w:ascii="Arial" w:hAnsi="Arial" w:cs="Arial"/>
      <w:color w:val="000080"/>
      <w:sz w:val="20"/>
      <w:szCs w:val="20"/>
    </w:rPr>
  </w:style>
  <w:style w:type="paragraph" w:styleId="Footer">
    <w:name w:val="footer"/>
    <w:basedOn w:val="Normal"/>
    <w:rsid w:val="00DF3E02"/>
    <w:pPr>
      <w:tabs>
        <w:tab w:val="center" w:pos="4153"/>
        <w:tab w:val="right" w:pos="8306"/>
      </w:tabs>
    </w:pPr>
  </w:style>
  <w:style w:type="character" w:styleId="PageNumber">
    <w:name w:val="page number"/>
    <w:basedOn w:val="DefaultParagraphFont"/>
    <w:rsid w:val="00DF3E02"/>
  </w:style>
  <w:style w:type="paragraph" w:styleId="BodyTextIndent">
    <w:name w:val="Body Text Indent"/>
    <w:basedOn w:val="Normal"/>
    <w:rsid w:val="00294692"/>
    <w:pPr>
      <w:spacing w:after="120"/>
      <w:ind w:left="283"/>
    </w:pPr>
  </w:style>
  <w:style w:type="paragraph" w:customStyle="1" w:styleId="TableTextCentered">
    <w:name w:val="TableText Centered"/>
    <w:rsid w:val="0058239B"/>
    <w:pPr>
      <w:jc w:val="center"/>
    </w:pPr>
    <w:rPr>
      <w:rFonts w:eastAsia="Times New Roman"/>
      <w:lang w:val="en-US" w:eastAsia="en-US"/>
    </w:rPr>
  </w:style>
  <w:style w:type="paragraph" w:styleId="BodyTextIndent2">
    <w:name w:val="Body Text Indent 2"/>
    <w:basedOn w:val="Normal"/>
    <w:rsid w:val="0014108C"/>
    <w:pPr>
      <w:spacing w:after="120" w:line="480" w:lineRule="auto"/>
      <w:ind w:left="283"/>
    </w:pPr>
  </w:style>
  <w:style w:type="paragraph" w:customStyle="1" w:styleId="Default">
    <w:name w:val="Default"/>
    <w:rsid w:val="00FD0CAE"/>
    <w:pPr>
      <w:autoSpaceDE w:val="0"/>
      <w:autoSpaceDN w:val="0"/>
      <w:adjustRightInd w:val="0"/>
    </w:pPr>
    <w:rPr>
      <w:rFonts w:eastAsia="Times New Roman"/>
      <w:color w:val="000000"/>
      <w:sz w:val="24"/>
      <w:szCs w:val="24"/>
    </w:rPr>
  </w:style>
  <w:style w:type="paragraph" w:customStyle="1" w:styleId="Paragraph">
    <w:name w:val="Paragraph"/>
    <w:link w:val="ParagraphChar"/>
    <w:rsid w:val="0026455A"/>
    <w:pPr>
      <w:spacing w:after="240"/>
    </w:pPr>
    <w:rPr>
      <w:rFonts w:eastAsia="Times New Roman"/>
      <w:sz w:val="24"/>
      <w:szCs w:val="24"/>
      <w:lang w:val="en-US" w:eastAsia="en-US"/>
    </w:rPr>
  </w:style>
  <w:style w:type="paragraph" w:customStyle="1" w:styleId="EquationFootnote">
    <w:name w:val="Equation Footnote"/>
    <w:next w:val="Normal"/>
    <w:rsid w:val="0026455A"/>
    <w:rPr>
      <w:rFonts w:eastAsia="Times New Roman"/>
      <w:sz w:val="24"/>
      <w:lang w:val="en-US" w:eastAsia="en-US"/>
    </w:rPr>
  </w:style>
  <w:style w:type="paragraph" w:customStyle="1" w:styleId="TableTextColHead">
    <w:name w:val="TableText Col Head"/>
    <w:next w:val="TableTextCentered"/>
    <w:rsid w:val="00E321B1"/>
    <w:pPr>
      <w:jc w:val="center"/>
    </w:pPr>
    <w:rPr>
      <w:rFonts w:ascii="Times New Roman Bold" w:eastAsia="Times New Roman" w:hAnsi="Times New Roman Bold"/>
      <w:b/>
      <w:lang w:val="en-US" w:eastAsia="en-US"/>
    </w:rPr>
  </w:style>
  <w:style w:type="paragraph" w:customStyle="1" w:styleId="ParagraphCentered">
    <w:name w:val="Paragraph Centered"/>
    <w:rsid w:val="00D4764B"/>
    <w:pPr>
      <w:spacing w:after="240"/>
      <w:jc w:val="center"/>
    </w:pPr>
    <w:rPr>
      <w:rFonts w:eastAsia="Times New Roman"/>
      <w:bCs/>
      <w:sz w:val="24"/>
      <w:szCs w:val="24"/>
      <w:lang w:val="en-US" w:eastAsia="en-US"/>
    </w:rPr>
  </w:style>
  <w:style w:type="paragraph" w:styleId="Date">
    <w:name w:val="Date"/>
    <w:basedOn w:val="Normal"/>
    <w:next w:val="Normal"/>
    <w:rsid w:val="00D4764B"/>
    <w:rPr>
      <w:rFonts w:eastAsia="Times New Roman"/>
      <w:sz w:val="22"/>
      <w:szCs w:val="20"/>
      <w:lang w:val="en-GB" w:eastAsia="en-US"/>
    </w:rPr>
  </w:style>
  <w:style w:type="character" w:customStyle="1" w:styleId="ParagraphChar">
    <w:name w:val="Paragraph Char"/>
    <w:basedOn w:val="DefaultParagraphFont"/>
    <w:link w:val="Paragraph"/>
    <w:rsid w:val="00C35D98"/>
    <w:rPr>
      <w:rFonts w:eastAsia="Times New Roman"/>
      <w:sz w:val="24"/>
      <w:szCs w:val="24"/>
      <w:lang w:val="en-US" w:eastAsia="en-US" w:bidi="ar-SA"/>
    </w:rPr>
  </w:style>
  <w:style w:type="paragraph" w:customStyle="1" w:styleId="TableText0">
    <w:name w:val="TableText"/>
    <w:link w:val="TableTextChar"/>
    <w:rsid w:val="0017754F"/>
    <w:rPr>
      <w:rFonts w:eastAsia="Times New Roman" w:cs="Arial"/>
      <w:lang w:val="en-US" w:eastAsia="en-US"/>
    </w:rPr>
  </w:style>
  <w:style w:type="paragraph" w:customStyle="1" w:styleId="TableTitle">
    <w:name w:val="Table Title"/>
    <w:next w:val="Normal"/>
    <w:link w:val="TableTitleChar"/>
    <w:rsid w:val="0017754F"/>
    <w:pPr>
      <w:keepNext/>
      <w:spacing w:before="120"/>
      <w:ind w:left="1152" w:hanging="1152"/>
    </w:pPr>
    <w:rPr>
      <w:rFonts w:eastAsia="Times New Roman"/>
      <w:b/>
      <w:sz w:val="24"/>
      <w:lang w:val="en-US" w:eastAsia="en-US"/>
    </w:rPr>
  </w:style>
  <w:style w:type="character" w:customStyle="1" w:styleId="TableTitleChar">
    <w:name w:val="Table Title Char"/>
    <w:basedOn w:val="DefaultParagraphFont"/>
    <w:link w:val="TableTitle"/>
    <w:rsid w:val="0017754F"/>
    <w:rPr>
      <w:rFonts w:eastAsia="Times New Roman"/>
      <w:b/>
      <w:sz w:val="24"/>
      <w:lang w:val="en-US" w:eastAsia="en-US" w:bidi="ar-SA"/>
    </w:rPr>
  </w:style>
  <w:style w:type="paragraph" w:styleId="Revision">
    <w:name w:val="Revision"/>
    <w:hidden/>
    <w:uiPriority w:val="99"/>
    <w:semiHidden/>
    <w:rsid w:val="0086587D"/>
    <w:rPr>
      <w:sz w:val="24"/>
      <w:szCs w:val="24"/>
      <w:lang w:eastAsia="ja-JP"/>
    </w:rPr>
  </w:style>
  <w:style w:type="character" w:styleId="LineNumber">
    <w:name w:val="line number"/>
    <w:basedOn w:val="DefaultParagraphFont"/>
    <w:rsid w:val="00151E1A"/>
  </w:style>
  <w:style w:type="paragraph" w:styleId="ListParagraph">
    <w:name w:val="List Paragraph"/>
    <w:basedOn w:val="Normal"/>
    <w:uiPriority w:val="34"/>
    <w:qFormat/>
    <w:rsid w:val="00C062C0"/>
    <w:pPr>
      <w:ind w:left="720"/>
      <w:contextualSpacing/>
    </w:pPr>
  </w:style>
  <w:style w:type="character" w:customStyle="1" w:styleId="TableTextChar">
    <w:name w:val="TableText Char"/>
    <w:basedOn w:val="DefaultParagraphFont"/>
    <w:link w:val="TableText0"/>
    <w:rsid w:val="008F4631"/>
    <w:rPr>
      <w:rFonts w:eastAsia="Times New Roman" w:cs="Arial"/>
      <w:lang w:val="en-US" w:eastAsia="en-US"/>
    </w:rPr>
  </w:style>
  <w:style w:type="paragraph" w:customStyle="1" w:styleId="CM44">
    <w:name w:val="CM44"/>
    <w:basedOn w:val="Default"/>
    <w:next w:val="Default"/>
    <w:uiPriority w:val="99"/>
    <w:rsid w:val="009A4790"/>
    <w:rPr>
      <w:rFonts w:eastAsia="MS Mincho"/>
      <w:color w:val="auto"/>
    </w:rPr>
  </w:style>
  <w:style w:type="character" w:customStyle="1" w:styleId="CommentTextChar">
    <w:name w:val="Comment Text Char"/>
    <w:basedOn w:val="DefaultParagraphFont"/>
    <w:link w:val="CommentText"/>
    <w:rsid w:val="002E7583"/>
    <w:rPr>
      <w:lang w:eastAsia="ja-JP"/>
    </w:rPr>
  </w:style>
  <w:style w:type="paragraph" w:styleId="DocumentMap">
    <w:name w:val="Document Map"/>
    <w:basedOn w:val="Normal"/>
    <w:link w:val="DocumentMapChar"/>
    <w:rsid w:val="004E6B6C"/>
    <w:rPr>
      <w:rFonts w:ascii="Tahoma" w:hAnsi="Tahoma" w:cs="Tahoma"/>
      <w:sz w:val="16"/>
      <w:szCs w:val="16"/>
    </w:rPr>
  </w:style>
  <w:style w:type="character" w:customStyle="1" w:styleId="DocumentMapChar">
    <w:name w:val="Document Map Char"/>
    <w:basedOn w:val="DefaultParagraphFont"/>
    <w:link w:val="DocumentMap"/>
    <w:rsid w:val="004E6B6C"/>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6070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90FE-CC91-454B-85AF-D0BD7038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35</Pages>
  <Words>12528</Words>
  <Characters>71412</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PRODUCT INFORMATION</vt:lpstr>
    </vt:vector>
  </TitlesOfParts>
  <Company>Pfizer Australia</Company>
  <LinksUpToDate>false</LinksUpToDate>
  <CharactersWithSpaces>83773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Celsentri (maraviroc)</dc:title>
  <dc:subject>prescription medicine regulation</dc:subject>
  <dc:creator>Therapeutic Goods Administration</dc:creator>
  <cp:keywords>pi, product information, celsentri, maraviroc</cp:keywords>
  <cp:lastModifiedBy>Sheppard, Fran</cp:lastModifiedBy>
  <cp:revision>26</cp:revision>
  <cp:lastPrinted>2012-09-12T22:31:00Z</cp:lastPrinted>
  <dcterms:created xsi:type="dcterms:W3CDTF">2013-05-22T00:25:00Z</dcterms:created>
  <dcterms:modified xsi:type="dcterms:W3CDTF">2013-09-08T10:16:00Z</dcterms:modified>
</cp:coreProperties>
</file>