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D866B" w14:textId="1A918A56" w:rsidR="004032BD" w:rsidRPr="00CF3CA1" w:rsidRDefault="004032BD" w:rsidP="00CF3CA1">
      <w:pPr>
        <w:pStyle w:val="Title"/>
      </w:pPr>
      <w:r w:rsidRPr="00CF3CA1">
        <w:t>Australian P</w:t>
      </w:r>
      <w:r w:rsidR="00677840" w:rsidRPr="00CF3CA1">
        <w:t xml:space="preserve">roduct </w:t>
      </w:r>
      <w:r w:rsidRPr="00CF3CA1">
        <w:t>I</w:t>
      </w:r>
      <w:r w:rsidR="00677840" w:rsidRPr="00CF3CA1">
        <w:t>nformation</w:t>
      </w:r>
      <w:r w:rsidRPr="00CF3CA1">
        <w:t xml:space="preserve"> – </w:t>
      </w:r>
      <w:r w:rsidR="00AE2B75">
        <w:t>SLENYTO</w:t>
      </w:r>
      <w:r w:rsidR="00C2534C" w:rsidRPr="00C2534C">
        <w:rPr>
          <w:vertAlign w:val="superscript"/>
        </w:rPr>
        <w:t>®</w:t>
      </w:r>
      <w:r w:rsidR="007E693C" w:rsidRPr="00CF3CA1">
        <w:t xml:space="preserve"> </w:t>
      </w:r>
      <w:r w:rsidR="0048335F">
        <w:t>PROLONGED</w:t>
      </w:r>
      <w:r w:rsidR="00C2534C" w:rsidRPr="00C2534C">
        <w:t xml:space="preserve"> Release Tablets </w:t>
      </w:r>
      <w:r w:rsidRPr="00CF3CA1">
        <w:t>(</w:t>
      </w:r>
      <w:r w:rsidR="00C2534C" w:rsidRPr="00C2534C">
        <w:t>Melatonin</w:t>
      </w:r>
      <w:r w:rsidRPr="00CF3CA1">
        <w:t>)</w:t>
      </w:r>
      <w:r w:rsidR="00497C85" w:rsidRPr="00CF3CA1">
        <w:t xml:space="preserve"> </w:t>
      </w:r>
    </w:p>
    <w:p w14:paraId="133A79DC" w14:textId="77777777" w:rsidR="001A3992" w:rsidRDefault="001A3992" w:rsidP="00CF3CA1">
      <w:pPr>
        <w:pStyle w:val="Heading1"/>
      </w:pPr>
      <w:r w:rsidRPr="00CF3CA1">
        <w:t>Name of the medicine</w:t>
      </w:r>
    </w:p>
    <w:p w14:paraId="4561AF3C" w14:textId="77777777" w:rsidR="00C2534C" w:rsidRPr="00C2534C" w:rsidRDefault="00C2534C" w:rsidP="00C2534C">
      <w:r w:rsidRPr="00C2534C">
        <w:t>Melatonin</w:t>
      </w:r>
    </w:p>
    <w:p w14:paraId="4F8C6C9F" w14:textId="77777777" w:rsidR="001A3992" w:rsidRPr="00497C85" w:rsidRDefault="001A3992" w:rsidP="00CF3CA1">
      <w:pPr>
        <w:pStyle w:val="Heading1"/>
      </w:pPr>
      <w:r w:rsidRPr="00497C85">
        <w:t>Qualitative and quantitative composition</w:t>
      </w:r>
    </w:p>
    <w:p w14:paraId="592FED6C" w14:textId="6B124229" w:rsidR="00B91D54" w:rsidRDefault="00AE2B75" w:rsidP="00485E69">
      <w:r>
        <w:t>SLENYTO</w:t>
      </w:r>
      <w:r w:rsidR="00B91D54" w:rsidRPr="00B91D54">
        <w:t xml:space="preserve"> </w:t>
      </w:r>
      <w:r>
        <w:t>1</w:t>
      </w:r>
      <w:r w:rsidR="00B91D54" w:rsidRPr="00B91D54">
        <w:t xml:space="preserve"> mg </w:t>
      </w:r>
      <w:r>
        <w:t xml:space="preserve">and 5 mg </w:t>
      </w:r>
      <w:r w:rsidR="0048335F">
        <w:t>prolonged</w:t>
      </w:r>
      <w:r w:rsidR="00B91D54" w:rsidRPr="00B91D54">
        <w:t xml:space="preserve"> release tablets</w:t>
      </w:r>
      <w:r w:rsidR="00B91D54">
        <w:t>.</w:t>
      </w:r>
      <w:r w:rsidR="00B91D54" w:rsidRPr="00B91D54">
        <w:t xml:space="preserve"> </w:t>
      </w:r>
    </w:p>
    <w:p w14:paraId="1EB42406" w14:textId="12AE66C3" w:rsidR="00485E69" w:rsidRDefault="00485E69" w:rsidP="00485E69">
      <w:r w:rsidRPr="00485E69">
        <w:t xml:space="preserve">The active ingredient in </w:t>
      </w:r>
      <w:r w:rsidR="00AE2B75">
        <w:t>SLENYTO</w:t>
      </w:r>
      <w:r w:rsidR="00616368">
        <w:t xml:space="preserve"> </w:t>
      </w:r>
      <w:r w:rsidR="0048335F">
        <w:t>prolonged</w:t>
      </w:r>
      <w:r w:rsidRPr="00485E69">
        <w:t xml:space="preserve"> release tablets is a melatonin NOT of plant or animal origin.</w:t>
      </w:r>
    </w:p>
    <w:p w14:paraId="7FD6C135" w14:textId="77777777" w:rsidR="004D19D2" w:rsidRDefault="009824A4" w:rsidP="0068129B">
      <w:r>
        <w:t xml:space="preserve">Excipient with known effect: </w:t>
      </w:r>
      <w:r w:rsidRPr="007A420B">
        <w:t>lactose</w:t>
      </w:r>
      <w:r>
        <w:t xml:space="preserve"> </w:t>
      </w:r>
      <w:r w:rsidRPr="007A420B">
        <w:t>monohydrate</w:t>
      </w:r>
      <w:r w:rsidR="00C119FF">
        <w:t>.</w:t>
      </w:r>
      <w:r w:rsidRPr="004D19D2">
        <w:t xml:space="preserve"> </w:t>
      </w:r>
    </w:p>
    <w:p w14:paraId="6CBF15F2" w14:textId="77777777" w:rsidR="0068129B" w:rsidRDefault="0068129B" w:rsidP="0068129B">
      <w:r w:rsidRPr="00CF3CA1">
        <w:t>For the full list of excipients, see Section 6.1 List of excipients.</w:t>
      </w:r>
    </w:p>
    <w:p w14:paraId="79B9E351" w14:textId="77777777" w:rsidR="001A3992" w:rsidRDefault="001A3992" w:rsidP="00CF3CA1">
      <w:pPr>
        <w:pStyle w:val="Heading1"/>
      </w:pPr>
      <w:r w:rsidRPr="00497C85">
        <w:t>Pharmaceutical form</w:t>
      </w:r>
    </w:p>
    <w:p w14:paraId="57BB89FF" w14:textId="33E301C0" w:rsidR="0059768C" w:rsidRPr="0059768C" w:rsidRDefault="0059768C" w:rsidP="0059768C">
      <w:pPr>
        <w:tabs>
          <w:tab w:val="left" w:pos="0"/>
        </w:tabs>
        <w:rPr>
          <w:rFonts w:eastAsia="Times New Roman"/>
          <w:color w:val="auto"/>
          <w:sz w:val="22"/>
          <w:szCs w:val="22"/>
          <w:lang w:val="en-GB" w:eastAsia="en-GB"/>
        </w:rPr>
      </w:pPr>
      <w:r w:rsidRPr="0059768C">
        <w:rPr>
          <w:szCs w:val="22"/>
          <w:lang w:eastAsia="en-GB"/>
        </w:rPr>
        <w:t xml:space="preserve">SLENYTO 1 mg </w:t>
      </w:r>
      <w:r w:rsidR="0048335F">
        <w:rPr>
          <w:szCs w:val="22"/>
          <w:lang w:eastAsia="en-GB"/>
        </w:rPr>
        <w:t>prolonged</w:t>
      </w:r>
      <w:r w:rsidRPr="0059768C">
        <w:rPr>
          <w:szCs w:val="22"/>
          <w:lang w:eastAsia="en-GB"/>
        </w:rPr>
        <w:t xml:space="preserve"> release tablets</w:t>
      </w:r>
      <w:r>
        <w:rPr>
          <w:szCs w:val="22"/>
          <w:lang w:eastAsia="en-GB"/>
        </w:rPr>
        <w:t>:</w:t>
      </w:r>
    </w:p>
    <w:p w14:paraId="50A9EA28" w14:textId="77777777" w:rsidR="0059768C" w:rsidRDefault="0059768C" w:rsidP="00F75589">
      <w:pPr>
        <w:rPr>
          <w:noProof/>
          <w:color w:val="auto"/>
          <w:sz w:val="22"/>
          <w:szCs w:val="22"/>
          <w:lang w:val="en-GB"/>
        </w:rPr>
      </w:pPr>
      <w:r>
        <w:rPr>
          <w:noProof/>
          <w:szCs w:val="22"/>
        </w:rPr>
        <w:t>Pink, film coated, round, biconvex, 3 mm diameter tablets with no imprint.</w:t>
      </w:r>
    </w:p>
    <w:p w14:paraId="2188D74D" w14:textId="26C6F420" w:rsidR="0059768C" w:rsidRPr="0059768C" w:rsidRDefault="0059768C" w:rsidP="0059768C">
      <w:pPr>
        <w:tabs>
          <w:tab w:val="left" w:pos="0"/>
        </w:tabs>
        <w:rPr>
          <w:sz w:val="22"/>
          <w:szCs w:val="22"/>
          <w:lang w:eastAsia="en-GB"/>
        </w:rPr>
      </w:pPr>
      <w:r w:rsidRPr="0059768C">
        <w:rPr>
          <w:szCs w:val="22"/>
          <w:lang w:eastAsia="en-GB"/>
        </w:rPr>
        <w:t xml:space="preserve">SLENYTO 5 mg </w:t>
      </w:r>
      <w:r w:rsidR="0048335F">
        <w:rPr>
          <w:szCs w:val="22"/>
          <w:lang w:eastAsia="en-GB"/>
        </w:rPr>
        <w:t>prolonged</w:t>
      </w:r>
      <w:r w:rsidRPr="0059768C">
        <w:rPr>
          <w:szCs w:val="22"/>
          <w:lang w:eastAsia="en-GB"/>
        </w:rPr>
        <w:t xml:space="preserve"> release tablets</w:t>
      </w:r>
      <w:r>
        <w:rPr>
          <w:szCs w:val="22"/>
          <w:lang w:eastAsia="en-GB"/>
        </w:rPr>
        <w:t>:</w:t>
      </w:r>
    </w:p>
    <w:p w14:paraId="19B8657D" w14:textId="77777777" w:rsidR="0059768C" w:rsidRDefault="0059768C" w:rsidP="0059768C">
      <w:pPr>
        <w:tabs>
          <w:tab w:val="left" w:pos="0"/>
        </w:tabs>
        <w:rPr>
          <w:noProof/>
          <w:sz w:val="22"/>
          <w:szCs w:val="22"/>
          <w:lang w:val="en-GB"/>
        </w:rPr>
      </w:pPr>
      <w:r>
        <w:rPr>
          <w:noProof/>
          <w:szCs w:val="22"/>
        </w:rPr>
        <w:t>Yellow, film coated, round, biconvex, 3 mm diameter tablets with no imprint.</w:t>
      </w:r>
    </w:p>
    <w:p w14:paraId="5187DF24" w14:textId="77777777" w:rsidR="001A3992" w:rsidRPr="00497C85" w:rsidRDefault="001A3992" w:rsidP="00CF3CA1">
      <w:pPr>
        <w:pStyle w:val="Heading1"/>
      </w:pPr>
      <w:r w:rsidRPr="00497C85">
        <w:t>Clinical particulars</w:t>
      </w:r>
    </w:p>
    <w:p w14:paraId="64885120" w14:textId="77777777" w:rsidR="001A3992" w:rsidRDefault="001A3992" w:rsidP="00814BF6">
      <w:pPr>
        <w:pStyle w:val="Heading2"/>
        <w:tabs>
          <w:tab w:val="num" w:pos="680"/>
        </w:tabs>
        <w:ind w:left="680" w:hanging="680"/>
      </w:pPr>
      <w:r w:rsidRPr="00CF3CA1">
        <w:t>Therapeutic indications</w:t>
      </w:r>
    </w:p>
    <w:p w14:paraId="5C9D2BCA" w14:textId="71CA365A" w:rsidR="00814BF6" w:rsidRPr="007401CE" w:rsidRDefault="00814BF6" w:rsidP="007401CE">
      <w:pPr>
        <w:rPr>
          <w:b/>
          <w:iCs/>
          <w:caps/>
        </w:rPr>
      </w:pPr>
      <w:r>
        <w:t>SLENYTO</w:t>
      </w:r>
      <w:r w:rsidRPr="00FB64B4">
        <w:t xml:space="preserve"> is indicated for the treatment of insomnia in children and adolescents aged 2-18 with Autism Spectrum Disorder (ASD) and / or Smith-</w:t>
      </w:r>
      <w:proofErr w:type="spellStart"/>
      <w:r w:rsidRPr="00FB64B4">
        <w:t>Magenis</w:t>
      </w:r>
      <w:proofErr w:type="spellEnd"/>
      <w:r w:rsidRPr="00FB64B4">
        <w:t xml:space="preserve"> syndrome, where sleep hygiene measures have been insufficient.</w:t>
      </w:r>
    </w:p>
    <w:p w14:paraId="14A5C531" w14:textId="77777777" w:rsidR="001A3992" w:rsidRPr="00814BF6" w:rsidRDefault="001A3992" w:rsidP="00814BF6">
      <w:pPr>
        <w:pStyle w:val="Heading2"/>
        <w:tabs>
          <w:tab w:val="num" w:pos="680"/>
        </w:tabs>
        <w:ind w:left="680" w:hanging="680"/>
      </w:pPr>
      <w:r w:rsidRPr="00814BF6">
        <w:lastRenderedPageBreak/>
        <w:t>Dose and method of administration</w:t>
      </w:r>
    </w:p>
    <w:p w14:paraId="02827477" w14:textId="77777777" w:rsidR="009F39C8" w:rsidRDefault="009F39C8" w:rsidP="00F759D7">
      <w:pPr>
        <w:pStyle w:val="Heading3"/>
      </w:pPr>
      <w:r>
        <w:t>Dos</w:t>
      </w:r>
      <w:r w:rsidR="00741573">
        <w:t>age</w:t>
      </w:r>
    </w:p>
    <w:p w14:paraId="61BA9D92" w14:textId="497CB684" w:rsidR="000507CA" w:rsidRPr="000507CA" w:rsidRDefault="003B0EE1" w:rsidP="00FB64B4">
      <w:r>
        <w:t xml:space="preserve">The recommended </w:t>
      </w:r>
      <w:r w:rsidR="004B6579">
        <w:t xml:space="preserve">starting </w:t>
      </w:r>
      <w:r w:rsidR="00E91951">
        <w:t xml:space="preserve">daily </w:t>
      </w:r>
      <w:r>
        <w:t xml:space="preserve">dose is 2 mg </w:t>
      </w:r>
      <w:r w:rsidR="00FB64B4">
        <w:t xml:space="preserve">of </w:t>
      </w:r>
      <w:r w:rsidR="007401CE">
        <w:t>SLENYTO</w:t>
      </w:r>
      <w:r w:rsidR="004E185D">
        <w:t>.</w:t>
      </w:r>
      <w:r w:rsidR="00FB64B4">
        <w:t xml:space="preserve"> </w:t>
      </w:r>
      <w:r w:rsidR="000507CA" w:rsidRPr="0059768C">
        <w:t xml:space="preserve"> </w:t>
      </w:r>
      <w:r w:rsidR="000507CA">
        <w:t xml:space="preserve">If an inadequate response has been observed, the </w:t>
      </w:r>
      <w:r w:rsidR="004622F1">
        <w:t xml:space="preserve">daily </w:t>
      </w:r>
      <w:r w:rsidR="000507CA">
        <w:t>dose should be increased to 5 mg, with a maximal dose of 10 mg</w:t>
      </w:r>
      <w:r w:rsidR="00E91951">
        <w:t xml:space="preserve">. </w:t>
      </w:r>
      <w:r w:rsidR="00E91951" w:rsidRPr="00E91951">
        <w:t>In the clinical study, the treatment with 10 mg of melatonin was required only for a small group of children. The magnitude of increase in Total Sleep Time with 10 mg was not the same as with 2</w:t>
      </w:r>
      <w:r w:rsidR="00E91951">
        <w:t xml:space="preserve"> </w:t>
      </w:r>
      <w:r w:rsidR="00E91951" w:rsidRPr="00E91951">
        <w:t>mg and 5</w:t>
      </w:r>
      <w:r w:rsidR="00E91951">
        <w:t xml:space="preserve"> </w:t>
      </w:r>
      <w:r w:rsidR="00E91951" w:rsidRPr="00E91951">
        <w:t>mg doses of melatonin</w:t>
      </w:r>
      <w:r w:rsidR="00E91951">
        <w:rPr>
          <w:rFonts w:ascii="Cambria" w:hAnsi="Cambria"/>
          <w:color w:val="C00000"/>
        </w:rPr>
        <w:t xml:space="preserve"> </w:t>
      </w:r>
      <w:r w:rsidR="00F55D1A">
        <w:t>(see also section 5.1 Pharmacodynamic properties, Clinical trials)</w:t>
      </w:r>
      <w:r w:rsidR="000507CA">
        <w:t>.</w:t>
      </w:r>
    </w:p>
    <w:p w14:paraId="4F3BC78D" w14:textId="77777777" w:rsidR="000507CA" w:rsidRPr="00F75589" w:rsidRDefault="000507CA" w:rsidP="000507CA">
      <w:r w:rsidRPr="00F75589">
        <w:t xml:space="preserve">SLENYTO should be taken once daily, 0.5-1 hour before bedtime and with or after food.  </w:t>
      </w:r>
    </w:p>
    <w:p w14:paraId="43635114" w14:textId="173E5DE4" w:rsidR="000507CA" w:rsidRPr="00F75589" w:rsidRDefault="000507CA" w:rsidP="00C86F59">
      <w:r w:rsidRPr="00F75589">
        <w:t xml:space="preserve">Data is available for up to 2 year’s treatment. The patient should be monitored at regular intervals (at least every 6 months) to check that SLENYTO is still the most appropriate treatment. </w:t>
      </w:r>
      <w:r w:rsidR="00C86F59" w:rsidRPr="00C86F59">
        <w:t>After at least 3 months of treatment, the physician should evaluate the treatment effect and consider stopping treatment if no clinically relevant treatment effect is seen. If a lower treatment effect is seen after titration to a higher dose, the prescriber should first consider a down-titration to a lower dose before deciding on a complete discontinuation of treatment.</w:t>
      </w:r>
    </w:p>
    <w:p w14:paraId="542A3279" w14:textId="02E2A6F5" w:rsidR="000507CA" w:rsidRDefault="000507CA" w:rsidP="000507CA">
      <w:r w:rsidRPr="00F75589">
        <w:t xml:space="preserve">If a tablet is forgotten, it could be taken before the patient goes to sleep that night, but after this time, no other tablet should be given before the next scheduled dose.  </w:t>
      </w:r>
    </w:p>
    <w:p w14:paraId="409F90CD" w14:textId="77777777" w:rsidR="00E91951" w:rsidRPr="00E91951" w:rsidRDefault="00E91951" w:rsidP="00E91951">
      <w:proofErr w:type="spellStart"/>
      <w:r w:rsidRPr="00E91951">
        <w:t>Behavioural</w:t>
      </w:r>
      <w:proofErr w:type="spellEnd"/>
      <w:r w:rsidRPr="00E91951">
        <w:t xml:space="preserve"> interventions should be continued while on treatment with melatonin.</w:t>
      </w:r>
    </w:p>
    <w:p w14:paraId="71DF2D5C" w14:textId="77777777" w:rsidR="00DE434E" w:rsidRDefault="00DE434E" w:rsidP="00DE434E">
      <w:pPr>
        <w:pStyle w:val="Heading3"/>
        <w:rPr>
          <w:rFonts w:eastAsia="Times New Roman"/>
          <w:lang w:val="en-GB"/>
        </w:rPr>
      </w:pPr>
      <w:r>
        <w:t xml:space="preserve">Method of administration </w:t>
      </w:r>
    </w:p>
    <w:p w14:paraId="19DC27B9" w14:textId="77777777" w:rsidR="00DE434E" w:rsidRDefault="00DE434E" w:rsidP="00DE434E">
      <w:pPr>
        <w:rPr>
          <w:szCs w:val="22"/>
        </w:rPr>
      </w:pPr>
      <w:r>
        <w:rPr>
          <w:szCs w:val="22"/>
        </w:rPr>
        <w:t xml:space="preserve">Oral use. Tablets should be swallowed whole.  The tablet should not be broken, crushed or chewed because it will lose the prolonged release properties. </w:t>
      </w:r>
    </w:p>
    <w:p w14:paraId="2DEC9D14" w14:textId="77777777" w:rsidR="00DE434E" w:rsidRDefault="00DE434E" w:rsidP="00DE434E">
      <w:pPr>
        <w:rPr>
          <w:szCs w:val="22"/>
        </w:rPr>
      </w:pPr>
      <w:r>
        <w:rPr>
          <w:szCs w:val="22"/>
        </w:rPr>
        <w:t>Tablets can be put into food such as yog</w:t>
      </w:r>
      <w:r w:rsidR="000507CA">
        <w:rPr>
          <w:szCs w:val="22"/>
        </w:rPr>
        <w:t>h</w:t>
      </w:r>
      <w:r>
        <w:rPr>
          <w:szCs w:val="22"/>
        </w:rPr>
        <w:t>urt, orange juice or ice-cream to facilitate swallowing and improve compliance. If the tablets are mixed with food or drink, they should be taken immediately and the mixture not stored.</w:t>
      </w:r>
    </w:p>
    <w:p w14:paraId="6952DCEF" w14:textId="77777777" w:rsidR="004C189F" w:rsidRPr="0059768C" w:rsidRDefault="004C189F" w:rsidP="004C189F">
      <w:pPr>
        <w:pStyle w:val="Heading4"/>
      </w:pPr>
      <w:proofErr w:type="spellStart"/>
      <w:r w:rsidRPr="0059768C">
        <w:t>Paediatric</w:t>
      </w:r>
      <w:proofErr w:type="spellEnd"/>
      <w:r w:rsidRPr="0059768C">
        <w:t xml:space="preserve"> population (under 2 years of age)</w:t>
      </w:r>
    </w:p>
    <w:p w14:paraId="2AF2A068" w14:textId="442A2438" w:rsidR="004C189F" w:rsidRPr="0059768C" w:rsidRDefault="00E91951" w:rsidP="004C189F">
      <w:pPr>
        <w:rPr>
          <w:lang w:val="en-GB"/>
        </w:rPr>
      </w:pPr>
      <w:r w:rsidRPr="00E91951">
        <w:t>SLENYTO has not been studied in children under 2 years of age.</w:t>
      </w:r>
      <w:r>
        <w:rPr>
          <w:rFonts w:ascii="Cambria" w:hAnsi="Cambria"/>
          <w:color w:val="C00000"/>
        </w:rPr>
        <w:t xml:space="preserve"> </w:t>
      </w:r>
      <w:r w:rsidR="004C189F" w:rsidRPr="0059768C">
        <w:rPr>
          <w:lang w:val="en-GB"/>
        </w:rPr>
        <w:t xml:space="preserve">There is no relevant use of </w:t>
      </w:r>
      <w:r w:rsidR="004C189F">
        <w:rPr>
          <w:lang w:val="en-GB"/>
        </w:rPr>
        <w:t>SLENYTO</w:t>
      </w:r>
      <w:r w:rsidR="004C189F" w:rsidRPr="0059768C">
        <w:rPr>
          <w:lang w:val="en-GB"/>
        </w:rPr>
        <w:t xml:space="preserve"> in children aged 0 to 2 years for the treatment of insomnia.</w:t>
      </w:r>
    </w:p>
    <w:p w14:paraId="057DB749" w14:textId="6CFCA59D" w:rsidR="009F39C8" w:rsidRDefault="009F39C8" w:rsidP="009F39C8">
      <w:pPr>
        <w:pStyle w:val="Heading4"/>
        <w:rPr>
          <w:rFonts w:eastAsia="Times New Roman"/>
          <w:lang w:val="en-GB"/>
        </w:rPr>
      </w:pPr>
      <w:r>
        <w:t>Adult population</w:t>
      </w:r>
    </w:p>
    <w:p w14:paraId="42ED1375" w14:textId="77777777" w:rsidR="009F39C8" w:rsidRDefault="009F39C8" w:rsidP="00A00B10">
      <w:pPr>
        <w:rPr>
          <w:bCs/>
          <w:szCs w:val="22"/>
        </w:rPr>
      </w:pPr>
      <w:r>
        <w:rPr>
          <w:bCs/>
          <w:szCs w:val="22"/>
        </w:rPr>
        <w:t xml:space="preserve">SLENYTO is indicated </w:t>
      </w:r>
      <w:bookmarkStart w:id="0" w:name="_Hlk4502344"/>
      <w:r>
        <w:rPr>
          <w:bCs/>
          <w:szCs w:val="22"/>
        </w:rPr>
        <w:t xml:space="preserve">for the </w:t>
      </w:r>
      <w:proofErr w:type="spellStart"/>
      <w:r>
        <w:rPr>
          <w:bCs/>
          <w:szCs w:val="22"/>
        </w:rPr>
        <w:t>paediatric</w:t>
      </w:r>
      <w:proofErr w:type="spellEnd"/>
      <w:r>
        <w:rPr>
          <w:bCs/>
          <w:szCs w:val="22"/>
        </w:rPr>
        <w:t xml:space="preserve"> population only.</w:t>
      </w:r>
      <w:bookmarkEnd w:id="0"/>
    </w:p>
    <w:p w14:paraId="1C10423A" w14:textId="77777777" w:rsidR="003B0EE1" w:rsidRDefault="003B0EE1" w:rsidP="009F39C8">
      <w:pPr>
        <w:pStyle w:val="Heading4"/>
      </w:pPr>
      <w:r>
        <w:lastRenderedPageBreak/>
        <w:t>Renal insufficiency</w:t>
      </w:r>
    </w:p>
    <w:p w14:paraId="36C972ED" w14:textId="04F41164" w:rsidR="0059768C" w:rsidRDefault="003B0EE1" w:rsidP="0025485C">
      <w:pPr>
        <w:tabs>
          <w:tab w:val="left" w:pos="720"/>
        </w:tabs>
        <w:autoSpaceDE w:val="0"/>
        <w:autoSpaceDN w:val="0"/>
        <w:adjustRightInd w:val="0"/>
        <w:rPr>
          <w:rFonts w:eastAsia="SimSun"/>
          <w:sz w:val="22"/>
          <w:szCs w:val="22"/>
          <w:lang w:bidi="he-IL"/>
        </w:rPr>
      </w:pPr>
      <w:r>
        <w:t xml:space="preserve">The effect of any stage of renal </w:t>
      </w:r>
      <w:r w:rsidR="0025485C">
        <w:t xml:space="preserve">impairment </w:t>
      </w:r>
      <w:r>
        <w:t>on melatonin pharmacokinetics has not been studied</w:t>
      </w:r>
      <w:r w:rsidR="00741573">
        <w:t xml:space="preserve"> </w:t>
      </w:r>
      <w:r w:rsidR="00741573">
        <w:rPr>
          <w:rFonts w:eastAsia="SimSun"/>
          <w:szCs w:val="22"/>
          <w:lang w:bidi="he-IL"/>
        </w:rPr>
        <w:t xml:space="preserve">(see </w:t>
      </w:r>
      <w:r w:rsidR="002441B1">
        <w:rPr>
          <w:rFonts w:eastAsia="SimSun"/>
          <w:szCs w:val="22"/>
          <w:lang w:bidi="he-IL"/>
        </w:rPr>
        <w:t>S</w:t>
      </w:r>
      <w:r w:rsidR="00741573">
        <w:rPr>
          <w:rFonts w:eastAsia="SimSun"/>
          <w:szCs w:val="22"/>
          <w:lang w:bidi="he-IL"/>
        </w:rPr>
        <w:t xml:space="preserve">ection 5.2 Pharmacokinetic </w:t>
      </w:r>
      <w:r w:rsidR="00B71573">
        <w:rPr>
          <w:rFonts w:eastAsia="SimSun"/>
          <w:szCs w:val="22"/>
          <w:lang w:bidi="he-IL"/>
        </w:rPr>
        <w:t>p</w:t>
      </w:r>
      <w:r w:rsidR="00741573">
        <w:rPr>
          <w:rFonts w:eastAsia="SimSun"/>
          <w:szCs w:val="22"/>
          <w:lang w:bidi="he-IL"/>
        </w:rPr>
        <w:t>roperties)</w:t>
      </w:r>
      <w:r>
        <w:t xml:space="preserve">.  </w:t>
      </w:r>
    </w:p>
    <w:p w14:paraId="694ACF5A" w14:textId="224BD769" w:rsidR="003B0EE1" w:rsidRDefault="003B0EE1" w:rsidP="0025485C">
      <w:r>
        <w:t>Caution should be used when melatonin is administered to patients</w:t>
      </w:r>
      <w:r w:rsidR="0025485C">
        <w:t xml:space="preserve"> with renal impairment</w:t>
      </w:r>
      <w:r>
        <w:t>.</w:t>
      </w:r>
    </w:p>
    <w:p w14:paraId="7601A70E" w14:textId="77777777" w:rsidR="003B0EE1" w:rsidRDefault="003B0EE1" w:rsidP="009F39C8">
      <w:pPr>
        <w:pStyle w:val="Heading4"/>
      </w:pPr>
      <w:r>
        <w:t>Hepatic impairment</w:t>
      </w:r>
    </w:p>
    <w:p w14:paraId="3872AB7D" w14:textId="054D387E" w:rsidR="004B4B13" w:rsidRPr="004B4B13" w:rsidRDefault="003B0EE1" w:rsidP="004B4B13">
      <w:pPr>
        <w:tabs>
          <w:tab w:val="left" w:pos="720"/>
        </w:tabs>
        <w:autoSpaceDE w:val="0"/>
        <w:autoSpaceDN w:val="0"/>
        <w:adjustRightInd w:val="0"/>
      </w:pPr>
      <w:r w:rsidRPr="004B4B13">
        <w:t xml:space="preserve">There is no experience of the use of </w:t>
      </w:r>
      <w:r w:rsidR="00741573" w:rsidRPr="004B4B13">
        <w:t>melatonin</w:t>
      </w:r>
      <w:r w:rsidRPr="004B4B13">
        <w:t xml:space="preserve"> in patients with liver impairment.  </w:t>
      </w:r>
      <w:r w:rsidR="004B4B13" w:rsidRPr="004B4B13">
        <w:t xml:space="preserve"> </w:t>
      </w:r>
    </w:p>
    <w:p w14:paraId="2229A75D" w14:textId="199DE250" w:rsidR="003B0EE1" w:rsidRDefault="003B0EE1" w:rsidP="004B4B13">
      <w:pPr>
        <w:tabs>
          <w:tab w:val="left" w:pos="720"/>
        </w:tabs>
        <w:autoSpaceDE w:val="0"/>
        <w:autoSpaceDN w:val="0"/>
        <w:adjustRightInd w:val="0"/>
      </w:pPr>
      <w:r>
        <w:t xml:space="preserve">Therefore, </w:t>
      </w:r>
      <w:r w:rsidR="00FF234F">
        <w:t>melatonin</w:t>
      </w:r>
      <w:r>
        <w:t xml:space="preserve"> is not recommended for use in patients with hepatic impairment</w:t>
      </w:r>
      <w:r w:rsidR="00741573">
        <w:t xml:space="preserve"> </w:t>
      </w:r>
      <w:bookmarkStart w:id="1" w:name="_Hlk5103609"/>
      <w:r w:rsidR="00741573" w:rsidRPr="004B4B13">
        <w:t xml:space="preserve">(see </w:t>
      </w:r>
      <w:r w:rsidR="002441B1">
        <w:t>S</w:t>
      </w:r>
      <w:r w:rsidR="00741573" w:rsidRPr="004B4B13">
        <w:t xml:space="preserve">ection 5.2 Pharmacokinetic </w:t>
      </w:r>
      <w:r w:rsidR="00B71573" w:rsidRPr="004B4B13">
        <w:t>p</w:t>
      </w:r>
      <w:r w:rsidR="00741573" w:rsidRPr="004B4B13">
        <w:t>roperties)</w:t>
      </w:r>
      <w:bookmarkEnd w:id="1"/>
      <w:r>
        <w:t>.</w:t>
      </w:r>
    </w:p>
    <w:p w14:paraId="7FD5837A" w14:textId="5E6CCA66" w:rsidR="001A3992" w:rsidRDefault="001A3992" w:rsidP="00DE19CA">
      <w:pPr>
        <w:pStyle w:val="Heading2"/>
        <w:tabs>
          <w:tab w:val="num" w:pos="680"/>
        </w:tabs>
        <w:ind w:left="680" w:hanging="680"/>
      </w:pPr>
      <w:r w:rsidRPr="00497C85">
        <w:t>Contraindications</w:t>
      </w:r>
    </w:p>
    <w:p w14:paraId="3D21E06C" w14:textId="5F38746C" w:rsidR="00411F9E" w:rsidRPr="00411F9E" w:rsidRDefault="00AE2B75" w:rsidP="00411F9E">
      <w:r>
        <w:t>SLENYTO</w:t>
      </w:r>
      <w:r w:rsidR="00411F9E" w:rsidRPr="00411F9E">
        <w:t xml:space="preserve"> </w:t>
      </w:r>
      <w:r w:rsidR="0048335F">
        <w:t>prolonged</w:t>
      </w:r>
      <w:r w:rsidR="00411F9E" w:rsidRPr="00411F9E">
        <w:t xml:space="preserve"> release tablets are contraindicated in patients with a known hypersensitivity to any ingredient of the product (see Section 6.1 List of excipients).</w:t>
      </w:r>
    </w:p>
    <w:p w14:paraId="57AB67E0" w14:textId="77777777" w:rsidR="001A3992" w:rsidRPr="00497C85" w:rsidRDefault="00E74A56" w:rsidP="00DE19CA">
      <w:pPr>
        <w:pStyle w:val="Heading2"/>
        <w:tabs>
          <w:tab w:val="num" w:pos="680"/>
        </w:tabs>
        <w:ind w:left="680" w:hanging="680"/>
      </w:pPr>
      <w:r w:rsidRPr="00497C85">
        <w:t>Special warnings and p</w:t>
      </w:r>
      <w:r w:rsidR="001A3992" w:rsidRPr="00497C85">
        <w:t xml:space="preserve">recautions </w:t>
      </w:r>
      <w:r w:rsidRPr="00497C85">
        <w:t>for use</w:t>
      </w:r>
    </w:p>
    <w:p w14:paraId="65BCD1A4" w14:textId="77777777" w:rsidR="001A3992" w:rsidRDefault="004D19D2" w:rsidP="00CF3CA1">
      <w:pPr>
        <w:pStyle w:val="Heading3"/>
      </w:pPr>
      <w:r>
        <w:t>Drowsiness</w:t>
      </w:r>
    </w:p>
    <w:p w14:paraId="17C3758B" w14:textId="13D734DE" w:rsidR="004D19D2" w:rsidRDefault="00FF234F" w:rsidP="004D19D2">
      <w:r>
        <w:t>Melatonin</w:t>
      </w:r>
      <w:r w:rsidR="004D19D2">
        <w:t xml:space="preserve"> may cause drowsiness.  Therefore the </w:t>
      </w:r>
      <w:r>
        <w:t xml:space="preserve">medicinal </w:t>
      </w:r>
      <w:r w:rsidR="004D19D2">
        <w:t>product should be used with caution if the effects of drowsiness are likely to be associated with a risk to safety.</w:t>
      </w:r>
    </w:p>
    <w:p w14:paraId="40811DBA" w14:textId="77777777" w:rsidR="004D19D2" w:rsidRDefault="004D19D2" w:rsidP="004D19D2">
      <w:pPr>
        <w:pStyle w:val="Heading3"/>
      </w:pPr>
      <w:r>
        <w:t>Autoimmune diseases</w:t>
      </w:r>
    </w:p>
    <w:p w14:paraId="345E464F" w14:textId="0B5A3E97" w:rsidR="004D19D2" w:rsidRDefault="004D19D2" w:rsidP="00A37119">
      <w:r>
        <w:t xml:space="preserve">No clinical data exist concerning the use of </w:t>
      </w:r>
      <w:r w:rsidR="00FF234F">
        <w:t xml:space="preserve">melatonin </w:t>
      </w:r>
      <w:r>
        <w:t xml:space="preserve">in individuals with autoimmune diseases.  Therefore </w:t>
      </w:r>
      <w:r w:rsidR="00AE2B75">
        <w:t>SLENYTO</w:t>
      </w:r>
      <w:r>
        <w:t xml:space="preserve"> is not recommended for use in patients with autoimmune diseases. </w:t>
      </w:r>
    </w:p>
    <w:p w14:paraId="1FBC0118" w14:textId="77777777" w:rsidR="004D19D2" w:rsidRDefault="004D19D2" w:rsidP="004D19D2">
      <w:pPr>
        <w:pStyle w:val="Heading3"/>
      </w:pPr>
      <w:r>
        <w:t>Excipients</w:t>
      </w:r>
    </w:p>
    <w:p w14:paraId="0A82B8A2" w14:textId="77777777" w:rsidR="004D19D2" w:rsidRPr="004D19D2" w:rsidRDefault="004D19D2" w:rsidP="004D19D2">
      <w:bookmarkStart w:id="2" w:name="_Hlk3703558"/>
      <w:r>
        <w:t>The tablets contain lactose.</w:t>
      </w:r>
      <w:bookmarkEnd w:id="2"/>
      <w:r>
        <w:t xml:space="preserve"> Patients with rare hereditary problems of galactose intolerance, the LAPP lactase deficiency or glucose-galactose malabsorption should not take this medicine.</w:t>
      </w:r>
    </w:p>
    <w:p w14:paraId="53F1DA32" w14:textId="77777777" w:rsidR="001A3992" w:rsidRDefault="001A3992" w:rsidP="00CF3CA1">
      <w:pPr>
        <w:pStyle w:val="Heading3"/>
      </w:pPr>
      <w:r w:rsidRPr="00CF3CA1">
        <w:t>Use in the elderly</w:t>
      </w:r>
    </w:p>
    <w:p w14:paraId="004C849D" w14:textId="7A773418" w:rsidR="00411F9E" w:rsidRPr="00411F9E" w:rsidRDefault="009F39C8" w:rsidP="00411F9E">
      <w:r>
        <w:t xml:space="preserve">SLENYTO is indicated for use </w:t>
      </w:r>
      <w:r w:rsidRPr="009F39C8">
        <w:rPr>
          <w:bCs/>
        </w:rPr>
        <w:t xml:space="preserve">for the </w:t>
      </w:r>
      <w:proofErr w:type="spellStart"/>
      <w:r w:rsidRPr="009F39C8">
        <w:rPr>
          <w:bCs/>
        </w:rPr>
        <w:t>paediatric</w:t>
      </w:r>
      <w:proofErr w:type="spellEnd"/>
      <w:r w:rsidRPr="009F39C8">
        <w:rPr>
          <w:bCs/>
        </w:rPr>
        <w:t xml:space="preserve"> population only</w:t>
      </w:r>
      <w:r w:rsidR="00AB582F">
        <w:rPr>
          <w:bCs/>
        </w:rPr>
        <w:t>.</w:t>
      </w:r>
    </w:p>
    <w:p w14:paraId="1288235A" w14:textId="77777777" w:rsidR="001A3992" w:rsidRDefault="001A3992" w:rsidP="00CF3CA1">
      <w:pPr>
        <w:pStyle w:val="Heading3"/>
      </w:pPr>
      <w:proofErr w:type="spellStart"/>
      <w:r w:rsidRPr="00CF3CA1">
        <w:lastRenderedPageBreak/>
        <w:t>Paediatric</w:t>
      </w:r>
      <w:proofErr w:type="spellEnd"/>
      <w:r w:rsidRPr="00CF3CA1">
        <w:t xml:space="preserve"> use</w:t>
      </w:r>
    </w:p>
    <w:p w14:paraId="0BC0DC89" w14:textId="757F0161" w:rsidR="00411F9E" w:rsidRPr="00411F9E" w:rsidRDefault="002A7E0F" w:rsidP="002A7E0F">
      <w:r w:rsidRPr="0059768C">
        <w:rPr>
          <w:lang w:val="en-GB"/>
        </w:rPr>
        <w:t xml:space="preserve">There is no relevant use of </w:t>
      </w:r>
      <w:r>
        <w:rPr>
          <w:lang w:val="en-GB"/>
        </w:rPr>
        <w:t>SLENYTO</w:t>
      </w:r>
      <w:r w:rsidRPr="0059768C">
        <w:rPr>
          <w:lang w:val="en-GB"/>
        </w:rPr>
        <w:t xml:space="preserve"> in children aged 0 to 2 years for the treatment of insomnia.</w:t>
      </w:r>
      <w:r>
        <w:rPr>
          <w:lang w:val="en-GB"/>
        </w:rPr>
        <w:t xml:space="preserve">  Therefore </w:t>
      </w:r>
      <w:r w:rsidR="00AE2B75">
        <w:t>SLENYTO</w:t>
      </w:r>
      <w:r w:rsidR="00411F9E" w:rsidRPr="00411F9E">
        <w:t xml:space="preserve"> is not recommended for use in children below </w:t>
      </w:r>
      <w:r w:rsidR="009F39C8">
        <w:t>2</w:t>
      </w:r>
      <w:r w:rsidR="00411F9E" w:rsidRPr="00411F9E">
        <w:t xml:space="preserve"> years of age.</w:t>
      </w:r>
    </w:p>
    <w:p w14:paraId="00D93564" w14:textId="77777777" w:rsidR="001A3992" w:rsidRDefault="001A3992" w:rsidP="00CF3CA1">
      <w:pPr>
        <w:pStyle w:val="Heading3"/>
      </w:pPr>
      <w:r w:rsidRPr="00CF3CA1">
        <w:t>Effects on laboratory tests</w:t>
      </w:r>
    </w:p>
    <w:p w14:paraId="27E1FD26" w14:textId="77777777" w:rsidR="00F70D6A" w:rsidRPr="00F70D6A" w:rsidRDefault="00F70D6A" w:rsidP="00F70D6A">
      <w:r w:rsidRPr="00F70D6A">
        <w:t>No information is available on the effect of melatonin on laboratory tests.</w:t>
      </w:r>
    </w:p>
    <w:p w14:paraId="23B97334" w14:textId="77777777" w:rsidR="001A3992" w:rsidRDefault="001A3992" w:rsidP="00DE19CA">
      <w:pPr>
        <w:pStyle w:val="Heading2"/>
        <w:tabs>
          <w:tab w:val="num" w:pos="680"/>
        </w:tabs>
        <w:ind w:left="680" w:hanging="680"/>
      </w:pPr>
      <w:bookmarkStart w:id="3" w:name="_Hlk3886518"/>
      <w:r w:rsidRPr="00497C85">
        <w:t>Interactions with other medicines and other forms of interactions</w:t>
      </w:r>
    </w:p>
    <w:bookmarkEnd w:id="3"/>
    <w:p w14:paraId="1C856597" w14:textId="2724AF77" w:rsidR="009F39C8" w:rsidRDefault="009F39C8" w:rsidP="009F39C8">
      <w:pPr>
        <w:rPr>
          <w:rFonts w:eastAsia="Times New Roman"/>
          <w:noProof/>
          <w:color w:val="auto"/>
          <w:sz w:val="22"/>
          <w:lang w:val="en-GB"/>
        </w:rPr>
      </w:pPr>
      <w:r>
        <w:rPr>
          <w:noProof/>
        </w:rPr>
        <w:t>Interaction studies have only been performed in adults.</w:t>
      </w:r>
      <w:r>
        <w:t xml:space="preserve"> </w:t>
      </w:r>
      <w:r>
        <w:rPr>
          <w:noProof/>
        </w:rPr>
        <w:t>In the absence of specific studies in children, the drug interactions with melatonin are those known in adults.</w:t>
      </w:r>
      <w:r w:rsidR="00390CAF">
        <w:rPr>
          <w:noProof/>
        </w:rPr>
        <w:t xml:space="preserve"> </w:t>
      </w:r>
      <w:r w:rsidR="00390CAF" w:rsidRPr="00390CAF">
        <w:rPr>
          <w:noProof/>
        </w:rPr>
        <w:t>In clinical trials, psychotropic medications were only included if study participants were on stable dose of non-excluded medication (anti-epileptics, anti-depressants, stimulants, mood changing drugs</w:t>
      </w:r>
      <w:r w:rsidR="00A65146">
        <w:t xml:space="preserve">, anti-psychotics, alpha agonists </w:t>
      </w:r>
      <w:r w:rsidR="00390CAF" w:rsidRPr="00390CAF">
        <w:rPr>
          <w:noProof/>
        </w:rPr>
        <w:t>and beta blockers) for 3 months prior to randomisation.</w:t>
      </w:r>
    </w:p>
    <w:p w14:paraId="44970136" w14:textId="2464D3B6" w:rsidR="00F70D6A" w:rsidRDefault="00D22B31" w:rsidP="00F70D6A">
      <w:pPr>
        <w:pStyle w:val="Heading3"/>
      </w:pPr>
      <w:r>
        <w:t>Concomitant use not recommended</w:t>
      </w:r>
    </w:p>
    <w:p w14:paraId="701646A9" w14:textId="77777777" w:rsidR="00F70D6A" w:rsidRDefault="00F70D6A" w:rsidP="00F70D6A">
      <w:r w:rsidRPr="00D22B31">
        <w:rPr>
          <w:b/>
          <w:i/>
        </w:rPr>
        <w:t xml:space="preserve">Fluvoxamine </w:t>
      </w:r>
      <w:r w:rsidRPr="007401CE">
        <w:rPr>
          <w:bCs/>
          <w:i/>
        </w:rPr>
        <w:t>-</w:t>
      </w:r>
      <w:r w:rsidRPr="007401CE">
        <w:rPr>
          <w:bCs/>
        </w:rPr>
        <w:t xml:space="preserve"> </w:t>
      </w:r>
      <w:r w:rsidRPr="00D22B31">
        <w:t>Caution should be exercised in patients on fluvoxamine, which increases</w:t>
      </w:r>
      <w:r>
        <w:t xml:space="preserve"> melatonin levels (17-fold higher AUC and 12-fold higher serum </w:t>
      </w:r>
      <w:proofErr w:type="spellStart"/>
      <w:r>
        <w:t>Cmax</w:t>
      </w:r>
      <w:proofErr w:type="spellEnd"/>
      <w:r>
        <w:t>) by inhibiting its metabolism by hepatic cytochrome P450 (CYP) isozymes CYP1A2 and CYP2C19.  The combination should be avoided.</w:t>
      </w:r>
    </w:p>
    <w:p w14:paraId="405DF957" w14:textId="15E292AA" w:rsidR="00DC1107" w:rsidRDefault="00F70D6A" w:rsidP="009E6827">
      <w:r w:rsidRPr="00D22B31">
        <w:rPr>
          <w:b/>
          <w:i/>
        </w:rPr>
        <w:t xml:space="preserve">Alcohol </w:t>
      </w:r>
      <w:r w:rsidRPr="007401CE">
        <w:rPr>
          <w:bCs/>
          <w:i/>
        </w:rPr>
        <w:t>-</w:t>
      </w:r>
      <w:r w:rsidRPr="00D22B31">
        <w:t xml:space="preserve"> Alcohol should not be taken with </w:t>
      </w:r>
      <w:r w:rsidR="009E6827" w:rsidRPr="00D22B31">
        <w:t>melato</w:t>
      </w:r>
      <w:r w:rsidR="00D52501">
        <w:t>n</w:t>
      </w:r>
      <w:r w:rsidR="009E6827" w:rsidRPr="00D22B31">
        <w:t>in</w:t>
      </w:r>
      <w:r w:rsidRPr="00D22B31">
        <w:t>, because it</w:t>
      </w:r>
      <w:r>
        <w:t xml:space="preserve"> reduces the effectiveness of </w:t>
      </w:r>
      <w:r w:rsidR="009E6827">
        <w:t>melatonin</w:t>
      </w:r>
      <w:r>
        <w:t xml:space="preserve"> on sleep. </w:t>
      </w:r>
    </w:p>
    <w:p w14:paraId="70336448" w14:textId="069B5B9A" w:rsidR="00F70D6A" w:rsidRDefault="00D30E00" w:rsidP="009E6827">
      <w:r>
        <w:t xml:space="preserve">Alcohol affects the dissolution profile of </w:t>
      </w:r>
      <w:r w:rsidR="00DC1107">
        <w:t>SLENYTO</w:t>
      </w:r>
      <w:r>
        <w:t xml:space="preserve"> </w:t>
      </w:r>
      <w:r w:rsidRPr="005A4922">
        <w:rPr>
          <w:i/>
          <w:iCs/>
        </w:rPr>
        <w:t>in-vitro</w:t>
      </w:r>
      <w:r>
        <w:rPr>
          <w:i/>
          <w:iCs/>
        </w:rPr>
        <w:t xml:space="preserve">, </w:t>
      </w:r>
      <w:r w:rsidRPr="00D30E00">
        <w:t>therefore t</w:t>
      </w:r>
      <w:r w:rsidR="00F70D6A" w:rsidRPr="00D30E00">
        <w:t>he</w:t>
      </w:r>
      <w:r w:rsidR="00F70D6A">
        <w:t xml:space="preserve"> prolonged release characteristics of </w:t>
      </w:r>
      <w:r w:rsidR="00AE2B75">
        <w:t>SLENYTO</w:t>
      </w:r>
      <w:r w:rsidR="00F70D6A">
        <w:t xml:space="preserve"> may be altered by alcohol, resulting in immediate release of melatonin. </w:t>
      </w:r>
      <w:r>
        <w:t xml:space="preserve">Medicines containing alcohol e.g. cough medicines should </w:t>
      </w:r>
      <w:r w:rsidR="00DC1107">
        <w:t>not be taken with SLENYTO</w:t>
      </w:r>
      <w:r>
        <w:t>.</w:t>
      </w:r>
    </w:p>
    <w:p w14:paraId="7E9B0AA6" w14:textId="28707EDF" w:rsidR="00F70D6A" w:rsidRDefault="00A81983" w:rsidP="009E6827">
      <w:r w:rsidRPr="00D22B31">
        <w:rPr>
          <w:b/>
          <w:i/>
        </w:rPr>
        <w:t>Benzodiazepines and non</w:t>
      </w:r>
      <w:r w:rsidR="004622F1">
        <w:rPr>
          <w:b/>
          <w:i/>
        </w:rPr>
        <w:t>-</w:t>
      </w:r>
      <w:r w:rsidRPr="00D22B31">
        <w:rPr>
          <w:b/>
          <w:i/>
        </w:rPr>
        <w:t>benzodiazepine h</w:t>
      </w:r>
      <w:r w:rsidR="00F70D6A" w:rsidRPr="00D22B31">
        <w:rPr>
          <w:b/>
          <w:i/>
        </w:rPr>
        <w:t>ypnotics</w:t>
      </w:r>
      <w:r w:rsidR="00F70D6A" w:rsidRPr="000A55D2">
        <w:rPr>
          <w:b/>
          <w:i/>
        </w:rPr>
        <w:t xml:space="preserve"> </w:t>
      </w:r>
      <w:r w:rsidR="00F70D6A" w:rsidRPr="007401CE">
        <w:rPr>
          <w:bCs/>
          <w:i/>
        </w:rPr>
        <w:t>-</w:t>
      </w:r>
      <w:r w:rsidR="00F70D6A">
        <w:t xml:space="preserve"> </w:t>
      </w:r>
      <w:r w:rsidR="009B1167">
        <w:t>M</w:t>
      </w:r>
      <w:r w:rsidR="009E6827">
        <w:t xml:space="preserve">elatonin </w:t>
      </w:r>
      <w:r w:rsidR="00F70D6A">
        <w:t xml:space="preserve">may enhance the sedative properties of benzodiazepines and </w:t>
      </w:r>
      <w:proofErr w:type="spellStart"/>
      <w:r w:rsidR="00F70D6A">
        <w:t>non benzodiazepine</w:t>
      </w:r>
      <w:proofErr w:type="spellEnd"/>
      <w:r w:rsidR="00F70D6A">
        <w:t xml:space="preserve"> hypnotics, such as zaleplon, zolpidem and zopiclone.  In a clinical trial, there was clear evidence for a transitory pharmacodynamic interaction between </w:t>
      </w:r>
      <w:r w:rsidR="009B1167">
        <w:t>m</w:t>
      </w:r>
      <w:r w:rsidR="009E6827">
        <w:t>elatonin</w:t>
      </w:r>
      <w:r w:rsidR="00F70D6A">
        <w:t xml:space="preserve"> and zolpidem one hour following co dosing.  Concomitant administration resulted in increased impairment of attention, memory and co-ordination compared to zolpidem alone. </w:t>
      </w:r>
      <w:r w:rsidR="00C86F59" w:rsidRPr="00C86F59">
        <w:t>Combination with benzodiazepines and non-benzodiazepine hypnotics should be avoided.</w:t>
      </w:r>
    </w:p>
    <w:p w14:paraId="67DD5A6A" w14:textId="77777777" w:rsidR="00DA2193" w:rsidRDefault="00DA2193" w:rsidP="00DA2193">
      <w:pPr>
        <w:spacing w:before="0"/>
      </w:pPr>
    </w:p>
    <w:p w14:paraId="490490C0" w14:textId="6D67A1E4" w:rsidR="008A47F4" w:rsidRDefault="00F70D6A" w:rsidP="008A47F4">
      <w:pPr>
        <w:autoSpaceDE w:val="0"/>
        <w:autoSpaceDN w:val="0"/>
        <w:adjustRightInd w:val="0"/>
        <w:spacing w:before="0"/>
      </w:pPr>
      <w:r w:rsidRPr="00D22B31">
        <w:rPr>
          <w:b/>
          <w:i/>
        </w:rPr>
        <w:t>Thioridazine and imipramine</w:t>
      </w:r>
      <w:r>
        <w:t xml:space="preserve"> </w:t>
      </w:r>
      <w:r w:rsidR="009E6827">
        <w:t>–</w:t>
      </w:r>
      <w:r>
        <w:t xml:space="preserve"> </w:t>
      </w:r>
      <w:r w:rsidR="009B1167">
        <w:t>M</w:t>
      </w:r>
      <w:r w:rsidR="009E6827">
        <w:t xml:space="preserve">elatonin </w:t>
      </w:r>
      <w:r>
        <w:t xml:space="preserve">has been co administered in studies with thioridazine and imipramine, active substances which affect the central nervous system.  No clinically significant pharmacokinetic interactions were found in each case.  However, </w:t>
      </w:r>
      <w:r w:rsidR="009E6827">
        <w:t xml:space="preserve">melatonin </w:t>
      </w:r>
      <w:r>
        <w:t xml:space="preserve"> co administration resulted in increased feelings of tranquility and difficulty in </w:t>
      </w:r>
      <w:r>
        <w:lastRenderedPageBreak/>
        <w:t>performing tasks compared to imipramine alone, and increased feelings of “muzzy-headedness” compared to thioridazine alone.</w:t>
      </w:r>
      <w:r w:rsidR="00C86F59" w:rsidRPr="00C86F59">
        <w:t xml:space="preserve"> Combination with thioridazine and imipramine should be avoided</w:t>
      </w:r>
      <w:r w:rsidR="00AB582F">
        <w:t>.</w:t>
      </w:r>
    </w:p>
    <w:p w14:paraId="6B5685F0" w14:textId="77777777" w:rsidR="00D22B31" w:rsidRDefault="00D22B31" w:rsidP="00D22B31">
      <w:pPr>
        <w:pStyle w:val="Heading3"/>
      </w:pPr>
      <w:r>
        <w:t xml:space="preserve">Concomitant use to be considered with caution </w:t>
      </w:r>
    </w:p>
    <w:p w14:paraId="715D2DF0" w14:textId="77777777" w:rsidR="00D22B31" w:rsidRDefault="00D22B31" w:rsidP="00D22B31">
      <w:r w:rsidRPr="00D22B31">
        <w:rPr>
          <w:b/>
          <w:i/>
        </w:rPr>
        <w:t xml:space="preserve">5- or 8-methoxypsoralen </w:t>
      </w:r>
      <w:r w:rsidRPr="00DE19CA">
        <w:rPr>
          <w:bCs/>
          <w:i/>
        </w:rPr>
        <w:t>-</w:t>
      </w:r>
      <w:r w:rsidRPr="00D22B31">
        <w:t xml:space="preserve"> Caution should be exercised in patients on 5- or 8-</w:t>
      </w:r>
      <w:r>
        <w:t>methoxypsoralen (5 and 8-MOP), which increases melatonin levels by inhibiting its metabolism.</w:t>
      </w:r>
    </w:p>
    <w:p w14:paraId="1EB843CE" w14:textId="77777777" w:rsidR="00D22B31" w:rsidRDefault="00D22B31" w:rsidP="00D22B31">
      <w:r w:rsidRPr="00D22B31">
        <w:rPr>
          <w:b/>
          <w:i/>
        </w:rPr>
        <w:t xml:space="preserve">Cimetidine </w:t>
      </w:r>
      <w:r w:rsidRPr="00DE19CA">
        <w:rPr>
          <w:bCs/>
          <w:i/>
        </w:rPr>
        <w:t>-</w:t>
      </w:r>
      <w:r w:rsidRPr="00D22B31">
        <w:t xml:space="preserve"> Coadministration of melatonin with cimetidine resulted in a 1.7 fold</w:t>
      </w:r>
      <w:r>
        <w:t xml:space="preserve"> increase in exposure to melatonin with no change in the exposure to cimetidine.</w:t>
      </w:r>
    </w:p>
    <w:p w14:paraId="1E0DF3CE" w14:textId="77777777" w:rsidR="00D22B31" w:rsidRDefault="00D22B31" w:rsidP="00D22B31">
      <w:r>
        <w:t xml:space="preserve">Caution should be exercised in patients on cimetidine, a CYP2D inhibitor which increases plasma melatonin levels by inhibiting its metabolism. </w:t>
      </w:r>
    </w:p>
    <w:p w14:paraId="184EE1A2" w14:textId="77777777" w:rsidR="00D22B31" w:rsidRDefault="00D22B31" w:rsidP="00D22B31">
      <w:r w:rsidRPr="00D22B31">
        <w:rPr>
          <w:b/>
          <w:i/>
        </w:rPr>
        <w:t xml:space="preserve">Cigarette smoking </w:t>
      </w:r>
      <w:r w:rsidRPr="00DE19CA">
        <w:rPr>
          <w:bCs/>
          <w:i/>
        </w:rPr>
        <w:t>-</w:t>
      </w:r>
      <w:r w:rsidRPr="00D22B31">
        <w:t xml:space="preserve"> Cigarette smoking may decrease melatonin levels due to induction of</w:t>
      </w:r>
      <w:r>
        <w:t xml:space="preserve"> CYP1A2. </w:t>
      </w:r>
    </w:p>
    <w:p w14:paraId="2532B562" w14:textId="77777777" w:rsidR="00FA6181" w:rsidRDefault="00D22B31" w:rsidP="00FA6181">
      <w:proofErr w:type="spellStart"/>
      <w:r w:rsidRPr="00D22B31">
        <w:rPr>
          <w:b/>
          <w:i/>
        </w:rPr>
        <w:t>Oestrogens</w:t>
      </w:r>
      <w:proofErr w:type="spellEnd"/>
      <w:r w:rsidRPr="00D22B31">
        <w:rPr>
          <w:b/>
          <w:i/>
        </w:rPr>
        <w:t xml:space="preserve"> </w:t>
      </w:r>
      <w:r w:rsidRPr="00DE19CA">
        <w:rPr>
          <w:bCs/>
          <w:i/>
        </w:rPr>
        <w:t>-</w:t>
      </w:r>
      <w:r w:rsidRPr="00D22B31">
        <w:t xml:space="preserve"> Caution should be exercised in patients on </w:t>
      </w:r>
      <w:proofErr w:type="spellStart"/>
      <w:r w:rsidRPr="00D22B31">
        <w:t>oestrogens</w:t>
      </w:r>
      <w:proofErr w:type="spellEnd"/>
      <w:r w:rsidRPr="00D22B31">
        <w:t xml:space="preserve"> (e.g. contraceptives or</w:t>
      </w:r>
      <w:r>
        <w:t xml:space="preserve"> hormone replacement therapy), which increase melatonin levels by inhibiting its metabolism by CYP1A1 and CYP1A2. </w:t>
      </w:r>
    </w:p>
    <w:p w14:paraId="2565268D" w14:textId="77777777" w:rsidR="00FA6181" w:rsidDel="00D22B31" w:rsidRDefault="00FA6181" w:rsidP="00FA6181">
      <w:r w:rsidRPr="00F70D6A" w:rsidDel="00D22B31">
        <w:rPr>
          <w:b/>
          <w:i/>
        </w:rPr>
        <w:t>Hepatic enzymes</w:t>
      </w:r>
      <w:r w:rsidDel="00D22B31">
        <w:t xml:space="preserve"> - Melatonin has been observed to induce CYP3A in vitro at supra-therapeutic concentrations.  The clinical relevance of the finding is unknown.  If induction occurs, plasma concentrations of concomitantly administered drugs can be reduced.</w:t>
      </w:r>
    </w:p>
    <w:p w14:paraId="3484C0AC" w14:textId="77777777" w:rsidR="00FA6181" w:rsidDel="00D22B31" w:rsidRDefault="00FA6181" w:rsidP="00FA6181">
      <w:r w:rsidDel="00D22B31">
        <w:t xml:space="preserve">Melatonin does not appear to induce CYP1A enzymes </w:t>
      </w:r>
      <w:r w:rsidRPr="009F39C8" w:rsidDel="00D22B31">
        <w:rPr>
          <w:i/>
        </w:rPr>
        <w:t>in vitro</w:t>
      </w:r>
      <w:r w:rsidDel="00D22B31">
        <w:t xml:space="preserve"> at supra-therapeutic concentrations.  Therefore, interactions between melatonin and other active substances as a consequence of melatonin’s effect on CYP1A enzymes are not likely to be significant.</w:t>
      </w:r>
    </w:p>
    <w:p w14:paraId="63E04AF8" w14:textId="77777777" w:rsidR="00FA6181" w:rsidDel="00D22B31" w:rsidRDefault="00FA6181" w:rsidP="00FA6181">
      <w:r w:rsidDel="00D22B31">
        <w:t xml:space="preserve">Melatonin’s metabolism is mainly mediated by CYP1A enzymes.  Therefore, interactions between melatonin and other active substances as a consequence of their effect on CYP1A enzymes is possible:  </w:t>
      </w:r>
    </w:p>
    <w:p w14:paraId="2EA8E6AF" w14:textId="77777777" w:rsidR="00FA6181" w:rsidDel="00D22B31" w:rsidRDefault="00FA6181" w:rsidP="00FA6181">
      <w:r w:rsidRPr="00D22B31" w:rsidDel="00D22B31">
        <w:rPr>
          <w:b/>
          <w:i/>
        </w:rPr>
        <w:t xml:space="preserve">Quinolones </w:t>
      </w:r>
      <w:r w:rsidRPr="00DE19CA" w:rsidDel="00D22B31">
        <w:rPr>
          <w:bCs/>
          <w:i/>
        </w:rPr>
        <w:t>-</w:t>
      </w:r>
      <w:r w:rsidRPr="00D22B31" w:rsidDel="00D22B31">
        <w:t xml:space="preserve"> CYP1A2 inhibitors such as quinolones may give rise to increased melatonin exposure.</w:t>
      </w:r>
    </w:p>
    <w:p w14:paraId="20A69234" w14:textId="77777777" w:rsidR="00FA6181" w:rsidRDefault="00FA6181" w:rsidP="00FA6181">
      <w:r w:rsidRPr="00D22B31" w:rsidDel="00D22B31">
        <w:rPr>
          <w:b/>
          <w:i/>
        </w:rPr>
        <w:t xml:space="preserve">Carbamazepine and rifampicin </w:t>
      </w:r>
      <w:r w:rsidRPr="00DE19CA" w:rsidDel="00D22B31">
        <w:rPr>
          <w:bCs/>
          <w:i/>
        </w:rPr>
        <w:t>-</w:t>
      </w:r>
      <w:r w:rsidRPr="00D22B31" w:rsidDel="00D22B31">
        <w:t xml:space="preserve"> CYP1A2 inducers such as carbamazepine and rifampicin</w:t>
      </w:r>
      <w:r w:rsidDel="00D22B31">
        <w:t xml:space="preserve"> may give rise to reduced plasma concentrations of melatonin.</w:t>
      </w:r>
    </w:p>
    <w:p w14:paraId="0862DB29" w14:textId="6195202D" w:rsidR="002C340E" w:rsidRPr="002C340E" w:rsidRDefault="002C340E" w:rsidP="002C340E">
      <w:pPr>
        <w:rPr>
          <w:b/>
          <w:i/>
        </w:rPr>
      </w:pPr>
      <w:r w:rsidRPr="002C340E">
        <w:rPr>
          <w:b/>
          <w:i/>
        </w:rPr>
        <w:t>NSAIDs</w:t>
      </w:r>
      <w:r>
        <w:rPr>
          <w:b/>
          <w:i/>
        </w:rPr>
        <w:t xml:space="preserve">- </w:t>
      </w:r>
      <w:r w:rsidRPr="002C340E">
        <w:rPr>
          <w:bCs/>
          <w:iCs/>
        </w:rPr>
        <w:t>Prostaglandin synthesis inhibitors (NSAIDs) such as acetylsalicylic acid and ibuprofen, given in the evening may suppress the endogenous melatonin levels in the early part of the night by up to 75%. If possible, administration of NSAIDs should be avoided in the evening.</w:t>
      </w:r>
    </w:p>
    <w:p w14:paraId="21388621" w14:textId="77777777" w:rsidR="004E185D" w:rsidRPr="004E185D" w:rsidRDefault="002C340E" w:rsidP="004E185D">
      <w:r w:rsidRPr="004E185D">
        <w:rPr>
          <w:b/>
          <w:bCs/>
          <w:i/>
        </w:rPr>
        <w:t>Beta-blockers-</w:t>
      </w:r>
      <w:r>
        <w:rPr>
          <w:i/>
        </w:rPr>
        <w:t xml:space="preserve"> </w:t>
      </w:r>
      <w:r w:rsidRPr="002C340E">
        <w:t xml:space="preserve">Beta-blockers may </w:t>
      </w:r>
      <w:proofErr w:type="spellStart"/>
      <w:r w:rsidRPr="002C340E">
        <w:t>supress</w:t>
      </w:r>
      <w:proofErr w:type="spellEnd"/>
      <w:r w:rsidRPr="002C340E">
        <w:t xml:space="preserve"> the night-time release of endogenous melatonin and thus should be administered in the morning</w:t>
      </w:r>
      <w:r w:rsidRPr="002C340E">
        <w:rPr>
          <w:i/>
        </w:rPr>
        <w:t>.</w:t>
      </w:r>
    </w:p>
    <w:p w14:paraId="0C639983" w14:textId="54502216" w:rsidR="001A3992" w:rsidRPr="00497C85" w:rsidRDefault="001A3992" w:rsidP="00DE19CA">
      <w:pPr>
        <w:pStyle w:val="Heading2"/>
        <w:tabs>
          <w:tab w:val="num" w:pos="680"/>
        </w:tabs>
        <w:ind w:left="680" w:hanging="680"/>
      </w:pPr>
      <w:r w:rsidRPr="00497C85">
        <w:lastRenderedPageBreak/>
        <w:t xml:space="preserve">Fertility, pregnancy and lactation </w:t>
      </w:r>
    </w:p>
    <w:p w14:paraId="6404F454" w14:textId="77777777" w:rsidR="001A3992" w:rsidRDefault="001A3992" w:rsidP="00CF3CA1">
      <w:pPr>
        <w:pStyle w:val="Heading3"/>
      </w:pPr>
      <w:r w:rsidRPr="00497C85">
        <w:t>Effects on fertility</w:t>
      </w:r>
    </w:p>
    <w:p w14:paraId="2D1E2E22" w14:textId="05F777E8" w:rsidR="00411F9E" w:rsidRPr="00411F9E" w:rsidRDefault="00411F9E" w:rsidP="00411F9E">
      <w:r w:rsidRPr="00411F9E">
        <w:t>No significant effects on fertility or reproductive performance were observed in rats given oral melatonin prior to mating through to early gestation at doses over 900-fold the clinical dose</w:t>
      </w:r>
      <w:r w:rsidR="00644ACC">
        <w:t xml:space="preserve"> of 2 mg in adults</w:t>
      </w:r>
      <w:r w:rsidRPr="00411F9E">
        <w:t>, based on body surface area.</w:t>
      </w:r>
    </w:p>
    <w:p w14:paraId="79DC8C3D" w14:textId="77777777" w:rsidR="001A3992" w:rsidRDefault="001A3992" w:rsidP="00CF3CA1">
      <w:pPr>
        <w:pStyle w:val="Heading3"/>
      </w:pPr>
      <w:r w:rsidRPr="00497C85">
        <w:t xml:space="preserve">Use in pregnancy </w:t>
      </w:r>
      <w:r w:rsidR="00497C85" w:rsidRPr="00497C85">
        <w:t>– Pregnancy Category B3</w:t>
      </w:r>
    </w:p>
    <w:p w14:paraId="1CFD01B7" w14:textId="01BFBA8E" w:rsidR="00411F9E" w:rsidRDefault="00411F9E" w:rsidP="00411F9E">
      <w:r>
        <w:t>No significant effects on embryofetal development were observed in rats given oral melatonin during the period of organogenesis at doses over 900-fold the clinical dose</w:t>
      </w:r>
      <w:r w:rsidR="00D30E00">
        <w:t xml:space="preserve"> of 2 mg in adults</w:t>
      </w:r>
      <w:r>
        <w:t>, based on body surface area.</w:t>
      </w:r>
    </w:p>
    <w:p w14:paraId="31377F35" w14:textId="77777777" w:rsidR="00411F9E" w:rsidRPr="00411F9E" w:rsidRDefault="00411F9E" w:rsidP="00411F9E">
      <w:r>
        <w:t>No clinical data on exposed pregnancies are available. In view of the lack of clinical data, use in pregnant women and by women intended to become pregnant is not recommended.</w:t>
      </w:r>
    </w:p>
    <w:p w14:paraId="3917D0CC" w14:textId="77777777" w:rsidR="001A3992" w:rsidRDefault="001A3992" w:rsidP="00CF3CA1">
      <w:pPr>
        <w:pStyle w:val="Heading3"/>
      </w:pPr>
      <w:r w:rsidRPr="00497C85">
        <w:t>Use in lactation</w:t>
      </w:r>
    </w:p>
    <w:p w14:paraId="61B1F2F5" w14:textId="336480B3" w:rsidR="00411F9E" w:rsidRDefault="00411F9E" w:rsidP="00411F9E">
      <w:r>
        <w:t>Maternal transfer of exogenous melatonin to the fetus via the placenta or milk has been demonstrated in several animal species including rats, hamsters, goats, monkeys and cows. A slight reduction in post-natal growth, viability and development was found in rats given oral melatonin during gestation through weaning at doses over 900-fold the clinical dose</w:t>
      </w:r>
      <w:r w:rsidR="00644ACC">
        <w:t xml:space="preserve"> of 2 mg in adults</w:t>
      </w:r>
      <w:r>
        <w:t>, based on body surface area; the no-effect dose was over 250-fold the clinical dose.</w:t>
      </w:r>
    </w:p>
    <w:p w14:paraId="02C27A79" w14:textId="77777777" w:rsidR="00411F9E" w:rsidRPr="00411F9E" w:rsidRDefault="00411F9E" w:rsidP="00411F9E">
      <w:r>
        <w:t>Endogenous melatonin has been detected in human breast milk, thus exogenous melatonin is likely excreted into human milk. The effects of melatonin on the nursing infant have not been established. Therefore, breast-feeding is not recommended in women under treatment with melatonin.</w:t>
      </w:r>
    </w:p>
    <w:p w14:paraId="79E122C9" w14:textId="77777777" w:rsidR="001A3992" w:rsidRPr="00497C85" w:rsidRDefault="001A3992" w:rsidP="00DE19CA">
      <w:pPr>
        <w:pStyle w:val="Heading2"/>
        <w:tabs>
          <w:tab w:val="num" w:pos="680"/>
        </w:tabs>
        <w:ind w:left="680" w:hanging="680"/>
      </w:pPr>
      <w:r w:rsidRPr="00497C85">
        <w:t xml:space="preserve">Effects on ability to drive and use machines </w:t>
      </w:r>
    </w:p>
    <w:p w14:paraId="4D006704" w14:textId="6779F57A" w:rsidR="00497C85" w:rsidRPr="00497C85" w:rsidRDefault="00BD0FA3" w:rsidP="00BD0FA3">
      <w:r>
        <w:rPr>
          <w:lang w:val="en"/>
        </w:rPr>
        <w:t>Melato</w:t>
      </w:r>
      <w:r w:rsidR="00F11D4D">
        <w:rPr>
          <w:lang w:val="en"/>
        </w:rPr>
        <w:t>n</w:t>
      </w:r>
      <w:r>
        <w:rPr>
          <w:lang w:val="en"/>
        </w:rPr>
        <w:t>in</w:t>
      </w:r>
      <w:r w:rsidR="004D19D2" w:rsidRPr="004D19D2">
        <w:rPr>
          <w:lang w:val="en"/>
        </w:rPr>
        <w:t xml:space="preserve"> has negligible influence on the ability to drive and use machines.  Nevertheless, patients should avoid engaging in hazardous activities (such as driving or operating machinery) after taking </w:t>
      </w:r>
      <w:r>
        <w:rPr>
          <w:lang w:val="en"/>
        </w:rPr>
        <w:t>melatonin</w:t>
      </w:r>
      <w:r w:rsidR="004D19D2" w:rsidRPr="004D19D2">
        <w:rPr>
          <w:lang w:val="en"/>
        </w:rPr>
        <w:t>.</w:t>
      </w:r>
    </w:p>
    <w:p w14:paraId="237CE7E3" w14:textId="77777777" w:rsidR="00D74FA0" w:rsidRDefault="001A3992" w:rsidP="00DE19CA">
      <w:pPr>
        <w:pStyle w:val="Heading2"/>
        <w:tabs>
          <w:tab w:val="num" w:pos="680"/>
        </w:tabs>
        <w:ind w:left="680" w:hanging="680"/>
      </w:pPr>
      <w:r w:rsidRPr="00497C85">
        <w:t>Adverse effects (Undesirable effects)</w:t>
      </w:r>
    </w:p>
    <w:p w14:paraId="09D8A45E" w14:textId="4CCB43C1" w:rsidR="0054607D" w:rsidRPr="00876559" w:rsidRDefault="0054607D" w:rsidP="0054607D">
      <w:pPr>
        <w:pStyle w:val="Heading3"/>
      </w:pPr>
      <w:r w:rsidRPr="00876559">
        <w:t xml:space="preserve">Adverse events reported in </w:t>
      </w:r>
      <w:proofErr w:type="spellStart"/>
      <w:r>
        <w:t>paediatric</w:t>
      </w:r>
      <w:proofErr w:type="spellEnd"/>
      <w:r w:rsidRPr="00876559">
        <w:t xml:space="preserve"> trials</w:t>
      </w:r>
    </w:p>
    <w:p w14:paraId="572666C4" w14:textId="77777777" w:rsidR="00D74FA0" w:rsidRDefault="00D74FA0" w:rsidP="00D74FA0">
      <w:r w:rsidRPr="00610651">
        <w:t xml:space="preserve">The most frequently reported adverse reactions with </w:t>
      </w:r>
      <w:r w:rsidR="00610651">
        <w:t>SLENYTO</w:t>
      </w:r>
      <w:r w:rsidRPr="00610651">
        <w:t xml:space="preserve"> in clinical studies were somnolence, fatigue, mood swings, headache, irritability, aggression and hangover occurring in 1:100-1:10 children</w:t>
      </w:r>
      <w:r w:rsidR="00610651" w:rsidRPr="00610651">
        <w:t>.</w:t>
      </w:r>
    </w:p>
    <w:p w14:paraId="77414504" w14:textId="77777777" w:rsidR="00610651" w:rsidRPr="0054607D" w:rsidRDefault="00610651" w:rsidP="00610651">
      <w:pPr>
        <w:pStyle w:val="Heading3"/>
        <w:rPr>
          <w:i/>
        </w:rPr>
      </w:pPr>
      <w:r w:rsidRPr="0054607D">
        <w:rPr>
          <w:i/>
        </w:rPr>
        <w:lastRenderedPageBreak/>
        <w:t>Tabulated list of adverse reactions</w:t>
      </w:r>
    </w:p>
    <w:p w14:paraId="1E01A62A" w14:textId="20D38856" w:rsidR="00610651" w:rsidRPr="00610651" w:rsidRDefault="00610651" w:rsidP="00610651">
      <w:r w:rsidRPr="00610651">
        <w:t>Adverse reactions are listed according to MedDRA system organ class and frequency category. Frequency categories are defined using the following convention: Very common (</w:t>
      </w:r>
      <w:r w:rsidR="00B2378C">
        <w:sym w:font="Symbol" w:char="F0B3"/>
      </w:r>
      <w:r w:rsidRPr="00610651">
        <w:t>1/10); Common (</w:t>
      </w:r>
      <w:r w:rsidR="00B2378C">
        <w:sym w:font="Symbol" w:char="F0B3"/>
      </w:r>
      <w:r w:rsidRPr="00610651">
        <w:t>1/100 to &lt;1/10); Uncommon (</w:t>
      </w:r>
      <w:r w:rsidR="00B2378C">
        <w:sym w:font="Symbol" w:char="F0B3"/>
      </w:r>
      <w:r w:rsidRPr="00610651">
        <w:t>1/1,000 to &lt;1/100); Rare (</w:t>
      </w:r>
      <w:r w:rsidR="00B2378C">
        <w:sym w:font="Symbol" w:char="F0B3"/>
      </w:r>
      <w:r w:rsidRPr="00610651">
        <w:t>1/10,000 to &lt;1/1,000); Very rare (&lt;1/10,000); Not known (cannot be estimated from the available data).</w:t>
      </w:r>
    </w:p>
    <w:p w14:paraId="4050488A" w14:textId="77777777" w:rsidR="00610651" w:rsidRDefault="00610651" w:rsidP="00610651">
      <w:r w:rsidRPr="00610651">
        <w:t>Within each frequency grouping, adverse reactions are presented in order of decreasing seriousness.</w:t>
      </w:r>
    </w:p>
    <w:p w14:paraId="62FBA136" w14:textId="7D005D4A" w:rsidR="0054607D" w:rsidRPr="000A55D2" w:rsidRDefault="009714F0" w:rsidP="009714F0">
      <w:pPr>
        <w:pStyle w:val="Caption"/>
      </w:pPr>
      <w:r>
        <w:t xml:space="preserve">Table </w:t>
      </w:r>
      <w:r>
        <w:fldChar w:fldCharType="begin"/>
      </w:r>
      <w:r>
        <w:instrText xml:space="preserve"> SEQ Table \* ARABIC </w:instrText>
      </w:r>
      <w:r>
        <w:fldChar w:fldCharType="separate"/>
      </w:r>
      <w:r w:rsidR="00825017">
        <w:rPr>
          <w:noProof/>
        </w:rPr>
        <w:t>1</w:t>
      </w:r>
      <w:r>
        <w:fldChar w:fldCharType="end"/>
      </w:r>
      <w:r w:rsidR="0054607D">
        <w:t>: A</w:t>
      </w:r>
      <w:r w:rsidR="0054607D" w:rsidRPr="000A55D2">
        <w:t xml:space="preserve">dverse events </w:t>
      </w:r>
      <w:r w:rsidR="0054607D">
        <w:t xml:space="preserve">in </w:t>
      </w:r>
      <w:proofErr w:type="spellStart"/>
      <w:r w:rsidR="0054607D">
        <w:t>paediatric</w:t>
      </w:r>
      <w:proofErr w:type="spellEnd"/>
      <w:r w:rsidR="0054607D">
        <w:t xml:space="preserve"> trials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4649"/>
      </w:tblGrid>
      <w:tr w:rsidR="00610651" w:rsidRPr="00610651" w14:paraId="13137B86" w14:textId="77777777" w:rsidTr="00182901">
        <w:trPr>
          <w:cantSplit/>
          <w:tblHeader/>
        </w:trPr>
        <w:tc>
          <w:tcPr>
            <w:tcW w:w="3681" w:type="dxa"/>
          </w:tcPr>
          <w:p w14:paraId="6A646E9B" w14:textId="77777777" w:rsidR="00610651" w:rsidRPr="00610651" w:rsidRDefault="00610651" w:rsidP="00610651">
            <w:pPr>
              <w:tabs>
                <w:tab w:val="left" w:pos="567"/>
              </w:tabs>
              <w:spacing w:before="0"/>
              <w:rPr>
                <w:rFonts w:eastAsia="Times New Roman"/>
                <w:b/>
                <w:color w:val="auto"/>
                <w:sz w:val="22"/>
                <w:szCs w:val="22"/>
                <w:lang w:val="en-GB"/>
              </w:rPr>
            </w:pPr>
            <w:r w:rsidRPr="00610651">
              <w:rPr>
                <w:rFonts w:eastAsia="Times New Roman"/>
                <w:b/>
                <w:color w:val="auto"/>
                <w:sz w:val="22"/>
                <w:szCs w:val="22"/>
                <w:lang w:val="en-GB"/>
              </w:rPr>
              <w:t>System Organ Class</w:t>
            </w:r>
          </w:p>
        </w:tc>
        <w:tc>
          <w:tcPr>
            <w:tcW w:w="4649" w:type="dxa"/>
          </w:tcPr>
          <w:p w14:paraId="29F40FEB" w14:textId="77777777" w:rsidR="00610651" w:rsidRPr="00610651" w:rsidRDefault="00610651" w:rsidP="00610651">
            <w:pPr>
              <w:keepNext/>
              <w:keepLines/>
              <w:tabs>
                <w:tab w:val="left" w:pos="567"/>
              </w:tabs>
              <w:spacing w:before="0"/>
              <w:rPr>
                <w:rFonts w:eastAsia="Times New Roman"/>
                <w:b/>
                <w:color w:val="auto"/>
                <w:sz w:val="22"/>
                <w:szCs w:val="22"/>
                <w:lang w:val="en-GB"/>
              </w:rPr>
            </w:pPr>
            <w:r w:rsidRPr="00610651">
              <w:rPr>
                <w:rFonts w:eastAsia="Times New Roman"/>
                <w:b/>
                <w:color w:val="auto"/>
                <w:sz w:val="22"/>
                <w:szCs w:val="22"/>
                <w:lang w:val="en-GB"/>
              </w:rPr>
              <w:t>Common</w:t>
            </w:r>
          </w:p>
        </w:tc>
      </w:tr>
      <w:tr w:rsidR="00610651" w:rsidRPr="00610651" w14:paraId="76C6A935" w14:textId="77777777" w:rsidTr="00182901">
        <w:trPr>
          <w:cantSplit/>
        </w:trPr>
        <w:tc>
          <w:tcPr>
            <w:tcW w:w="3681" w:type="dxa"/>
            <w:tcBorders>
              <w:top w:val="single" w:sz="4" w:space="0" w:color="auto"/>
              <w:left w:val="single" w:sz="4" w:space="0" w:color="auto"/>
              <w:bottom w:val="single" w:sz="4" w:space="0" w:color="auto"/>
              <w:right w:val="single" w:sz="4" w:space="0" w:color="auto"/>
            </w:tcBorders>
          </w:tcPr>
          <w:p w14:paraId="6D766C4A" w14:textId="77777777" w:rsidR="00610651" w:rsidRPr="00610651" w:rsidRDefault="00610651" w:rsidP="00610651">
            <w:pPr>
              <w:tabs>
                <w:tab w:val="left" w:pos="567"/>
              </w:tabs>
              <w:spacing w:before="0" w:line="260" w:lineRule="exact"/>
              <w:rPr>
                <w:rFonts w:eastAsia="Times New Roman"/>
                <w:bCs/>
                <w:color w:val="auto"/>
                <w:sz w:val="22"/>
                <w:szCs w:val="22"/>
                <w:lang w:val="en-GB"/>
              </w:rPr>
            </w:pPr>
            <w:r w:rsidRPr="00610651">
              <w:rPr>
                <w:rFonts w:eastAsia="Times New Roman"/>
                <w:bCs/>
                <w:color w:val="auto"/>
                <w:sz w:val="22"/>
                <w:szCs w:val="22"/>
                <w:lang w:val="en-GB"/>
              </w:rPr>
              <w:t>Psychiatric disorders</w:t>
            </w:r>
          </w:p>
        </w:tc>
        <w:tc>
          <w:tcPr>
            <w:tcW w:w="4649" w:type="dxa"/>
            <w:tcBorders>
              <w:top w:val="single" w:sz="4" w:space="0" w:color="auto"/>
              <w:left w:val="single" w:sz="4" w:space="0" w:color="auto"/>
              <w:bottom w:val="single" w:sz="4" w:space="0" w:color="auto"/>
              <w:right w:val="single" w:sz="4" w:space="0" w:color="auto"/>
            </w:tcBorders>
          </w:tcPr>
          <w:p w14:paraId="73253DF4" w14:textId="77777777" w:rsidR="00610651" w:rsidRPr="00610651" w:rsidRDefault="00610651" w:rsidP="00610651">
            <w:pPr>
              <w:tabs>
                <w:tab w:val="left" w:pos="567"/>
              </w:tabs>
              <w:spacing w:before="0" w:line="260" w:lineRule="exact"/>
              <w:rPr>
                <w:rFonts w:eastAsia="Times New Roman"/>
                <w:color w:val="auto"/>
                <w:sz w:val="22"/>
                <w:szCs w:val="22"/>
                <w:lang w:val="en-GB"/>
              </w:rPr>
            </w:pPr>
            <w:r w:rsidRPr="00610651">
              <w:rPr>
                <w:rFonts w:eastAsia="Times New Roman"/>
                <w:color w:val="auto"/>
                <w:sz w:val="22"/>
                <w:szCs w:val="22"/>
                <w:lang w:val="en-GB"/>
              </w:rPr>
              <w:t>Mood swings, Aggression, Irritability</w:t>
            </w:r>
          </w:p>
        </w:tc>
      </w:tr>
      <w:tr w:rsidR="00610651" w:rsidRPr="00610651" w14:paraId="48635991" w14:textId="77777777" w:rsidTr="00182901">
        <w:trPr>
          <w:cantSplit/>
        </w:trPr>
        <w:tc>
          <w:tcPr>
            <w:tcW w:w="3681" w:type="dxa"/>
          </w:tcPr>
          <w:p w14:paraId="3E5641ED" w14:textId="77777777" w:rsidR="00610651" w:rsidRPr="00610651" w:rsidRDefault="00610651" w:rsidP="00610651">
            <w:pPr>
              <w:tabs>
                <w:tab w:val="left" w:pos="567"/>
              </w:tabs>
              <w:spacing w:before="0" w:line="260" w:lineRule="exact"/>
              <w:rPr>
                <w:rFonts w:eastAsia="Times New Roman"/>
                <w:color w:val="auto"/>
                <w:sz w:val="22"/>
                <w:szCs w:val="22"/>
                <w:lang w:val="en-GB"/>
              </w:rPr>
            </w:pPr>
            <w:r w:rsidRPr="00610651">
              <w:rPr>
                <w:rFonts w:eastAsia="Times New Roman"/>
                <w:bCs/>
                <w:color w:val="auto"/>
                <w:sz w:val="22"/>
                <w:szCs w:val="22"/>
                <w:lang w:val="en-GB"/>
              </w:rPr>
              <w:t>Nervous system disorders</w:t>
            </w:r>
          </w:p>
        </w:tc>
        <w:tc>
          <w:tcPr>
            <w:tcW w:w="4649" w:type="dxa"/>
          </w:tcPr>
          <w:p w14:paraId="0E2BFBB0" w14:textId="77777777" w:rsidR="00610651" w:rsidRPr="00610651" w:rsidRDefault="00610651" w:rsidP="00610651">
            <w:pPr>
              <w:tabs>
                <w:tab w:val="left" w:pos="567"/>
              </w:tabs>
              <w:spacing w:before="0" w:line="260" w:lineRule="exact"/>
              <w:rPr>
                <w:rFonts w:eastAsia="Times New Roman"/>
                <w:color w:val="auto"/>
                <w:sz w:val="22"/>
                <w:szCs w:val="22"/>
                <w:lang w:val="en-GB"/>
              </w:rPr>
            </w:pPr>
            <w:r w:rsidRPr="00610651">
              <w:rPr>
                <w:rFonts w:eastAsia="Times New Roman"/>
                <w:color w:val="auto"/>
                <w:sz w:val="22"/>
                <w:szCs w:val="22"/>
                <w:lang w:val="en-GB"/>
              </w:rPr>
              <w:t xml:space="preserve">Somnolence, Headache, Sudden onset of sleep </w:t>
            </w:r>
          </w:p>
        </w:tc>
      </w:tr>
      <w:tr w:rsidR="00610651" w:rsidRPr="00610651" w14:paraId="7C7B2652" w14:textId="77777777" w:rsidTr="00182901">
        <w:trPr>
          <w:cantSplit/>
        </w:trPr>
        <w:tc>
          <w:tcPr>
            <w:tcW w:w="3681" w:type="dxa"/>
            <w:tcBorders>
              <w:top w:val="single" w:sz="4" w:space="0" w:color="auto"/>
              <w:left w:val="single" w:sz="4" w:space="0" w:color="auto"/>
              <w:bottom w:val="single" w:sz="4" w:space="0" w:color="auto"/>
              <w:right w:val="single" w:sz="4" w:space="0" w:color="auto"/>
            </w:tcBorders>
          </w:tcPr>
          <w:p w14:paraId="266FE638" w14:textId="77777777" w:rsidR="00610651" w:rsidRPr="00610651" w:rsidRDefault="00610651" w:rsidP="00610651">
            <w:pPr>
              <w:tabs>
                <w:tab w:val="left" w:pos="567"/>
              </w:tabs>
              <w:spacing w:before="0" w:line="260" w:lineRule="exact"/>
              <w:rPr>
                <w:rFonts w:eastAsia="Times New Roman"/>
                <w:bCs/>
                <w:color w:val="auto"/>
                <w:sz w:val="22"/>
                <w:szCs w:val="22"/>
                <w:lang w:val="en-GB"/>
              </w:rPr>
            </w:pPr>
            <w:r w:rsidRPr="00610651">
              <w:rPr>
                <w:rFonts w:eastAsia="Times New Roman"/>
                <w:bCs/>
                <w:color w:val="auto"/>
                <w:sz w:val="22"/>
                <w:szCs w:val="22"/>
                <w:lang w:val="en-GB"/>
              </w:rPr>
              <w:t>Respiratory, thoracic and mediastinal disorders</w:t>
            </w:r>
          </w:p>
        </w:tc>
        <w:tc>
          <w:tcPr>
            <w:tcW w:w="4649" w:type="dxa"/>
            <w:tcBorders>
              <w:top w:val="single" w:sz="4" w:space="0" w:color="auto"/>
              <w:left w:val="single" w:sz="4" w:space="0" w:color="auto"/>
              <w:bottom w:val="single" w:sz="4" w:space="0" w:color="auto"/>
              <w:right w:val="single" w:sz="4" w:space="0" w:color="auto"/>
            </w:tcBorders>
          </w:tcPr>
          <w:p w14:paraId="2DDFC451" w14:textId="77777777" w:rsidR="00610651" w:rsidRPr="00610651" w:rsidRDefault="00610651" w:rsidP="00610651">
            <w:pPr>
              <w:tabs>
                <w:tab w:val="left" w:pos="567"/>
              </w:tabs>
              <w:spacing w:before="0" w:line="260" w:lineRule="exact"/>
              <w:rPr>
                <w:rFonts w:eastAsia="Times New Roman"/>
                <w:color w:val="auto"/>
                <w:sz w:val="22"/>
                <w:szCs w:val="22"/>
                <w:lang w:val="en-GB"/>
              </w:rPr>
            </w:pPr>
            <w:r w:rsidRPr="00610651">
              <w:rPr>
                <w:rFonts w:eastAsia="Times New Roman"/>
                <w:color w:val="auto"/>
                <w:sz w:val="22"/>
                <w:szCs w:val="22"/>
                <w:lang w:val="en-GB"/>
              </w:rPr>
              <w:t>Sinusitis</w:t>
            </w:r>
          </w:p>
        </w:tc>
      </w:tr>
      <w:tr w:rsidR="00610651" w:rsidRPr="00610651" w14:paraId="6C989452" w14:textId="77777777" w:rsidTr="00182901">
        <w:trPr>
          <w:cantSplit/>
        </w:trPr>
        <w:tc>
          <w:tcPr>
            <w:tcW w:w="3681" w:type="dxa"/>
          </w:tcPr>
          <w:p w14:paraId="1B7A2242" w14:textId="77777777" w:rsidR="00610651" w:rsidRPr="00610651" w:rsidRDefault="00610651" w:rsidP="00610651">
            <w:pPr>
              <w:tabs>
                <w:tab w:val="left" w:pos="567"/>
              </w:tabs>
              <w:spacing w:before="0" w:line="260" w:lineRule="exact"/>
              <w:rPr>
                <w:rFonts w:eastAsia="Times New Roman"/>
                <w:bCs/>
                <w:color w:val="auto"/>
                <w:sz w:val="22"/>
                <w:szCs w:val="22"/>
                <w:lang w:val="en-GB"/>
              </w:rPr>
            </w:pPr>
            <w:r w:rsidRPr="00610651">
              <w:rPr>
                <w:rFonts w:eastAsia="Times New Roman"/>
                <w:bCs/>
                <w:color w:val="auto"/>
                <w:sz w:val="22"/>
                <w:szCs w:val="22"/>
                <w:lang w:val="en-GB"/>
              </w:rPr>
              <w:t>General disorders and administration site conditions</w:t>
            </w:r>
          </w:p>
        </w:tc>
        <w:tc>
          <w:tcPr>
            <w:tcW w:w="4649" w:type="dxa"/>
          </w:tcPr>
          <w:p w14:paraId="37810B3A" w14:textId="77777777" w:rsidR="00610651" w:rsidRPr="00610651" w:rsidRDefault="00610651" w:rsidP="00610651">
            <w:pPr>
              <w:tabs>
                <w:tab w:val="left" w:pos="567"/>
              </w:tabs>
              <w:spacing w:before="0" w:line="260" w:lineRule="exact"/>
              <w:rPr>
                <w:rFonts w:eastAsia="Times New Roman"/>
                <w:color w:val="auto"/>
                <w:sz w:val="22"/>
                <w:szCs w:val="22"/>
                <w:lang w:val="en-GB"/>
              </w:rPr>
            </w:pPr>
            <w:r w:rsidRPr="00610651">
              <w:rPr>
                <w:rFonts w:eastAsia="Times New Roman"/>
                <w:color w:val="auto"/>
                <w:sz w:val="22"/>
                <w:szCs w:val="22"/>
                <w:lang w:val="en-GB"/>
              </w:rPr>
              <w:t>Fatigue, Hangover</w:t>
            </w:r>
          </w:p>
        </w:tc>
      </w:tr>
    </w:tbl>
    <w:p w14:paraId="347F0F57" w14:textId="77777777" w:rsidR="00D74FA0" w:rsidRDefault="00610651" w:rsidP="00610651">
      <w:r w:rsidRPr="00610651">
        <w:t>The following adverse reactions (frequency unknown) have been reported with off-label use of the adult formulation, 2</w:t>
      </w:r>
      <w:r w:rsidRPr="00F86172">
        <w:t xml:space="preserve"> mg prolonged-release </w:t>
      </w:r>
      <w:r w:rsidRPr="00194C52">
        <w:t xml:space="preserve">melatonin tablets: epilepsy, visual impairment, </w:t>
      </w:r>
      <w:proofErr w:type="spellStart"/>
      <w:r w:rsidRPr="00194C52">
        <w:t>dyspnoea</w:t>
      </w:r>
      <w:proofErr w:type="spellEnd"/>
      <w:r w:rsidRPr="00194C52">
        <w:t>, epistaxis, constipation, decreased appetite, swelling face, skin lesion, feeling abnormal, abnormal behaviour and neutropenia.</w:t>
      </w:r>
    </w:p>
    <w:p w14:paraId="153F5811" w14:textId="180CAB1D" w:rsidR="002B424E" w:rsidRPr="002B424E" w:rsidRDefault="002B424E" w:rsidP="00CF3CA1">
      <w:pPr>
        <w:pStyle w:val="Heading3"/>
      </w:pPr>
      <w:r>
        <w:t>Reporting suspected adverse effects</w:t>
      </w:r>
    </w:p>
    <w:p w14:paraId="3A225001" w14:textId="77777777" w:rsidR="00497C85" w:rsidRPr="003B0EE1" w:rsidRDefault="00497C85" w:rsidP="00CF3CA1">
      <w:r w:rsidRPr="00497C85">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3B0EE1">
          <w:rPr>
            <w:rStyle w:val="Hyperlink"/>
            <w:lang w:val="en"/>
          </w:rPr>
          <w:t>www.tga.gov.au/reporting-problems</w:t>
        </w:r>
      </w:hyperlink>
      <w:r w:rsidRPr="003B0EE1">
        <w:rPr>
          <w:lang w:val="en"/>
        </w:rPr>
        <w:t>.</w:t>
      </w:r>
    </w:p>
    <w:p w14:paraId="5164094F" w14:textId="77777777" w:rsidR="001A3992" w:rsidRPr="00497C85" w:rsidRDefault="001A3992" w:rsidP="00DE19CA">
      <w:pPr>
        <w:pStyle w:val="Heading2"/>
        <w:tabs>
          <w:tab w:val="num" w:pos="680"/>
        </w:tabs>
        <w:ind w:left="680" w:hanging="680"/>
      </w:pPr>
      <w:r w:rsidRPr="00497C85">
        <w:t>Overdose</w:t>
      </w:r>
    </w:p>
    <w:p w14:paraId="05C5F877" w14:textId="77777777" w:rsidR="003B0EE1" w:rsidRPr="003B0EE1" w:rsidRDefault="003B0EE1" w:rsidP="003B0EE1">
      <w:pPr>
        <w:rPr>
          <w:lang w:val="en"/>
        </w:rPr>
      </w:pPr>
      <w:r w:rsidRPr="003B0EE1">
        <w:rPr>
          <w:lang w:val="en"/>
        </w:rPr>
        <w:t>In general, the main therapy for all overdoses is supportive and symptomatic care.</w:t>
      </w:r>
      <w:r w:rsidR="00652B9B">
        <w:rPr>
          <w:lang w:val="en"/>
        </w:rPr>
        <w:t xml:space="preserve">  </w:t>
      </w:r>
    </w:p>
    <w:p w14:paraId="16D99BC4" w14:textId="77777777" w:rsidR="003B0EE1" w:rsidRPr="003B0EE1" w:rsidRDefault="003B0EE1" w:rsidP="00C60A09">
      <w:pPr>
        <w:pStyle w:val="Heading3"/>
        <w:rPr>
          <w:lang w:val="en"/>
        </w:rPr>
      </w:pPr>
      <w:r w:rsidRPr="003B0EE1">
        <w:rPr>
          <w:lang w:val="en"/>
        </w:rPr>
        <w:t>Symptoms</w:t>
      </w:r>
    </w:p>
    <w:p w14:paraId="743D0F33" w14:textId="0748A510" w:rsidR="003B0EE1" w:rsidRPr="003B0EE1" w:rsidRDefault="002E00C1" w:rsidP="003B0EE1">
      <w:pPr>
        <w:rPr>
          <w:lang w:val="en"/>
        </w:rPr>
      </w:pPr>
      <w:r w:rsidRPr="003B0EE1">
        <w:rPr>
          <w:lang w:val="en"/>
        </w:rPr>
        <w:t>If overdose occurs, drowsiness is to be expected.</w:t>
      </w:r>
      <w:r>
        <w:rPr>
          <w:szCs w:val="22"/>
        </w:rPr>
        <w:t xml:space="preserve">  </w:t>
      </w:r>
      <w:r w:rsidR="003B0EE1" w:rsidRPr="003B0EE1">
        <w:rPr>
          <w:lang w:val="en"/>
        </w:rPr>
        <w:t xml:space="preserve">No case of overdose has been reported.  </w:t>
      </w:r>
      <w:r w:rsidR="002E345E">
        <w:rPr>
          <w:lang w:val="en"/>
        </w:rPr>
        <w:t>melatonin</w:t>
      </w:r>
      <w:r w:rsidR="003B0EE1" w:rsidRPr="003B0EE1">
        <w:rPr>
          <w:lang w:val="en"/>
        </w:rPr>
        <w:t xml:space="preserve"> has been administered at 5</w:t>
      </w:r>
      <w:r>
        <w:rPr>
          <w:lang w:val="en"/>
        </w:rPr>
        <w:t> </w:t>
      </w:r>
      <w:r w:rsidR="003B0EE1" w:rsidRPr="003B0EE1">
        <w:rPr>
          <w:lang w:val="en"/>
        </w:rPr>
        <w:t xml:space="preserve"> mg daily doses in clinical trials over 12 months without significantly changing the nature of the adverse reactions reported.</w:t>
      </w:r>
    </w:p>
    <w:p w14:paraId="657D19C0" w14:textId="77777777" w:rsidR="003B0EE1" w:rsidRPr="003B0EE1" w:rsidRDefault="003B0EE1" w:rsidP="003B0EE1">
      <w:pPr>
        <w:rPr>
          <w:lang w:val="en"/>
        </w:rPr>
      </w:pPr>
      <w:r w:rsidRPr="003B0EE1">
        <w:rPr>
          <w:lang w:val="en"/>
        </w:rPr>
        <w:t>Administration of daily doses of up to 300 mg of melatonin without causing clinically significant adverse reactions have been reported in the literature.</w:t>
      </w:r>
    </w:p>
    <w:p w14:paraId="5C89287C" w14:textId="77777777" w:rsidR="003B0EE1" w:rsidRPr="003B0EE1" w:rsidRDefault="003B0EE1" w:rsidP="00C60A09">
      <w:pPr>
        <w:pStyle w:val="Heading3"/>
        <w:rPr>
          <w:lang w:val="en"/>
        </w:rPr>
      </w:pPr>
      <w:r w:rsidRPr="003B0EE1">
        <w:rPr>
          <w:lang w:val="en"/>
        </w:rPr>
        <w:lastRenderedPageBreak/>
        <w:t>Treatment</w:t>
      </w:r>
    </w:p>
    <w:p w14:paraId="14E31383" w14:textId="77777777" w:rsidR="003B0EE1" w:rsidRDefault="003B0EE1" w:rsidP="003B0EE1">
      <w:pPr>
        <w:rPr>
          <w:lang w:val="en"/>
        </w:rPr>
      </w:pPr>
      <w:r w:rsidRPr="003B0EE1">
        <w:rPr>
          <w:lang w:val="en"/>
        </w:rPr>
        <w:t>Clearance of the active substance is expected within 12 hours after ingestion.  No special treatment is required</w:t>
      </w:r>
      <w:r w:rsidR="00C60A09">
        <w:rPr>
          <w:lang w:val="en"/>
        </w:rPr>
        <w:t>.</w:t>
      </w:r>
    </w:p>
    <w:p w14:paraId="667042BB" w14:textId="77777777" w:rsidR="00497C85" w:rsidRPr="00C60A09" w:rsidRDefault="00C60A09" w:rsidP="00CF3CA1">
      <w:pPr>
        <w:rPr>
          <w:lang w:val="en"/>
        </w:rPr>
      </w:pPr>
      <w:r w:rsidRPr="00C60A09">
        <w:rPr>
          <w:lang w:val="en"/>
        </w:rPr>
        <w:t xml:space="preserve">For information on the management of overdose, contact the Poisons Information Centre on 13 11 26 (Australia) </w:t>
      </w:r>
      <w:r>
        <w:rPr>
          <w:lang w:val="en"/>
        </w:rPr>
        <w:t xml:space="preserve">or </w:t>
      </w:r>
      <w:r w:rsidRPr="00C60A09">
        <w:rPr>
          <w:lang w:val="en"/>
        </w:rPr>
        <w:t xml:space="preserve">National Poisons Centre on 0800 764 766 </w:t>
      </w:r>
      <w:r>
        <w:rPr>
          <w:lang w:val="en"/>
        </w:rPr>
        <w:t>(</w:t>
      </w:r>
      <w:r w:rsidRPr="00C60A09">
        <w:rPr>
          <w:lang w:val="en"/>
        </w:rPr>
        <w:t>New Zealand).</w:t>
      </w:r>
    </w:p>
    <w:p w14:paraId="7BBCFE56" w14:textId="77777777" w:rsidR="001A3992" w:rsidRPr="00497C85" w:rsidRDefault="001A3992" w:rsidP="00CF3CA1">
      <w:pPr>
        <w:pStyle w:val="Heading1"/>
      </w:pPr>
      <w:r w:rsidRPr="00497C85">
        <w:t>Pharmacological properties</w:t>
      </w:r>
    </w:p>
    <w:p w14:paraId="1C76137E" w14:textId="77777777" w:rsidR="001A3992" w:rsidRDefault="001A3992" w:rsidP="00DE19CA">
      <w:pPr>
        <w:pStyle w:val="Heading2"/>
        <w:tabs>
          <w:tab w:val="num" w:pos="680"/>
        </w:tabs>
        <w:ind w:left="680" w:hanging="680"/>
      </w:pPr>
      <w:bookmarkStart w:id="4" w:name="_Hlk34220758"/>
      <w:r w:rsidRPr="00497C85">
        <w:t>Pharmacodynamic properties</w:t>
      </w:r>
    </w:p>
    <w:bookmarkEnd w:id="4"/>
    <w:p w14:paraId="78D69220" w14:textId="77777777" w:rsidR="0068129B" w:rsidRDefault="0068129B" w:rsidP="0068129B">
      <w:r w:rsidRPr="0068129B">
        <w:t>Pharmacotherapeutic group: Melatonin Receptor Agonists, ATC code: N05CH01</w:t>
      </w:r>
    </w:p>
    <w:p w14:paraId="5AB0CF28" w14:textId="77777777" w:rsidR="0068129B" w:rsidRDefault="0068129B" w:rsidP="0068129B">
      <w:r>
        <w:t xml:space="preserve">Melatonin is a naturally occurring hormone produced by the pineal gland and is structurally related to serotonin.  Physiologically, melatonin secretion increases soon after the onset of darkness, peaks at 2-4 am and diminishes during the second half of the night.  Melatonin is associated with the control of circadian rhythms and entrainment to the light-dark cycle.  It is also associated with a hypnotic effect and increased propensity for sleep.  </w:t>
      </w:r>
    </w:p>
    <w:p w14:paraId="4C082359" w14:textId="77777777" w:rsidR="001A3992" w:rsidRDefault="001A3992" w:rsidP="00CF3CA1">
      <w:pPr>
        <w:pStyle w:val="Heading3"/>
      </w:pPr>
      <w:r w:rsidRPr="00497C85">
        <w:t>Mechanism of action</w:t>
      </w:r>
    </w:p>
    <w:p w14:paraId="6F40E3CC" w14:textId="77777777" w:rsidR="0068129B" w:rsidRDefault="0068129B" w:rsidP="0068129B">
      <w:r>
        <w:t>The activity of melatonin at the MT1 and MT2 receptors is believed to contribute to its sleep-promoting properties via their distinct actions on the circadian clock. The MT1 receptors are thought to inhibit neuronal firing, while the MT2 receptors have been implicated in the phase-shifting response.</w:t>
      </w:r>
    </w:p>
    <w:p w14:paraId="276FFA7A" w14:textId="77777777" w:rsidR="0068129B" w:rsidRDefault="0068129B" w:rsidP="00411F9E">
      <w:pPr>
        <w:pStyle w:val="Heading4"/>
      </w:pPr>
      <w:r>
        <w:t>Rationale for use</w:t>
      </w:r>
    </w:p>
    <w:p w14:paraId="0DE8ED6B" w14:textId="77777777" w:rsidR="0068129B" w:rsidRPr="0068129B" w:rsidRDefault="0068129B" w:rsidP="0068129B">
      <w:r>
        <w:t>Because of the role of melatonin in sleep and circadian rhythm regulation, and the age related decrease in endogenous melatonin production, melatonin may effectively improve sleep quality particularly in patients who are over 55 with primary insomnia.</w:t>
      </w:r>
    </w:p>
    <w:p w14:paraId="3BE8E635" w14:textId="77777777" w:rsidR="001A3992" w:rsidRDefault="001A3992" w:rsidP="005702AD">
      <w:pPr>
        <w:pStyle w:val="Heading3"/>
        <w:keepNext w:val="0"/>
      </w:pPr>
      <w:r w:rsidRPr="00497C85">
        <w:t>Clinical trials</w:t>
      </w:r>
    </w:p>
    <w:p w14:paraId="70D44BE7" w14:textId="77777777" w:rsidR="00F86172" w:rsidRPr="00194C52" w:rsidRDefault="00F86172" w:rsidP="005702AD">
      <w:pPr>
        <w:pStyle w:val="Heading4"/>
        <w:keepNext w:val="0"/>
      </w:pPr>
      <w:r w:rsidRPr="00194C52">
        <w:t xml:space="preserve">Clinical efficacy and safety in the </w:t>
      </w:r>
      <w:proofErr w:type="spellStart"/>
      <w:r w:rsidRPr="00194C52">
        <w:t>paediatric</w:t>
      </w:r>
      <w:proofErr w:type="spellEnd"/>
      <w:r w:rsidRPr="00194C52">
        <w:t xml:space="preserve"> population</w:t>
      </w:r>
    </w:p>
    <w:p w14:paraId="1B70D628" w14:textId="77777777" w:rsidR="003F3A95" w:rsidRPr="00194C52" w:rsidRDefault="003F3A95" w:rsidP="005702AD">
      <w:pPr>
        <w:tabs>
          <w:tab w:val="left" w:pos="567"/>
        </w:tabs>
      </w:pPr>
      <w:r w:rsidRPr="00194C52">
        <w:t xml:space="preserve">Efficacy and safety have been assessed in a </w:t>
      </w:r>
      <w:proofErr w:type="spellStart"/>
      <w:r w:rsidRPr="00194C52">
        <w:t>randomised</w:t>
      </w:r>
      <w:proofErr w:type="spellEnd"/>
      <w:r w:rsidRPr="00194C52">
        <w:t>, placebo-controlled study in children diagnosed with ASDs and neurodevelopmental disabilities caused by Smith-</w:t>
      </w:r>
      <w:proofErr w:type="spellStart"/>
      <w:r w:rsidRPr="00194C52">
        <w:t>Magenis</w:t>
      </w:r>
      <w:proofErr w:type="spellEnd"/>
      <w:r w:rsidRPr="00194C52">
        <w:t xml:space="preserve"> syndrome who had not shown improvement after standard sleep </w:t>
      </w:r>
      <w:proofErr w:type="spellStart"/>
      <w:r w:rsidRPr="00194C52">
        <w:t>behavioural</w:t>
      </w:r>
      <w:proofErr w:type="spellEnd"/>
      <w:r w:rsidRPr="00194C52">
        <w:t xml:space="preserve"> intervention. Treatment was administered for up to two years. </w:t>
      </w:r>
    </w:p>
    <w:p w14:paraId="3A445520" w14:textId="2A7B1FCF" w:rsidR="003F3A95" w:rsidRDefault="003F3A95" w:rsidP="005702AD">
      <w:pPr>
        <w:keepNext/>
        <w:keepLines/>
        <w:tabs>
          <w:tab w:val="left" w:pos="567"/>
        </w:tabs>
      </w:pPr>
      <w:r w:rsidRPr="00BF5411">
        <w:lastRenderedPageBreak/>
        <w:t>The study comprise</w:t>
      </w:r>
      <w:r w:rsidR="00DD0296" w:rsidRPr="00BF5411">
        <w:t>d of</w:t>
      </w:r>
      <w:r w:rsidRPr="00BF5411">
        <w:t xml:space="preserve"> 5 periods: 1) pre-study period (4 weeks)</w:t>
      </w:r>
      <w:r w:rsidR="00F11D4D" w:rsidRPr="00BF5411">
        <w:t>;</w:t>
      </w:r>
      <w:r w:rsidRPr="00BF5411">
        <w:t xml:space="preserve"> 2) baseline single-blind</w:t>
      </w:r>
      <w:r w:rsidRPr="00194C52">
        <w:t xml:space="preserve"> placebo period (2 weeks)</w:t>
      </w:r>
      <w:r w:rsidR="00F11D4D">
        <w:t>;</w:t>
      </w:r>
      <w:r w:rsidRPr="00194C52">
        <w:t xml:space="preserve"> 3) </w:t>
      </w:r>
      <w:proofErr w:type="spellStart"/>
      <w:r w:rsidRPr="00194C52">
        <w:t>randomi</w:t>
      </w:r>
      <w:r w:rsidR="00194C52">
        <w:t>s</w:t>
      </w:r>
      <w:r w:rsidRPr="00194C52">
        <w:t>ed</w:t>
      </w:r>
      <w:proofErr w:type="spellEnd"/>
      <w:r w:rsidRPr="00194C52">
        <w:t xml:space="preserve"> placebo-controlled treatment period (13 weeks)</w:t>
      </w:r>
      <w:r w:rsidR="00F11D4D">
        <w:t>;</w:t>
      </w:r>
      <w:r w:rsidRPr="00194C52">
        <w:t xml:space="preserve"> 4)</w:t>
      </w:r>
      <w:r w:rsidR="00DD0296">
        <w:t> </w:t>
      </w:r>
      <w:r w:rsidRPr="00194C52">
        <w:t>open label treatment period (91 weeks)</w:t>
      </w:r>
      <w:r w:rsidR="00F11D4D">
        <w:t>;</w:t>
      </w:r>
      <w:r w:rsidRPr="00194C52">
        <w:t xml:space="preserve"> and 5) single blind run-out period (2 weeks placebo). </w:t>
      </w:r>
    </w:p>
    <w:p w14:paraId="29FAB119" w14:textId="6B05B0D4" w:rsidR="00B15119" w:rsidRPr="00194C52" w:rsidRDefault="00E13CF1" w:rsidP="00BF5411">
      <w:pPr>
        <w:tabs>
          <w:tab w:val="left" w:pos="567"/>
        </w:tabs>
      </w:pPr>
      <w:r w:rsidRPr="00C0081F">
        <w:t xml:space="preserve">All patients were </w:t>
      </w:r>
      <w:proofErr w:type="spellStart"/>
      <w:r w:rsidRPr="00C0081F">
        <w:t>randomi</w:t>
      </w:r>
      <w:r w:rsidR="00C0081F">
        <w:t>s</w:t>
      </w:r>
      <w:r w:rsidRPr="00C0081F">
        <w:t>ed</w:t>
      </w:r>
      <w:proofErr w:type="spellEnd"/>
      <w:r w:rsidRPr="00C0081F">
        <w:t xml:space="preserve"> to either 2 mg of </w:t>
      </w:r>
      <w:r w:rsidRPr="00C0081F">
        <w:rPr>
          <w:caps/>
        </w:rPr>
        <w:t>Slenyto</w:t>
      </w:r>
      <w:r w:rsidRPr="00C0081F">
        <w:t xml:space="preserve"> or matching placebo. A</w:t>
      </w:r>
      <w:r w:rsidR="009945F0" w:rsidRPr="00C0081F">
        <w:t>t the end of first 3 weeks double-blind period and first 13 weeks open-label period</w:t>
      </w:r>
      <w:r w:rsidR="00B15119" w:rsidRPr="00C0081F">
        <w:t xml:space="preserve">, </w:t>
      </w:r>
      <w:r w:rsidR="00C0081F">
        <w:t>the</w:t>
      </w:r>
      <w:r w:rsidR="00B15119" w:rsidRPr="00C0081F">
        <w:t xml:space="preserve"> dose </w:t>
      </w:r>
      <w:r w:rsidR="00C0081F">
        <w:t xml:space="preserve">was </w:t>
      </w:r>
      <w:r w:rsidR="00B15119" w:rsidRPr="00C0081F">
        <w:t>increase</w:t>
      </w:r>
      <w:r w:rsidR="00C0081F">
        <w:t>d</w:t>
      </w:r>
      <w:r w:rsidR="00B15119" w:rsidRPr="00C0081F">
        <w:t xml:space="preserve"> from 2 mg to 5 mg or from 5 mg to 10 mg, </w:t>
      </w:r>
      <w:r w:rsidR="00C0081F">
        <w:t xml:space="preserve">when necessary </w:t>
      </w:r>
      <w:r w:rsidR="00DD0296">
        <w:t xml:space="preserve">in accordance with </w:t>
      </w:r>
      <w:r w:rsidR="00B15119" w:rsidRPr="00C0081F">
        <w:t xml:space="preserve">the </w:t>
      </w:r>
      <w:r w:rsidR="00DD0296">
        <w:t>study</w:t>
      </w:r>
      <w:r w:rsidR="00B15119" w:rsidRPr="00C0081F">
        <w:t xml:space="preserve"> criteria:</w:t>
      </w:r>
      <w:r w:rsidR="00C0081F">
        <w:t xml:space="preserve"> a</w:t>
      </w:r>
      <w:r w:rsidR="00B15119" w:rsidRPr="00C0081F">
        <w:t xml:space="preserve">bsence of </w:t>
      </w:r>
      <w:r w:rsidR="00C0081F">
        <w:t>serious adverse events</w:t>
      </w:r>
      <w:r w:rsidR="00B15119" w:rsidRPr="00C0081F">
        <w:t xml:space="preserve"> </w:t>
      </w:r>
      <w:r w:rsidR="00C0081F">
        <w:t>and</w:t>
      </w:r>
      <w:r w:rsidR="00B15119" w:rsidRPr="00C0081F">
        <w:t xml:space="preserve"> daytime fatigue related to study </w:t>
      </w:r>
      <w:r w:rsidR="00C0081F">
        <w:t>treatment</w:t>
      </w:r>
      <w:r w:rsidR="00B15119" w:rsidRPr="00C0081F">
        <w:t xml:space="preserve">, compliance with the </w:t>
      </w:r>
      <w:r w:rsidR="00DD0296" w:rsidRPr="0049372B">
        <w:t xml:space="preserve">Sleep and Nap Diary </w:t>
      </w:r>
      <w:r w:rsidR="00DD0296">
        <w:t>(SND)</w:t>
      </w:r>
      <w:r w:rsidR="00B15119" w:rsidRPr="00C0081F">
        <w:t xml:space="preserve"> and </w:t>
      </w:r>
      <w:r w:rsidR="00C0081F">
        <w:t>study treatment</w:t>
      </w:r>
      <w:r w:rsidR="00B15119" w:rsidRPr="00C0081F">
        <w:t xml:space="preserve">, the patient had </w:t>
      </w:r>
      <w:r w:rsidR="00B2378C">
        <w:sym w:font="Symbol" w:char="F0A3"/>
      </w:r>
      <w:r w:rsidR="00B15119" w:rsidRPr="00C0081F">
        <w:t>6</w:t>
      </w:r>
      <w:r w:rsidR="00DD0296">
        <w:t> </w:t>
      </w:r>
      <w:r w:rsidR="00B15119" w:rsidRPr="00C0081F">
        <w:t xml:space="preserve">hours of continuous sleep </w:t>
      </w:r>
      <w:r w:rsidR="00C0081F">
        <w:t>and/or</w:t>
      </w:r>
      <w:r w:rsidR="00B15119" w:rsidRPr="00C0081F">
        <w:t xml:space="preserve"> </w:t>
      </w:r>
      <w:r w:rsidR="00B2378C">
        <w:sym w:font="Symbol" w:char="F0B3"/>
      </w:r>
      <w:r w:rsidR="00B15119" w:rsidRPr="00C0081F">
        <w:t>0.5 hours of sleep latency from light off in</w:t>
      </w:r>
      <w:r w:rsidR="00B2378C">
        <w:sym w:font="Symbol" w:char="F0B3"/>
      </w:r>
      <w:r w:rsidR="00B15119" w:rsidRPr="00C0081F">
        <w:t>3 out of 5</w:t>
      </w:r>
      <w:r w:rsidR="00C0081F">
        <w:t> </w:t>
      </w:r>
      <w:r w:rsidR="00B15119" w:rsidRPr="00C0081F">
        <w:t>nights</w:t>
      </w:r>
      <w:r w:rsidR="00C0081F">
        <w:t xml:space="preserve"> </w:t>
      </w:r>
      <w:r w:rsidR="00C0081F" w:rsidRPr="00C0081F">
        <w:rPr>
          <w:u w:val="single"/>
        </w:rPr>
        <w:t>or</w:t>
      </w:r>
      <w:r w:rsidR="00B15119" w:rsidRPr="00C0081F">
        <w:t xml:space="preserve"> the patient had </w:t>
      </w:r>
      <w:r w:rsidR="00B2378C">
        <w:sym w:font="Symbol" w:char="F0A3"/>
      </w:r>
      <w:r w:rsidR="00B15119" w:rsidRPr="00C0081F">
        <w:t>6</w:t>
      </w:r>
      <w:r w:rsidR="00C0081F">
        <w:t> </w:t>
      </w:r>
      <w:r w:rsidR="00B15119" w:rsidRPr="00C0081F">
        <w:t xml:space="preserve">hours of continuous sleep </w:t>
      </w:r>
      <w:r w:rsidR="00C0081F">
        <w:t>and/or</w:t>
      </w:r>
      <w:r w:rsidR="00B15119" w:rsidRPr="00C0081F">
        <w:t xml:space="preserve"> </w:t>
      </w:r>
      <w:r w:rsidR="00B2378C">
        <w:sym w:font="Symbol" w:char="F0B3"/>
      </w:r>
      <w:r w:rsidR="00B15119" w:rsidRPr="00C0081F">
        <w:t xml:space="preserve">0.5 hours of sleep latency from light off only in </w:t>
      </w:r>
      <w:r w:rsidR="00B2378C">
        <w:sym w:font="Symbol" w:char="F0A3"/>
      </w:r>
      <w:r w:rsidR="00B15119" w:rsidRPr="00C0081F">
        <w:t xml:space="preserve">2 out of 5 nights </w:t>
      </w:r>
      <w:r w:rsidR="00C0081F">
        <w:t>and</w:t>
      </w:r>
      <w:r w:rsidR="00B15119" w:rsidRPr="00C0081F">
        <w:t xml:space="preserve"> did </w:t>
      </w:r>
      <w:r w:rsidR="00C0081F">
        <w:t>not</w:t>
      </w:r>
      <w:r w:rsidR="00B15119" w:rsidRPr="00C0081F">
        <w:t xml:space="preserve"> improve from </w:t>
      </w:r>
      <w:r w:rsidR="00C0081F">
        <w:t>baseline</w:t>
      </w:r>
      <w:r w:rsidR="00B15119" w:rsidRPr="00C0081F">
        <w:t xml:space="preserve"> by at least 1 hour as measured by either shortening of sleep latency or increase in sleep duration or both.</w:t>
      </w:r>
      <w:r w:rsidR="00C0081F">
        <w:t xml:space="preserve"> </w:t>
      </w:r>
      <w:r w:rsidR="00B15119" w:rsidRPr="00C0081F">
        <w:t xml:space="preserve">Dose reduction was </w:t>
      </w:r>
      <w:r w:rsidR="00C0081F">
        <w:t>permitted at</w:t>
      </w:r>
      <w:r w:rsidR="00B15119" w:rsidRPr="00C0081F">
        <w:t xml:space="preserve"> any time if </w:t>
      </w:r>
      <w:r w:rsidR="00C0081F">
        <w:t xml:space="preserve">the patient experienced an adverse event </w:t>
      </w:r>
      <w:r w:rsidR="00B15119" w:rsidRPr="00C0081F">
        <w:t xml:space="preserve">related to study </w:t>
      </w:r>
      <w:r w:rsidR="00C0081F">
        <w:t>treatment (</w:t>
      </w:r>
      <w:r w:rsidR="00DD0296">
        <w:t xml:space="preserve">in particular </w:t>
      </w:r>
      <w:r w:rsidR="00B15119" w:rsidRPr="00C0081F">
        <w:t>an unacceptable increase in daytime fatigue</w:t>
      </w:r>
      <w:r w:rsidR="00C0081F">
        <w:t xml:space="preserve"> or change in</w:t>
      </w:r>
      <w:r w:rsidR="00B15119" w:rsidRPr="00C0081F">
        <w:t xml:space="preserve"> behavio</w:t>
      </w:r>
      <w:r w:rsidR="00C0081F">
        <w:t>u</w:t>
      </w:r>
      <w:r w:rsidR="00B15119" w:rsidRPr="00C0081F">
        <w:t>r</w:t>
      </w:r>
      <w:r w:rsidR="00C0081F">
        <w:t>)</w:t>
      </w:r>
      <w:r w:rsidR="00B15119" w:rsidRPr="00C0081F">
        <w:t xml:space="preserve"> </w:t>
      </w:r>
      <w:r w:rsidR="00C0081F">
        <w:t>or</w:t>
      </w:r>
      <w:r w:rsidR="00B15119" w:rsidRPr="00C0081F">
        <w:t xml:space="preserve"> if a patient cease</w:t>
      </w:r>
      <w:r w:rsidR="00C0081F">
        <w:t>d</w:t>
      </w:r>
      <w:r w:rsidR="00B15119" w:rsidRPr="00C0081F">
        <w:t xml:space="preserve"> to respond to study </w:t>
      </w:r>
      <w:r w:rsidR="00C0081F">
        <w:t>treatment</w:t>
      </w:r>
      <w:r w:rsidR="00B15119" w:rsidRPr="00C0081F">
        <w:t xml:space="preserve"> </w:t>
      </w:r>
      <w:r w:rsidR="00C0081F">
        <w:t>(</w:t>
      </w:r>
      <w:proofErr w:type="spellStart"/>
      <w:r w:rsidR="00B15119" w:rsidRPr="00C0081F">
        <w:t>i,e</w:t>
      </w:r>
      <w:proofErr w:type="spellEnd"/>
      <w:r w:rsidR="00C0081F">
        <w:t>.</w:t>
      </w:r>
      <w:r w:rsidR="00B15119" w:rsidRPr="00C0081F">
        <w:t xml:space="preserve"> sleep improved on the initial dose and then deteriorated on a higher dose</w:t>
      </w:r>
      <w:r w:rsidR="00C0081F">
        <w:t>)</w:t>
      </w:r>
      <w:r w:rsidR="00B15119" w:rsidRPr="00C0081F">
        <w:t xml:space="preserve">. </w:t>
      </w:r>
    </w:p>
    <w:p w14:paraId="7CDF87B8" w14:textId="53E841B2" w:rsidR="003F3A95" w:rsidRDefault="003F3A95" w:rsidP="00BF5411">
      <w:pPr>
        <w:tabs>
          <w:tab w:val="left" w:pos="567"/>
        </w:tabs>
      </w:pPr>
      <w:r w:rsidRPr="00194C52">
        <w:t>A total of 125 children (2-17.0 years of age, mean age 8.7 +/- 4.15; 96.8% ASD, 3.2% Smith-</w:t>
      </w:r>
      <w:proofErr w:type="spellStart"/>
      <w:r w:rsidRPr="00194C52">
        <w:t>Magenis</w:t>
      </w:r>
      <w:proofErr w:type="spellEnd"/>
      <w:r w:rsidRPr="00194C52">
        <w:t xml:space="preserve"> syndrome [SMS]) whose sleep failed to improve on </w:t>
      </w:r>
      <w:proofErr w:type="spellStart"/>
      <w:r w:rsidRPr="00194C52">
        <w:t>behavioural</w:t>
      </w:r>
      <w:proofErr w:type="spellEnd"/>
      <w:r w:rsidRPr="00194C52">
        <w:t xml:space="preserve"> intervention alone were </w:t>
      </w:r>
      <w:proofErr w:type="spellStart"/>
      <w:r w:rsidRPr="00194C52">
        <w:t>randomi</w:t>
      </w:r>
      <w:r w:rsidR="00194C52">
        <w:t>s</w:t>
      </w:r>
      <w:r w:rsidRPr="00194C52">
        <w:t>ed</w:t>
      </w:r>
      <w:proofErr w:type="spellEnd"/>
      <w:r w:rsidRPr="00194C52">
        <w:t xml:space="preserve"> and 112 weeks’ results are available. </w:t>
      </w:r>
      <w:r w:rsidR="0049372B">
        <w:t xml:space="preserve">Of the study participants, </w:t>
      </w:r>
      <w:r w:rsidRPr="00194C52">
        <w:t xml:space="preserve">28.8% patients were diagnosed with </w:t>
      </w:r>
      <w:r w:rsidR="0049372B" w:rsidRPr="0049372B">
        <w:t>Attention deficit hyperactivity disorder</w:t>
      </w:r>
      <w:r w:rsidR="0049372B">
        <w:t xml:space="preserve"> (</w:t>
      </w:r>
      <w:r w:rsidRPr="00194C52">
        <w:t>ADHD</w:t>
      </w:r>
      <w:r w:rsidR="0049372B">
        <w:t>)</w:t>
      </w:r>
      <w:r w:rsidRPr="00194C52">
        <w:t xml:space="preserve"> before study initiation and 77% had abnormal </w:t>
      </w:r>
      <w:r w:rsidR="0049372B" w:rsidRPr="0049372B">
        <w:t xml:space="preserve">Strength and Difficulties Questionnaire </w:t>
      </w:r>
      <w:r w:rsidR="0049372B">
        <w:t>(</w:t>
      </w:r>
      <w:r w:rsidRPr="00194C52">
        <w:t>SDQ</w:t>
      </w:r>
      <w:r w:rsidR="0049372B">
        <w:t>)</w:t>
      </w:r>
      <w:r w:rsidRPr="00194C52">
        <w:t xml:space="preserve"> hyperactivity/inattention score (&gt;=7) at baseline.</w:t>
      </w:r>
      <w:r w:rsidR="00437AF3">
        <w:t xml:space="preserve"> The baseline demographics and clinical characteristics are </w:t>
      </w:r>
      <w:proofErr w:type="spellStart"/>
      <w:r w:rsidR="00437AF3">
        <w:t>summarised</w:t>
      </w:r>
      <w:proofErr w:type="spellEnd"/>
      <w:r w:rsidR="00437AF3">
        <w:t xml:space="preserve"> in </w:t>
      </w:r>
      <w:r w:rsidR="00437AF3">
        <w:fldChar w:fldCharType="begin"/>
      </w:r>
      <w:r w:rsidR="00437AF3">
        <w:instrText xml:space="preserve"> REF _Ref34223003 \h </w:instrText>
      </w:r>
      <w:r w:rsidR="00437AF3">
        <w:fldChar w:fldCharType="separate"/>
      </w:r>
      <w:r w:rsidR="00825017" w:rsidRPr="00437AF3">
        <w:rPr>
          <w:sz w:val="22"/>
          <w:szCs w:val="22"/>
        </w:rPr>
        <w:t xml:space="preserve">Table </w:t>
      </w:r>
      <w:r w:rsidR="00825017">
        <w:rPr>
          <w:noProof/>
          <w:sz w:val="22"/>
          <w:szCs w:val="22"/>
        </w:rPr>
        <w:t>2</w:t>
      </w:r>
      <w:r w:rsidR="00437AF3">
        <w:fldChar w:fldCharType="end"/>
      </w:r>
      <w:r w:rsidR="00437AF3">
        <w:t>.</w:t>
      </w:r>
    </w:p>
    <w:p w14:paraId="47BEDBA5" w14:textId="544DEB60" w:rsidR="0058275D" w:rsidRPr="00437AF3" w:rsidRDefault="00437AF3" w:rsidP="004E185D">
      <w:pPr>
        <w:pStyle w:val="Caption"/>
        <w:keepNext/>
        <w:jc w:val="center"/>
        <w:rPr>
          <w:b w:val="0"/>
          <w:bCs/>
          <w:sz w:val="22"/>
          <w:szCs w:val="22"/>
        </w:rPr>
      </w:pPr>
      <w:bookmarkStart w:id="5" w:name="_Ref34223003"/>
      <w:r w:rsidRPr="00437AF3">
        <w:rPr>
          <w:sz w:val="22"/>
          <w:szCs w:val="22"/>
        </w:rPr>
        <w:t xml:space="preserve">Table </w:t>
      </w:r>
      <w:r w:rsidRPr="00437AF3">
        <w:rPr>
          <w:sz w:val="22"/>
          <w:szCs w:val="22"/>
        </w:rPr>
        <w:fldChar w:fldCharType="begin"/>
      </w:r>
      <w:r w:rsidRPr="00437AF3">
        <w:rPr>
          <w:sz w:val="22"/>
          <w:szCs w:val="22"/>
        </w:rPr>
        <w:instrText xml:space="preserve"> SEQ Table \* ARABIC </w:instrText>
      </w:r>
      <w:r w:rsidRPr="00437AF3">
        <w:rPr>
          <w:sz w:val="22"/>
          <w:szCs w:val="22"/>
        </w:rPr>
        <w:fldChar w:fldCharType="separate"/>
      </w:r>
      <w:r w:rsidR="00825017">
        <w:rPr>
          <w:noProof/>
          <w:sz w:val="22"/>
          <w:szCs w:val="22"/>
        </w:rPr>
        <w:t>2</w:t>
      </w:r>
      <w:r w:rsidRPr="00437AF3">
        <w:rPr>
          <w:sz w:val="22"/>
          <w:szCs w:val="22"/>
        </w:rPr>
        <w:fldChar w:fldCharType="end"/>
      </w:r>
      <w:bookmarkEnd w:id="5"/>
      <w:r w:rsidRPr="00437AF3">
        <w:rPr>
          <w:sz w:val="22"/>
          <w:szCs w:val="22"/>
        </w:rPr>
        <w:t xml:space="preserve">: </w:t>
      </w:r>
      <w:r w:rsidR="0058275D" w:rsidRPr="00437AF3">
        <w:rPr>
          <w:sz w:val="22"/>
          <w:szCs w:val="22"/>
        </w:rPr>
        <w:t xml:space="preserve">Baseline demographics and clinical characteristics at screening for the </w:t>
      </w:r>
      <w:proofErr w:type="spellStart"/>
      <w:r w:rsidR="0058275D" w:rsidRPr="00437AF3">
        <w:rPr>
          <w:sz w:val="22"/>
          <w:szCs w:val="22"/>
        </w:rPr>
        <w:t>randomised</w:t>
      </w:r>
      <w:proofErr w:type="spellEnd"/>
      <w:r w:rsidR="0058275D" w:rsidRPr="00437AF3">
        <w:rPr>
          <w:sz w:val="22"/>
          <w:szCs w:val="22"/>
        </w:rPr>
        <w:t xml:space="preserve"> set</w:t>
      </w:r>
    </w:p>
    <w:tbl>
      <w:tblPr>
        <w:tblStyle w:val="TableGrid"/>
        <w:tblW w:w="0" w:type="auto"/>
        <w:tblLook w:val="04A0" w:firstRow="1" w:lastRow="0" w:firstColumn="1" w:lastColumn="0" w:noHBand="0" w:noVBand="1"/>
      </w:tblPr>
      <w:tblGrid>
        <w:gridCol w:w="2685"/>
        <w:gridCol w:w="2110"/>
        <w:gridCol w:w="2110"/>
        <w:gridCol w:w="2111"/>
      </w:tblGrid>
      <w:tr w:rsidR="00437AF3" w:rsidRPr="00A81823" w14:paraId="78255D9D" w14:textId="77777777" w:rsidTr="00437AF3">
        <w:tc>
          <w:tcPr>
            <w:tcW w:w="2685" w:type="dxa"/>
            <w:vMerge w:val="restart"/>
            <w:vAlign w:val="bottom"/>
          </w:tcPr>
          <w:p w14:paraId="7FFD1810" w14:textId="77777777" w:rsidR="00437AF3" w:rsidRPr="00A81823" w:rsidRDefault="00437AF3" w:rsidP="004E185D">
            <w:pPr>
              <w:keepNext/>
              <w:autoSpaceDE w:val="0"/>
              <w:autoSpaceDN w:val="0"/>
              <w:adjustRightInd w:val="0"/>
              <w:spacing w:before="0"/>
              <w:rPr>
                <w:b/>
                <w:bCs/>
                <w:sz w:val="20"/>
                <w:szCs w:val="20"/>
              </w:rPr>
            </w:pPr>
            <w:r>
              <w:rPr>
                <w:b/>
                <w:bCs/>
                <w:sz w:val="20"/>
                <w:szCs w:val="20"/>
              </w:rPr>
              <w:t>Characteristic</w:t>
            </w:r>
          </w:p>
        </w:tc>
        <w:tc>
          <w:tcPr>
            <w:tcW w:w="6331" w:type="dxa"/>
            <w:gridSpan w:val="3"/>
          </w:tcPr>
          <w:p w14:paraId="2B9116D3" w14:textId="77777777" w:rsidR="00437AF3" w:rsidRPr="00A81823" w:rsidRDefault="00437AF3" w:rsidP="004E185D">
            <w:pPr>
              <w:keepNext/>
              <w:autoSpaceDE w:val="0"/>
              <w:autoSpaceDN w:val="0"/>
              <w:adjustRightInd w:val="0"/>
              <w:spacing w:before="0"/>
              <w:jc w:val="center"/>
              <w:rPr>
                <w:b/>
                <w:bCs/>
                <w:sz w:val="20"/>
                <w:szCs w:val="20"/>
              </w:rPr>
            </w:pPr>
            <w:proofErr w:type="spellStart"/>
            <w:r>
              <w:rPr>
                <w:b/>
                <w:bCs/>
                <w:sz w:val="20"/>
                <w:szCs w:val="20"/>
              </w:rPr>
              <w:t>Randomised</w:t>
            </w:r>
            <w:proofErr w:type="spellEnd"/>
            <w:r>
              <w:rPr>
                <w:b/>
                <w:bCs/>
                <w:sz w:val="20"/>
                <w:szCs w:val="20"/>
              </w:rPr>
              <w:t xml:space="preserve"> set</w:t>
            </w:r>
          </w:p>
        </w:tc>
      </w:tr>
      <w:tr w:rsidR="00437AF3" w:rsidRPr="00A81823" w14:paraId="44AD0B1F" w14:textId="77777777" w:rsidTr="00437AF3">
        <w:tc>
          <w:tcPr>
            <w:tcW w:w="2685" w:type="dxa"/>
            <w:vMerge/>
          </w:tcPr>
          <w:p w14:paraId="4C853C62" w14:textId="77777777" w:rsidR="00437AF3" w:rsidRPr="00A81823" w:rsidRDefault="00437AF3" w:rsidP="004E185D">
            <w:pPr>
              <w:keepNext/>
              <w:autoSpaceDE w:val="0"/>
              <w:autoSpaceDN w:val="0"/>
              <w:adjustRightInd w:val="0"/>
              <w:spacing w:before="0"/>
              <w:rPr>
                <w:b/>
                <w:bCs/>
                <w:sz w:val="20"/>
                <w:szCs w:val="20"/>
              </w:rPr>
            </w:pPr>
          </w:p>
        </w:tc>
        <w:tc>
          <w:tcPr>
            <w:tcW w:w="2110" w:type="dxa"/>
          </w:tcPr>
          <w:p w14:paraId="2E6A4841" w14:textId="77777777" w:rsidR="00437AF3" w:rsidRPr="00A81823" w:rsidRDefault="00437AF3" w:rsidP="004E185D">
            <w:pPr>
              <w:keepNext/>
              <w:autoSpaceDE w:val="0"/>
              <w:autoSpaceDN w:val="0"/>
              <w:adjustRightInd w:val="0"/>
              <w:spacing w:before="0"/>
              <w:jc w:val="center"/>
              <w:rPr>
                <w:b/>
                <w:bCs/>
                <w:sz w:val="20"/>
                <w:szCs w:val="20"/>
              </w:rPr>
            </w:pPr>
            <w:r w:rsidRPr="00A81823">
              <w:rPr>
                <w:b/>
                <w:bCs/>
                <w:sz w:val="20"/>
                <w:szCs w:val="20"/>
              </w:rPr>
              <w:t>SLENYTO</w:t>
            </w:r>
            <w:r>
              <w:rPr>
                <w:b/>
                <w:bCs/>
                <w:sz w:val="20"/>
                <w:szCs w:val="20"/>
              </w:rPr>
              <w:br/>
              <w:t>(n=60)</w:t>
            </w:r>
          </w:p>
        </w:tc>
        <w:tc>
          <w:tcPr>
            <w:tcW w:w="2110" w:type="dxa"/>
          </w:tcPr>
          <w:p w14:paraId="3E62B87C" w14:textId="77777777" w:rsidR="00437AF3" w:rsidRPr="00A81823" w:rsidRDefault="00437AF3" w:rsidP="004E185D">
            <w:pPr>
              <w:keepNext/>
              <w:autoSpaceDE w:val="0"/>
              <w:autoSpaceDN w:val="0"/>
              <w:adjustRightInd w:val="0"/>
              <w:spacing w:before="0"/>
              <w:jc w:val="center"/>
              <w:rPr>
                <w:b/>
                <w:bCs/>
                <w:sz w:val="20"/>
                <w:szCs w:val="20"/>
              </w:rPr>
            </w:pPr>
            <w:r>
              <w:rPr>
                <w:b/>
                <w:bCs/>
                <w:sz w:val="20"/>
                <w:szCs w:val="20"/>
              </w:rPr>
              <w:t>Placebo</w:t>
            </w:r>
            <w:r>
              <w:rPr>
                <w:b/>
                <w:bCs/>
                <w:sz w:val="20"/>
                <w:szCs w:val="20"/>
              </w:rPr>
              <w:br/>
              <w:t>(n=65)</w:t>
            </w:r>
          </w:p>
        </w:tc>
        <w:tc>
          <w:tcPr>
            <w:tcW w:w="2111" w:type="dxa"/>
          </w:tcPr>
          <w:p w14:paraId="6C4C42D6" w14:textId="77777777" w:rsidR="00437AF3" w:rsidRPr="00A81823" w:rsidRDefault="00437AF3" w:rsidP="004E185D">
            <w:pPr>
              <w:keepNext/>
              <w:autoSpaceDE w:val="0"/>
              <w:autoSpaceDN w:val="0"/>
              <w:adjustRightInd w:val="0"/>
              <w:spacing w:before="0"/>
              <w:jc w:val="center"/>
              <w:rPr>
                <w:b/>
                <w:bCs/>
                <w:sz w:val="20"/>
                <w:szCs w:val="20"/>
              </w:rPr>
            </w:pPr>
            <w:r>
              <w:rPr>
                <w:b/>
                <w:bCs/>
                <w:sz w:val="20"/>
                <w:szCs w:val="20"/>
              </w:rPr>
              <w:t>Overall</w:t>
            </w:r>
            <w:r>
              <w:rPr>
                <w:b/>
                <w:bCs/>
                <w:sz w:val="20"/>
                <w:szCs w:val="20"/>
              </w:rPr>
              <w:br/>
              <w:t>(n=125)</w:t>
            </w:r>
          </w:p>
        </w:tc>
      </w:tr>
      <w:tr w:rsidR="00232F3B" w:rsidRPr="00A81823" w14:paraId="3D43912E" w14:textId="77777777" w:rsidTr="00437AF3">
        <w:tc>
          <w:tcPr>
            <w:tcW w:w="2685" w:type="dxa"/>
          </w:tcPr>
          <w:p w14:paraId="3D907602" w14:textId="77777777" w:rsidR="00232F3B" w:rsidRDefault="00232F3B" w:rsidP="004E185D">
            <w:pPr>
              <w:keepNext/>
              <w:autoSpaceDE w:val="0"/>
              <w:autoSpaceDN w:val="0"/>
              <w:adjustRightInd w:val="0"/>
              <w:spacing w:before="0"/>
              <w:rPr>
                <w:b/>
                <w:bCs/>
                <w:sz w:val="20"/>
                <w:szCs w:val="20"/>
              </w:rPr>
            </w:pPr>
            <w:r>
              <w:rPr>
                <w:b/>
                <w:bCs/>
                <w:sz w:val="20"/>
                <w:szCs w:val="20"/>
              </w:rPr>
              <w:t>Age (years)</w:t>
            </w:r>
          </w:p>
          <w:p w14:paraId="6A0C0B15" w14:textId="77777777" w:rsidR="00232F3B" w:rsidRPr="00A81823" w:rsidRDefault="00232F3B" w:rsidP="004E185D">
            <w:pPr>
              <w:keepNext/>
              <w:autoSpaceDE w:val="0"/>
              <w:autoSpaceDN w:val="0"/>
              <w:adjustRightInd w:val="0"/>
              <w:spacing w:before="0"/>
              <w:rPr>
                <w:b/>
                <w:bCs/>
                <w:sz w:val="20"/>
                <w:szCs w:val="20"/>
              </w:rPr>
            </w:pPr>
            <w:r w:rsidRPr="00A81823">
              <w:rPr>
                <w:sz w:val="20"/>
                <w:szCs w:val="20"/>
              </w:rPr>
              <w:t>Mean ± SD</w:t>
            </w:r>
            <w:r>
              <w:rPr>
                <w:sz w:val="20"/>
                <w:szCs w:val="20"/>
              </w:rPr>
              <w:t xml:space="preserve"> (r</w:t>
            </w:r>
            <w:r w:rsidRPr="00A81823">
              <w:rPr>
                <w:sz w:val="20"/>
                <w:szCs w:val="20"/>
              </w:rPr>
              <w:t>ange</w:t>
            </w:r>
            <w:r>
              <w:rPr>
                <w:sz w:val="20"/>
                <w:szCs w:val="20"/>
              </w:rPr>
              <w:t>)</w:t>
            </w:r>
          </w:p>
        </w:tc>
        <w:tc>
          <w:tcPr>
            <w:tcW w:w="2110" w:type="dxa"/>
          </w:tcPr>
          <w:p w14:paraId="6B121518" w14:textId="77777777" w:rsidR="00232F3B" w:rsidRPr="00A81823" w:rsidRDefault="00232F3B" w:rsidP="004E185D">
            <w:pPr>
              <w:keepNext/>
              <w:autoSpaceDE w:val="0"/>
              <w:autoSpaceDN w:val="0"/>
              <w:adjustRightInd w:val="0"/>
              <w:spacing w:before="0"/>
              <w:jc w:val="center"/>
              <w:rPr>
                <w:b/>
                <w:bCs/>
                <w:sz w:val="20"/>
                <w:szCs w:val="20"/>
              </w:rPr>
            </w:pPr>
            <w:r w:rsidRPr="00DA6404">
              <w:rPr>
                <w:sz w:val="22"/>
                <w:szCs w:val="22"/>
              </w:rPr>
              <w:t xml:space="preserve">9.0 </w:t>
            </w:r>
            <w:r w:rsidRPr="00DA6404">
              <w:rPr>
                <w:rFonts w:cs="Times"/>
                <w:sz w:val="22"/>
                <w:szCs w:val="22"/>
              </w:rPr>
              <w:t>± 4.08</w:t>
            </w:r>
            <w:r>
              <w:rPr>
                <w:rFonts w:cs="Times"/>
                <w:sz w:val="22"/>
                <w:szCs w:val="22"/>
              </w:rPr>
              <w:t xml:space="preserve"> (2, 17)</w:t>
            </w:r>
          </w:p>
        </w:tc>
        <w:tc>
          <w:tcPr>
            <w:tcW w:w="2110" w:type="dxa"/>
          </w:tcPr>
          <w:p w14:paraId="2FC02C36" w14:textId="77777777" w:rsidR="00232F3B" w:rsidRPr="00A81823" w:rsidRDefault="00232F3B" w:rsidP="004E185D">
            <w:pPr>
              <w:keepNext/>
              <w:autoSpaceDE w:val="0"/>
              <w:autoSpaceDN w:val="0"/>
              <w:adjustRightInd w:val="0"/>
              <w:spacing w:before="0"/>
              <w:jc w:val="center"/>
              <w:rPr>
                <w:b/>
                <w:bCs/>
                <w:sz w:val="20"/>
                <w:szCs w:val="20"/>
              </w:rPr>
            </w:pPr>
            <w:r w:rsidRPr="00DA6404">
              <w:rPr>
                <w:sz w:val="22"/>
                <w:szCs w:val="22"/>
              </w:rPr>
              <w:t xml:space="preserve">8.4 </w:t>
            </w:r>
            <w:r w:rsidRPr="00DA6404">
              <w:rPr>
                <w:rFonts w:cs="Times"/>
                <w:sz w:val="22"/>
                <w:szCs w:val="22"/>
              </w:rPr>
              <w:t>± 4.24</w:t>
            </w:r>
            <w:r>
              <w:rPr>
                <w:rFonts w:cs="Times"/>
                <w:sz w:val="22"/>
                <w:szCs w:val="22"/>
              </w:rPr>
              <w:t xml:space="preserve"> (2, 17)</w:t>
            </w:r>
          </w:p>
        </w:tc>
        <w:tc>
          <w:tcPr>
            <w:tcW w:w="2111" w:type="dxa"/>
          </w:tcPr>
          <w:p w14:paraId="7A6CDC12" w14:textId="77777777" w:rsidR="00232F3B" w:rsidRPr="00A81823" w:rsidRDefault="00232F3B" w:rsidP="004E185D">
            <w:pPr>
              <w:keepNext/>
              <w:autoSpaceDE w:val="0"/>
              <w:autoSpaceDN w:val="0"/>
              <w:adjustRightInd w:val="0"/>
              <w:spacing w:before="0"/>
              <w:jc w:val="center"/>
              <w:rPr>
                <w:b/>
                <w:bCs/>
                <w:sz w:val="20"/>
                <w:szCs w:val="20"/>
              </w:rPr>
            </w:pPr>
            <w:r w:rsidRPr="00DA6404">
              <w:rPr>
                <w:sz w:val="22"/>
                <w:szCs w:val="22"/>
              </w:rPr>
              <w:t xml:space="preserve">8.7 </w:t>
            </w:r>
            <w:r w:rsidRPr="00DA6404">
              <w:rPr>
                <w:rFonts w:cs="Times"/>
                <w:sz w:val="22"/>
                <w:szCs w:val="22"/>
              </w:rPr>
              <w:t>± 4.15</w:t>
            </w:r>
            <w:r>
              <w:rPr>
                <w:rFonts w:cs="Times"/>
                <w:sz w:val="22"/>
                <w:szCs w:val="22"/>
              </w:rPr>
              <w:t xml:space="preserve"> (2, 17)</w:t>
            </w:r>
          </w:p>
        </w:tc>
      </w:tr>
      <w:tr w:rsidR="00437AF3" w:rsidRPr="00A81823" w14:paraId="4D9F60CD" w14:textId="77777777" w:rsidTr="00437AF3">
        <w:tc>
          <w:tcPr>
            <w:tcW w:w="2685" w:type="dxa"/>
          </w:tcPr>
          <w:p w14:paraId="64256840" w14:textId="77777777" w:rsidR="00437AF3" w:rsidRDefault="00437AF3" w:rsidP="004E185D">
            <w:pPr>
              <w:keepNext/>
              <w:autoSpaceDE w:val="0"/>
              <w:autoSpaceDN w:val="0"/>
              <w:adjustRightInd w:val="0"/>
              <w:spacing w:before="0"/>
              <w:rPr>
                <w:b/>
                <w:bCs/>
                <w:sz w:val="20"/>
                <w:szCs w:val="20"/>
              </w:rPr>
            </w:pPr>
            <w:r>
              <w:rPr>
                <w:b/>
                <w:bCs/>
                <w:sz w:val="20"/>
                <w:szCs w:val="20"/>
              </w:rPr>
              <w:t>Gender</w:t>
            </w:r>
          </w:p>
          <w:p w14:paraId="0A1D5797" w14:textId="77777777" w:rsidR="00437AF3" w:rsidRPr="00D266B3" w:rsidRDefault="00437AF3" w:rsidP="004E185D">
            <w:pPr>
              <w:keepNext/>
              <w:autoSpaceDE w:val="0"/>
              <w:autoSpaceDN w:val="0"/>
              <w:adjustRightInd w:val="0"/>
              <w:spacing w:before="0"/>
              <w:rPr>
                <w:sz w:val="20"/>
                <w:szCs w:val="20"/>
              </w:rPr>
            </w:pPr>
            <w:r w:rsidRPr="00D266B3">
              <w:rPr>
                <w:sz w:val="20"/>
                <w:szCs w:val="20"/>
              </w:rPr>
              <w:t>Male (%)</w:t>
            </w:r>
          </w:p>
          <w:p w14:paraId="22B5E465" w14:textId="77777777" w:rsidR="00437AF3" w:rsidRDefault="00437AF3" w:rsidP="004E185D">
            <w:pPr>
              <w:keepNext/>
              <w:autoSpaceDE w:val="0"/>
              <w:autoSpaceDN w:val="0"/>
              <w:adjustRightInd w:val="0"/>
              <w:spacing w:before="0"/>
              <w:rPr>
                <w:b/>
                <w:bCs/>
                <w:sz w:val="20"/>
                <w:szCs w:val="20"/>
              </w:rPr>
            </w:pPr>
            <w:r w:rsidRPr="00D266B3">
              <w:rPr>
                <w:sz w:val="20"/>
                <w:szCs w:val="20"/>
              </w:rPr>
              <w:t>Female (%)</w:t>
            </w:r>
          </w:p>
        </w:tc>
        <w:tc>
          <w:tcPr>
            <w:tcW w:w="2110" w:type="dxa"/>
          </w:tcPr>
          <w:p w14:paraId="3707B46F" w14:textId="77777777" w:rsidR="00437AF3" w:rsidRPr="00AA37F3" w:rsidRDefault="00437AF3" w:rsidP="004E185D">
            <w:pPr>
              <w:keepNext/>
              <w:autoSpaceDE w:val="0"/>
              <w:autoSpaceDN w:val="0"/>
              <w:adjustRightInd w:val="0"/>
              <w:spacing w:before="0"/>
              <w:jc w:val="center"/>
              <w:rPr>
                <w:sz w:val="20"/>
                <w:szCs w:val="20"/>
              </w:rPr>
            </w:pPr>
          </w:p>
          <w:p w14:paraId="3DA1D393" w14:textId="77777777" w:rsidR="00AA37F3" w:rsidRDefault="00AA37F3" w:rsidP="004E185D">
            <w:pPr>
              <w:keepNext/>
              <w:autoSpaceDE w:val="0"/>
              <w:autoSpaceDN w:val="0"/>
              <w:adjustRightInd w:val="0"/>
              <w:spacing w:before="0"/>
              <w:jc w:val="center"/>
              <w:rPr>
                <w:sz w:val="20"/>
                <w:szCs w:val="20"/>
              </w:rPr>
            </w:pPr>
            <w:r w:rsidRPr="00AA37F3">
              <w:rPr>
                <w:sz w:val="20"/>
                <w:szCs w:val="20"/>
              </w:rPr>
              <w:t>45 (75%)</w:t>
            </w:r>
          </w:p>
          <w:p w14:paraId="043E92A9" w14:textId="77777777" w:rsidR="00AA37F3" w:rsidRPr="00AA37F3" w:rsidRDefault="00AA37F3" w:rsidP="004E185D">
            <w:pPr>
              <w:keepNext/>
              <w:autoSpaceDE w:val="0"/>
              <w:autoSpaceDN w:val="0"/>
              <w:adjustRightInd w:val="0"/>
              <w:spacing w:before="0"/>
              <w:jc w:val="center"/>
              <w:rPr>
                <w:sz w:val="20"/>
                <w:szCs w:val="20"/>
              </w:rPr>
            </w:pPr>
            <w:r w:rsidRPr="00AA37F3">
              <w:rPr>
                <w:sz w:val="20"/>
                <w:szCs w:val="20"/>
              </w:rPr>
              <w:t>15</w:t>
            </w:r>
            <w:r>
              <w:rPr>
                <w:sz w:val="20"/>
                <w:szCs w:val="20"/>
              </w:rPr>
              <w:t xml:space="preserve"> </w:t>
            </w:r>
            <w:r w:rsidRPr="00AA37F3">
              <w:rPr>
                <w:sz w:val="20"/>
                <w:szCs w:val="20"/>
              </w:rPr>
              <w:t>(25.0%)</w:t>
            </w:r>
          </w:p>
        </w:tc>
        <w:tc>
          <w:tcPr>
            <w:tcW w:w="2110" w:type="dxa"/>
          </w:tcPr>
          <w:p w14:paraId="6F8D1237" w14:textId="77777777" w:rsidR="00437AF3" w:rsidRDefault="00437AF3" w:rsidP="004E185D">
            <w:pPr>
              <w:keepNext/>
              <w:autoSpaceDE w:val="0"/>
              <w:autoSpaceDN w:val="0"/>
              <w:adjustRightInd w:val="0"/>
              <w:spacing w:before="0"/>
              <w:jc w:val="center"/>
              <w:rPr>
                <w:sz w:val="20"/>
                <w:szCs w:val="20"/>
              </w:rPr>
            </w:pPr>
          </w:p>
          <w:p w14:paraId="1200CA5C" w14:textId="77777777" w:rsidR="00AA37F3" w:rsidRDefault="00AA37F3" w:rsidP="004E185D">
            <w:pPr>
              <w:keepNext/>
              <w:autoSpaceDE w:val="0"/>
              <w:autoSpaceDN w:val="0"/>
              <w:adjustRightInd w:val="0"/>
              <w:spacing w:before="0"/>
              <w:jc w:val="center"/>
              <w:rPr>
                <w:sz w:val="20"/>
                <w:szCs w:val="20"/>
              </w:rPr>
            </w:pPr>
            <w:r>
              <w:rPr>
                <w:sz w:val="20"/>
                <w:szCs w:val="20"/>
              </w:rPr>
              <w:t>47 (72.3%)</w:t>
            </w:r>
          </w:p>
          <w:p w14:paraId="435FE0FF" w14:textId="77777777" w:rsidR="00AA37F3" w:rsidRPr="00AA37F3" w:rsidRDefault="00AA37F3" w:rsidP="004E185D">
            <w:pPr>
              <w:keepNext/>
              <w:autoSpaceDE w:val="0"/>
              <w:autoSpaceDN w:val="0"/>
              <w:adjustRightInd w:val="0"/>
              <w:spacing w:before="0"/>
              <w:jc w:val="center"/>
              <w:rPr>
                <w:sz w:val="20"/>
                <w:szCs w:val="20"/>
              </w:rPr>
            </w:pPr>
            <w:r>
              <w:rPr>
                <w:sz w:val="20"/>
                <w:szCs w:val="20"/>
              </w:rPr>
              <w:t>18 (27.7%)</w:t>
            </w:r>
          </w:p>
        </w:tc>
        <w:tc>
          <w:tcPr>
            <w:tcW w:w="2111" w:type="dxa"/>
          </w:tcPr>
          <w:p w14:paraId="50476B9B" w14:textId="77777777" w:rsidR="00437AF3" w:rsidRDefault="00437AF3" w:rsidP="004E185D">
            <w:pPr>
              <w:keepNext/>
              <w:autoSpaceDE w:val="0"/>
              <w:autoSpaceDN w:val="0"/>
              <w:adjustRightInd w:val="0"/>
              <w:spacing w:before="0"/>
              <w:jc w:val="center"/>
              <w:rPr>
                <w:sz w:val="20"/>
                <w:szCs w:val="20"/>
              </w:rPr>
            </w:pPr>
          </w:p>
          <w:p w14:paraId="5EF7F266" w14:textId="77777777" w:rsidR="00AA37F3" w:rsidRDefault="00AA37F3" w:rsidP="004E185D">
            <w:pPr>
              <w:keepNext/>
              <w:autoSpaceDE w:val="0"/>
              <w:autoSpaceDN w:val="0"/>
              <w:adjustRightInd w:val="0"/>
              <w:spacing w:before="0"/>
              <w:jc w:val="center"/>
              <w:rPr>
                <w:sz w:val="20"/>
                <w:szCs w:val="20"/>
              </w:rPr>
            </w:pPr>
            <w:r w:rsidRPr="00AA37F3">
              <w:rPr>
                <w:sz w:val="20"/>
                <w:szCs w:val="20"/>
              </w:rPr>
              <w:t>92</w:t>
            </w:r>
            <w:r>
              <w:rPr>
                <w:sz w:val="20"/>
                <w:szCs w:val="20"/>
              </w:rPr>
              <w:t xml:space="preserve"> </w:t>
            </w:r>
            <w:r w:rsidRPr="00AA37F3">
              <w:rPr>
                <w:sz w:val="20"/>
                <w:szCs w:val="20"/>
              </w:rPr>
              <w:t>(73.6%)</w:t>
            </w:r>
          </w:p>
          <w:p w14:paraId="691B0BC5" w14:textId="77777777" w:rsidR="00AA37F3" w:rsidRPr="00AA37F3" w:rsidRDefault="00AA37F3" w:rsidP="004E185D">
            <w:pPr>
              <w:keepNext/>
              <w:autoSpaceDE w:val="0"/>
              <w:autoSpaceDN w:val="0"/>
              <w:adjustRightInd w:val="0"/>
              <w:spacing w:before="0"/>
              <w:jc w:val="center"/>
              <w:rPr>
                <w:sz w:val="20"/>
                <w:szCs w:val="20"/>
              </w:rPr>
            </w:pPr>
            <w:r>
              <w:rPr>
                <w:sz w:val="20"/>
                <w:szCs w:val="20"/>
              </w:rPr>
              <w:t>33 (26.4%)</w:t>
            </w:r>
          </w:p>
        </w:tc>
      </w:tr>
      <w:tr w:rsidR="006D7345" w:rsidRPr="00A81823" w14:paraId="1056483B" w14:textId="77777777" w:rsidTr="00437AF3">
        <w:tc>
          <w:tcPr>
            <w:tcW w:w="2685" w:type="dxa"/>
          </w:tcPr>
          <w:p w14:paraId="76518950" w14:textId="77777777" w:rsidR="006D7345" w:rsidRDefault="006D7345" w:rsidP="004E185D">
            <w:pPr>
              <w:keepNext/>
              <w:autoSpaceDE w:val="0"/>
              <w:autoSpaceDN w:val="0"/>
              <w:adjustRightInd w:val="0"/>
              <w:spacing w:before="0"/>
              <w:rPr>
                <w:b/>
                <w:bCs/>
                <w:sz w:val="20"/>
                <w:szCs w:val="20"/>
              </w:rPr>
            </w:pPr>
            <w:r>
              <w:rPr>
                <w:b/>
                <w:bCs/>
                <w:sz w:val="20"/>
                <w:szCs w:val="20"/>
              </w:rPr>
              <w:t>Diagnoses</w:t>
            </w:r>
          </w:p>
          <w:p w14:paraId="310DB108" w14:textId="77777777" w:rsidR="006D7345" w:rsidRPr="006510E7" w:rsidRDefault="006D7345" w:rsidP="004E185D">
            <w:pPr>
              <w:keepNext/>
              <w:autoSpaceDE w:val="0"/>
              <w:autoSpaceDN w:val="0"/>
              <w:adjustRightInd w:val="0"/>
              <w:spacing w:before="0"/>
              <w:rPr>
                <w:sz w:val="20"/>
                <w:szCs w:val="20"/>
              </w:rPr>
            </w:pPr>
            <w:r w:rsidRPr="006510E7">
              <w:rPr>
                <w:sz w:val="20"/>
                <w:szCs w:val="20"/>
              </w:rPr>
              <w:t>ASD</w:t>
            </w:r>
          </w:p>
          <w:p w14:paraId="338A0549" w14:textId="019A207C" w:rsidR="006D7345" w:rsidRPr="00A81823" w:rsidRDefault="006D7345" w:rsidP="004E185D">
            <w:pPr>
              <w:keepNext/>
              <w:autoSpaceDE w:val="0"/>
              <w:autoSpaceDN w:val="0"/>
              <w:adjustRightInd w:val="0"/>
              <w:spacing w:before="0"/>
              <w:rPr>
                <w:b/>
                <w:bCs/>
                <w:sz w:val="20"/>
                <w:szCs w:val="20"/>
              </w:rPr>
            </w:pPr>
            <w:r w:rsidRPr="006510E7">
              <w:rPr>
                <w:sz w:val="20"/>
                <w:szCs w:val="20"/>
              </w:rPr>
              <w:t>SMS</w:t>
            </w:r>
          </w:p>
        </w:tc>
        <w:tc>
          <w:tcPr>
            <w:tcW w:w="2110" w:type="dxa"/>
          </w:tcPr>
          <w:p w14:paraId="50F9822F" w14:textId="77777777" w:rsidR="006D7345" w:rsidRDefault="006D7345" w:rsidP="004E185D">
            <w:pPr>
              <w:keepNext/>
              <w:autoSpaceDE w:val="0"/>
              <w:autoSpaceDN w:val="0"/>
              <w:adjustRightInd w:val="0"/>
              <w:spacing w:before="0"/>
              <w:jc w:val="center"/>
              <w:rPr>
                <w:sz w:val="20"/>
                <w:szCs w:val="20"/>
              </w:rPr>
            </w:pPr>
          </w:p>
          <w:p w14:paraId="0F04158D" w14:textId="77777777" w:rsidR="006D7345" w:rsidRPr="00A60471" w:rsidRDefault="006D7345" w:rsidP="004E185D">
            <w:pPr>
              <w:keepNext/>
              <w:autoSpaceDE w:val="0"/>
              <w:autoSpaceDN w:val="0"/>
              <w:adjustRightInd w:val="0"/>
              <w:spacing w:before="0"/>
              <w:jc w:val="center"/>
              <w:rPr>
                <w:sz w:val="20"/>
                <w:szCs w:val="20"/>
              </w:rPr>
            </w:pPr>
            <w:r w:rsidRPr="00A60471">
              <w:rPr>
                <w:sz w:val="20"/>
                <w:szCs w:val="20"/>
              </w:rPr>
              <w:t>58 (96.7%)</w:t>
            </w:r>
          </w:p>
          <w:p w14:paraId="2ABB78D9" w14:textId="77777777" w:rsidR="006D7345" w:rsidRPr="00A81823" w:rsidRDefault="006D7345" w:rsidP="004E185D">
            <w:pPr>
              <w:keepNext/>
              <w:autoSpaceDE w:val="0"/>
              <w:autoSpaceDN w:val="0"/>
              <w:adjustRightInd w:val="0"/>
              <w:spacing w:before="0"/>
              <w:jc w:val="center"/>
              <w:rPr>
                <w:b/>
                <w:bCs/>
                <w:sz w:val="20"/>
                <w:szCs w:val="20"/>
              </w:rPr>
            </w:pPr>
            <w:r w:rsidRPr="00A60471">
              <w:rPr>
                <w:sz w:val="20"/>
                <w:szCs w:val="20"/>
              </w:rPr>
              <w:t>2 (3.3%)</w:t>
            </w:r>
          </w:p>
        </w:tc>
        <w:tc>
          <w:tcPr>
            <w:tcW w:w="2110" w:type="dxa"/>
          </w:tcPr>
          <w:p w14:paraId="7517E044" w14:textId="77777777" w:rsidR="006D7345" w:rsidRDefault="006D7345" w:rsidP="004E185D">
            <w:pPr>
              <w:keepNext/>
              <w:autoSpaceDE w:val="0"/>
              <w:autoSpaceDN w:val="0"/>
              <w:adjustRightInd w:val="0"/>
              <w:spacing w:before="0"/>
              <w:jc w:val="center"/>
              <w:rPr>
                <w:sz w:val="20"/>
                <w:szCs w:val="20"/>
              </w:rPr>
            </w:pPr>
          </w:p>
          <w:p w14:paraId="30037CD3" w14:textId="77777777" w:rsidR="006D7345" w:rsidRDefault="006D7345" w:rsidP="004E185D">
            <w:pPr>
              <w:keepNext/>
              <w:autoSpaceDE w:val="0"/>
              <w:autoSpaceDN w:val="0"/>
              <w:adjustRightInd w:val="0"/>
              <w:spacing w:before="0"/>
              <w:jc w:val="center"/>
              <w:rPr>
                <w:sz w:val="20"/>
                <w:szCs w:val="20"/>
              </w:rPr>
            </w:pPr>
            <w:r>
              <w:rPr>
                <w:sz w:val="20"/>
                <w:szCs w:val="20"/>
              </w:rPr>
              <w:t>63 (96.9%)</w:t>
            </w:r>
          </w:p>
          <w:p w14:paraId="10D888B1" w14:textId="77777777" w:rsidR="006D7345" w:rsidRPr="00A81823" w:rsidRDefault="006D7345" w:rsidP="004E185D">
            <w:pPr>
              <w:keepNext/>
              <w:autoSpaceDE w:val="0"/>
              <w:autoSpaceDN w:val="0"/>
              <w:adjustRightInd w:val="0"/>
              <w:spacing w:before="0"/>
              <w:jc w:val="center"/>
              <w:rPr>
                <w:b/>
                <w:bCs/>
                <w:sz w:val="20"/>
                <w:szCs w:val="20"/>
              </w:rPr>
            </w:pPr>
            <w:r>
              <w:rPr>
                <w:sz w:val="20"/>
                <w:szCs w:val="20"/>
              </w:rPr>
              <w:t xml:space="preserve"> 2 (3.1%)</w:t>
            </w:r>
          </w:p>
        </w:tc>
        <w:tc>
          <w:tcPr>
            <w:tcW w:w="2111" w:type="dxa"/>
          </w:tcPr>
          <w:p w14:paraId="5E00A034" w14:textId="77777777" w:rsidR="006D7345" w:rsidRDefault="006D7345" w:rsidP="004E185D">
            <w:pPr>
              <w:keepNext/>
              <w:autoSpaceDE w:val="0"/>
              <w:autoSpaceDN w:val="0"/>
              <w:adjustRightInd w:val="0"/>
              <w:spacing w:before="0"/>
              <w:jc w:val="center"/>
              <w:rPr>
                <w:sz w:val="20"/>
                <w:szCs w:val="20"/>
              </w:rPr>
            </w:pPr>
            <w:r>
              <w:rPr>
                <w:sz w:val="20"/>
                <w:szCs w:val="20"/>
              </w:rPr>
              <w:t xml:space="preserve"> </w:t>
            </w:r>
          </w:p>
          <w:p w14:paraId="590EC3AE" w14:textId="77777777" w:rsidR="006D7345" w:rsidRDefault="006D7345" w:rsidP="004E185D">
            <w:pPr>
              <w:keepNext/>
              <w:autoSpaceDE w:val="0"/>
              <w:autoSpaceDN w:val="0"/>
              <w:adjustRightInd w:val="0"/>
              <w:spacing w:before="0"/>
              <w:jc w:val="center"/>
              <w:rPr>
                <w:sz w:val="20"/>
                <w:szCs w:val="20"/>
              </w:rPr>
            </w:pPr>
            <w:r>
              <w:rPr>
                <w:sz w:val="20"/>
                <w:szCs w:val="20"/>
              </w:rPr>
              <w:t>121 (96.8%)</w:t>
            </w:r>
          </w:p>
          <w:p w14:paraId="2675CD6B" w14:textId="77777777" w:rsidR="006D7345" w:rsidRPr="00A81823" w:rsidRDefault="006D7345" w:rsidP="004E185D">
            <w:pPr>
              <w:keepNext/>
              <w:autoSpaceDE w:val="0"/>
              <w:autoSpaceDN w:val="0"/>
              <w:adjustRightInd w:val="0"/>
              <w:spacing w:before="0"/>
              <w:jc w:val="center"/>
              <w:rPr>
                <w:b/>
                <w:bCs/>
                <w:sz w:val="20"/>
                <w:szCs w:val="20"/>
              </w:rPr>
            </w:pPr>
            <w:r>
              <w:rPr>
                <w:sz w:val="20"/>
                <w:szCs w:val="20"/>
              </w:rPr>
              <w:t xml:space="preserve"> 4 (3.2%)</w:t>
            </w:r>
          </w:p>
        </w:tc>
      </w:tr>
      <w:tr w:rsidR="006D7345" w:rsidRPr="00A81823" w14:paraId="63E4C7E5" w14:textId="77777777" w:rsidTr="00437AF3">
        <w:tc>
          <w:tcPr>
            <w:tcW w:w="2685" w:type="dxa"/>
          </w:tcPr>
          <w:p w14:paraId="591DC86A" w14:textId="77777777" w:rsidR="006D7345" w:rsidRDefault="006D7345" w:rsidP="004E185D">
            <w:pPr>
              <w:keepNext/>
              <w:autoSpaceDE w:val="0"/>
              <w:autoSpaceDN w:val="0"/>
              <w:adjustRightInd w:val="0"/>
              <w:spacing w:before="0"/>
              <w:rPr>
                <w:b/>
                <w:bCs/>
                <w:sz w:val="20"/>
                <w:szCs w:val="20"/>
              </w:rPr>
            </w:pPr>
            <w:r>
              <w:rPr>
                <w:b/>
                <w:bCs/>
                <w:sz w:val="20"/>
                <w:szCs w:val="20"/>
              </w:rPr>
              <w:t>Comorbidities</w:t>
            </w:r>
          </w:p>
          <w:p w14:paraId="669E6133" w14:textId="77777777" w:rsidR="006D7345" w:rsidRPr="006510E7" w:rsidRDefault="006D7345" w:rsidP="004E185D">
            <w:pPr>
              <w:keepNext/>
              <w:autoSpaceDE w:val="0"/>
              <w:autoSpaceDN w:val="0"/>
              <w:adjustRightInd w:val="0"/>
              <w:spacing w:before="0"/>
              <w:rPr>
                <w:sz w:val="20"/>
                <w:szCs w:val="20"/>
              </w:rPr>
            </w:pPr>
            <w:r w:rsidRPr="006510E7">
              <w:rPr>
                <w:sz w:val="20"/>
                <w:szCs w:val="20"/>
              </w:rPr>
              <w:t>ADHD</w:t>
            </w:r>
          </w:p>
          <w:p w14:paraId="6C8090D2" w14:textId="5DD4C6B0" w:rsidR="006D7345" w:rsidRPr="00A81823" w:rsidRDefault="006D7345" w:rsidP="004E185D">
            <w:pPr>
              <w:keepNext/>
              <w:autoSpaceDE w:val="0"/>
              <w:autoSpaceDN w:val="0"/>
              <w:adjustRightInd w:val="0"/>
              <w:spacing w:before="0"/>
              <w:rPr>
                <w:b/>
                <w:bCs/>
                <w:sz w:val="20"/>
                <w:szCs w:val="20"/>
              </w:rPr>
            </w:pPr>
            <w:r w:rsidRPr="006510E7">
              <w:rPr>
                <w:sz w:val="20"/>
                <w:szCs w:val="20"/>
              </w:rPr>
              <w:t>Epilepsy</w:t>
            </w:r>
          </w:p>
        </w:tc>
        <w:tc>
          <w:tcPr>
            <w:tcW w:w="2110" w:type="dxa"/>
          </w:tcPr>
          <w:p w14:paraId="1B40B4DD" w14:textId="77777777" w:rsidR="006D7345" w:rsidRPr="00C45FD9" w:rsidRDefault="006D7345" w:rsidP="004E185D">
            <w:pPr>
              <w:keepNext/>
              <w:autoSpaceDE w:val="0"/>
              <w:autoSpaceDN w:val="0"/>
              <w:adjustRightInd w:val="0"/>
              <w:spacing w:before="0"/>
              <w:rPr>
                <w:rFonts w:asciiTheme="majorBidi" w:eastAsiaTheme="minorHAnsi" w:hAnsiTheme="majorBidi" w:cstheme="majorBidi"/>
                <w:color w:val="auto"/>
                <w:sz w:val="20"/>
                <w:szCs w:val="20"/>
                <w:lang w:bidi="he-IL"/>
              </w:rPr>
            </w:pPr>
          </w:p>
          <w:p w14:paraId="1C673D68" w14:textId="77777777" w:rsidR="006D7345" w:rsidRDefault="006D7345" w:rsidP="004E185D">
            <w:pPr>
              <w:keepNext/>
              <w:autoSpaceDE w:val="0"/>
              <w:autoSpaceDN w:val="0"/>
              <w:adjustRightInd w:val="0"/>
              <w:spacing w:before="0"/>
              <w:jc w:val="center"/>
              <w:rPr>
                <w:rFonts w:asciiTheme="majorBidi" w:eastAsiaTheme="minorHAnsi" w:hAnsiTheme="majorBidi" w:cstheme="majorBidi"/>
                <w:color w:val="auto"/>
                <w:sz w:val="20"/>
                <w:szCs w:val="20"/>
                <w:lang w:bidi="he-IL"/>
              </w:rPr>
            </w:pPr>
            <w:r w:rsidRPr="00C45FD9">
              <w:rPr>
                <w:rFonts w:asciiTheme="majorBidi" w:eastAsiaTheme="minorHAnsi" w:hAnsiTheme="majorBidi" w:cstheme="majorBidi"/>
                <w:color w:val="auto"/>
                <w:sz w:val="20"/>
                <w:szCs w:val="20"/>
                <w:lang w:bidi="he-IL"/>
              </w:rPr>
              <w:t>16 (26.7%)</w:t>
            </w:r>
          </w:p>
          <w:p w14:paraId="3119EAD4" w14:textId="77777777" w:rsidR="006D7345" w:rsidRPr="00A81823" w:rsidRDefault="006D7345" w:rsidP="004E185D">
            <w:pPr>
              <w:keepNext/>
              <w:autoSpaceDE w:val="0"/>
              <w:autoSpaceDN w:val="0"/>
              <w:adjustRightInd w:val="0"/>
              <w:spacing w:before="0"/>
              <w:jc w:val="center"/>
              <w:rPr>
                <w:b/>
                <w:bCs/>
                <w:sz w:val="20"/>
                <w:szCs w:val="20"/>
              </w:rPr>
            </w:pPr>
            <w:r>
              <w:rPr>
                <w:rFonts w:asciiTheme="majorBidi" w:eastAsiaTheme="minorHAnsi" w:hAnsiTheme="majorBidi" w:cstheme="majorBidi"/>
                <w:color w:val="auto"/>
                <w:sz w:val="20"/>
                <w:szCs w:val="20"/>
                <w:lang w:bidi="he-IL"/>
              </w:rPr>
              <w:t>10 (16.7%)</w:t>
            </w:r>
          </w:p>
        </w:tc>
        <w:tc>
          <w:tcPr>
            <w:tcW w:w="2110" w:type="dxa"/>
          </w:tcPr>
          <w:p w14:paraId="4A529517" w14:textId="77777777" w:rsidR="006D7345" w:rsidRPr="00C45FD9" w:rsidRDefault="006D7345" w:rsidP="004E185D">
            <w:pPr>
              <w:keepNext/>
              <w:autoSpaceDE w:val="0"/>
              <w:autoSpaceDN w:val="0"/>
              <w:adjustRightInd w:val="0"/>
              <w:spacing w:before="0"/>
              <w:jc w:val="center"/>
              <w:rPr>
                <w:rFonts w:asciiTheme="majorBidi" w:eastAsiaTheme="minorHAnsi" w:hAnsiTheme="majorBidi" w:cstheme="majorBidi"/>
                <w:color w:val="auto"/>
                <w:sz w:val="20"/>
                <w:szCs w:val="20"/>
                <w:lang w:bidi="he-IL"/>
              </w:rPr>
            </w:pPr>
          </w:p>
          <w:p w14:paraId="5D2E7788" w14:textId="77777777" w:rsidR="006D7345" w:rsidRDefault="006D7345" w:rsidP="004E185D">
            <w:pPr>
              <w:keepNext/>
              <w:autoSpaceDE w:val="0"/>
              <w:autoSpaceDN w:val="0"/>
              <w:adjustRightInd w:val="0"/>
              <w:spacing w:before="0"/>
              <w:jc w:val="center"/>
              <w:rPr>
                <w:rFonts w:asciiTheme="majorBidi" w:eastAsiaTheme="minorHAnsi" w:hAnsiTheme="majorBidi" w:cstheme="majorBidi"/>
                <w:color w:val="auto"/>
                <w:sz w:val="20"/>
                <w:szCs w:val="20"/>
                <w:lang w:bidi="he-IL"/>
              </w:rPr>
            </w:pPr>
            <w:r w:rsidRPr="00C45FD9">
              <w:rPr>
                <w:rFonts w:asciiTheme="majorBidi" w:eastAsiaTheme="minorHAnsi" w:hAnsiTheme="majorBidi" w:cstheme="majorBidi"/>
                <w:color w:val="auto"/>
                <w:sz w:val="20"/>
                <w:szCs w:val="20"/>
                <w:lang w:bidi="he-IL"/>
              </w:rPr>
              <w:t xml:space="preserve">20 (30.8%) </w:t>
            </w:r>
          </w:p>
          <w:p w14:paraId="2A29480B" w14:textId="77777777" w:rsidR="006D7345" w:rsidRPr="00A81823" w:rsidRDefault="006D7345" w:rsidP="004E185D">
            <w:pPr>
              <w:keepNext/>
              <w:autoSpaceDE w:val="0"/>
              <w:autoSpaceDN w:val="0"/>
              <w:adjustRightInd w:val="0"/>
              <w:spacing w:before="0"/>
              <w:jc w:val="center"/>
              <w:rPr>
                <w:b/>
                <w:bCs/>
                <w:sz w:val="20"/>
                <w:szCs w:val="20"/>
              </w:rPr>
            </w:pPr>
            <w:r>
              <w:rPr>
                <w:rFonts w:asciiTheme="majorBidi" w:eastAsiaTheme="minorHAnsi" w:hAnsiTheme="majorBidi" w:cstheme="majorBidi"/>
                <w:color w:val="auto"/>
                <w:sz w:val="20"/>
                <w:szCs w:val="20"/>
                <w:lang w:bidi="he-IL"/>
              </w:rPr>
              <w:t>6 (9.2%)</w:t>
            </w:r>
          </w:p>
        </w:tc>
        <w:tc>
          <w:tcPr>
            <w:tcW w:w="2111" w:type="dxa"/>
          </w:tcPr>
          <w:p w14:paraId="0CBDA990" w14:textId="77777777" w:rsidR="006D7345" w:rsidRPr="00C45FD9" w:rsidRDefault="006D7345" w:rsidP="004E185D">
            <w:pPr>
              <w:keepNext/>
              <w:autoSpaceDE w:val="0"/>
              <w:autoSpaceDN w:val="0"/>
              <w:adjustRightInd w:val="0"/>
              <w:spacing w:before="0"/>
              <w:jc w:val="center"/>
              <w:rPr>
                <w:rFonts w:asciiTheme="majorBidi" w:eastAsiaTheme="minorHAnsi" w:hAnsiTheme="majorBidi" w:cstheme="majorBidi"/>
                <w:color w:val="auto"/>
                <w:sz w:val="20"/>
                <w:szCs w:val="20"/>
                <w:lang w:bidi="he-IL"/>
              </w:rPr>
            </w:pPr>
          </w:p>
          <w:p w14:paraId="631EAB70" w14:textId="77777777" w:rsidR="006D7345" w:rsidRDefault="006D7345" w:rsidP="004E185D">
            <w:pPr>
              <w:keepNext/>
              <w:autoSpaceDE w:val="0"/>
              <w:autoSpaceDN w:val="0"/>
              <w:adjustRightInd w:val="0"/>
              <w:spacing w:before="0"/>
              <w:jc w:val="center"/>
              <w:rPr>
                <w:rFonts w:asciiTheme="majorBidi" w:eastAsiaTheme="minorHAnsi" w:hAnsiTheme="majorBidi" w:cstheme="majorBidi"/>
                <w:color w:val="auto"/>
                <w:sz w:val="20"/>
                <w:szCs w:val="20"/>
                <w:lang w:bidi="he-IL"/>
              </w:rPr>
            </w:pPr>
            <w:r w:rsidRPr="00C45FD9">
              <w:rPr>
                <w:rFonts w:asciiTheme="majorBidi" w:eastAsiaTheme="minorHAnsi" w:hAnsiTheme="majorBidi" w:cstheme="majorBidi"/>
                <w:color w:val="auto"/>
                <w:sz w:val="20"/>
                <w:szCs w:val="20"/>
                <w:lang w:bidi="he-IL"/>
              </w:rPr>
              <w:t>36 (28.8%)</w:t>
            </w:r>
          </w:p>
          <w:p w14:paraId="6A3DE771" w14:textId="77777777" w:rsidR="006D7345" w:rsidRPr="00A81823" w:rsidRDefault="006D7345" w:rsidP="004E185D">
            <w:pPr>
              <w:keepNext/>
              <w:autoSpaceDE w:val="0"/>
              <w:autoSpaceDN w:val="0"/>
              <w:adjustRightInd w:val="0"/>
              <w:spacing w:before="0"/>
              <w:jc w:val="center"/>
              <w:rPr>
                <w:b/>
                <w:bCs/>
                <w:sz w:val="20"/>
                <w:szCs w:val="20"/>
              </w:rPr>
            </w:pPr>
            <w:r>
              <w:rPr>
                <w:rFonts w:asciiTheme="majorBidi" w:eastAsiaTheme="minorHAnsi" w:hAnsiTheme="majorBidi" w:cstheme="majorBidi"/>
                <w:color w:val="auto"/>
                <w:sz w:val="20"/>
                <w:szCs w:val="20"/>
                <w:lang w:bidi="he-IL"/>
              </w:rPr>
              <w:t>16 (12.8%)</w:t>
            </w:r>
          </w:p>
        </w:tc>
      </w:tr>
    </w:tbl>
    <w:p w14:paraId="210ED0B5" w14:textId="0CC21991" w:rsidR="003F3A95" w:rsidRPr="00182901" w:rsidRDefault="003F3A95" w:rsidP="006510E7">
      <w:pPr>
        <w:keepNext/>
        <w:tabs>
          <w:tab w:val="left" w:pos="567"/>
        </w:tabs>
        <w:rPr>
          <w:rFonts w:eastAsia="Times New Roman"/>
          <w:i/>
          <w:color w:val="auto"/>
          <w:lang w:val="en-GB"/>
        </w:rPr>
      </w:pPr>
      <w:r w:rsidRPr="00182901">
        <w:rPr>
          <w:rFonts w:eastAsia="Times New Roman"/>
          <w:bCs/>
          <w:i/>
          <w:color w:val="auto"/>
          <w:lang w:val="en-GB"/>
        </w:rPr>
        <w:t>Randomi</w:t>
      </w:r>
      <w:r w:rsidR="00194C52" w:rsidRPr="00182901">
        <w:rPr>
          <w:rFonts w:eastAsia="Times New Roman"/>
          <w:bCs/>
          <w:i/>
          <w:color w:val="auto"/>
          <w:lang w:val="en-GB"/>
        </w:rPr>
        <w:t>s</w:t>
      </w:r>
      <w:r w:rsidRPr="00182901">
        <w:rPr>
          <w:rFonts w:eastAsia="Times New Roman"/>
          <w:bCs/>
          <w:i/>
          <w:color w:val="auto"/>
          <w:lang w:val="en-GB"/>
        </w:rPr>
        <w:t>ed placebo-controlled treatment period results (13 weeks)</w:t>
      </w:r>
    </w:p>
    <w:p w14:paraId="4515B11C" w14:textId="27359E8B" w:rsidR="006A4F78" w:rsidRDefault="006A4F78" w:rsidP="00634A01">
      <w:pPr>
        <w:tabs>
          <w:tab w:val="left" w:pos="567"/>
        </w:tabs>
      </w:pPr>
      <w:r>
        <w:t xml:space="preserve">The study met the primary endpoint, demonstrating statistically significant effects of </w:t>
      </w:r>
      <w:proofErr w:type="spellStart"/>
      <w:r>
        <w:t>Slenyto</w:t>
      </w:r>
      <w:proofErr w:type="spellEnd"/>
      <w:r>
        <w:t xml:space="preserve"> 2/5 mg versus placebo on change from baseline in mean Sleep and Nap Diary (SND)</w:t>
      </w:r>
      <w:r w:rsidR="00890A55">
        <w:t xml:space="preserve"> </w:t>
      </w:r>
      <w:r>
        <w:t xml:space="preserve">assessed Total Sleep Time (TST) after 13 weeks of double-blind treatment. At baseline, mean </w:t>
      </w:r>
      <w:r>
        <w:lastRenderedPageBreak/>
        <w:t xml:space="preserve">TST was 457.2 minutes in the SLENYTO and 459.9 minutes in the placebo group. After 13 weeks of double-blind treatment, </w:t>
      </w:r>
      <w:r w:rsidR="00A65146">
        <w:t>the adjusted change from baseline in TST was 51.03</w:t>
      </w:r>
      <w:r>
        <w:t xml:space="preserve"> minutes with SLENYTO </w:t>
      </w:r>
      <w:r w:rsidR="00A65146">
        <w:t>and</w:t>
      </w:r>
      <w:r w:rsidR="00E554B7">
        <w:t xml:space="preserve"> </w:t>
      </w:r>
      <w:r w:rsidR="00A65146">
        <w:t>18.71</w:t>
      </w:r>
      <w:r>
        <w:t xml:space="preserve"> minutes with placebo</w:t>
      </w:r>
      <w:r w:rsidR="00A65146">
        <w:t>.  The</w:t>
      </w:r>
      <w:r>
        <w:t xml:space="preserve"> adjusted mean treatment difference </w:t>
      </w:r>
      <w:r w:rsidR="00A65146">
        <w:t>was</w:t>
      </w:r>
      <w:r>
        <w:t xml:space="preserve"> </w:t>
      </w:r>
      <w:r w:rsidR="0066319C">
        <w:t>32.32</w:t>
      </w:r>
      <w:r>
        <w:t xml:space="preserve"> minutes in the </w:t>
      </w:r>
      <w:r w:rsidR="00256E09">
        <w:t>Full Analysis Set</w:t>
      </w:r>
      <w:r w:rsidR="000E5D28">
        <w:t xml:space="preserve"> (FAS)</w:t>
      </w:r>
      <w:r>
        <w:t xml:space="preserve"> (p=0.035</w:t>
      </w:r>
      <w:r w:rsidR="00634A01">
        <w:t xml:space="preserve">, </w:t>
      </w:r>
      <w:r>
        <w:t>Table 3).</w:t>
      </w:r>
    </w:p>
    <w:p w14:paraId="6C386359" w14:textId="0F82607A" w:rsidR="006A4F78" w:rsidRDefault="006A4F78" w:rsidP="00890A55">
      <w:pPr>
        <w:tabs>
          <w:tab w:val="left" w:pos="567"/>
        </w:tabs>
      </w:pPr>
      <w:r>
        <w:t xml:space="preserve">At baseline, mean Sleep Latency (SL) was 95.2 minutes in the SLENYTO and 98.8 minutes in the placebo group. By the end of the 13-week treatment period, </w:t>
      </w:r>
      <w:r w:rsidR="00756EB2">
        <w:t xml:space="preserve">the adjusted change from baseline in SL was </w:t>
      </w:r>
      <w:r w:rsidR="000E5D28">
        <w:t>-</w:t>
      </w:r>
      <w:r w:rsidR="00756EB2">
        <w:t>37.77</w:t>
      </w:r>
      <w:r>
        <w:t xml:space="preserve"> minutes with SLENYTO and </w:t>
      </w:r>
      <w:r w:rsidR="000E5D28">
        <w:t>-</w:t>
      </w:r>
      <w:r w:rsidR="00756EB2">
        <w:t>12.57</w:t>
      </w:r>
      <w:r>
        <w:t xml:space="preserve"> minutes with placebo</w:t>
      </w:r>
      <w:r w:rsidR="000E5D28">
        <w:t xml:space="preserve">. The </w:t>
      </w:r>
      <w:r w:rsidR="000E5D28" w:rsidRPr="000E5D28">
        <w:t xml:space="preserve">adjusted mean treatment difference was </w:t>
      </w:r>
      <w:r w:rsidR="00DF6E51">
        <w:t>-</w:t>
      </w:r>
      <w:r w:rsidR="000E5D28">
        <w:t>25.2</w:t>
      </w:r>
      <w:r w:rsidR="008239E6">
        <w:t> </w:t>
      </w:r>
      <w:r w:rsidR="000E5D28">
        <w:t xml:space="preserve">minutes in the FAS </w:t>
      </w:r>
      <w:r w:rsidR="003A247F">
        <w:t>(</w:t>
      </w:r>
      <w:r>
        <w:t>p=0.011, Table 3) without causing earlier wakeup time. The rate of participants attaining clinically meaningful responses in TST (increase of 45 minutes from baseline) and/or SL (decrease of 15 minutes from baseline) was higher with SLENYTO than with placebo (68.9% versus 39.3% respectively).</w:t>
      </w:r>
    </w:p>
    <w:p w14:paraId="416D8CA4" w14:textId="17BBE3AB" w:rsidR="006A4F78" w:rsidRDefault="006A4F78" w:rsidP="00C9436F">
      <w:pPr>
        <w:tabs>
          <w:tab w:val="left" w:pos="567"/>
        </w:tabs>
      </w:pPr>
      <w:r>
        <w:t xml:space="preserve">SLENYTO 2 mg/5 mg treatment resulted in a significant improvement over placebo in the child’s externalizing </w:t>
      </w:r>
      <w:proofErr w:type="spellStart"/>
      <w:r>
        <w:t>behaviours</w:t>
      </w:r>
      <w:proofErr w:type="spellEnd"/>
      <w:r>
        <w:t xml:space="preserve"> (hyperactivity/inattention+ conduct scores) as assessed by the Strength and Difficulties Questionnaire (SDQ) after 13 weeks of double-blind treatment. The treatment effects on sleep variables were associated with improved parents’ well-being</w:t>
      </w:r>
      <w:r w:rsidR="00C42D1B">
        <w:t xml:space="preserve"> </w:t>
      </w:r>
      <w:r w:rsidR="004806E6">
        <w:t xml:space="preserve">measured by the WHO-5 well-being Index and parents’ satisfaction in child sleep pattern measured by the </w:t>
      </w:r>
      <w:r>
        <w:t>Composite Sleep Disturbance Index (CSDI) (Table 3).</w:t>
      </w:r>
    </w:p>
    <w:p w14:paraId="22B94812" w14:textId="1E19C534" w:rsidR="006A4F78" w:rsidRDefault="00380A24" w:rsidP="005D3CB1">
      <w:pPr>
        <w:tabs>
          <w:tab w:val="left" w:pos="567"/>
        </w:tabs>
      </w:pPr>
      <w:r>
        <w:t xml:space="preserve">There was a trend to benefit </w:t>
      </w:r>
      <w:r w:rsidR="0068090A">
        <w:t xml:space="preserve">in </w:t>
      </w:r>
      <w:proofErr w:type="spellStart"/>
      <w:r w:rsidR="0068090A">
        <w:t>favo</w:t>
      </w:r>
      <w:r w:rsidR="00A25370">
        <w:t>u</w:t>
      </w:r>
      <w:r w:rsidR="0068090A">
        <w:t>r</w:t>
      </w:r>
      <w:proofErr w:type="spellEnd"/>
      <w:r w:rsidR="0068090A">
        <w:t xml:space="preserve"> of SLENYTO </w:t>
      </w:r>
      <w:r>
        <w:t>for total SDQ score</w:t>
      </w:r>
      <w:r w:rsidR="005D3CB1">
        <w:t>,</w:t>
      </w:r>
      <w:r>
        <w:t xml:space="preserve"> sleep disturbances score measured by the CSDI</w:t>
      </w:r>
      <w:r w:rsidR="005D3CB1" w:rsidRPr="005D3CB1">
        <w:t xml:space="preserve"> </w:t>
      </w:r>
      <w:r w:rsidR="005D3CB1">
        <w:t>and longest sleep episode (LSE</w:t>
      </w:r>
      <w:r w:rsidR="003A247F">
        <w:t>, p=0.053</w:t>
      </w:r>
      <w:r w:rsidR="005D3CB1">
        <w:t>)</w:t>
      </w:r>
      <w:r>
        <w:t xml:space="preserve">. </w:t>
      </w:r>
      <w:r w:rsidR="006A4F78">
        <w:t>There were no significant differences for duration of wake time, number of awakenings and social functioning between SLENYTO and placebo groups.</w:t>
      </w:r>
    </w:p>
    <w:p w14:paraId="01DA94D3" w14:textId="589D034F" w:rsidR="003F3A95" w:rsidRDefault="003F3A95" w:rsidP="00BF5411">
      <w:pPr>
        <w:autoSpaceDE w:val="0"/>
        <w:autoSpaceDN w:val="0"/>
        <w:adjustRightInd w:val="0"/>
      </w:pPr>
    </w:p>
    <w:p w14:paraId="005BEBA3" w14:textId="194B5E60" w:rsidR="00710300" w:rsidRDefault="00710300" w:rsidP="00BF5411">
      <w:pPr>
        <w:tabs>
          <w:tab w:val="left" w:pos="567"/>
        </w:tabs>
      </w:pPr>
    </w:p>
    <w:tbl>
      <w:tblPr>
        <w:tblW w:w="5133" w:type="pct"/>
        <w:tblBorders>
          <w:top w:val="single" w:sz="4" w:space="0" w:color="auto"/>
          <w:bottom w:val="single" w:sz="4" w:space="0" w:color="auto"/>
        </w:tblBorders>
        <w:tblLook w:val="04A0" w:firstRow="1" w:lastRow="0" w:firstColumn="1" w:lastColumn="0" w:noHBand="0" w:noVBand="1"/>
      </w:tblPr>
      <w:tblGrid>
        <w:gridCol w:w="1543"/>
        <w:gridCol w:w="152"/>
        <w:gridCol w:w="825"/>
        <w:gridCol w:w="38"/>
        <w:gridCol w:w="65"/>
        <w:gridCol w:w="915"/>
        <w:gridCol w:w="101"/>
        <w:gridCol w:w="2571"/>
        <w:gridCol w:w="93"/>
        <w:gridCol w:w="1059"/>
        <w:gridCol w:w="123"/>
        <w:gridCol w:w="901"/>
        <w:gridCol w:w="201"/>
        <w:gridCol w:w="723"/>
        <w:gridCol w:w="178"/>
      </w:tblGrid>
      <w:tr w:rsidR="005F600C" w:rsidRPr="005F600C" w14:paraId="3C339EAF" w14:textId="77777777" w:rsidTr="00890A55">
        <w:tc>
          <w:tcPr>
            <w:tcW w:w="5000" w:type="pct"/>
            <w:gridSpan w:val="15"/>
            <w:tcBorders>
              <w:top w:val="single" w:sz="4" w:space="0" w:color="auto"/>
              <w:left w:val="nil"/>
              <w:bottom w:val="single" w:sz="4" w:space="0" w:color="auto"/>
              <w:right w:val="nil"/>
            </w:tcBorders>
            <w:hideMark/>
          </w:tcPr>
          <w:p w14:paraId="5EC4BA80" w14:textId="77777777" w:rsidR="005F600C" w:rsidRPr="005F600C" w:rsidRDefault="005F600C" w:rsidP="005F600C">
            <w:pPr>
              <w:keepNext/>
              <w:keepLines/>
              <w:tabs>
                <w:tab w:val="left" w:pos="720"/>
              </w:tabs>
              <w:overflowPunct w:val="0"/>
              <w:autoSpaceDE w:val="0"/>
              <w:autoSpaceDN w:val="0"/>
              <w:adjustRightInd w:val="0"/>
              <w:spacing w:before="0"/>
              <w:jc w:val="center"/>
              <w:textAlignment w:val="baseline"/>
              <w:rPr>
                <w:rFonts w:eastAsia="Times New Roman"/>
                <w:b/>
                <w:bCs/>
                <w:color w:val="auto"/>
                <w:sz w:val="20"/>
                <w:szCs w:val="20"/>
                <w:lang w:eastAsia="en-GB"/>
              </w:rPr>
            </w:pPr>
            <w:bookmarkStart w:id="6" w:name="_Ref34224125"/>
            <w:r w:rsidRPr="005F600C">
              <w:rPr>
                <w:rFonts w:eastAsia="Times New Roman"/>
                <w:b/>
                <w:bCs/>
                <w:color w:val="auto"/>
                <w:sz w:val="20"/>
                <w:szCs w:val="20"/>
                <w:lang w:eastAsia="en-GB"/>
              </w:rPr>
              <w:lastRenderedPageBreak/>
              <w:t>Table 3: Summary of primary and clinical relevant secondary study outcomes after 13 weeks of double blind period (full analysis set)</w:t>
            </w:r>
          </w:p>
        </w:tc>
      </w:tr>
      <w:tr w:rsidR="005F600C" w:rsidRPr="005F600C" w14:paraId="0B034D6B" w14:textId="77777777" w:rsidTr="00B2378C">
        <w:tc>
          <w:tcPr>
            <w:tcW w:w="813" w:type="pct"/>
            <w:tcBorders>
              <w:top w:val="single" w:sz="4" w:space="0" w:color="auto"/>
              <w:left w:val="nil"/>
              <w:bottom w:val="single" w:sz="4" w:space="0" w:color="auto"/>
              <w:right w:val="nil"/>
            </w:tcBorders>
            <w:hideMark/>
          </w:tcPr>
          <w:p w14:paraId="235B85C7" w14:textId="77777777" w:rsidR="005F600C" w:rsidRPr="005F600C" w:rsidRDefault="005F600C" w:rsidP="00DF6E51">
            <w:pPr>
              <w:keepNext/>
              <w:keepLines/>
              <w:tabs>
                <w:tab w:val="left" w:pos="720"/>
              </w:tabs>
              <w:overflowPunct w:val="0"/>
              <w:autoSpaceDE w:val="0"/>
              <w:autoSpaceDN w:val="0"/>
              <w:adjustRightInd w:val="0"/>
              <w:spacing w:before="0" w:after="60"/>
              <w:textAlignment w:val="baseline"/>
              <w:rPr>
                <w:rFonts w:eastAsia="Times New Roman"/>
                <w:b/>
                <w:bCs/>
                <w:color w:val="auto"/>
                <w:sz w:val="20"/>
                <w:szCs w:val="20"/>
                <w:lang w:eastAsia="en-GB"/>
              </w:rPr>
            </w:pPr>
            <w:r w:rsidRPr="005F600C">
              <w:rPr>
                <w:rFonts w:eastAsia="Times New Roman"/>
                <w:b/>
                <w:bCs/>
                <w:color w:val="auto"/>
                <w:sz w:val="20"/>
                <w:szCs w:val="20"/>
                <w:lang w:eastAsia="en-GB"/>
              </w:rPr>
              <w:t>Variable</w:t>
            </w:r>
          </w:p>
        </w:tc>
        <w:tc>
          <w:tcPr>
            <w:tcW w:w="569" w:type="pct"/>
            <w:gridSpan w:val="4"/>
            <w:tcBorders>
              <w:top w:val="single" w:sz="4" w:space="0" w:color="auto"/>
              <w:left w:val="nil"/>
              <w:bottom w:val="single" w:sz="4" w:space="0" w:color="auto"/>
              <w:right w:val="nil"/>
            </w:tcBorders>
            <w:hideMark/>
          </w:tcPr>
          <w:p w14:paraId="0927F3D8"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Group</w:t>
            </w:r>
          </w:p>
        </w:tc>
        <w:tc>
          <w:tcPr>
            <w:tcW w:w="535" w:type="pct"/>
            <w:gridSpan w:val="2"/>
            <w:tcBorders>
              <w:top w:val="single" w:sz="4" w:space="0" w:color="auto"/>
              <w:left w:val="nil"/>
              <w:bottom w:val="single" w:sz="4" w:space="0" w:color="auto"/>
              <w:right w:val="nil"/>
            </w:tcBorders>
          </w:tcPr>
          <w:p w14:paraId="5CC2630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Change from baseline± SD</w:t>
            </w:r>
          </w:p>
        </w:tc>
        <w:tc>
          <w:tcPr>
            <w:tcW w:w="1404" w:type="pct"/>
            <w:gridSpan w:val="2"/>
            <w:tcBorders>
              <w:top w:val="single" w:sz="4" w:space="0" w:color="auto"/>
              <w:left w:val="nil"/>
              <w:bottom w:val="single" w:sz="4" w:space="0" w:color="auto"/>
              <w:right w:val="nil"/>
            </w:tcBorders>
            <w:hideMark/>
          </w:tcPr>
          <w:p w14:paraId="09483A90" w14:textId="4E725024" w:rsidR="00890A55" w:rsidRDefault="005F600C" w:rsidP="00DF6E51">
            <w:pPr>
              <w:spacing w:before="0"/>
              <w:jc w:val="center"/>
            </w:pPr>
            <w:r w:rsidRPr="005F600C">
              <w:rPr>
                <w:rFonts w:eastAsia="Times New Roman"/>
                <w:b/>
                <w:bCs/>
                <w:color w:val="auto"/>
                <w:sz w:val="20"/>
                <w:szCs w:val="20"/>
                <w:lang w:eastAsia="en-GB"/>
              </w:rPr>
              <w:t xml:space="preserve">Adjusted </w:t>
            </w:r>
            <w:r w:rsidR="000E5D28">
              <w:rPr>
                <w:rFonts w:eastAsia="Times New Roman"/>
                <w:b/>
                <w:bCs/>
                <w:color w:val="auto"/>
                <w:sz w:val="20"/>
                <w:szCs w:val="20"/>
                <w:lang w:eastAsia="en-GB"/>
              </w:rPr>
              <w:t>change from baseline</w:t>
            </w:r>
          </w:p>
          <w:p w14:paraId="285F1C21" w14:textId="7272B231"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(SE) [95% CI]</w:t>
            </w:r>
          </w:p>
        </w:tc>
        <w:tc>
          <w:tcPr>
            <w:tcW w:w="623" w:type="pct"/>
            <w:gridSpan w:val="2"/>
            <w:tcBorders>
              <w:top w:val="single" w:sz="4" w:space="0" w:color="auto"/>
              <w:left w:val="nil"/>
              <w:bottom w:val="single" w:sz="4" w:space="0" w:color="auto"/>
              <w:right w:val="nil"/>
            </w:tcBorders>
            <w:hideMark/>
          </w:tcPr>
          <w:p w14:paraId="63C6E41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Treatment difference (SE)</w:t>
            </w:r>
          </w:p>
        </w:tc>
        <w:tc>
          <w:tcPr>
            <w:tcW w:w="581" w:type="pct"/>
            <w:gridSpan w:val="2"/>
            <w:tcBorders>
              <w:top w:val="single" w:sz="4" w:space="0" w:color="auto"/>
              <w:left w:val="nil"/>
              <w:bottom w:val="single" w:sz="4" w:space="0" w:color="auto"/>
              <w:right w:val="nil"/>
            </w:tcBorders>
            <w:hideMark/>
          </w:tcPr>
          <w:p w14:paraId="602A53B3"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95% CI</w:t>
            </w:r>
          </w:p>
        </w:tc>
        <w:tc>
          <w:tcPr>
            <w:tcW w:w="475" w:type="pct"/>
            <w:gridSpan w:val="2"/>
            <w:tcBorders>
              <w:top w:val="single" w:sz="4" w:space="0" w:color="auto"/>
              <w:left w:val="nil"/>
              <w:bottom w:val="single" w:sz="4" w:space="0" w:color="auto"/>
              <w:right w:val="nil"/>
            </w:tcBorders>
            <w:hideMark/>
          </w:tcPr>
          <w:p w14:paraId="52D9DD15"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p-value*</w:t>
            </w:r>
          </w:p>
        </w:tc>
      </w:tr>
      <w:tr w:rsidR="005F600C" w:rsidRPr="005F600C" w14:paraId="3F9857E0" w14:textId="77777777" w:rsidTr="00890A55">
        <w:tc>
          <w:tcPr>
            <w:tcW w:w="5000" w:type="pct"/>
            <w:gridSpan w:val="15"/>
            <w:tcBorders>
              <w:top w:val="single" w:sz="4" w:space="0" w:color="auto"/>
              <w:left w:val="nil"/>
              <w:bottom w:val="single" w:sz="4" w:space="0" w:color="auto"/>
              <w:right w:val="nil"/>
            </w:tcBorders>
            <w:hideMark/>
          </w:tcPr>
          <w:p w14:paraId="18BDACBC" w14:textId="77777777"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b/>
                <w:bCs/>
                <w:color w:val="auto"/>
                <w:sz w:val="20"/>
                <w:szCs w:val="20"/>
                <w:lang w:val="en-GB"/>
              </w:rPr>
              <w:t>Sleep and Nap Diary</w:t>
            </w:r>
          </w:p>
        </w:tc>
      </w:tr>
      <w:tr w:rsidR="005F600C" w:rsidRPr="005F600C" w14:paraId="45CFB23E" w14:textId="77777777" w:rsidTr="00B2378C">
        <w:tc>
          <w:tcPr>
            <w:tcW w:w="813" w:type="pct"/>
            <w:vMerge w:val="restart"/>
            <w:tcBorders>
              <w:top w:val="single" w:sz="4" w:space="0" w:color="auto"/>
              <w:left w:val="nil"/>
              <w:bottom w:val="nil"/>
              <w:right w:val="nil"/>
            </w:tcBorders>
            <w:hideMark/>
          </w:tcPr>
          <w:p w14:paraId="52701353" w14:textId="77777777" w:rsidR="005F600C" w:rsidRPr="005F600C" w:rsidRDefault="005F600C" w:rsidP="00DF6E51">
            <w:pPr>
              <w:keepNext/>
              <w:keepLines/>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TST</w:t>
            </w:r>
          </w:p>
        </w:tc>
        <w:tc>
          <w:tcPr>
            <w:tcW w:w="515" w:type="pct"/>
            <w:gridSpan w:val="2"/>
            <w:tcBorders>
              <w:top w:val="single" w:sz="4" w:space="0" w:color="auto"/>
              <w:left w:val="nil"/>
              <w:bottom w:val="nil"/>
              <w:right w:val="nil"/>
            </w:tcBorders>
            <w:hideMark/>
          </w:tcPr>
          <w:p w14:paraId="30A24706"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Slenyto</w:t>
            </w:r>
            <w:proofErr w:type="spellEnd"/>
          </w:p>
        </w:tc>
        <w:tc>
          <w:tcPr>
            <w:tcW w:w="589" w:type="pct"/>
            <w:gridSpan w:val="4"/>
            <w:tcBorders>
              <w:top w:val="single" w:sz="4" w:space="0" w:color="auto"/>
              <w:left w:val="nil"/>
              <w:bottom w:val="nil"/>
              <w:right w:val="nil"/>
            </w:tcBorders>
          </w:tcPr>
          <w:p w14:paraId="5C8B6BEC"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57.36 ± 107.35</w:t>
            </w:r>
          </w:p>
        </w:tc>
        <w:tc>
          <w:tcPr>
            <w:tcW w:w="1404" w:type="pct"/>
            <w:gridSpan w:val="2"/>
            <w:tcBorders>
              <w:top w:val="single" w:sz="4" w:space="0" w:color="auto"/>
              <w:left w:val="nil"/>
              <w:bottom w:val="nil"/>
              <w:right w:val="nil"/>
            </w:tcBorders>
            <w:hideMark/>
          </w:tcPr>
          <w:p w14:paraId="6BB82628"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51.03  (10.456) [30.30, 71.76]</w:t>
            </w:r>
          </w:p>
        </w:tc>
        <w:tc>
          <w:tcPr>
            <w:tcW w:w="623" w:type="pct"/>
            <w:gridSpan w:val="2"/>
            <w:vMerge w:val="restart"/>
            <w:tcBorders>
              <w:top w:val="single" w:sz="4" w:space="0" w:color="auto"/>
              <w:left w:val="nil"/>
              <w:bottom w:val="nil"/>
              <w:right w:val="nil"/>
            </w:tcBorders>
            <w:vAlign w:val="center"/>
            <w:hideMark/>
          </w:tcPr>
          <w:p w14:paraId="129CBC2D"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32.32 (15.100)</w:t>
            </w:r>
          </w:p>
        </w:tc>
        <w:tc>
          <w:tcPr>
            <w:tcW w:w="581" w:type="pct"/>
            <w:gridSpan w:val="2"/>
            <w:vMerge w:val="restart"/>
            <w:tcBorders>
              <w:top w:val="single" w:sz="4" w:space="0" w:color="auto"/>
              <w:left w:val="nil"/>
              <w:bottom w:val="nil"/>
              <w:right w:val="nil"/>
            </w:tcBorders>
            <w:vAlign w:val="center"/>
            <w:hideMark/>
          </w:tcPr>
          <w:p w14:paraId="21EBD6B4"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2.38, 62.26</w:t>
            </w:r>
          </w:p>
        </w:tc>
        <w:tc>
          <w:tcPr>
            <w:tcW w:w="475" w:type="pct"/>
            <w:gridSpan w:val="2"/>
            <w:vMerge w:val="restart"/>
            <w:tcBorders>
              <w:top w:val="single" w:sz="4" w:space="0" w:color="auto"/>
              <w:left w:val="nil"/>
              <w:bottom w:val="nil"/>
              <w:right w:val="nil"/>
            </w:tcBorders>
            <w:vAlign w:val="center"/>
            <w:hideMark/>
          </w:tcPr>
          <w:p w14:paraId="6F986E63" w14:textId="77777777"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color w:val="auto"/>
                <w:sz w:val="20"/>
                <w:szCs w:val="20"/>
                <w:lang w:eastAsia="en-GB"/>
              </w:rPr>
              <w:t>0.035</w:t>
            </w:r>
          </w:p>
        </w:tc>
      </w:tr>
      <w:tr w:rsidR="005F600C" w:rsidRPr="005F600C" w14:paraId="25BBD41B" w14:textId="77777777" w:rsidTr="00B2378C">
        <w:tc>
          <w:tcPr>
            <w:tcW w:w="813" w:type="pct"/>
            <w:vMerge/>
            <w:tcBorders>
              <w:top w:val="single" w:sz="4" w:space="0" w:color="auto"/>
              <w:left w:val="nil"/>
              <w:bottom w:val="nil"/>
              <w:right w:val="nil"/>
            </w:tcBorders>
            <w:vAlign w:val="center"/>
            <w:hideMark/>
          </w:tcPr>
          <w:p w14:paraId="4BF5CC1D" w14:textId="77777777" w:rsidR="005F600C" w:rsidRPr="005F600C" w:rsidRDefault="005F600C" w:rsidP="00DF6E51">
            <w:pPr>
              <w:keepNext/>
              <w:keepLines/>
              <w:spacing w:before="0"/>
              <w:rPr>
                <w:rFonts w:eastAsia="Times New Roman"/>
                <w:color w:val="auto"/>
                <w:sz w:val="20"/>
                <w:szCs w:val="20"/>
                <w:lang w:eastAsia="en-GB"/>
              </w:rPr>
            </w:pPr>
          </w:p>
        </w:tc>
        <w:tc>
          <w:tcPr>
            <w:tcW w:w="515" w:type="pct"/>
            <w:gridSpan w:val="2"/>
            <w:tcBorders>
              <w:top w:val="nil"/>
              <w:left w:val="nil"/>
              <w:bottom w:val="nil"/>
              <w:right w:val="nil"/>
            </w:tcBorders>
            <w:hideMark/>
          </w:tcPr>
          <w:p w14:paraId="2FA45B57"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Placebo</w:t>
            </w:r>
          </w:p>
        </w:tc>
        <w:tc>
          <w:tcPr>
            <w:tcW w:w="589" w:type="pct"/>
            <w:gridSpan w:val="4"/>
            <w:tcBorders>
              <w:top w:val="nil"/>
              <w:left w:val="nil"/>
              <w:bottom w:val="nil"/>
              <w:right w:val="nil"/>
            </w:tcBorders>
          </w:tcPr>
          <w:p w14:paraId="4F50D42C"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val="en-GB"/>
              </w:rPr>
              <w:t>9.14 ± 80.27</w:t>
            </w:r>
          </w:p>
        </w:tc>
        <w:tc>
          <w:tcPr>
            <w:tcW w:w="1404" w:type="pct"/>
            <w:gridSpan w:val="2"/>
            <w:tcBorders>
              <w:top w:val="nil"/>
              <w:left w:val="nil"/>
              <w:bottom w:val="nil"/>
              <w:right w:val="nil"/>
            </w:tcBorders>
            <w:hideMark/>
          </w:tcPr>
          <w:p w14:paraId="6AE88555"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18.71 (10.816) [-2.73, 40.15]</w:t>
            </w:r>
          </w:p>
        </w:tc>
        <w:tc>
          <w:tcPr>
            <w:tcW w:w="0" w:type="auto"/>
            <w:gridSpan w:val="2"/>
            <w:vMerge/>
            <w:tcBorders>
              <w:top w:val="single" w:sz="4" w:space="0" w:color="auto"/>
              <w:left w:val="nil"/>
              <w:bottom w:val="nil"/>
              <w:right w:val="nil"/>
            </w:tcBorders>
            <w:vAlign w:val="center"/>
            <w:hideMark/>
          </w:tcPr>
          <w:p w14:paraId="754FF68D" w14:textId="77777777" w:rsidR="005F600C" w:rsidRPr="005F600C" w:rsidRDefault="005F600C" w:rsidP="00DF6E51">
            <w:pPr>
              <w:keepNext/>
              <w:keepLines/>
              <w:spacing w:before="0"/>
              <w:jc w:val="center"/>
              <w:rPr>
                <w:rFonts w:eastAsia="Times New Roman"/>
                <w:color w:val="auto"/>
                <w:sz w:val="20"/>
                <w:szCs w:val="20"/>
                <w:lang w:eastAsia="en-GB"/>
              </w:rPr>
            </w:pPr>
          </w:p>
        </w:tc>
        <w:tc>
          <w:tcPr>
            <w:tcW w:w="581" w:type="pct"/>
            <w:gridSpan w:val="2"/>
            <w:vMerge/>
            <w:tcBorders>
              <w:top w:val="single" w:sz="4" w:space="0" w:color="auto"/>
              <w:left w:val="nil"/>
              <w:bottom w:val="nil"/>
              <w:right w:val="nil"/>
            </w:tcBorders>
            <w:vAlign w:val="center"/>
            <w:hideMark/>
          </w:tcPr>
          <w:p w14:paraId="17B275FD" w14:textId="77777777" w:rsidR="005F600C" w:rsidRPr="005F600C" w:rsidRDefault="005F600C" w:rsidP="00DF6E51">
            <w:pPr>
              <w:keepNext/>
              <w:keepLines/>
              <w:spacing w:before="0"/>
              <w:jc w:val="center"/>
              <w:rPr>
                <w:rFonts w:eastAsia="Times New Roman"/>
                <w:color w:val="auto"/>
                <w:sz w:val="20"/>
                <w:szCs w:val="20"/>
                <w:lang w:eastAsia="en-GB"/>
              </w:rPr>
            </w:pPr>
          </w:p>
        </w:tc>
        <w:tc>
          <w:tcPr>
            <w:tcW w:w="0" w:type="auto"/>
            <w:gridSpan w:val="2"/>
            <w:vMerge/>
            <w:tcBorders>
              <w:top w:val="single" w:sz="4" w:space="0" w:color="auto"/>
              <w:left w:val="nil"/>
              <w:bottom w:val="nil"/>
              <w:right w:val="nil"/>
            </w:tcBorders>
            <w:vAlign w:val="center"/>
            <w:hideMark/>
          </w:tcPr>
          <w:p w14:paraId="34651AA4" w14:textId="77777777" w:rsidR="005F600C" w:rsidRPr="005F600C" w:rsidRDefault="005F600C" w:rsidP="00DF6E51">
            <w:pPr>
              <w:keepNext/>
              <w:keepLines/>
              <w:spacing w:before="0"/>
              <w:jc w:val="center"/>
              <w:rPr>
                <w:rFonts w:eastAsia="Times New Roman"/>
                <w:color w:val="auto"/>
                <w:sz w:val="20"/>
                <w:szCs w:val="20"/>
                <w:lang w:eastAsia="en-GB"/>
              </w:rPr>
            </w:pPr>
          </w:p>
        </w:tc>
      </w:tr>
      <w:tr w:rsidR="005F600C" w:rsidRPr="005F600C" w14:paraId="7E8C86CB" w14:textId="77777777" w:rsidTr="00B2378C">
        <w:tc>
          <w:tcPr>
            <w:tcW w:w="813" w:type="pct"/>
            <w:vMerge/>
            <w:tcBorders>
              <w:top w:val="single" w:sz="4" w:space="0" w:color="auto"/>
              <w:left w:val="nil"/>
              <w:bottom w:val="nil"/>
              <w:right w:val="nil"/>
            </w:tcBorders>
            <w:vAlign w:val="center"/>
            <w:hideMark/>
          </w:tcPr>
          <w:p w14:paraId="31C4D113" w14:textId="77777777" w:rsidR="005F600C" w:rsidRPr="005F600C" w:rsidRDefault="005F600C" w:rsidP="00DF6E51">
            <w:pPr>
              <w:keepNext/>
              <w:keepLines/>
              <w:spacing w:before="0"/>
              <w:rPr>
                <w:rFonts w:eastAsia="Times New Roman"/>
                <w:color w:val="auto"/>
                <w:sz w:val="20"/>
                <w:szCs w:val="20"/>
                <w:lang w:eastAsia="en-GB"/>
              </w:rPr>
            </w:pPr>
          </w:p>
        </w:tc>
        <w:tc>
          <w:tcPr>
            <w:tcW w:w="1104" w:type="pct"/>
            <w:gridSpan w:val="6"/>
            <w:tcBorders>
              <w:top w:val="nil"/>
              <w:left w:val="nil"/>
              <w:bottom w:val="single" w:sz="4" w:space="0" w:color="auto"/>
              <w:right w:val="nil"/>
            </w:tcBorders>
          </w:tcPr>
          <w:p w14:paraId="66958165"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1404" w:type="pct"/>
            <w:gridSpan w:val="2"/>
            <w:tcBorders>
              <w:top w:val="nil"/>
              <w:left w:val="nil"/>
              <w:bottom w:val="single" w:sz="4" w:space="0" w:color="auto"/>
              <w:right w:val="nil"/>
            </w:tcBorders>
          </w:tcPr>
          <w:p w14:paraId="1091E213" w14:textId="77777777" w:rsidR="005F600C" w:rsidRPr="005F600C" w:rsidRDefault="005F600C" w:rsidP="00DF6E51">
            <w:pPr>
              <w:keepNext/>
              <w:keepLines/>
              <w:tabs>
                <w:tab w:val="left" w:pos="720"/>
              </w:tabs>
              <w:overflowPunct w:val="0"/>
              <w:autoSpaceDE w:val="0"/>
              <w:autoSpaceDN w:val="0"/>
              <w:adjustRightInd w:val="0"/>
              <w:spacing w:before="0" w:after="60"/>
              <w:ind w:right="-108"/>
              <w:jc w:val="center"/>
              <w:textAlignment w:val="baseline"/>
              <w:rPr>
                <w:rFonts w:eastAsia="Times New Roman"/>
                <w:color w:val="auto"/>
                <w:sz w:val="20"/>
                <w:szCs w:val="20"/>
                <w:lang w:eastAsia="en-GB"/>
              </w:rPr>
            </w:pPr>
          </w:p>
        </w:tc>
        <w:tc>
          <w:tcPr>
            <w:tcW w:w="623" w:type="pct"/>
            <w:gridSpan w:val="2"/>
            <w:tcBorders>
              <w:top w:val="nil"/>
              <w:left w:val="nil"/>
              <w:bottom w:val="single" w:sz="4" w:space="0" w:color="auto"/>
              <w:right w:val="nil"/>
            </w:tcBorders>
            <w:vAlign w:val="center"/>
          </w:tcPr>
          <w:p w14:paraId="479AB956"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581" w:type="pct"/>
            <w:gridSpan w:val="2"/>
            <w:tcBorders>
              <w:top w:val="nil"/>
              <w:left w:val="nil"/>
              <w:bottom w:val="single" w:sz="4" w:space="0" w:color="auto"/>
              <w:right w:val="nil"/>
            </w:tcBorders>
            <w:vAlign w:val="center"/>
          </w:tcPr>
          <w:p w14:paraId="15C4E832"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475" w:type="pct"/>
            <w:gridSpan w:val="2"/>
            <w:tcBorders>
              <w:top w:val="nil"/>
              <w:left w:val="nil"/>
              <w:bottom w:val="single" w:sz="4" w:space="0" w:color="auto"/>
              <w:right w:val="nil"/>
            </w:tcBorders>
            <w:vAlign w:val="center"/>
          </w:tcPr>
          <w:p w14:paraId="3E0C725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r>
      <w:tr w:rsidR="005F600C" w:rsidRPr="005F600C" w14:paraId="1439B9EB" w14:textId="77777777" w:rsidTr="00B2378C">
        <w:tc>
          <w:tcPr>
            <w:tcW w:w="813" w:type="pct"/>
            <w:vMerge w:val="restart"/>
            <w:tcBorders>
              <w:top w:val="single" w:sz="4" w:space="0" w:color="auto"/>
              <w:left w:val="nil"/>
              <w:bottom w:val="nil"/>
              <w:right w:val="nil"/>
            </w:tcBorders>
          </w:tcPr>
          <w:p w14:paraId="701C033E" w14:textId="77777777" w:rsidR="005F600C" w:rsidRPr="005F600C" w:rsidRDefault="005F600C" w:rsidP="00DF6E51">
            <w:pPr>
              <w:keepNext/>
              <w:keepLines/>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SL</w:t>
            </w:r>
          </w:p>
        </w:tc>
        <w:tc>
          <w:tcPr>
            <w:tcW w:w="515" w:type="pct"/>
            <w:gridSpan w:val="2"/>
            <w:tcBorders>
              <w:top w:val="single" w:sz="4" w:space="0" w:color="auto"/>
              <w:left w:val="nil"/>
              <w:bottom w:val="nil"/>
              <w:right w:val="nil"/>
            </w:tcBorders>
          </w:tcPr>
          <w:p w14:paraId="7DB55822"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Slenyto</w:t>
            </w:r>
            <w:proofErr w:type="spellEnd"/>
          </w:p>
        </w:tc>
        <w:tc>
          <w:tcPr>
            <w:tcW w:w="589" w:type="pct"/>
            <w:gridSpan w:val="4"/>
            <w:tcBorders>
              <w:top w:val="single" w:sz="4" w:space="0" w:color="auto"/>
              <w:left w:val="nil"/>
              <w:bottom w:val="nil"/>
              <w:right w:val="nil"/>
            </w:tcBorders>
          </w:tcPr>
          <w:p w14:paraId="3102FED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-39.46 ± 60.41</w:t>
            </w:r>
          </w:p>
        </w:tc>
        <w:tc>
          <w:tcPr>
            <w:tcW w:w="1404" w:type="pct"/>
            <w:gridSpan w:val="2"/>
            <w:tcBorders>
              <w:top w:val="single" w:sz="4" w:space="0" w:color="auto"/>
              <w:left w:val="nil"/>
              <w:bottom w:val="nil"/>
              <w:right w:val="nil"/>
            </w:tcBorders>
          </w:tcPr>
          <w:p w14:paraId="5AF887DA"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-37.77(6.816) [-51.28, -24.25]</w:t>
            </w:r>
          </w:p>
        </w:tc>
        <w:tc>
          <w:tcPr>
            <w:tcW w:w="623" w:type="pct"/>
            <w:gridSpan w:val="2"/>
            <w:vMerge w:val="restart"/>
            <w:tcBorders>
              <w:top w:val="single" w:sz="4" w:space="0" w:color="auto"/>
              <w:left w:val="nil"/>
              <w:bottom w:val="nil"/>
              <w:right w:val="nil"/>
            </w:tcBorders>
            <w:vAlign w:val="center"/>
          </w:tcPr>
          <w:p w14:paraId="0B80A40B"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-25.20 (9.787)</w:t>
            </w:r>
          </w:p>
        </w:tc>
        <w:tc>
          <w:tcPr>
            <w:tcW w:w="581" w:type="pct"/>
            <w:gridSpan w:val="2"/>
            <w:vMerge w:val="restart"/>
            <w:tcBorders>
              <w:top w:val="single" w:sz="4" w:space="0" w:color="auto"/>
              <w:left w:val="nil"/>
              <w:bottom w:val="nil"/>
              <w:right w:val="nil"/>
            </w:tcBorders>
            <w:vAlign w:val="center"/>
          </w:tcPr>
          <w:p w14:paraId="6121F869"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-44.61, -5.80</w:t>
            </w:r>
          </w:p>
        </w:tc>
        <w:tc>
          <w:tcPr>
            <w:tcW w:w="475" w:type="pct"/>
            <w:gridSpan w:val="2"/>
            <w:vMerge w:val="restart"/>
            <w:tcBorders>
              <w:top w:val="single" w:sz="4" w:space="0" w:color="auto"/>
              <w:left w:val="nil"/>
              <w:bottom w:val="nil"/>
              <w:right w:val="nil"/>
            </w:tcBorders>
            <w:vAlign w:val="center"/>
          </w:tcPr>
          <w:p w14:paraId="6F43B9BF" w14:textId="77777777"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color w:val="auto"/>
                <w:sz w:val="20"/>
                <w:szCs w:val="20"/>
                <w:lang w:eastAsia="en-GB"/>
              </w:rPr>
              <w:t>0.011</w:t>
            </w:r>
          </w:p>
        </w:tc>
      </w:tr>
      <w:tr w:rsidR="005F600C" w:rsidRPr="005F600C" w14:paraId="0D27FC4A" w14:textId="77777777" w:rsidTr="00B2378C">
        <w:tc>
          <w:tcPr>
            <w:tcW w:w="813" w:type="pct"/>
            <w:vMerge/>
            <w:tcBorders>
              <w:top w:val="single" w:sz="4" w:space="0" w:color="auto"/>
              <w:left w:val="nil"/>
              <w:bottom w:val="nil"/>
              <w:right w:val="nil"/>
            </w:tcBorders>
            <w:vAlign w:val="center"/>
          </w:tcPr>
          <w:p w14:paraId="059E24A5" w14:textId="77777777" w:rsidR="005F600C" w:rsidRPr="005F600C" w:rsidRDefault="005F600C" w:rsidP="00DF6E51">
            <w:pPr>
              <w:keepNext/>
              <w:keepLines/>
              <w:spacing w:before="0"/>
              <w:jc w:val="center"/>
              <w:rPr>
                <w:rFonts w:eastAsia="Times New Roman"/>
                <w:color w:val="auto"/>
                <w:sz w:val="20"/>
                <w:szCs w:val="20"/>
                <w:lang w:eastAsia="en-GB"/>
              </w:rPr>
            </w:pPr>
          </w:p>
        </w:tc>
        <w:tc>
          <w:tcPr>
            <w:tcW w:w="515" w:type="pct"/>
            <w:gridSpan w:val="2"/>
            <w:tcBorders>
              <w:top w:val="nil"/>
              <w:left w:val="nil"/>
              <w:bottom w:val="nil"/>
              <w:right w:val="nil"/>
            </w:tcBorders>
          </w:tcPr>
          <w:p w14:paraId="1EF0913B"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Placebo</w:t>
            </w:r>
          </w:p>
        </w:tc>
        <w:tc>
          <w:tcPr>
            <w:tcW w:w="589" w:type="pct"/>
            <w:gridSpan w:val="4"/>
            <w:tcBorders>
              <w:top w:val="nil"/>
              <w:left w:val="nil"/>
              <w:bottom w:val="nil"/>
              <w:right w:val="nil"/>
            </w:tcBorders>
          </w:tcPr>
          <w:p w14:paraId="0E003C42"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-12.51 ± 49.19</w:t>
            </w:r>
          </w:p>
        </w:tc>
        <w:tc>
          <w:tcPr>
            <w:tcW w:w="1404" w:type="pct"/>
            <w:gridSpan w:val="2"/>
            <w:tcBorders>
              <w:top w:val="nil"/>
              <w:left w:val="nil"/>
              <w:bottom w:val="nil"/>
              <w:right w:val="nil"/>
            </w:tcBorders>
          </w:tcPr>
          <w:p w14:paraId="3A146FD1"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-12.57 (7.005) [-26.45, 1.32]</w:t>
            </w:r>
          </w:p>
        </w:tc>
        <w:tc>
          <w:tcPr>
            <w:tcW w:w="0" w:type="auto"/>
            <w:gridSpan w:val="2"/>
            <w:vMerge/>
            <w:tcBorders>
              <w:top w:val="single" w:sz="4" w:space="0" w:color="auto"/>
              <w:left w:val="nil"/>
              <w:bottom w:val="nil"/>
              <w:right w:val="nil"/>
            </w:tcBorders>
            <w:vAlign w:val="center"/>
          </w:tcPr>
          <w:p w14:paraId="3D127579" w14:textId="77777777" w:rsidR="005F600C" w:rsidRPr="005F600C" w:rsidRDefault="005F600C" w:rsidP="00DF6E51">
            <w:pPr>
              <w:keepNext/>
              <w:keepLines/>
              <w:spacing w:before="0"/>
              <w:jc w:val="center"/>
              <w:rPr>
                <w:rFonts w:eastAsia="Times New Roman"/>
                <w:color w:val="auto"/>
                <w:sz w:val="20"/>
                <w:szCs w:val="20"/>
                <w:lang w:eastAsia="en-GB"/>
              </w:rPr>
            </w:pPr>
          </w:p>
        </w:tc>
        <w:tc>
          <w:tcPr>
            <w:tcW w:w="581" w:type="pct"/>
            <w:gridSpan w:val="2"/>
            <w:vMerge/>
            <w:tcBorders>
              <w:top w:val="single" w:sz="4" w:space="0" w:color="auto"/>
              <w:left w:val="nil"/>
              <w:bottom w:val="nil"/>
              <w:right w:val="nil"/>
            </w:tcBorders>
            <w:vAlign w:val="center"/>
          </w:tcPr>
          <w:p w14:paraId="083186EA" w14:textId="77777777" w:rsidR="005F600C" w:rsidRPr="005F600C" w:rsidRDefault="005F600C" w:rsidP="00DF6E51">
            <w:pPr>
              <w:keepNext/>
              <w:keepLines/>
              <w:spacing w:before="0"/>
              <w:jc w:val="center"/>
              <w:rPr>
                <w:rFonts w:eastAsia="Times New Roman"/>
                <w:color w:val="auto"/>
                <w:sz w:val="20"/>
                <w:szCs w:val="20"/>
                <w:lang w:eastAsia="en-GB"/>
              </w:rPr>
            </w:pPr>
          </w:p>
        </w:tc>
        <w:tc>
          <w:tcPr>
            <w:tcW w:w="0" w:type="auto"/>
            <w:gridSpan w:val="2"/>
            <w:vMerge/>
            <w:tcBorders>
              <w:top w:val="single" w:sz="4" w:space="0" w:color="auto"/>
              <w:left w:val="nil"/>
              <w:bottom w:val="nil"/>
              <w:right w:val="nil"/>
            </w:tcBorders>
            <w:vAlign w:val="center"/>
          </w:tcPr>
          <w:p w14:paraId="6F117E52" w14:textId="77777777" w:rsidR="005F600C" w:rsidRPr="005F600C" w:rsidRDefault="005F600C" w:rsidP="00DF6E51">
            <w:pPr>
              <w:keepNext/>
              <w:keepLines/>
              <w:spacing w:before="0"/>
              <w:jc w:val="center"/>
              <w:rPr>
                <w:rFonts w:eastAsia="Times New Roman"/>
                <w:color w:val="auto"/>
                <w:sz w:val="20"/>
                <w:szCs w:val="20"/>
                <w:lang w:eastAsia="en-GB"/>
              </w:rPr>
            </w:pPr>
          </w:p>
        </w:tc>
      </w:tr>
      <w:tr w:rsidR="005F600C" w:rsidRPr="005F600C" w14:paraId="5842D80F" w14:textId="77777777" w:rsidTr="00890A55">
        <w:tc>
          <w:tcPr>
            <w:tcW w:w="5000" w:type="pct"/>
            <w:gridSpan w:val="15"/>
            <w:tcBorders>
              <w:top w:val="single" w:sz="4" w:space="0" w:color="auto"/>
              <w:left w:val="nil"/>
              <w:bottom w:val="single" w:sz="4" w:space="0" w:color="auto"/>
              <w:right w:val="nil"/>
            </w:tcBorders>
          </w:tcPr>
          <w:p w14:paraId="520656F5"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SDQ</w:t>
            </w:r>
          </w:p>
        </w:tc>
      </w:tr>
      <w:tr w:rsidR="005F600C" w:rsidRPr="005F600C" w14:paraId="1E3CAAFA" w14:textId="77777777" w:rsidTr="00B2378C">
        <w:tc>
          <w:tcPr>
            <w:tcW w:w="813" w:type="pct"/>
            <w:tcBorders>
              <w:top w:val="single" w:sz="4" w:space="0" w:color="auto"/>
              <w:left w:val="nil"/>
              <w:bottom w:val="nil"/>
              <w:right w:val="nil"/>
            </w:tcBorders>
          </w:tcPr>
          <w:p w14:paraId="1767963C" w14:textId="12794601" w:rsidR="005F600C" w:rsidRPr="005F600C" w:rsidRDefault="005F600C" w:rsidP="00DF6E51">
            <w:pPr>
              <w:keepNext/>
              <w:keepLines/>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Externalizing</w:t>
            </w:r>
          </w:p>
        </w:tc>
        <w:tc>
          <w:tcPr>
            <w:tcW w:w="515" w:type="pct"/>
            <w:gridSpan w:val="2"/>
            <w:tcBorders>
              <w:top w:val="single" w:sz="4" w:space="0" w:color="auto"/>
              <w:left w:val="nil"/>
              <w:bottom w:val="nil"/>
              <w:right w:val="nil"/>
            </w:tcBorders>
          </w:tcPr>
          <w:p w14:paraId="7BFB4D04"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Slenyto</w:t>
            </w:r>
            <w:proofErr w:type="spellEnd"/>
          </w:p>
        </w:tc>
        <w:tc>
          <w:tcPr>
            <w:tcW w:w="589" w:type="pct"/>
            <w:gridSpan w:val="4"/>
            <w:tcBorders>
              <w:top w:val="single" w:sz="4" w:space="0" w:color="auto"/>
              <w:left w:val="nil"/>
              <w:bottom w:val="nil"/>
              <w:right w:val="nil"/>
            </w:tcBorders>
          </w:tcPr>
          <w:p w14:paraId="72C68EC2"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-0.7 ± 1.93</w:t>
            </w:r>
          </w:p>
        </w:tc>
        <w:tc>
          <w:tcPr>
            <w:tcW w:w="1404" w:type="pct"/>
            <w:gridSpan w:val="2"/>
            <w:tcBorders>
              <w:top w:val="single" w:sz="4" w:space="0" w:color="auto"/>
              <w:left w:val="nil"/>
              <w:bottom w:val="nil"/>
              <w:right w:val="nil"/>
            </w:tcBorders>
          </w:tcPr>
          <w:p w14:paraId="465F8F81"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-0.70 (0.244)[-1.19;-0.22]</w:t>
            </w:r>
          </w:p>
        </w:tc>
        <w:tc>
          <w:tcPr>
            <w:tcW w:w="623" w:type="pct"/>
            <w:gridSpan w:val="2"/>
            <w:tcBorders>
              <w:top w:val="single" w:sz="4" w:space="0" w:color="auto"/>
              <w:left w:val="nil"/>
              <w:bottom w:val="nil"/>
              <w:right w:val="nil"/>
            </w:tcBorders>
          </w:tcPr>
          <w:p w14:paraId="5B111869"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581" w:type="pct"/>
            <w:gridSpan w:val="2"/>
            <w:tcBorders>
              <w:top w:val="single" w:sz="4" w:space="0" w:color="auto"/>
              <w:left w:val="nil"/>
              <w:bottom w:val="nil"/>
              <w:right w:val="nil"/>
            </w:tcBorders>
          </w:tcPr>
          <w:p w14:paraId="39E25819"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475" w:type="pct"/>
            <w:gridSpan w:val="2"/>
            <w:tcBorders>
              <w:top w:val="single" w:sz="4" w:space="0" w:color="auto"/>
              <w:left w:val="nil"/>
              <w:bottom w:val="nil"/>
              <w:right w:val="nil"/>
            </w:tcBorders>
          </w:tcPr>
          <w:p w14:paraId="3B5A9CC3"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r>
      <w:tr w:rsidR="005F600C" w:rsidRPr="005F600C" w14:paraId="5E4064F6" w14:textId="77777777" w:rsidTr="00B2378C">
        <w:tc>
          <w:tcPr>
            <w:tcW w:w="813" w:type="pct"/>
            <w:tcBorders>
              <w:top w:val="nil"/>
              <w:left w:val="nil"/>
              <w:bottom w:val="single" w:sz="4" w:space="0" w:color="auto"/>
              <w:right w:val="nil"/>
            </w:tcBorders>
          </w:tcPr>
          <w:p w14:paraId="1877ECE6" w14:textId="77777777" w:rsidR="005F600C" w:rsidRPr="005F600C" w:rsidRDefault="005F600C" w:rsidP="00DF6E51">
            <w:pPr>
              <w:keepNext/>
              <w:keepLines/>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behaviours</w:t>
            </w:r>
            <w:proofErr w:type="spellEnd"/>
          </w:p>
        </w:tc>
        <w:tc>
          <w:tcPr>
            <w:tcW w:w="515" w:type="pct"/>
            <w:gridSpan w:val="2"/>
            <w:tcBorders>
              <w:top w:val="nil"/>
              <w:left w:val="nil"/>
              <w:bottom w:val="single" w:sz="4" w:space="0" w:color="auto"/>
              <w:right w:val="nil"/>
            </w:tcBorders>
          </w:tcPr>
          <w:p w14:paraId="4BC7F03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p w14:paraId="50587FAC"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Placebo</w:t>
            </w:r>
          </w:p>
        </w:tc>
        <w:tc>
          <w:tcPr>
            <w:tcW w:w="589" w:type="pct"/>
            <w:gridSpan w:val="4"/>
            <w:tcBorders>
              <w:top w:val="nil"/>
              <w:left w:val="nil"/>
              <w:bottom w:val="single" w:sz="4" w:space="0" w:color="auto"/>
              <w:right w:val="nil"/>
            </w:tcBorders>
          </w:tcPr>
          <w:p w14:paraId="6E26BAB4"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p w14:paraId="5ED587B2"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0.1 ± 1.69</w:t>
            </w:r>
          </w:p>
        </w:tc>
        <w:tc>
          <w:tcPr>
            <w:tcW w:w="1404" w:type="pct"/>
            <w:gridSpan w:val="2"/>
            <w:tcBorders>
              <w:top w:val="nil"/>
              <w:left w:val="nil"/>
              <w:bottom w:val="single" w:sz="4" w:space="0" w:color="auto"/>
              <w:right w:val="nil"/>
            </w:tcBorders>
          </w:tcPr>
          <w:p w14:paraId="40C39EB1"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p w14:paraId="2BABBCC6"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0.13(0.258)[-0.38; 0.64]</w:t>
            </w:r>
          </w:p>
        </w:tc>
        <w:tc>
          <w:tcPr>
            <w:tcW w:w="623" w:type="pct"/>
            <w:gridSpan w:val="2"/>
            <w:tcBorders>
              <w:top w:val="nil"/>
              <w:left w:val="nil"/>
              <w:bottom w:val="single" w:sz="4" w:space="0" w:color="auto"/>
              <w:right w:val="nil"/>
            </w:tcBorders>
            <w:vAlign w:val="center"/>
          </w:tcPr>
          <w:p w14:paraId="7675D4EA"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-0.83 (0.355)</w:t>
            </w:r>
          </w:p>
        </w:tc>
        <w:tc>
          <w:tcPr>
            <w:tcW w:w="581" w:type="pct"/>
            <w:gridSpan w:val="2"/>
            <w:tcBorders>
              <w:top w:val="nil"/>
              <w:left w:val="nil"/>
              <w:bottom w:val="single" w:sz="4" w:space="0" w:color="auto"/>
              <w:right w:val="nil"/>
            </w:tcBorders>
            <w:vAlign w:val="center"/>
          </w:tcPr>
          <w:p w14:paraId="2175FECF" w14:textId="77777777" w:rsidR="005F600C" w:rsidRPr="005F600C" w:rsidRDefault="005F600C" w:rsidP="00DF6E51">
            <w:pPr>
              <w:keepNext/>
              <w:keepLines/>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-1.54, -0.13</w:t>
            </w:r>
          </w:p>
        </w:tc>
        <w:tc>
          <w:tcPr>
            <w:tcW w:w="475" w:type="pct"/>
            <w:gridSpan w:val="2"/>
            <w:tcBorders>
              <w:top w:val="nil"/>
              <w:left w:val="nil"/>
              <w:bottom w:val="single" w:sz="4" w:space="0" w:color="auto"/>
              <w:right w:val="nil"/>
            </w:tcBorders>
            <w:vAlign w:val="center"/>
          </w:tcPr>
          <w:p w14:paraId="46BD10F5" w14:textId="77777777"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color w:val="auto"/>
                <w:sz w:val="20"/>
                <w:szCs w:val="20"/>
                <w:lang w:eastAsia="en-GB"/>
              </w:rPr>
              <w:t>0.021</w:t>
            </w:r>
          </w:p>
        </w:tc>
      </w:tr>
      <w:tr w:rsidR="005F600C" w:rsidRPr="005F600C" w14:paraId="0828CE75" w14:textId="77777777" w:rsidTr="00890A55">
        <w:tc>
          <w:tcPr>
            <w:tcW w:w="5000" w:type="pct"/>
            <w:gridSpan w:val="15"/>
            <w:tcBorders>
              <w:top w:val="single" w:sz="4" w:space="0" w:color="auto"/>
              <w:left w:val="nil"/>
              <w:bottom w:val="single" w:sz="4" w:space="0" w:color="auto"/>
              <w:right w:val="nil"/>
            </w:tcBorders>
          </w:tcPr>
          <w:p w14:paraId="676E2907" w14:textId="77777777" w:rsidR="005F600C" w:rsidRPr="005F600C" w:rsidRDefault="005F600C" w:rsidP="00DF6E51">
            <w:pPr>
              <w:keepNext/>
              <w:keepLines/>
              <w:tabs>
                <w:tab w:val="left" w:pos="720"/>
              </w:tabs>
              <w:overflowPunct w:val="0"/>
              <w:autoSpaceDE w:val="0"/>
              <w:autoSpaceDN w:val="0"/>
              <w:adjustRightInd w:val="0"/>
              <w:spacing w:before="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WHO-5</w:t>
            </w:r>
          </w:p>
        </w:tc>
      </w:tr>
      <w:tr w:rsidR="005F600C" w:rsidRPr="005F600C" w14:paraId="75402AC4" w14:textId="77777777" w:rsidTr="00B2378C">
        <w:trPr>
          <w:gridAfter w:val="1"/>
          <w:wAfter w:w="95" w:type="pct"/>
        </w:trPr>
        <w:tc>
          <w:tcPr>
            <w:tcW w:w="893" w:type="pct"/>
            <w:gridSpan w:val="2"/>
            <w:vMerge w:val="restart"/>
            <w:tcBorders>
              <w:top w:val="single" w:sz="4" w:space="0" w:color="auto"/>
              <w:left w:val="nil"/>
              <w:bottom w:val="nil"/>
              <w:right w:val="nil"/>
            </w:tcBorders>
            <w:hideMark/>
          </w:tcPr>
          <w:p w14:paraId="20851AF9" w14:textId="77777777" w:rsidR="005F600C" w:rsidRPr="005F600C" w:rsidRDefault="005F600C" w:rsidP="00DF6E51">
            <w:pPr>
              <w:keepNext/>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WHO-5</w:t>
            </w:r>
          </w:p>
        </w:tc>
        <w:tc>
          <w:tcPr>
            <w:tcW w:w="455" w:type="pct"/>
            <w:gridSpan w:val="2"/>
            <w:tcBorders>
              <w:top w:val="single" w:sz="4" w:space="0" w:color="auto"/>
              <w:left w:val="nil"/>
              <w:bottom w:val="nil"/>
              <w:right w:val="nil"/>
            </w:tcBorders>
            <w:hideMark/>
          </w:tcPr>
          <w:p w14:paraId="2D688C56"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Slenyto</w:t>
            </w:r>
            <w:proofErr w:type="spellEnd"/>
          </w:p>
        </w:tc>
        <w:tc>
          <w:tcPr>
            <w:tcW w:w="516" w:type="pct"/>
            <w:gridSpan w:val="2"/>
            <w:tcBorders>
              <w:top w:val="single" w:sz="4" w:space="0" w:color="auto"/>
              <w:left w:val="nil"/>
              <w:bottom w:val="nil"/>
              <w:right w:val="nil"/>
            </w:tcBorders>
          </w:tcPr>
          <w:p w14:paraId="1EDC9CD4"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1.3 ± 4.96</w:t>
            </w:r>
          </w:p>
        </w:tc>
        <w:tc>
          <w:tcPr>
            <w:tcW w:w="1408" w:type="pct"/>
            <w:gridSpan w:val="2"/>
            <w:tcBorders>
              <w:top w:val="single" w:sz="4" w:space="0" w:color="auto"/>
              <w:left w:val="nil"/>
              <w:bottom w:val="nil"/>
              <w:right w:val="nil"/>
            </w:tcBorders>
            <w:hideMark/>
          </w:tcPr>
          <w:p w14:paraId="107945D6"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1.43(0.565)(0.31,2.55)</w:t>
            </w:r>
          </w:p>
        </w:tc>
        <w:tc>
          <w:tcPr>
            <w:tcW w:w="607" w:type="pct"/>
            <w:gridSpan w:val="2"/>
            <w:vMerge w:val="restart"/>
            <w:tcBorders>
              <w:top w:val="single" w:sz="4" w:space="0" w:color="auto"/>
              <w:left w:val="nil"/>
              <w:bottom w:val="nil"/>
              <w:right w:val="nil"/>
            </w:tcBorders>
            <w:vAlign w:val="center"/>
            <w:hideMark/>
          </w:tcPr>
          <w:p w14:paraId="1778EDE6" w14:textId="517F4E6F"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2.17(0.831)</w:t>
            </w:r>
          </w:p>
        </w:tc>
        <w:tc>
          <w:tcPr>
            <w:tcW w:w="540" w:type="pct"/>
            <w:gridSpan w:val="2"/>
            <w:vMerge w:val="restart"/>
            <w:tcBorders>
              <w:top w:val="single" w:sz="4" w:space="0" w:color="auto"/>
              <w:left w:val="nil"/>
              <w:bottom w:val="nil"/>
              <w:right w:val="nil"/>
            </w:tcBorders>
            <w:vAlign w:val="center"/>
            <w:hideMark/>
          </w:tcPr>
          <w:p w14:paraId="154B4B27" w14:textId="1BF0C966"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0.53, 3.82</w:t>
            </w:r>
          </w:p>
        </w:tc>
        <w:tc>
          <w:tcPr>
            <w:tcW w:w="487" w:type="pct"/>
            <w:gridSpan w:val="2"/>
            <w:vMerge w:val="restart"/>
            <w:tcBorders>
              <w:top w:val="single" w:sz="4" w:space="0" w:color="auto"/>
              <w:left w:val="nil"/>
              <w:bottom w:val="nil"/>
              <w:right w:val="nil"/>
            </w:tcBorders>
            <w:vAlign w:val="center"/>
            <w:hideMark/>
          </w:tcPr>
          <w:p w14:paraId="048ECC4C" w14:textId="77777777" w:rsidR="005F600C" w:rsidRPr="005F600C" w:rsidRDefault="005F600C" w:rsidP="00DF6E51">
            <w:pPr>
              <w:keepNext/>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color w:val="auto"/>
                <w:sz w:val="20"/>
                <w:szCs w:val="20"/>
                <w:lang w:eastAsia="en-GB"/>
              </w:rPr>
              <w:t>0.01</w:t>
            </w:r>
          </w:p>
        </w:tc>
      </w:tr>
      <w:tr w:rsidR="005F600C" w:rsidRPr="005F600C" w14:paraId="3144E20F" w14:textId="77777777" w:rsidTr="00B2378C">
        <w:trPr>
          <w:gridAfter w:val="1"/>
          <w:wAfter w:w="95" w:type="pct"/>
        </w:trPr>
        <w:tc>
          <w:tcPr>
            <w:tcW w:w="893" w:type="pct"/>
            <w:gridSpan w:val="2"/>
            <w:vMerge/>
            <w:tcBorders>
              <w:top w:val="single" w:sz="4" w:space="0" w:color="auto"/>
              <w:left w:val="nil"/>
              <w:bottom w:val="nil"/>
              <w:right w:val="nil"/>
            </w:tcBorders>
            <w:vAlign w:val="center"/>
            <w:hideMark/>
          </w:tcPr>
          <w:p w14:paraId="39B59305" w14:textId="77777777" w:rsidR="005F600C" w:rsidRPr="005F600C" w:rsidRDefault="005F600C" w:rsidP="00DF6E51">
            <w:pPr>
              <w:spacing w:before="0"/>
              <w:jc w:val="center"/>
              <w:rPr>
                <w:rFonts w:eastAsia="Times New Roman"/>
                <w:color w:val="auto"/>
                <w:sz w:val="20"/>
                <w:szCs w:val="20"/>
                <w:lang w:eastAsia="en-GB"/>
              </w:rPr>
            </w:pPr>
          </w:p>
        </w:tc>
        <w:tc>
          <w:tcPr>
            <w:tcW w:w="455" w:type="pct"/>
            <w:gridSpan w:val="2"/>
            <w:tcBorders>
              <w:top w:val="nil"/>
              <w:left w:val="nil"/>
              <w:bottom w:val="nil"/>
              <w:right w:val="nil"/>
            </w:tcBorders>
            <w:hideMark/>
          </w:tcPr>
          <w:p w14:paraId="05D5FD5D"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Placebo</w:t>
            </w:r>
          </w:p>
        </w:tc>
        <w:tc>
          <w:tcPr>
            <w:tcW w:w="516" w:type="pct"/>
            <w:gridSpan w:val="2"/>
            <w:tcBorders>
              <w:top w:val="nil"/>
              <w:left w:val="nil"/>
              <w:bottom w:val="nil"/>
              <w:right w:val="nil"/>
            </w:tcBorders>
          </w:tcPr>
          <w:p w14:paraId="7D658464"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-0.5 ±4.27</w:t>
            </w:r>
          </w:p>
        </w:tc>
        <w:tc>
          <w:tcPr>
            <w:tcW w:w="1408" w:type="pct"/>
            <w:gridSpan w:val="2"/>
            <w:tcBorders>
              <w:top w:val="nil"/>
              <w:left w:val="nil"/>
              <w:bottom w:val="nil"/>
              <w:right w:val="nil"/>
            </w:tcBorders>
            <w:hideMark/>
          </w:tcPr>
          <w:p w14:paraId="3A94E597"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-0.75(0.608)(-1.95,0.46)</w:t>
            </w:r>
          </w:p>
        </w:tc>
        <w:tc>
          <w:tcPr>
            <w:tcW w:w="607" w:type="pct"/>
            <w:gridSpan w:val="2"/>
            <w:vMerge/>
            <w:tcBorders>
              <w:top w:val="single" w:sz="4" w:space="0" w:color="auto"/>
              <w:left w:val="nil"/>
              <w:bottom w:val="nil"/>
              <w:right w:val="nil"/>
            </w:tcBorders>
            <w:vAlign w:val="center"/>
            <w:hideMark/>
          </w:tcPr>
          <w:p w14:paraId="7D38B608" w14:textId="77777777" w:rsidR="005F600C" w:rsidRPr="005F600C" w:rsidRDefault="005F600C" w:rsidP="00DF6E51">
            <w:pPr>
              <w:spacing w:before="0"/>
              <w:jc w:val="center"/>
              <w:rPr>
                <w:rFonts w:eastAsia="Times New Roman"/>
                <w:color w:val="auto"/>
                <w:sz w:val="20"/>
                <w:szCs w:val="20"/>
                <w:lang w:eastAsia="en-GB"/>
              </w:rPr>
            </w:pPr>
          </w:p>
        </w:tc>
        <w:tc>
          <w:tcPr>
            <w:tcW w:w="540" w:type="pct"/>
            <w:gridSpan w:val="2"/>
            <w:vMerge/>
            <w:tcBorders>
              <w:top w:val="single" w:sz="4" w:space="0" w:color="auto"/>
              <w:left w:val="nil"/>
              <w:bottom w:val="nil"/>
              <w:right w:val="nil"/>
            </w:tcBorders>
            <w:vAlign w:val="center"/>
            <w:hideMark/>
          </w:tcPr>
          <w:p w14:paraId="03AC4B7E" w14:textId="77777777" w:rsidR="005F600C" w:rsidRPr="005F600C" w:rsidRDefault="005F600C" w:rsidP="00DF6E51">
            <w:pPr>
              <w:spacing w:before="0"/>
              <w:jc w:val="center"/>
              <w:rPr>
                <w:rFonts w:eastAsia="Times New Roman"/>
                <w:color w:val="auto"/>
                <w:sz w:val="20"/>
                <w:szCs w:val="20"/>
                <w:lang w:eastAsia="en-GB"/>
              </w:rPr>
            </w:pPr>
          </w:p>
        </w:tc>
        <w:tc>
          <w:tcPr>
            <w:tcW w:w="487" w:type="pct"/>
            <w:gridSpan w:val="2"/>
            <w:vMerge/>
            <w:tcBorders>
              <w:top w:val="single" w:sz="4" w:space="0" w:color="auto"/>
              <w:left w:val="nil"/>
              <w:bottom w:val="nil"/>
              <w:right w:val="nil"/>
            </w:tcBorders>
            <w:vAlign w:val="center"/>
            <w:hideMark/>
          </w:tcPr>
          <w:p w14:paraId="03D8DA8C" w14:textId="77777777" w:rsidR="005F600C" w:rsidRPr="005F600C" w:rsidRDefault="005F600C" w:rsidP="00DF6E51">
            <w:pPr>
              <w:spacing w:before="0"/>
              <w:jc w:val="center"/>
              <w:rPr>
                <w:rFonts w:eastAsia="Times New Roman"/>
                <w:color w:val="auto"/>
                <w:sz w:val="20"/>
                <w:szCs w:val="20"/>
                <w:lang w:eastAsia="en-GB"/>
              </w:rPr>
            </w:pPr>
          </w:p>
        </w:tc>
      </w:tr>
      <w:tr w:rsidR="005F600C" w:rsidRPr="005F600C" w14:paraId="553C8790" w14:textId="77777777" w:rsidTr="00B2378C">
        <w:trPr>
          <w:gridAfter w:val="1"/>
          <w:wAfter w:w="95" w:type="pct"/>
        </w:trPr>
        <w:tc>
          <w:tcPr>
            <w:tcW w:w="893" w:type="pct"/>
            <w:gridSpan w:val="2"/>
            <w:vMerge/>
            <w:tcBorders>
              <w:top w:val="single" w:sz="4" w:space="0" w:color="auto"/>
              <w:left w:val="nil"/>
              <w:bottom w:val="nil"/>
              <w:right w:val="nil"/>
            </w:tcBorders>
            <w:vAlign w:val="center"/>
            <w:hideMark/>
          </w:tcPr>
          <w:p w14:paraId="3AA131F1" w14:textId="77777777" w:rsidR="005F600C" w:rsidRPr="005F600C" w:rsidRDefault="005F600C" w:rsidP="00DF6E51">
            <w:pPr>
              <w:spacing w:before="0"/>
              <w:jc w:val="center"/>
              <w:rPr>
                <w:rFonts w:eastAsia="Times New Roman"/>
                <w:color w:val="auto"/>
                <w:sz w:val="20"/>
                <w:szCs w:val="20"/>
                <w:lang w:eastAsia="en-GB"/>
              </w:rPr>
            </w:pPr>
          </w:p>
        </w:tc>
        <w:tc>
          <w:tcPr>
            <w:tcW w:w="971" w:type="pct"/>
            <w:gridSpan w:val="4"/>
            <w:tcBorders>
              <w:top w:val="nil"/>
              <w:left w:val="nil"/>
              <w:bottom w:val="single" w:sz="4" w:space="0" w:color="auto"/>
              <w:right w:val="nil"/>
            </w:tcBorders>
          </w:tcPr>
          <w:p w14:paraId="5505B1E2"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1408" w:type="pct"/>
            <w:gridSpan w:val="2"/>
            <w:tcBorders>
              <w:top w:val="nil"/>
              <w:left w:val="nil"/>
              <w:bottom w:val="single" w:sz="4" w:space="0" w:color="auto"/>
              <w:right w:val="nil"/>
            </w:tcBorders>
          </w:tcPr>
          <w:p w14:paraId="568601F1" w14:textId="77777777" w:rsidR="005F600C" w:rsidRPr="005F600C" w:rsidRDefault="005F600C" w:rsidP="00DF6E51">
            <w:pPr>
              <w:keepNext/>
              <w:tabs>
                <w:tab w:val="left" w:pos="720"/>
              </w:tabs>
              <w:overflowPunct w:val="0"/>
              <w:autoSpaceDE w:val="0"/>
              <w:autoSpaceDN w:val="0"/>
              <w:adjustRightInd w:val="0"/>
              <w:spacing w:before="0" w:after="60"/>
              <w:ind w:right="-108"/>
              <w:jc w:val="center"/>
              <w:textAlignment w:val="baseline"/>
              <w:rPr>
                <w:rFonts w:eastAsia="Times New Roman"/>
                <w:color w:val="auto"/>
                <w:sz w:val="20"/>
                <w:szCs w:val="20"/>
                <w:lang w:eastAsia="en-GB"/>
              </w:rPr>
            </w:pPr>
          </w:p>
        </w:tc>
        <w:tc>
          <w:tcPr>
            <w:tcW w:w="607" w:type="pct"/>
            <w:gridSpan w:val="2"/>
            <w:tcBorders>
              <w:top w:val="nil"/>
              <w:left w:val="nil"/>
              <w:bottom w:val="single" w:sz="4" w:space="0" w:color="auto"/>
              <w:right w:val="nil"/>
            </w:tcBorders>
            <w:vAlign w:val="center"/>
          </w:tcPr>
          <w:p w14:paraId="6E056865"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540" w:type="pct"/>
            <w:gridSpan w:val="2"/>
            <w:tcBorders>
              <w:top w:val="nil"/>
              <w:left w:val="nil"/>
              <w:bottom w:val="single" w:sz="4" w:space="0" w:color="auto"/>
              <w:right w:val="nil"/>
            </w:tcBorders>
            <w:vAlign w:val="center"/>
          </w:tcPr>
          <w:p w14:paraId="6082CF78"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c>
          <w:tcPr>
            <w:tcW w:w="487" w:type="pct"/>
            <w:gridSpan w:val="2"/>
            <w:tcBorders>
              <w:top w:val="nil"/>
              <w:left w:val="nil"/>
              <w:bottom w:val="single" w:sz="4" w:space="0" w:color="auto"/>
              <w:right w:val="nil"/>
            </w:tcBorders>
            <w:vAlign w:val="center"/>
          </w:tcPr>
          <w:p w14:paraId="155E1446"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
        </w:tc>
      </w:tr>
      <w:tr w:rsidR="005F600C" w:rsidRPr="005F600C" w14:paraId="68309DCE" w14:textId="77777777" w:rsidTr="00B2378C">
        <w:trPr>
          <w:gridAfter w:val="1"/>
          <w:wAfter w:w="95" w:type="pct"/>
        </w:trPr>
        <w:tc>
          <w:tcPr>
            <w:tcW w:w="4905" w:type="pct"/>
            <w:gridSpan w:val="14"/>
            <w:tcBorders>
              <w:top w:val="single" w:sz="4" w:space="0" w:color="auto"/>
              <w:left w:val="nil"/>
              <w:bottom w:val="nil"/>
              <w:right w:val="nil"/>
            </w:tcBorders>
          </w:tcPr>
          <w:p w14:paraId="0E2979C1" w14:textId="77777777" w:rsidR="005F600C" w:rsidRPr="005F600C" w:rsidRDefault="005F600C" w:rsidP="00DF6E51">
            <w:pPr>
              <w:keepNext/>
              <w:tabs>
                <w:tab w:val="left" w:pos="720"/>
              </w:tabs>
              <w:overflowPunct w:val="0"/>
              <w:autoSpaceDE w:val="0"/>
              <w:autoSpaceDN w:val="0"/>
              <w:adjustRightInd w:val="0"/>
              <w:spacing w:before="0"/>
              <w:jc w:val="center"/>
              <w:textAlignment w:val="baseline"/>
              <w:rPr>
                <w:rFonts w:eastAsia="Times New Roman"/>
                <w:b/>
                <w:bCs/>
                <w:color w:val="auto"/>
                <w:sz w:val="20"/>
                <w:szCs w:val="20"/>
                <w:lang w:eastAsia="en-GB"/>
              </w:rPr>
            </w:pPr>
            <w:r w:rsidRPr="005F600C">
              <w:rPr>
                <w:rFonts w:eastAsia="Times New Roman"/>
                <w:b/>
                <w:bCs/>
                <w:color w:val="auto"/>
                <w:sz w:val="20"/>
                <w:szCs w:val="20"/>
                <w:lang w:eastAsia="en-GB"/>
              </w:rPr>
              <w:t>CSDI</w:t>
            </w:r>
          </w:p>
        </w:tc>
      </w:tr>
      <w:tr w:rsidR="005F600C" w:rsidRPr="005F600C" w14:paraId="0CF812F9" w14:textId="77777777" w:rsidTr="00B2378C">
        <w:trPr>
          <w:gridAfter w:val="1"/>
          <w:wAfter w:w="95" w:type="pct"/>
        </w:trPr>
        <w:tc>
          <w:tcPr>
            <w:tcW w:w="893" w:type="pct"/>
            <w:gridSpan w:val="2"/>
            <w:vMerge w:val="restart"/>
            <w:tcBorders>
              <w:top w:val="single" w:sz="4" w:space="0" w:color="auto"/>
              <w:left w:val="nil"/>
              <w:bottom w:val="nil"/>
              <w:right w:val="nil"/>
            </w:tcBorders>
            <w:hideMark/>
          </w:tcPr>
          <w:p w14:paraId="2C22C69F" w14:textId="77777777" w:rsidR="005F600C" w:rsidRPr="005F600C" w:rsidRDefault="005F600C" w:rsidP="00DF6E51">
            <w:pPr>
              <w:keepNext/>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CSDI satisfaction</w:t>
            </w:r>
          </w:p>
        </w:tc>
        <w:tc>
          <w:tcPr>
            <w:tcW w:w="455" w:type="pct"/>
            <w:gridSpan w:val="2"/>
            <w:tcBorders>
              <w:top w:val="single" w:sz="4" w:space="0" w:color="auto"/>
              <w:left w:val="nil"/>
              <w:bottom w:val="nil"/>
              <w:right w:val="nil"/>
            </w:tcBorders>
            <w:hideMark/>
          </w:tcPr>
          <w:p w14:paraId="4D2A92FC"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proofErr w:type="spellStart"/>
            <w:r w:rsidRPr="005F600C">
              <w:rPr>
                <w:rFonts w:eastAsia="Times New Roman"/>
                <w:color w:val="auto"/>
                <w:sz w:val="20"/>
                <w:szCs w:val="20"/>
                <w:lang w:eastAsia="en-GB"/>
              </w:rPr>
              <w:t>Slenyto</w:t>
            </w:r>
            <w:proofErr w:type="spellEnd"/>
          </w:p>
        </w:tc>
        <w:tc>
          <w:tcPr>
            <w:tcW w:w="516" w:type="pct"/>
            <w:gridSpan w:val="2"/>
            <w:tcBorders>
              <w:top w:val="single" w:sz="4" w:space="0" w:color="auto"/>
              <w:left w:val="nil"/>
              <w:bottom w:val="nil"/>
              <w:right w:val="nil"/>
            </w:tcBorders>
          </w:tcPr>
          <w:p w14:paraId="7555A37D"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val="en-GB"/>
              </w:rPr>
              <w:t xml:space="preserve">1.4 </w:t>
            </w:r>
            <w:r w:rsidRPr="005F600C">
              <w:rPr>
                <w:rFonts w:eastAsia="Times New Roman" w:cs="Times"/>
                <w:color w:val="auto"/>
                <w:sz w:val="20"/>
                <w:szCs w:val="20"/>
                <w:lang w:val="en-GB"/>
              </w:rPr>
              <w:t>± 1.56</w:t>
            </w:r>
          </w:p>
        </w:tc>
        <w:tc>
          <w:tcPr>
            <w:tcW w:w="1408" w:type="pct"/>
            <w:gridSpan w:val="2"/>
            <w:tcBorders>
              <w:top w:val="single" w:sz="4" w:space="0" w:color="auto"/>
              <w:left w:val="nil"/>
              <w:bottom w:val="nil"/>
              <w:right w:val="nil"/>
            </w:tcBorders>
            <w:hideMark/>
          </w:tcPr>
          <w:p w14:paraId="716DD95C"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1.43(0.175)(1.08,1.78)</w:t>
            </w:r>
          </w:p>
        </w:tc>
        <w:tc>
          <w:tcPr>
            <w:tcW w:w="607" w:type="pct"/>
            <w:gridSpan w:val="2"/>
            <w:vMerge w:val="restart"/>
            <w:tcBorders>
              <w:top w:val="single" w:sz="4" w:space="0" w:color="auto"/>
              <w:left w:val="nil"/>
              <w:bottom w:val="nil"/>
              <w:right w:val="nil"/>
            </w:tcBorders>
            <w:vAlign w:val="center"/>
            <w:hideMark/>
          </w:tcPr>
          <w:p w14:paraId="1E388E71" w14:textId="77777777"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0.72(0.254)</w:t>
            </w:r>
          </w:p>
        </w:tc>
        <w:tc>
          <w:tcPr>
            <w:tcW w:w="540" w:type="pct"/>
            <w:gridSpan w:val="2"/>
            <w:vMerge w:val="restart"/>
            <w:tcBorders>
              <w:top w:val="single" w:sz="4" w:space="0" w:color="auto"/>
              <w:left w:val="nil"/>
              <w:bottom w:val="nil"/>
              <w:right w:val="nil"/>
            </w:tcBorders>
            <w:vAlign w:val="center"/>
            <w:hideMark/>
          </w:tcPr>
          <w:p w14:paraId="7ABD4DCE" w14:textId="7F6B160F" w:rsidR="005F600C" w:rsidRPr="005F600C" w:rsidRDefault="005F600C" w:rsidP="00DF6E51">
            <w:pPr>
              <w:keepNext/>
              <w:tabs>
                <w:tab w:val="left" w:pos="720"/>
              </w:tabs>
              <w:overflowPunct w:val="0"/>
              <w:autoSpaceDE w:val="0"/>
              <w:autoSpaceDN w:val="0"/>
              <w:adjustRightInd w:val="0"/>
              <w:spacing w:before="0" w:after="60"/>
              <w:jc w:val="center"/>
              <w:textAlignment w:val="baseline"/>
              <w:rPr>
                <w:rFonts w:eastAsia="Times New Roman"/>
                <w:color w:val="auto"/>
                <w:sz w:val="20"/>
                <w:szCs w:val="20"/>
                <w:lang w:eastAsia="en-GB"/>
              </w:rPr>
            </w:pPr>
            <w:r w:rsidRPr="005F600C">
              <w:rPr>
                <w:rFonts w:eastAsia="Times New Roman"/>
                <w:color w:val="auto"/>
                <w:sz w:val="20"/>
                <w:szCs w:val="20"/>
                <w:lang w:eastAsia="en-GB"/>
              </w:rPr>
              <w:t>0.22, 1.23</w:t>
            </w:r>
          </w:p>
        </w:tc>
        <w:tc>
          <w:tcPr>
            <w:tcW w:w="487" w:type="pct"/>
            <w:gridSpan w:val="2"/>
            <w:vMerge w:val="restart"/>
            <w:tcBorders>
              <w:top w:val="single" w:sz="4" w:space="0" w:color="auto"/>
              <w:left w:val="nil"/>
              <w:bottom w:val="nil"/>
              <w:right w:val="nil"/>
            </w:tcBorders>
            <w:vAlign w:val="center"/>
            <w:hideMark/>
          </w:tcPr>
          <w:p w14:paraId="4B5EBFFC" w14:textId="77777777" w:rsidR="005F600C" w:rsidRPr="005F600C" w:rsidRDefault="005F600C" w:rsidP="00DF6E51">
            <w:pPr>
              <w:keepNext/>
              <w:tabs>
                <w:tab w:val="left" w:pos="720"/>
              </w:tabs>
              <w:overflowPunct w:val="0"/>
              <w:autoSpaceDE w:val="0"/>
              <w:autoSpaceDN w:val="0"/>
              <w:adjustRightInd w:val="0"/>
              <w:spacing w:before="0"/>
              <w:jc w:val="center"/>
              <w:textAlignment w:val="baseline"/>
              <w:rPr>
                <w:rFonts w:eastAsia="Times New Roman"/>
                <w:color w:val="auto"/>
                <w:sz w:val="20"/>
                <w:szCs w:val="20"/>
                <w:lang w:eastAsia="en-GB"/>
              </w:rPr>
            </w:pPr>
            <w:r w:rsidRPr="005F600C">
              <w:rPr>
                <w:rFonts w:eastAsia="Times New Roman"/>
                <w:color w:val="auto"/>
                <w:sz w:val="20"/>
                <w:szCs w:val="20"/>
                <w:lang w:eastAsia="en-GB"/>
              </w:rPr>
              <w:t>0.005</w:t>
            </w:r>
          </w:p>
        </w:tc>
      </w:tr>
      <w:tr w:rsidR="005F600C" w:rsidRPr="005F600C" w14:paraId="0152E2A5" w14:textId="77777777" w:rsidTr="00B2378C">
        <w:trPr>
          <w:gridAfter w:val="1"/>
          <w:wAfter w:w="95" w:type="pct"/>
        </w:trPr>
        <w:tc>
          <w:tcPr>
            <w:tcW w:w="893" w:type="pct"/>
            <w:gridSpan w:val="2"/>
            <w:vMerge/>
            <w:tcBorders>
              <w:top w:val="single" w:sz="4" w:space="0" w:color="auto"/>
              <w:left w:val="nil"/>
              <w:bottom w:val="nil"/>
              <w:right w:val="nil"/>
            </w:tcBorders>
            <w:vAlign w:val="center"/>
            <w:hideMark/>
          </w:tcPr>
          <w:p w14:paraId="23FC8791" w14:textId="77777777" w:rsidR="005F600C" w:rsidRPr="005F600C" w:rsidRDefault="005F600C" w:rsidP="005F600C">
            <w:pPr>
              <w:spacing w:before="0"/>
              <w:rPr>
                <w:rFonts w:eastAsia="Times New Roman"/>
                <w:color w:val="auto"/>
                <w:sz w:val="20"/>
                <w:szCs w:val="20"/>
                <w:lang w:eastAsia="en-GB"/>
              </w:rPr>
            </w:pPr>
          </w:p>
        </w:tc>
        <w:tc>
          <w:tcPr>
            <w:tcW w:w="455" w:type="pct"/>
            <w:gridSpan w:val="2"/>
            <w:tcBorders>
              <w:top w:val="nil"/>
              <w:left w:val="nil"/>
              <w:bottom w:val="nil"/>
              <w:right w:val="nil"/>
            </w:tcBorders>
            <w:hideMark/>
          </w:tcPr>
          <w:p w14:paraId="29E9867E" w14:textId="77777777" w:rsidR="005F600C" w:rsidRPr="005F600C" w:rsidRDefault="005F600C" w:rsidP="005F600C">
            <w:pPr>
              <w:keepNext/>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Placebo</w:t>
            </w:r>
          </w:p>
        </w:tc>
        <w:tc>
          <w:tcPr>
            <w:tcW w:w="516" w:type="pct"/>
            <w:gridSpan w:val="2"/>
            <w:tcBorders>
              <w:top w:val="nil"/>
              <w:left w:val="nil"/>
              <w:bottom w:val="nil"/>
              <w:right w:val="nil"/>
            </w:tcBorders>
          </w:tcPr>
          <w:p w14:paraId="7ED947D1" w14:textId="77777777" w:rsidR="005F600C" w:rsidRPr="005F600C" w:rsidRDefault="005F600C" w:rsidP="005F600C">
            <w:pPr>
              <w:keepNext/>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val="en-GB"/>
              </w:rPr>
              <w:t xml:space="preserve">0.8 </w:t>
            </w:r>
            <w:r w:rsidRPr="005F600C">
              <w:rPr>
                <w:rFonts w:eastAsia="Times New Roman" w:cs="Times"/>
                <w:color w:val="auto"/>
                <w:sz w:val="20"/>
                <w:szCs w:val="20"/>
                <w:lang w:val="en-GB"/>
              </w:rPr>
              <w:t>±1.19</w:t>
            </w:r>
          </w:p>
        </w:tc>
        <w:tc>
          <w:tcPr>
            <w:tcW w:w="1408" w:type="pct"/>
            <w:gridSpan w:val="2"/>
            <w:tcBorders>
              <w:top w:val="nil"/>
              <w:left w:val="nil"/>
              <w:bottom w:val="nil"/>
              <w:right w:val="nil"/>
            </w:tcBorders>
            <w:hideMark/>
          </w:tcPr>
          <w:p w14:paraId="70A51808" w14:textId="77777777" w:rsidR="005F600C" w:rsidRPr="005F600C" w:rsidRDefault="005F600C" w:rsidP="005F600C">
            <w:pPr>
              <w:keepNext/>
              <w:tabs>
                <w:tab w:val="left" w:pos="720"/>
              </w:tabs>
              <w:overflowPunct w:val="0"/>
              <w:autoSpaceDE w:val="0"/>
              <w:autoSpaceDN w:val="0"/>
              <w:adjustRightInd w:val="0"/>
              <w:spacing w:before="0" w:after="60"/>
              <w:textAlignment w:val="baseline"/>
              <w:rPr>
                <w:rFonts w:eastAsia="Times New Roman"/>
                <w:color w:val="auto"/>
                <w:sz w:val="20"/>
                <w:szCs w:val="20"/>
                <w:lang w:eastAsia="en-GB"/>
              </w:rPr>
            </w:pPr>
            <w:r w:rsidRPr="005F600C">
              <w:rPr>
                <w:rFonts w:eastAsia="Times New Roman"/>
                <w:color w:val="auto"/>
                <w:sz w:val="20"/>
                <w:szCs w:val="20"/>
                <w:lang w:eastAsia="en-GB"/>
              </w:rPr>
              <w:t>0.71(0.184)(0.34,1.07)</w:t>
            </w:r>
          </w:p>
        </w:tc>
        <w:tc>
          <w:tcPr>
            <w:tcW w:w="607" w:type="pct"/>
            <w:gridSpan w:val="2"/>
            <w:vMerge/>
            <w:tcBorders>
              <w:top w:val="single" w:sz="4" w:space="0" w:color="auto"/>
              <w:left w:val="nil"/>
              <w:bottom w:val="nil"/>
              <w:right w:val="nil"/>
            </w:tcBorders>
            <w:vAlign w:val="center"/>
            <w:hideMark/>
          </w:tcPr>
          <w:p w14:paraId="0897D588" w14:textId="77777777" w:rsidR="005F600C" w:rsidRPr="005F600C" w:rsidRDefault="005F600C" w:rsidP="005F600C">
            <w:pPr>
              <w:spacing w:before="0"/>
              <w:rPr>
                <w:rFonts w:eastAsia="Times New Roman"/>
                <w:color w:val="auto"/>
                <w:sz w:val="20"/>
                <w:szCs w:val="20"/>
                <w:lang w:eastAsia="en-GB"/>
              </w:rPr>
            </w:pPr>
          </w:p>
        </w:tc>
        <w:tc>
          <w:tcPr>
            <w:tcW w:w="540" w:type="pct"/>
            <w:gridSpan w:val="2"/>
            <w:vMerge/>
            <w:tcBorders>
              <w:top w:val="single" w:sz="4" w:space="0" w:color="auto"/>
              <w:left w:val="nil"/>
              <w:bottom w:val="nil"/>
              <w:right w:val="nil"/>
            </w:tcBorders>
            <w:vAlign w:val="center"/>
            <w:hideMark/>
          </w:tcPr>
          <w:p w14:paraId="43E7882A" w14:textId="77777777" w:rsidR="005F600C" w:rsidRPr="005F600C" w:rsidRDefault="005F600C" w:rsidP="005F600C">
            <w:pPr>
              <w:spacing w:before="0"/>
              <w:rPr>
                <w:rFonts w:eastAsia="Times New Roman"/>
                <w:color w:val="auto"/>
                <w:sz w:val="20"/>
                <w:szCs w:val="20"/>
                <w:lang w:eastAsia="en-GB"/>
              </w:rPr>
            </w:pPr>
          </w:p>
        </w:tc>
        <w:tc>
          <w:tcPr>
            <w:tcW w:w="487" w:type="pct"/>
            <w:gridSpan w:val="2"/>
            <w:vMerge/>
            <w:tcBorders>
              <w:top w:val="single" w:sz="4" w:space="0" w:color="auto"/>
              <w:left w:val="nil"/>
              <w:bottom w:val="nil"/>
              <w:right w:val="nil"/>
            </w:tcBorders>
            <w:vAlign w:val="center"/>
            <w:hideMark/>
          </w:tcPr>
          <w:p w14:paraId="245F9138" w14:textId="77777777" w:rsidR="005F600C" w:rsidRPr="005F600C" w:rsidRDefault="005F600C" w:rsidP="005F600C">
            <w:pPr>
              <w:spacing w:before="0"/>
              <w:rPr>
                <w:rFonts w:eastAsia="Times New Roman"/>
                <w:color w:val="auto"/>
                <w:sz w:val="20"/>
                <w:szCs w:val="20"/>
                <w:lang w:eastAsia="en-GB"/>
              </w:rPr>
            </w:pPr>
          </w:p>
        </w:tc>
      </w:tr>
    </w:tbl>
    <w:p w14:paraId="19B6FCCB" w14:textId="31CF1458" w:rsidR="005F600C" w:rsidRPr="005F600C" w:rsidRDefault="005F600C" w:rsidP="005F600C">
      <w:pPr>
        <w:tabs>
          <w:tab w:val="left" w:pos="567"/>
        </w:tabs>
        <w:spacing w:before="0" w:line="260" w:lineRule="exact"/>
        <w:rPr>
          <w:rFonts w:eastAsia="Times New Roman"/>
          <w:color w:val="auto"/>
          <w:sz w:val="20"/>
          <w:szCs w:val="20"/>
          <w:lang w:val="en-GB"/>
        </w:rPr>
      </w:pPr>
      <w:bookmarkStart w:id="7" w:name="_GoBack"/>
      <w:bookmarkEnd w:id="7"/>
      <w:r w:rsidRPr="005F600C">
        <w:rPr>
          <w:rFonts w:eastAsia="Times New Roman"/>
          <w:color w:val="auto"/>
          <w:sz w:val="20"/>
          <w:szCs w:val="20"/>
          <w:lang w:val="en-GB"/>
        </w:rPr>
        <w:t xml:space="preserve">TST=Total Sleep Time; SL=Sleep Latency; SDQ = Strength and Difficulties Questionnaire; WHO-5= the World Health Organization Well-Being Index; CSDI = Composite Sleep Disturbance Index; </w:t>
      </w:r>
      <w:r w:rsidR="004A21AA">
        <w:rPr>
          <w:rFonts w:eastAsia="Times New Roman"/>
          <w:color w:val="auto"/>
          <w:sz w:val="20"/>
          <w:szCs w:val="20"/>
          <w:lang w:val="en-GB"/>
        </w:rPr>
        <w:t xml:space="preserve">SD = </w:t>
      </w:r>
      <w:r w:rsidR="004A21AA" w:rsidRPr="004A21AA">
        <w:rPr>
          <w:rFonts w:eastAsia="Times New Roman"/>
          <w:color w:val="auto"/>
          <w:sz w:val="20"/>
          <w:szCs w:val="20"/>
          <w:lang w:val="en-GB"/>
        </w:rPr>
        <w:t>standard deviation</w:t>
      </w:r>
      <w:r w:rsidR="004A21AA">
        <w:rPr>
          <w:rFonts w:eastAsia="Times New Roman"/>
          <w:color w:val="auto"/>
          <w:sz w:val="20"/>
          <w:szCs w:val="20"/>
          <w:lang w:val="en-GB"/>
        </w:rPr>
        <w:t>;</w:t>
      </w:r>
      <w:r w:rsidR="004A21AA" w:rsidRPr="004A21AA">
        <w:rPr>
          <w:rFonts w:eastAsia="Times New Roman"/>
          <w:color w:val="auto"/>
          <w:sz w:val="20"/>
          <w:szCs w:val="20"/>
          <w:lang w:val="en-GB"/>
        </w:rPr>
        <w:t xml:space="preserve"> </w:t>
      </w:r>
      <w:r w:rsidRPr="005F600C">
        <w:rPr>
          <w:rFonts w:eastAsia="Times New Roman"/>
          <w:color w:val="auto"/>
          <w:sz w:val="20"/>
          <w:szCs w:val="20"/>
          <w:lang w:val="en-GB"/>
        </w:rPr>
        <w:t xml:space="preserve">SE = standard Error; *MMRM = mixed-effects model for repeated-measures; </w:t>
      </w:r>
    </w:p>
    <w:bookmarkEnd w:id="6"/>
    <w:p w14:paraId="26A9780B" w14:textId="77777777" w:rsidR="003F3A95" w:rsidRPr="00194C52" w:rsidRDefault="003F3A95" w:rsidP="00BF5411">
      <w:pPr>
        <w:tabs>
          <w:tab w:val="left" w:pos="567"/>
        </w:tabs>
        <w:rPr>
          <w:i/>
        </w:rPr>
      </w:pPr>
      <w:r w:rsidRPr="00194C52">
        <w:rPr>
          <w:i/>
        </w:rPr>
        <w:t>Open label treatment period results (91weeks)</w:t>
      </w:r>
    </w:p>
    <w:p w14:paraId="4E6F03D4" w14:textId="44E332EC" w:rsidR="003F3A95" w:rsidRPr="00194C52" w:rsidRDefault="003F3A95" w:rsidP="00182901">
      <w:pPr>
        <w:tabs>
          <w:tab w:val="left" w:pos="567"/>
        </w:tabs>
      </w:pPr>
      <w:r w:rsidRPr="00194C52">
        <w:t xml:space="preserve">Patients (51 from the </w:t>
      </w:r>
      <w:r w:rsidR="00194C52" w:rsidRPr="00194C52">
        <w:t>SLENYTO</w:t>
      </w:r>
      <w:r w:rsidRPr="00194C52">
        <w:t xml:space="preserve"> group and 44 from the placebo group, mean age 9 ± 4.24</w:t>
      </w:r>
      <w:r w:rsidR="00927616">
        <w:t> </w:t>
      </w:r>
      <w:r w:rsidRPr="00194C52">
        <w:t>years, range 2</w:t>
      </w:r>
      <w:r w:rsidRPr="00194C52">
        <w:noBreakHyphen/>
        <w:t xml:space="preserve">17.0 years) received open-label </w:t>
      </w:r>
      <w:r w:rsidR="00194C52" w:rsidRPr="00194C52">
        <w:t>SLENYTO</w:t>
      </w:r>
      <w:r w:rsidRPr="00194C52">
        <w:t xml:space="preserve"> 2/5 mg according to the double-blind phase dose, for 91 weeks with optional dose adjustment to 2, 5 or 10 mg/day after the first 13 weeks of follow-up period. 74 patients completed 104 weeks of treatment, 39 completed </w:t>
      </w:r>
      <w:r w:rsidR="00C53502">
        <w:t>104 weeks</w:t>
      </w:r>
      <w:r w:rsidRPr="00194C52">
        <w:t xml:space="preserve"> and 35 completed </w:t>
      </w:r>
      <w:r w:rsidR="00C53502">
        <w:t>91 weeks</w:t>
      </w:r>
      <w:r w:rsidRPr="00194C52">
        <w:t xml:space="preserve"> of </w:t>
      </w:r>
      <w:r w:rsidR="00194C52" w:rsidRPr="00194C52">
        <w:t>SLENYTO</w:t>
      </w:r>
      <w:r w:rsidRPr="00194C52">
        <w:t xml:space="preserve"> treatment. The improvements in total sleep time (TST), sleep latency (SL) and duration of uninterrupted sleep (LSE; longest sleep episode) seen in the double blind-phase were maintained throughout the 39 weeks’ follow up period. </w:t>
      </w:r>
    </w:p>
    <w:p w14:paraId="13F2C0F2" w14:textId="1AA9AAC8" w:rsidR="003F3A95" w:rsidRPr="00194C52" w:rsidRDefault="003F3A95" w:rsidP="00971A81">
      <w:r w:rsidRPr="00194C52">
        <w:t xml:space="preserve">After 2 weeks withdrawal on placebo, a descriptive reduction in most scores was seen but levels were still better than baseline levels with no </w:t>
      </w:r>
      <w:r w:rsidR="00971A81">
        <w:t xml:space="preserve">obvious </w:t>
      </w:r>
      <w:r w:rsidRPr="00194C52">
        <w:t xml:space="preserve">signs of rebound effects. </w:t>
      </w:r>
    </w:p>
    <w:p w14:paraId="348134A1" w14:textId="3C204D65" w:rsidR="001A3992" w:rsidRPr="00497C85" w:rsidRDefault="001A3992" w:rsidP="00DE19CA">
      <w:pPr>
        <w:pStyle w:val="Heading2"/>
        <w:tabs>
          <w:tab w:val="num" w:pos="680"/>
        </w:tabs>
        <w:ind w:left="680" w:hanging="680"/>
      </w:pPr>
      <w:r w:rsidRPr="00497C85">
        <w:lastRenderedPageBreak/>
        <w:t xml:space="preserve">Pharmacokinetic properties </w:t>
      </w:r>
    </w:p>
    <w:p w14:paraId="5BCCCA2C" w14:textId="77777777" w:rsidR="001A3992" w:rsidRDefault="001A3992" w:rsidP="00CF3CA1">
      <w:pPr>
        <w:pStyle w:val="Heading3"/>
      </w:pPr>
      <w:r w:rsidRPr="00497C85">
        <w:t>Absorption</w:t>
      </w:r>
    </w:p>
    <w:p w14:paraId="5A74D0FA" w14:textId="3E45F1EF" w:rsidR="00CD7396" w:rsidRDefault="00CD7396" w:rsidP="00CD7396">
      <w:pPr>
        <w:numPr>
          <w:ilvl w:val="12"/>
          <w:numId w:val="0"/>
        </w:numPr>
        <w:ind w:right="-2"/>
        <w:rPr>
          <w:rFonts w:eastAsia="Times New Roman"/>
          <w:color w:val="auto"/>
          <w:sz w:val="22"/>
          <w:szCs w:val="22"/>
          <w:lang w:val="en-GB"/>
        </w:rPr>
      </w:pPr>
      <w:r>
        <w:rPr>
          <w:szCs w:val="22"/>
        </w:rPr>
        <w:t xml:space="preserve">In the </w:t>
      </w:r>
      <w:proofErr w:type="spellStart"/>
      <w:r>
        <w:rPr>
          <w:szCs w:val="22"/>
        </w:rPr>
        <w:t>paediatric</w:t>
      </w:r>
      <w:proofErr w:type="spellEnd"/>
      <w:r>
        <w:rPr>
          <w:szCs w:val="22"/>
        </w:rPr>
        <w:t xml:space="preserve"> population comprising 16 ASD children ages 7-15 years old suffering from insomnia, following SLENYTO 2 mg (2 </w:t>
      </w:r>
      <w:r w:rsidR="009F3D0E">
        <w:rPr>
          <w:szCs w:val="22"/>
        </w:rPr>
        <w:t>x</w:t>
      </w:r>
      <w:r>
        <w:rPr>
          <w:szCs w:val="22"/>
        </w:rPr>
        <w:t xml:space="preserve"> 1 mg </w:t>
      </w:r>
      <w:r w:rsidR="0048335F">
        <w:rPr>
          <w:szCs w:val="22"/>
        </w:rPr>
        <w:t>prolonged</w:t>
      </w:r>
      <w:r>
        <w:rPr>
          <w:szCs w:val="22"/>
        </w:rPr>
        <w:t xml:space="preserve"> release tablets) administration after a </w:t>
      </w:r>
      <w:proofErr w:type="spellStart"/>
      <w:r>
        <w:rPr>
          <w:szCs w:val="22"/>
        </w:rPr>
        <w:t>standardised</w:t>
      </w:r>
      <w:proofErr w:type="spellEnd"/>
      <w:r>
        <w:rPr>
          <w:szCs w:val="22"/>
        </w:rPr>
        <w:t xml:space="preserve"> breakfast, melatonin concentrations peaked within 2 hours after administration and remained elevated for 6 hours thereafter with a </w:t>
      </w:r>
      <w:proofErr w:type="spellStart"/>
      <w:r>
        <w:rPr>
          <w:szCs w:val="22"/>
        </w:rPr>
        <w:t>C</w:t>
      </w:r>
      <w:r>
        <w:rPr>
          <w:szCs w:val="22"/>
          <w:vertAlign w:val="subscript"/>
        </w:rPr>
        <w:t>max</w:t>
      </w:r>
      <w:proofErr w:type="spellEnd"/>
      <w:r>
        <w:rPr>
          <w:szCs w:val="22"/>
        </w:rPr>
        <w:t xml:space="preserve"> (SD) of 410 </w:t>
      </w:r>
      <w:proofErr w:type="spellStart"/>
      <w:r>
        <w:rPr>
          <w:szCs w:val="22"/>
        </w:rPr>
        <w:t>pg</w:t>
      </w:r>
      <w:proofErr w:type="spellEnd"/>
      <w:r>
        <w:rPr>
          <w:szCs w:val="22"/>
        </w:rPr>
        <w:t>/ml (210) in the saliva.</w:t>
      </w:r>
    </w:p>
    <w:p w14:paraId="4E81DC3D" w14:textId="56263D86" w:rsidR="00C2705C" w:rsidRDefault="00C2705C" w:rsidP="00C2705C">
      <w:pPr>
        <w:numPr>
          <w:ilvl w:val="12"/>
          <w:numId w:val="0"/>
        </w:numPr>
        <w:ind w:right="-2"/>
        <w:rPr>
          <w:rFonts w:eastAsia="Times New Roman"/>
          <w:color w:val="auto"/>
          <w:sz w:val="22"/>
          <w:szCs w:val="22"/>
          <w:lang w:val="en-GB"/>
        </w:rPr>
      </w:pPr>
      <w:r>
        <w:rPr>
          <w:szCs w:val="22"/>
        </w:rPr>
        <w:t xml:space="preserve">In adults, following melatonin 5 mg (1 x 5 mg tablet) administered after food, melatonin concentrations peaked within 3 hours after administration; </w:t>
      </w:r>
      <w:proofErr w:type="spellStart"/>
      <w:r>
        <w:rPr>
          <w:szCs w:val="22"/>
        </w:rPr>
        <w:t>C</w:t>
      </w:r>
      <w:r>
        <w:rPr>
          <w:szCs w:val="22"/>
          <w:vertAlign w:val="subscript"/>
        </w:rPr>
        <w:t>max</w:t>
      </w:r>
      <w:proofErr w:type="spellEnd"/>
      <w:r>
        <w:rPr>
          <w:szCs w:val="22"/>
        </w:rPr>
        <w:t xml:space="preserve"> (SD) was 3.57 ng/ml (3.64) in plasma. Under fasted conditions </w:t>
      </w:r>
      <w:proofErr w:type="spellStart"/>
      <w:r>
        <w:rPr>
          <w:szCs w:val="22"/>
        </w:rPr>
        <w:t>C</w:t>
      </w:r>
      <w:r>
        <w:rPr>
          <w:szCs w:val="22"/>
          <w:vertAlign w:val="subscript"/>
        </w:rPr>
        <w:t>max</w:t>
      </w:r>
      <w:proofErr w:type="spellEnd"/>
      <w:r>
        <w:rPr>
          <w:szCs w:val="22"/>
        </w:rPr>
        <w:t xml:space="preserve"> was lower (1.73 ng/ml) and </w:t>
      </w:r>
      <w:proofErr w:type="spellStart"/>
      <w:r>
        <w:rPr>
          <w:szCs w:val="22"/>
        </w:rPr>
        <w:t>t</w:t>
      </w:r>
      <w:r>
        <w:rPr>
          <w:szCs w:val="22"/>
          <w:vertAlign w:val="subscript"/>
        </w:rPr>
        <w:t>max</w:t>
      </w:r>
      <w:proofErr w:type="spellEnd"/>
      <w:r>
        <w:rPr>
          <w:szCs w:val="22"/>
        </w:rPr>
        <w:t xml:space="preserve"> was earlier (within 2</w:t>
      </w:r>
      <w:r w:rsidR="005702AD">
        <w:rPr>
          <w:szCs w:val="22"/>
        </w:rPr>
        <w:t> </w:t>
      </w:r>
      <w:r>
        <w:rPr>
          <w:szCs w:val="22"/>
        </w:rPr>
        <w:t>hours) with a minor effect on AUC</w:t>
      </w:r>
      <w:r>
        <w:rPr>
          <w:lang w:eastAsia="zh-CN"/>
        </w:rPr>
        <w:t>-∞</w:t>
      </w:r>
      <w:r>
        <w:rPr>
          <w:szCs w:val="22"/>
        </w:rPr>
        <w:t xml:space="preserve"> that was slightly reduced (-14%) as compared to fed state.</w:t>
      </w:r>
    </w:p>
    <w:p w14:paraId="66EAECB2" w14:textId="77777777" w:rsidR="00C2705C" w:rsidRDefault="00C2705C" w:rsidP="00C2705C">
      <w:pPr>
        <w:numPr>
          <w:ilvl w:val="12"/>
          <w:numId w:val="0"/>
        </w:numPr>
        <w:ind w:right="-2"/>
        <w:rPr>
          <w:szCs w:val="22"/>
        </w:rPr>
      </w:pPr>
      <w:r>
        <w:rPr>
          <w:szCs w:val="22"/>
        </w:rPr>
        <w:t>The absorption of orally ingested melatonin is complete in adults and may be decreased by up to 50% in the elderly.  The kinetics of melatonin are linear over the range of 2-</w:t>
      </w:r>
      <w:r w:rsidR="0054607D">
        <w:rPr>
          <w:szCs w:val="22"/>
        </w:rPr>
        <w:t>8</w:t>
      </w:r>
      <w:r>
        <w:rPr>
          <w:szCs w:val="22"/>
        </w:rPr>
        <w:t xml:space="preserve"> mg.</w:t>
      </w:r>
    </w:p>
    <w:p w14:paraId="5D874F04" w14:textId="3BB39867" w:rsidR="00C2705C" w:rsidRDefault="00C2705C" w:rsidP="00C2705C">
      <w:pPr>
        <w:numPr>
          <w:ilvl w:val="12"/>
          <w:numId w:val="0"/>
        </w:numPr>
        <w:ind w:right="-2"/>
        <w:rPr>
          <w:iCs/>
          <w:noProof/>
          <w:szCs w:val="22"/>
        </w:rPr>
      </w:pPr>
      <w:r>
        <w:rPr>
          <w:iCs/>
          <w:noProof/>
          <w:szCs w:val="22"/>
        </w:rPr>
        <w:t>Data with 2 mg prolonged release melatonin tablets, 1 mg</w:t>
      </w:r>
      <w:r w:rsidR="0054607D">
        <w:rPr>
          <w:iCs/>
          <w:noProof/>
          <w:szCs w:val="22"/>
        </w:rPr>
        <w:t xml:space="preserve"> and </w:t>
      </w:r>
      <w:r>
        <w:rPr>
          <w:iCs/>
          <w:noProof/>
          <w:szCs w:val="22"/>
        </w:rPr>
        <w:t>5 mg tablets indicate that there is no accumulation of melatonin after repeated dosing.  This finding is compatible with the short half</w:t>
      </w:r>
      <w:r>
        <w:rPr>
          <w:iCs/>
          <w:noProof/>
          <w:szCs w:val="22"/>
        </w:rPr>
        <w:noBreakHyphen/>
        <w:t>life of melatonin in humans.</w:t>
      </w:r>
    </w:p>
    <w:p w14:paraId="2AEF2AF0" w14:textId="77777777" w:rsidR="00C2705C" w:rsidRDefault="00C2705C" w:rsidP="00C2705C">
      <w:pPr>
        <w:numPr>
          <w:ilvl w:val="12"/>
          <w:numId w:val="0"/>
        </w:numPr>
        <w:ind w:right="-2"/>
        <w:rPr>
          <w:szCs w:val="22"/>
        </w:rPr>
      </w:pPr>
      <w:r>
        <w:rPr>
          <w:szCs w:val="22"/>
        </w:rPr>
        <w:t>Bioavailability is in the order of 15%.  There is a significant first pass effect with an estimated first pass metabolism of 85%.</w:t>
      </w:r>
    </w:p>
    <w:p w14:paraId="77CEE7CE" w14:textId="77777777" w:rsidR="001A3992" w:rsidRDefault="001A3992" w:rsidP="00CF3CA1">
      <w:pPr>
        <w:pStyle w:val="Heading3"/>
      </w:pPr>
      <w:r w:rsidRPr="00497C85">
        <w:t>Distribution</w:t>
      </w:r>
    </w:p>
    <w:p w14:paraId="579FB0A3" w14:textId="77777777" w:rsidR="001F14BF" w:rsidRPr="001F14BF" w:rsidRDefault="001F14BF" w:rsidP="001F14BF">
      <w:r w:rsidRPr="001F14BF">
        <w:t xml:space="preserve">The </w:t>
      </w:r>
      <w:r w:rsidRPr="001F14BF">
        <w:rPr>
          <w:i/>
        </w:rPr>
        <w:t>in vitro</w:t>
      </w:r>
      <w:r w:rsidRPr="001F14BF">
        <w:t xml:space="preserve"> plasma protein binding of melatonin is approximately 60%. Melatonin is mainly bound to albumin, alpha</w:t>
      </w:r>
      <w:r w:rsidRPr="001F14BF">
        <w:rPr>
          <w:vertAlign w:val="subscript"/>
        </w:rPr>
        <w:t>1</w:t>
      </w:r>
      <w:r w:rsidRPr="001F14BF">
        <w:t>-acid glycoprotein and high density lipoprotein.  The binding to the other serum proteins is insignificant.  The melatonin binding was constant over the range of the studied concentrations in serum.  Literature data indicates that melatonin is distributed in all body fluids and is accessible at all tissues.</w:t>
      </w:r>
    </w:p>
    <w:p w14:paraId="24483F26" w14:textId="77777777" w:rsidR="001A3992" w:rsidRDefault="001A3992" w:rsidP="00CF3CA1">
      <w:pPr>
        <w:pStyle w:val="Heading3"/>
      </w:pPr>
      <w:r w:rsidRPr="00497C85">
        <w:t>Metabolism</w:t>
      </w:r>
    </w:p>
    <w:p w14:paraId="02AB57CB" w14:textId="1887E490" w:rsidR="00F45696" w:rsidRDefault="00E14D82" w:rsidP="00F75589">
      <w:pPr>
        <w:autoSpaceDE w:val="0"/>
        <w:autoSpaceDN w:val="0"/>
        <w:adjustRightInd w:val="0"/>
        <w:spacing w:before="0"/>
      </w:pPr>
      <w:r>
        <w:t xml:space="preserve">Melatonin undergoes a fast first hepatic pass metabolism and is </w:t>
      </w:r>
      <w:proofErr w:type="spellStart"/>
      <w:r>
        <w:t>metabolised</w:t>
      </w:r>
      <w:proofErr w:type="spellEnd"/>
      <w:r>
        <w:t xml:space="preserve"> predominantly by CYP1A enzymes, and possibly CYP2C19 of the cytochrome P450 system with </w:t>
      </w:r>
      <w:r w:rsidR="00644ACC">
        <w:t xml:space="preserve">an </w:t>
      </w:r>
      <w:r>
        <w:t xml:space="preserve">elimination </w:t>
      </w:r>
      <w:proofErr w:type="spellStart"/>
      <w:r>
        <w:t>half life</w:t>
      </w:r>
      <w:proofErr w:type="spellEnd"/>
      <w:r>
        <w:t xml:space="preserve"> of ca 40 </w:t>
      </w:r>
      <w:proofErr w:type="spellStart"/>
      <w:r>
        <w:t>minutes.</w:t>
      </w:r>
      <w:r w:rsidR="0054607D" w:rsidRPr="004008CF">
        <w:rPr>
          <w:szCs w:val="22"/>
        </w:rPr>
        <w:t>Prepubertal</w:t>
      </w:r>
      <w:proofErr w:type="spellEnd"/>
      <w:r w:rsidR="0054607D" w:rsidRPr="004008CF">
        <w:rPr>
          <w:szCs w:val="22"/>
        </w:rPr>
        <w:t xml:space="preserve"> children and young adults </w:t>
      </w:r>
      <w:proofErr w:type="spellStart"/>
      <w:r w:rsidR="0054607D" w:rsidRPr="004008CF">
        <w:rPr>
          <w:szCs w:val="22"/>
        </w:rPr>
        <w:t>metaboli</w:t>
      </w:r>
      <w:r w:rsidR="0078796B">
        <w:rPr>
          <w:szCs w:val="22"/>
        </w:rPr>
        <w:t>s</w:t>
      </w:r>
      <w:r w:rsidR="0054607D" w:rsidRPr="004008CF">
        <w:rPr>
          <w:szCs w:val="22"/>
        </w:rPr>
        <w:t>e</w:t>
      </w:r>
      <w:proofErr w:type="spellEnd"/>
      <w:r w:rsidR="0054607D" w:rsidRPr="004008CF">
        <w:rPr>
          <w:szCs w:val="22"/>
        </w:rPr>
        <w:t xml:space="preserve"> melatonin faster than adults. </w:t>
      </w:r>
      <w:r w:rsidR="0054607D" w:rsidRPr="004008CF">
        <w:rPr>
          <w:bCs/>
          <w:szCs w:val="22"/>
        </w:rPr>
        <w:t xml:space="preserve">Altogether, melatonin metabolism declines with age, with pre-pubertal and pubertal metabolism faster than at older age. </w:t>
      </w:r>
      <w:r w:rsidR="001F14BF" w:rsidRPr="001F14BF">
        <w:t>The principal metabolite is 6-sulphatoxy-melatonin (6-S-MT), which is inactive.  The site of biotransformation is the liver.  The excretion of the metabolite is completed within 12 hours after ingestion.</w:t>
      </w:r>
    </w:p>
    <w:p w14:paraId="635514C6" w14:textId="77777777" w:rsidR="00E14D82" w:rsidRDefault="00E14D82" w:rsidP="00BF5411">
      <w:pPr>
        <w:autoSpaceDE w:val="0"/>
        <w:autoSpaceDN w:val="0"/>
        <w:adjustRightInd w:val="0"/>
      </w:pPr>
      <w:r>
        <w:t xml:space="preserve">Melatonin does not induce CYP1A2 or CYP3A enzymes </w:t>
      </w:r>
      <w:r w:rsidRPr="00644ACC">
        <w:rPr>
          <w:i/>
          <w:iCs/>
        </w:rPr>
        <w:t>in vitro</w:t>
      </w:r>
      <w:r>
        <w:t xml:space="preserve"> at supra-therapeutic concentrations.</w:t>
      </w:r>
    </w:p>
    <w:p w14:paraId="04BFB928" w14:textId="77777777" w:rsidR="001A3992" w:rsidRDefault="001A3992" w:rsidP="00CF3CA1">
      <w:pPr>
        <w:pStyle w:val="Heading3"/>
      </w:pPr>
      <w:r w:rsidRPr="00497C85">
        <w:lastRenderedPageBreak/>
        <w:t>Excretion</w:t>
      </w:r>
    </w:p>
    <w:p w14:paraId="4A2EE522" w14:textId="305817E5" w:rsidR="00E14D82" w:rsidRDefault="001F14BF" w:rsidP="001F14BF">
      <w:r w:rsidRPr="001F14BF">
        <w:t xml:space="preserve">Terminal </w:t>
      </w:r>
      <w:proofErr w:type="spellStart"/>
      <w:r w:rsidRPr="001F14BF">
        <w:t>half life</w:t>
      </w:r>
      <w:proofErr w:type="spellEnd"/>
      <w:r w:rsidRPr="001F14BF">
        <w:t xml:space="preserve"> (t½) is 3.5-4 hours.  </w:t>
      </w:r>
      <w:r w:rsidR="00E14D82">
        <w:t>Two liver-mediated metabolic pathways account for around 90% of melatonin metabolism. The predominant metabolic flux is through hydroxylation at C6 via the hepatic microsome P-450 system to yield 6-hydroxymelatonin. The second, less significant, pathway is 5-demethylation to yield a physiological melatonin precursor, N-</w:t>
      </w:r>
      <w:proofErr w:type="spellStart"/>
      <w:r w:rsidR="00E14D82">
        <w:t>acetylserotonin</w:t>
      </w:r>
      <w:proofErr w:type="spellEnd"/>
      <w:r w:rsidR="00E14D82">
        <w:t xml:space="preserve">. Both 6- </w:t>
      </w:r>
      <w:proofErr w:type="spellStart"/>
      <w:r w:rsidR="00E14D82">
        <w:t>hydroxymelatonin</w:t>
      </w:r>
      <w:proofErr w:type="spellEnd"/>
      <w:r w:rsidR="00E14D82">
        <w:t xml:space="preserve"> and N-</w:t>
      </w:r>
      <w:proofErr w:type="spellStart"/>
      <w:r w:rsidR="00E14D82">
        <w:t>acetylserotonin</w:t>
      </w:r>
      <w:proofErr w:type="spellEnd"/>
      <w:r w:rsidR="00E14D82">
        <w:t xml:space="preserve"> are ultimately conjugated to sulfate and </w:t>
      </w:r>
      <w:proofErr w:type="spellStart"/>
      <w:r w:rsidR="00E14D82">
        <w:t>glucoronic</w:t>
      </w:r>
      <w:proofErr w:type="spellEnd"/>
      <w:r w:rsidR="00E14D82">
        <w:t xml:space="preserve"> acid, and excreted in the urine as their corresponding 6</w:t>
      </w:r>
      <w:r w:rsidR="005702AD">
        <w:noBreakHyphen/>
      </w:r>
      <w:r w:rsidR="00E14D82">
        <w:t xml:space="preserve">sulfatoxy and 6-glucoronide derivatives. </w:t>
      </w:r>
    </w:p>
    <w:p w14:paraId="04192CA3" w14:textId="77777777" w:rsidR="001F14BF" w:rsidRDefault="001F14BF" w:rsidP="001F14BF">
      <w:r w:rsidRPr="001F14BF">
        <w:t xml:space="preserve">Elimination is by renal excretion of metabolites, 89% as </w:t>
      </w:r>
      <w:proofErr w:type="spellStart"/>
      <w:r w:rsidRPr="001F14BF">
        <w:t>sulphated</w:t>
      </w:r>
      <w:proofErr w:type="spellEnd"/>
      <w:r w:rsidRPr="001F14BF">
        <w:t xml:space="preserve"> and </w:t>
      </w:r>
      <w:proofErr w:type="spellStart"/>
      <w:r w:rsidRPr="001F14BF">
        <w:t>glucoronide</w:t>
      </w:r>
      <w:proofErr w:type="spellEnd"/>
      <w:r w:rsidRPr="001F14BF">
        <w:t xml:space="preserve"> conjugates of 6-hydroxymeltonin and 2% is excreted as melatonin (unchanged drug).</w:t>
      </w:r>
    </w:p>
    <w:p w14:paraId="54D2102D" w14:textId="77777777" w:rsidR="001F14BF" w:rsidRDefault="001F14BF" w:rsidP="001F14BF">
      <w:pPr>
        <w:pStyle w:val="Heading3"/>
      </w:pPr>
      <w:r>
        <w:t>Gender</w:t>
      </w:r>
    </w:p>
    <w:p w14:paraId="19C37993" w14:textId="77777777" w:rsidR="001F14BF" w:rsidRDefault="001F14BF" w:rsidP="001F14BF">
      <w:r>
        <w:t xml:space="preserve">A 3-4-fold increase in </w:t>
      </w:r>
      <w:proofErr w:type="spellStart"/>
      <w:r>
        <w:t>C</w:t>
      </w:r>
      <w:r w:rsidRPr="002E1D33">
        <w:rPr>
          <w:vertAlign w:val="subscript"/>
        </w:rPr>
        <w:t>max</w:t>
      </w:r>
      <w:proofErr w:type="spellEnd"/>
      <w:r>
        <w:t xml:space="preserve"> is apparent for women compared to men.  A five-fold variability in </w:t>
      </w:r>
      <w:proofErr w:type="spellStart"/>
      <w:r>
        <w:t>C</w:t>
      </w:r>
      <w:r w:rsidRPr="002E1D33">
        <w:rPr>
          <w:vertAlign w:val="subscript"/>
        </w:rPr>
        <w:t>max</w:t>
      </w:r>
      <w:proofErr w:type="spellEnd"/>
      <w:r>
        <w:t xml:space="preserve"> between different members of the same sex has also been observed.</w:t>
      </w:r>
    </w:p>
    <w:p w14:paraId="7B1BAD1A" w14:textId="77777777" w:rsidR="001F14BF" w:rsidRDefault="001F14BF" w:rsidP="001F14BF">
      <w:r>
        <w:t xml:space="preserve">However, no pharmacodynamic differences between males and females were found despite differences in blood levels. </w:t>
      </w:r>
    </w:p>
    <w:p w14:paraId="678DBB70" w14:textId="2754448C" w:rsidR="001F14BF" w:rsidRDefault="001F14BF" w:rsidP="00F70D6A">
      <w:pPr>
        <w:pStyle w:val="Heading3"/>
      </w:pPr>
      <w:r>
        <w:t>Renal impairment</w:t>
      </w:r>
    </w:p>
    <w:p w14:paraId="435C957F" w14:textId="4B9DF6DC" w:rsidR="00F45696" w:rsidRPr="00DE434E" w:rsidRDefault="00F45696" w:rsidP="00F45696">
      <w:r w:rsidRPr="00DE434E">
        <w:rPr>
          <w:shd w:val="clear" w:color="auto" w:fill="FFFFFF"/>
        </w:rPr>
        <w:t xml:space="preserve">There is no experience of the use of melatonin in </w:t>
      </w:r>
      <w:proofErr w:type="spellStart"/>
      <w:r w:rsidRPr="00DE434E">
        <w:rPr>
          <w:shd w:val="clear" w:color="auto" w:fill="FFFFFF"/>
        </w:rPr>
        <w:t>paediatric</w:t>
      </w:r>
      <w:proofErr w:type="spellEnd"/>
      <w:r w:rsidRPr="00DE434E">
        <w:rPr>
          <w:shd w:val="clear" w:color="auto" w:fill="FFFFFF"/>
        </w:rPr>
        <w:t xml:space="preserve"> patients with renal impairment. However, as melatonin is mainly eliminated via liver metabolism, and the metabolite 6-SMT is inactive, renal impairment is not expected to influence clearance of melatonin</w:t>
      </w:r>
      <w:r w:rsidR="001F1E74">
        <w:rPr>
          <w:shd w:val="clear" w:color="auto" w:fill="FFFFFF"/>
        </w:rPr>
        <w:t xml:space="preserve"> </w:t>
      </w:r>
      <w:r w:rsidR="001F1E74">
        <w:rPr>
          <w:iCs/>
          <w:noProof/>
          <w:szCs w:val="22"/>
        </w:rPr>
        <w:t xml:space="preserve">(see </w:t>
      </w:r>
      <w:r w:rsidR="002441B1">
        <w:rPr>
          <w:iCs/>
          <w:noProof/>
          <w:szCs w:val="22"/>
        </w:rPr>
        <w:t>S</w:t>
      </w:r>
      <w:r w:rsidR="001F1E74">
        <w:rPr>
          <w:iCs/>
          <w:noProof/>
          <w:szCs w:val="22"/>
        </w:rPr>
        <w:t xml:space="preserve">ection 4.2 Dose and </w:t>
      </w:r>
      <w:r w:rsidR="00B71573">
        <w:rPr>
          <w:iCs/>
          <w:noProof/>
          <w:szCs w:val="22"/>
        </w:rPr>
        <w:t>m</w:t>
      </w:r>
      <w:r w:rsidR="001F1E74">
        <w:rPr>
          <w:iCs/>
          <w:noProof/>
          <w:szCs w:val="22"/>
        </w:rPr>
        <w:t xml:space="preserve">ethod of </w:t>
      </w:r>
      <w:r w:rsidR="00B71573">
        <w:rPr>
          <w:iCs/>
          <w:noProof/>
          <w:szCs w:val="22"/>
        </w:rPr>
        <w:t>a</w:t>
      </w:r>
      <w:r w:rsidR="001F1E74">
        <w:rPr>
          <w:iCs/>
          <w:noProof/>
          <w:szCs w:val="22"/>
        </w:rPr>
        <w:t>dministration).</w:t>
      </w:r>
    </w:p>
    <w:p w14:paraId="59210578" w14:textId="77777777" w:rsidR="001F14BF" w:rsidRDefault="001F14BF" w:rsidP="00F70D6A">
      <w:pPr>
        <w:pStyle w:val="Heading3"/>
      </w:pPr>
      <w:r>
        <w:t>Hepatic impairment</w:t>
      </w:r>
    </w:p>
    <w:p w14:paraId="62DBAD06" w14:textId="77777777" w:rsidR="001F14BF" w:rsidRDefault="001F14BF" w:rsidP="001F14BF">
      <w:r>
        <w:t>The liver is the primary site of melatonin metabolism and therefore, hepatic impairment results in higher endogenous melatonin levels.</w:t>
      </w:r>
    </w:p>
    <w:p w14:paraId="2089B69E" w14:textId="77777777" w:rsidR="001F14BF" w:rsidRDefault="001F14BF" w:rsidP="001F14BF">
      <w:pPr>
        <w:rPr>
          <w:iCs/>
          <w:noProof/>
          <w:szCs w:val="22"/>
        </w:rPr>
      </w:pPr>
      <w:r>
        <w:t xml:space="preserve">Plasma melatonin levels in </w:t>
      </w:r>
      <w:r w:rsidR="00DC13BB">
        <w:t xml:space="preserve">adult </w:t>
      </w:r>
      <w:r>
        <w:t>patients with cirrhosis were significantly increased during daylight hours. Patients had a significantly decreased total excretion of 6-sulfatoxymelatonin compared with controls.</w:t>
      </w:r>
      <w:r w:rsidR="00DC13BB" w:rsidRPr="00DC13BB">
        <w:rPr>
          <w:iCs/>
          <w:noProof/>
          <w:szCs w:val="22"/>
        </w:rPr>
        <w:t xml:space="preserve"> </w:t>
      </w:r>
    </w:p>
    <w:p w14:paraId="5E2F9367" w14:textId="6ED29BD9" w:rsidR="001F1E74" w:rsidRDefault="001F1E74" w:rsidP="001F1E74">
      <w:pPr>
        <w:rPr>
          <w:iCs/>
          <w:noProof/>
          <w:szCs w:val="22"/>
        </w:rPr>
      </w:pPr>
      <w:r>
        <w:rPr>
          <w:iCs/>
          <w:noProof/>
          <w:szCs w:val="22"/>
        </w:rPr>
        <w:t xml:space="preserve">There is no experience of the use of melatonin in paediatric patients with liver impairment. Published data demonstrate markedly elevated endogenous melatonin levels during daytime hours due to decreased clearance in patients with hepatic impairment (see </w:t>
      </w:r>
      <w:r w:rsidR="002441B1">
        <w:rPr>
          <w:iCs/>
          <w:noProof/>
          <w:szCs w:val="22"/>
        </w:rPr>
        <w:t>S</w:t>
      </w:r>
      <w:r>
        <w:rPr>
          <w:iCs/>
          <w:noProof/>
          <w:szCs w:val="22"/>
        </w:rPr>
        <w:t xml:space="preserve">ection 4.2 Dose and </w:t>
      </w:r>
      <w:r w:rsidR="00B71573">
        <w:rPr>
          <w:iCs/>
          <w:noProof/>
          <w:szCs w:val="22"/>
        </w:rPr>
        <w:t>m</w:t>
      </w:r>
      <w:r>
        <w:rPr>
          <w:iCs/>
          <w:noProof/>
          <w:szCs w:val="22"/>
        </w:rPr>
        <w:t xml:space="preserve">ethod of </w:t>
      </w:r>
      <w:r w:rsidR="00B71573">
        <w:rPr>
          <w:iCs/>
          <w:noProof/>
          <w:szCs w:val="22"/>
        </w:rPr>
        <w:t>a</w:t>
      </w:r>
      <w:r>
        <w:rPr>
          <w:iCs/>
          <w:noProof/>
          <w:szCs w:val="22"/>
        </w:rPr>
        <w:t>dministration).</w:t>
      </w:r>
    </w:p>
    <w:p w14:paraId="6A47E0CA" w14:textId="77777777" w:rsidR="001A3992" w:rsidRPr="00497C85" w:rsidRDefault="001A3992" w:rsidP="00DE19CA">
      <w:pPr>
        <w:pStyle w:val="Heading2"/>
        <w:tabs>
          <w:tab w:val="num" w:pos="680"/>
        </w:tabs>
        <w:ind w:left="680" w:hanging="680"/>
      </w:pPr>
      <w:r w:rsidRPr="00497C85">
        <w:lastRenderedPageBreak/>
        <w:t>Preclinical safety data</w:t>
      </w:r>
    </w:p>
    <w:p w14:paraId="054D86AE" w14:textId="1E4C1C23" w:rsidR="001A3992" w:rsidRDefault="001A3992" w:rsidP="00CF3CA1">
      <w:pPr>
        <w:pStyle w:val="Heading3"/>
      </w:pPr>
      <w:r w:rsidRPr="00497C85">
        <w:t>Genotoxicity</w:t>
      </w:r>
    </w:p>
    <w:p w14:paraId="0A3486BF" w14:textId="77777777" w:rsidR="00411F9E" w:rsidRPr="00411F9E" w:rsidRDefault="00411F9E" w:rsidP="00411F9E">
      <w:r w:rsidRPr="00411F9E">
        <w:t xml:space="preserve">Results from a standard battery of </w:t>
      </w:r>
      <w:r w:rsidRPr="00DC13BB">
        <w:rPr>
          <w:i/>
        </w:rPr>
        <w:t>in vitro</w:t>
      </w:r>
      <w:r w:rsidRPr="00411F9E">
        <w:t xml:space="preserve"> and </w:t>
      </w:r>
      <w:r w:rsidRPr="00DC13BB">
        <w:rPr>
          <w:i/>
        </w:rPr>
        <w:t>in vivo</w:t>
      </w:r>
      <w:r w:rsidRPr="00411F9E">
        <w:t xml:space="preserve"> assays showed no evidence of a genotoxic potential for melatonin.</w:t>
      </w:r>
    </w:p>
    <w:p w14:paraId="1C221672" w14:textId="77777777" w:rsidR="001A3992" w:rsidRDefault="001A3992" w:rsidP="00CF3CA1">
      <w:pPr>
        <w:pStyle w:val="Heading3"/>
      </w:pPr>
      <w:r w:rsidRPr="00497C85">
        <w:t>Carcinogenicity</w:t>
      </w:r>
    </w:p>
    <w:p w14:paraId="62C3CAB6" w14:textId="7E009546" w:rsidR="00411F9E" w:rsidRDefault="00411F9E" w:rsidP="00411F9E">
      <w:r w:rsidRPr="00411F9E">
        <w:t>An oral lifetime carcinogenicity study with melatonin in rats showed an increased incidence of thyroid follicular cell adenomas in males at doses around 700-fold the clinical dose</w:t>
      </w:r>
      <w:r w:rsidR="00D30E00">
        <w:t xml:space="preserve"> of 2</w:t>
      </w:r>
      <w:r w:rsidR="005702AD">
        <w:t> </w:t>
      </w:r>
      <w:r w:rsidR="00D30E00">
        <w:t>mg in adults</w:t>
      </w:r>
      <w:r w:rsidRPr="00411F9E">
        <w:t>, based on body surface area. No neoplastic tissue histopathology was examined at lower doses and therefore the no-effect dose could not be determined. These effects were associated with liver enzyme induction in this species and are unlikely to be relevant to humans.</w:t>
      </w:r>
    </w:p>
    <w:p w14:paraId="0C4483E8" w14:textId="77777777" w:rsidR="00F77585" w:rsidRPr="005702AD" w:rsidRDefault="00F77585" w:rsidP="00187411">
      <w:pPr>
        <w:rPr>
          <w:color w:val="auto"/>
        </w:rPr>
      </w:pPr>
      <w:r w:rsidRPr="005702AD">
        <w:rPr>
          <w:rFonts w:eastAsia="Times New Roman"/>
          <w:color w:val="auto"/>
          <w:lang w:val="en-AU" w:eastAsia="en-AU"/>
        </w:rPr>
        <w:t>Oral administration of melatonin for 26 consecutive weeks to hemizygous Tg.rasH2 mice was not carcinogenic up to the tested dose levels of 180 mg/kg body weight</w:t>
      </w:r>
      <w:r w:rsidR="00406C2D" w:rsidRPr="005702AD">
        <w:rPr>
          <w:rFonts w:eastAsia="Times New Roman"/>
          <w:color w:val="auto"/>
          <w:lang w:val="en-AU" w:eastAsia="en-AU"/>
        </w:rPr>
        <w:t>, around 400 times the clinical dose of 2</w:t>
      </w:r>
      <w:r w:rsidR="00D30E00" w:rsidRPr="005702AD">
        <w:rPr>
          <w:rFonts w:eastAsia="Times New Roman"/>
          <w:color w:val="auto"/>
          <w:lang w:val="en-AU" w:eastAsia="en-AU"/>
        </w:rPr>
        <w:t xml:space="preserve"> </w:t>
      </w:r>
      <w:r w:rsidR="00406C2D" w:rsidRPr="005702AD">
        <w:rPr>
          <w:rFonts w:eastAsia="Times New Roman"/>
          <w:color w:val="auto"/>
          <w:lang w:val="en-AU" w:eastAsia="en-AU"/>
        </w:rPr>
        <w:t>mg in adults</w:t>
      </w:r>
      <w:r w:rsidRPr="005702AD">
        <w:rPr>
          <w:rFonts w:eastAsia="Times New Roman"/>
          <w:color w:val="auto"/>
          <w:lang w:val="en-AU" w:eastAsia="en-AU"/>
        </w:rPr>
        <w:t>.</w:t>
      </w:r>
    </w:p>
    <w:p w14:paraId="3B852250" w14:textId="77777777" w:rsidR="001A3992" w:rsidRPr="00497C85" w:rsidRDefault="001A3992" w:rsidP="00CF3CA1">
      <w:pPr>
        <w:pStyle w:val="Heading1"/>
      </w:pPr>
      <w:r w:rsidRPr="00497C85">
        <w:t>Pharmaceutical particulars</w:t>
      </w:r>
    </w:p>
    <w:p w14:paraId="7D823864" w14:textId="77777777" w:rsidR="001A3992" w:rsidRPr="00497C85" w:rsidRDefault="001A3992" w:rsidP="00DE19CA">
      <w:pPr>
        <w:pStyle w:val="Heading2"/>
        <w:tabs>
          <w:tab w:val="num" w:pos="680"/>
        </w:tabs>
        <w:ind w:left="680" w:hanging="680"/>
      </w:pPr>
      <w:r w:rsidRPr="00497C85">
        <w:t xml:space="preserve">List of excipients </w:t>
      </w:r>
    </w:p>
    <w:p w14:paraId="07BA52A9" w14:textId="776B9124" w:rsidR="00DC13BB" w:rsidRPr="002E345E" w:rsidRDefault="004C189F" w:rsidP="00DC13BB">
      <w:pPr>
        <w:tabs>
          <w:tab w:val="left" w:pos="720"/>
        </w:tabs>
        <w:autoSpaceDE w:val="0"/>
        <w:autoSpaceDN w:val="0"/>
        <w:adjustRightInd w:val="0"/>
        <w:rPr>
          <w:rFonts w:eastAsia="Times New Roman"/>
          <w:color w:val="auto"/>
          <w:sz w:val="22"/>
          <w:szCs w:val="22"/>
          <w:lang w:eastAsia="sv-SE"/>
        </w:rPr>
      </w:pPr>
      <w:r w:rsidRPr="002E345E">
        <w:rPr>
          <w:szCs w:val="22"/>
          <w:lang w:eastAsia="sv-SE"/>
        </w:rPr>
        <w:t>SLENYTO</w:t>
      </w:r>
      <w:r w:rsidR="00DC13BB" w:rsidRPr="002E345E">
        <w:rPr>
          <w:szCs w:val="22"/>
          <w:lang w:eastAsia="sv-SE"/>
        </w:rPr>
        <w:t xml:space="preserve"> 1 mg </w:t>
      </w:r>
      <w:r w:rsidR="0048335F">
        <w:rPr>
          <w:szCs w:val="22"/>
          <w:lang w:eastAsia="sv-SE"/>
        </w:rPr>
        <w:t>prolonged</w:t>
      </w:r>
      <w:r w:rsidR="00DC13BB" w:rsidRPr="002E345E">
        <w:rPr>
          <w:szCs w:val="22"/>
          <w:lang w:eastAsia="sv-SE"/>
        </w:rPr>
        <w:t xml:space="preserve"> release tablet</w:t>
      </w:r>
      <w:r w:rsidR="00DC13BB">
        <w:rPr>
          <w:szCs w:val="22"/>
          <w:lang w:eastAsia="sv-SE"/>
        </w:rPr>
        <w:t>:</w:t>
      </w:r>
    </w:p>
    <w:p w14:paraId="1201DA77" w14:textId="77777777" w:rsidR="00F717EA" w:rsidRPr="00C119FF" w:rsidRDefault="00F717EA" w:rsidP="00F717EA">
      <w:pPr>
        <w:pStyle w:val="ListParagraph"/>
        <w:numPr>
          <w:ilvl w:val="0"/>
          <w:numId w:val="11"/>
        </w:numPr>
        <w:rPr>
          <w:rFonts w:ascii="Times New Roman" w:hAnsi="Times New Roman"/>
          <w:lang w:val="en"/>
        </w:rPr>
      </w:pPr>
      <w:proofErr w:type="spellStart"/>
      <w:r w:rsidRPr="0067748B">
        <w:rPr>
          <w:rFonts w:ascii="Times New Roman" w:hAnsi="Times New Roman"/>
          <w:lang w:val="en"/>
        </w:rPr>
        <w:t>a</w:t>
      </w:r>
      <w:r w:rsidRPr="00C119FF">
        <w:rPr>
          <w:rFonts w:ascii="Times New Roman" w:hAnsi="Times New Roman"/>
          <w:lang w:val="en"/>
        </w:rPr>
        <w:t>mmonio</w:t>
      </w:r>
      <w:proofErr w:type="spellEnd"/>
      <w:r w:rsidRPr="00C119FF">
        <w:rPr>
          <w:rFonts w:ascii="Times New Roman" w:hAnsi="Times New Roman"/>
          <w:lang w:val="en"/>
        </w:rPr>
        <w:t xml:space="preserve"> methacrylate copolymer </w:t>
      </w:r>
    </w:p>
    <w:p w14:paraId="6C26BC21" w14:textId="77777777" w:rsidR="00F717EA" w:rsidRPr="00C119FF" w:rsidRDefault="00F717EA" w:rsidP="00F717EA">
      <w:pPr>
        <w:pStyle w:val="ListParagraph"/>
        <w:numPr>
          <w:ilvl w:val="0"/>
          <w:numId w:val="11"/>
        </w:numPr>
        <w:rPr>
          <w:rFonts w:ascii="Times New Roman" w:hAnsi="Times New Roman"/>
          <w:lang w:val="en"/>
        </w:rPr>
      </w:pPr>
      <w:r w:rsidRPr="00C119FF">
        <w:rPr>
          <w:rFonts w:ascii="Times New Roman" w:hAnsi="Times New Roman"/>
          <w:lang w:val="en"/>
        </w:rPr>
        <w:t xml:space="preserve">calcium hydrogen phosphate dihydrate </w:t>
      </w:r>
    </w:p>
    <w:p w14:paraId="250C20F8" w14:textId="77777777" w:rsidR="00F717EA" w:rsidRPr="00C119FF" w:rsidRDefault="00F717EA" w:rsidP="00F717EA">
      <w:pPr>
        <w:pStyle w:val="ListParagraph"/>
        <w:numPr>
          <w:ilvl w:val="0"/>
          <w:numId w:val="11"/>
        </w:numPr>
        <w:rPr>
          <w:rFonts w:ascii="Times New Roman" w:hAnsi="Times New Roman"/>
          <w:lang w:val="en"/>
        </w:rPr>
      </w:pPr>
      <w:r w:rsidRPr="00C119FF">
        <w:rPr>
          <w:rFonts w:ascii="Times New Roman" w:hAnsi="Times New Roman"/>
          <w:lang w:val="en"/>
        </w:rPr>
        <w:t xml:space="preserve">lactose monohydrate </w:t>
      </w:r>
    </w:p>
    <w:p w14:paraId="5D59A1FC" w14:textId="77777777" w:rsidR="00F717EA" w:rsidRPr="00C119FF" w:rsidRDefault="00F717EA" w:rsidP="00F717EA">
      <w:pPr>
        <w:pStyle w:val="ListParagraph"/>
        <w:numPr>
          <w:ilvl w:val="0"/>
          <w:numId w:val="11"/>
        </w:numPr>
        <w:rPr>
          <w:rFonts w:ascii="Times New Roman" w:hAnsi="Times New Roman"/>
          <w:lang w:val="en"/>
        </w:rPr>
      </w:pPr>
      <w:r w:rsidRPr="00C119FF">
        <w:rPr>
          <w:rFonts w:ascii="Times New Roman" w:hAnsi="Times New Roman"/>
          <w:lang w:val="en"/>
        </w:rPr>
        <w:t xml:space="preserve">colloidal anhydrous silica </w:t>
      </w:r>
    </w:p>
    <w:p w14:paraId="52A81CDC" w14:textId="77777777" w:rsidR="00F717EA" w:rsidRPr="00C119FF" w:rsidRDefault="00F717EA" w:rsidP="00F717EA">
      <w:pPr>
        <w:pStyle w:val="ListParagraph"/>
        <w:numPr>
          <w:ilvl w:val="0"/>
          <w:numId w:val="11"/>
        </w:numPr>
        <w:rPr>
          <w:rFonts w:ascii="Times New Roman" w:hAnsi="Times New Roman"/>
          <w:lang w:val="en"/>
        </w:rPr>
      </w:pPr>
      <w:r w:rsidRPr="00C119FF">
        <w:rPr>
          <w:rFonts w:ascii="Times New Roman" w:hAnsi="Times New Roman"/>
          <w:lang w:val="en"/>
        </w:rPr>
        <w:t xml:space="preserve">purified talc </w:t>
      </w:r>
    </w:p>
    <w:p w14:paraId="1667F55F" w14:textId="77777777" w:rsidR="00F717EA" w:rsidRPr="002E345E" w:rsidRDefault="00F717EA" w:rsidP="00F717EA">
      <w:pPr>
        <w:pStyle w:val="ListParagraph"/>
        <w:numPr>
          <w:ilvl w:val="0"/>
          <w:numId w:val="11"/>
        </w:numPr>
        <w:rPr>
          <w:rFonts w:ascii="Times New Roman" w:hAnsi="Times New Roman"/>
        </w:rPr>
      </w:pPr>
      <w:r w:rsidRPr="00C119FF">
        <w:rPr>
          <w:rFonts w:ascii="Times New Roman" w:hAnsi="Times New Roman"/>
          <w:lang w:val="en"/>
        </w:rPr>
        <w:t>magnesium stearate</w:t>
      </w:r>
    </w:p>
    <w:p w14:paraId="2D3D01FF" w14:textId="77777777" w:rsidR="002E345E" w:rsidRPr="002E345E" w:rsidRDefault="007A47AE" w:rsidP="00616368">
      <w:pPr>
        <w:pStyle w:val="ListParagraph"/>
        <w:numPr>
          <w:ilvl w:val="0"/>
          <w:numId w:val="11"/>
        </w:numPr>
        <w:rPr>
          <w:rFonts w:ascii="Times New Roman" w:hAnsi="Times New Roman"/>
        </w:rPr>
      </w:pPr>
      <w:proofErr w:type="spellStart"/>
      <w:r w:rsidRPr="007A47AE">
        <w:rPr>
          <w:rFonts w:ascii="Times New Roman" w:hAnsi="Times New Roman"/>
          <w:lang w:val="en"/>
        </w:rPr>
        <w:t>Opaglos</w:t>
      </w:r>
      <w:proofErr w:type="spellEnd"/>
      <w:r w:rsidRPr="007A47AE">
        <w:rPr>
          <w:rFonts w:ascii="Times New Roman" w:hAnsi="Times New Roman"/>
          <w:lang w:val="en"/>
        </w:rPr>
        <w:t xml:space="preserve"> 2 High Gloss Film Coating System 97W240002 Pink</w:t>
      </w:r>
      <w:r w:rsidRPr="002E345E">
        <w:rPr>
          <w:rFonts w:ascii="TimesNewRomanPS-BoldMT" w:eastAsiaTheme="minorHAnsi" w:hAnsi="TimesNewRomanPS-BoldMT" w:cs="TimesNewRomanPS-BoldMT"/>
          <w:bCs/>
          <w:color w:val="auto"/>
          <w:lang w:val="en-AU"/>
        </w:rPr>
        <w:t xml:space="preserve"> </w:t>
      </w:r>
      <w:r>
        <w:rPr>
          <w:rFonts w:ascii="TimesNewRomanPS-BoldMT" w:eastAsiaTheme="minorHAnsi" w:hAnsi="TimesNewRomanPS-BoldMT" w:cs="TimesNewRomanPS-BoldMT"/>
          <w:bCs/>
          <w:color w:val="auto"/>
          <w:lang w:val="en-AU"/>
        </w:rPr>
        <w:t>(</w:t>
      </w:r>
      <w:r w:rsidR="002E345E">
        <w:rPr>
          <w:rFonts w:ascii="TimesNewRomanPS-BoldMT" w:eastAsiaTheme="minorHAnsi" w:hAnsi="TimesNewRomanPS-BoldMT" w:cs="TimesNewRomanPS-BoldMT"/>
          <w:bCs/>
          <w:color w:val="auto"/>
          <w:lang w:val="en-AU"/>
        </w:rPr>
        <w:t>film coating</w:t>
      </w:r>
      <w:r>
        <w:rPr>
          <w:rFonts w:ascii="TimesNewRomanPS-BoldMT" w:eastAsiaTheme="minorHAnsi" w:hAnsi="TimesNewRomanPS-BoldMT" w:cs="TimesNewRomanPS-BoldMT"/>
          <w:bCs/>
          <w:color w:val="auto"/>
          <w:lang w:val="en-AU"/>
        </w:rPr>
        <w:t>)</w:t>
      </w:r>
    </w:p>
    <w:p w14:paraId="18826E3A" w14:textId="74AC15E0" w:rsidR="00DC13BB" w:rsidRPr="002E345E" w:rsidRDefault="004C189F" w:rsidP="00DC13BB">
      <w:pPr>
        <w:tabs>
          <w:tab w:val="left" w:pos="720"/>
        </w:tabs>
        <w:autoSpaceDE w:val="0"/>
        <w:autoSpaceDN w:val="0"/>
        <w:adjustRightInd w:val="0"/>
        <w:rPr>
          <w:rFonts w:eastAsia="Times New Roman"/>
          <w:color w:val="auto"/>
          <w:sz w:val="22"/>
          <w:szCs w:val="22"/>
          <w:lang w:eastAsia="sv-SE"/>
        </w:rPr>
      </w:pPr>
      <w:r w:rsidRPr="002E345E">
        <w:rPr>
          <w:szCs w:val="22"/>
          <w:lang w:eastAsia="sv-SE"/>
        </w:rPr>
        <w:t>SLENYTO</w:t>
      </w:r>
      <w:r w:rsidR="00DC13BB" w:rsidRPr="002E345E">
        <w:rPr>
          <w:szCs w:val="22"/>
          <w:lang w:eastAsia="sv-SE"/>
        </w:rPr>
        <w:t xml:space="preserve"> 5 mg </w:t>
      </w:r>
      <w:r w:rsidR="0048335F">
        <w:rPr>
          <w:szCs w:val="22"/>
          <w:lang w:eastAsia="sv-SE"/>
        </w:rPr>
        <w:t>prolonged</w:t>
      </w:r>
      <w:r w:rsidR="00DC13BB" w:rsidRPr="002E345E">
        <w:rPr>
          <w:szCs w:val="22"/>
          <w:lang w:eastAsia="sv-SE"/>
        </w:rPr>
        <w:t xml:space="preserve"> release tablet</w:t>
      </w:r>
      <w:r w:rsidR="00DC13BB">
        <w:rPr>
          <w:szCs w:val="22"/>
          <w:lang w:eastAsia="sv-SE"/>
        </w:rPr>
        <w:t>:</w:t>
      </w:r>
    </w:p>
    <w:p w14:paraId="5ECB71B3" w14:textId="77777777" w:rsidR="00DC13BB" w:rsidRPr="00C119FF" w:rsidRDefault="00DC13BB" w:rsidP="00DC13BB">
      <w:pPr>
        <w:pStyle w:val="ListParagraph"/>
        <w:numPr>
          <w:ilvl w:val="0"/>
          <w:numId w:val="11"/>
        </w:numPr>
        <w:rPr>
          <w:rFonts w:ascii="Times New Roman" w:hAnsi="Times New Roman"/>
          <w:lang w:val="en"/>
        </w:rPr>
      </w:pPr>
      <w:proofErr w:type="spellStart"/>
      <w:r w:rsidRPr="0067748B">
        <w:rPr>
          <w:rFonts w:ascii="Times New Roman" w:hAnsi="Times New Roman"/>
          <w:lang w:val="en"/>
        </w:rPr>
        <w:t>a</w:t>
      </w:r>
      <w:r w:rsidRPr="00C119FF">
        <w:rPr>
          <w:rFonts w:ascii="Times New Roman" w:hAnsi="Times New Roman"/>
          <w:lang w:val="en"/>
        </w:rPr>
        <w:t>mmonio</w:t>
      </w:r>
      <w:proofErr w:type="spellEnd"/>
      <w:r w:rsidRPr="00C119FF">
        <w:rPr>
          <w:rFonts w:ascii="Times New Roman" w:hAnsi="Times New Roman"/>
          <w:lang w:val="en"/>
        </w:rPr>
        <w:t xml:space="preserve"> methacrylate copolymer </w:t>
      </w:r>
    </w:p>
    <w:p w14:paraId="3DD5B692" w14:textId="77777777" w:rsidR="00DC13BB" w:rsidRPr="00C119FF" w:rsidRDefault="00DC13BB" w:rsidP="00DC13BB">
      <w:pPr>
        <w:pStyle w:val="ListParagraph"/>
        <w:numPr>
          <w:ilvl w:val="0"/>
          <w:numId w:val="11"/>
        </w:numPr>
        <w:rPr>
          <w:rFonts w:ascii="Times New Roman" w:hAnsi="Times New Roman"/>
          <w:lang w:val="en"/>
        </w:rPr>
      </w:pPr>
      <w:r w:rsidRPr="00C119FF">
        <w:rPr>
          <w:rFonts w:ascii="Times New Roman" w:hAnsi="Times New Roman"/>
          <w:lang w:val="en"/>
        </w:rPr>
        <w:t xml:space="preserve">calcium hydrogen phosphate dihydrate </w:t>
      </w:r>
    </w:p>
    <w:p w14:paraId="4AC9D103" w14:textId="77777777" w:rsidR="00DC13BB" w:rsidRPr="00C119FF" w:rsidRDefault="00DC13BB" w:rsidP="00DC13BB">
      <w:pPr>
        <w:pStyle w:val="ListParagraph"/>
        <w:numPr>
          <w:ilvl w:val="0"/>
          <w:numId w:val="11"/>
        </w:numPr>
        <w:rPr>
          <w:rFonts w:ascii="Times New Roman" w:hAnsi="Times New Roman"/>
          <w:lang w:val="en"/>
        </w:rPr>
      </w:pPr>
      <w:r w:rsidRPr="00C119FF">
        <w:rPr>
          <w:rFonts w:ascii="Times New Roman" w:hAnsi="Times New Roman"/>
          <w:lang w:val="en"/>
        </w:rPr>
        <w:t xml:space="preserve">lactose monohydrate </w:t>
      </w:r>
    </w:p>
    <w:p w14:paraId="3B642EFD" w14:textId="77777777" w:rsidR="00DC13BB" w:rsidRPr="00C119FF" w:rsidRDefault="00DC13BB" w:rsidP="00DC13BB">
      <w:pPr>
        <w:pStyle w:val="ListParagraph"/>
        <w:numPr>
          <w:ilvl w:val="0"/>
          <w:numId w:val="11"/>
        </w:numPr>
        <w:rPr>
          <w:rFonts w:ascii="Times New Roman" w:hAnsi="Times New Roman"/>
          <w:lang w:val="en"/>
        </w:rPr>
      </w:pPr>
      <w:r w:rsidRPr="00C119FF">
        <w:rPr>
          <w:rFonts w:ascii="Times New Roman" w:hAnsi="Times New Roman"/>
          <w:lang w:val="en"/>
        </w:rPr>
        <w:t xml:space="preserve">colloidal anhydrous silica </w:t>
      </w:r>
    </w:p>
    <w:p w14:paraId="0D6B8405" w14:textId="77777777" w:rsidR="00DC13BB" w:rsidRPr="002E5403" w:rsidRDefault="00DC13BB" w:rsidP="00DC13BB">
      <w:pPr>
        <w:pStyle w:val="ListParagraph"/>
        <w:numPr>
          <w:ilvl w:val="0"/>
          <w:numId w:val="11"/>
        </w:numPr>
        <w:rPr>
          <w:rFonts w:ascii="Times New Roman" w:hAnsi="Times New Roman"/>
        </w:rPr>
      </w:pPr>
      <w:r w:rsidRPr="00C119FF">
        <w:rPr>
          <w:rFonts w:ascii="Times New Roman" w:hAnsi="Times New Roman"/>
          <w:lang w:val="en"/>
        </w:rPr>
        <w:t>magnesium stearate</w:t>
      </w:r>
    </w:p>
    <w:p w14:paraId="70B45AB4" w14:textId="77777777" w:rsidR="00DC13BB" w:rsidRPr="00C119FF" w:rsidRDefault="007A47AE" w:rsidP="00DC13BB">
      <w:pPr>
        <w:pStyle w:val="ListParagraph"/>
        <w:numPr>
          <w:ilvl w:val="0"/>
          <w:numId w:val="11"/>
        </w:numPr>
        <w:rPr>
          <w:rFonts w:ascii="Times New Roman" w:hAnsi="Times New Roman"/>
        </w:rPr>
      </w:pPr>
      <w:proofErr w:type="spellStart"/>
      <w:r w:rsidRPr="007A47AE">
        <w:rPr>
          <w:rFonts w:ascii="Times New Roman" w:hAnsi="Times New Roman"/>
          <w:lang w:val="en"/>
        </w:rPr>
        <w:t>Opaglos</w:t>
      </w:r>
      <w:proofErr w:type="spellEnd"/>
      <w:r w:rsidRPr="007A47AE">
        <w:rPr>
          <w:rFonts w:ascii="Times New Roman" w:hAnsi="Times New Roman"/>
          <w:lang w:val="en"/>
        </w:rPr>
        <w:t xml:space="preserve"> 2 High Gloss Film Coating System 97W220004 Yellow</w:t>
      </w:r>
      <w:r w:rsidRPr="002E345E">
        <w:rPr>
          <w:rFonts w:ascii="Times New Roman" w:hAnsi="Times New Roman"/>
        </w:rPr>
        <w:t xml:space="preserve"> </w:t>
      </w:r>
      <w:r>
        <w:rPr>
          <w:rFonts w:ascii="Times New Roman" w:hAnsi="Times New Roman"/>
        </w:rPr>
        <w:t>(</w:t>
      </w:r>
      <w:r w:rsidR="002E345E">
        <w:rPr>
          <w:rFonts w:ascii="Times New Roman" w:hAnsi="Times New Roman"/>
        </w:rPr>
        <w:t>film coating</w:t>
      </w:r>
      <w:r>
        <w:rPr>
          <w:rFonts w:ascii="Times New Roman" w:hAnsi="Times New Roman"/>
        </w:rPr>
        <w:t>)</w:t>
      </w:r>
    </w:p>
    <w:p w14:paraId="2D7B8848" w14:textId="77777777" w:rsidR="001A3992" w:rsidRPr="00497C85" w:rsidRDefault="001A3992" w:rsidP="00DE19CA">
      <w:pPr>
        <w:pStyle w:val="Heading2"/>
        <w:ind w:left="567"/>
      </w:pPr>
      <w:r w:rsidRPr="00497C85">
        <w:lastRenderedPageBreak/>
        <w:t xml:space="preserve">Incompatibilities </w:t>
      </w:r>
    </w:p>
    <w:p w14:paraId="7727F5BD" w14:textId="77777777" w:rsidR="00497C85" w:rsidRPr="00497C85" w:rsidRDefault="000B6EBF" w:rsidP="00CF3CA1">
      <w:bookmarkStart w:id="8" w:name="_Hlk3886621"/>
      <w:r>
        <w:rPr>
          <w:lang w:val="en"/>
        </w:rPr>
        <w:t>Refer to Section 4.5 I</w:t>
      </w:r>
      <w:r w:rsidRPr="000B6EBF">
        <w:rPr>
          <w:lang w:val="en"/>
        </w:rPr>
        <w:t xml:space="preserve">nteractions </w:t>
      </w:r>
      <w:r>
        <w:rPr>
          <w:lang w:val="en"/>
        </w:rPr>
        <w:t>w</w:t>
      </w:r>
      <w:r w:rsidRPr="000B6EBF">
        <w:rPr>
          <w:lang w:val="en"/>
        </w:rPr>
        <w:t xml:space="preserve">ith other medicines </w:t>
      </w:r>
      <w:r>
        <w:rPr>
          <w:lang w:val="en"/>
        </w:rPr>
        <w:t>a</w:t>
      </w:r>
      <w:r w:rsidRPr="000B6EBF">
        <w:rPr>
          <w:lang w:val="en"/>
        </w:rPr>
        <w:t xml:space="preserve">nd other forms </w:t>
      </w:r>
      <w:r>
        <w:rPr>
          <w:lang w:val="en"/>
        </w:rPr>
        <w:t>o</w:t>
      </w:r>
      <w:r w:rsidRPr="000B6EBF">
        <w:rPr>
          <w:lang w:val="en"/>
        </w:rPr>
        <w:t>f interactions</w:t>
      </w:r>
      <w:r>
        <w:rPr>
          <w:lang w:val="en"/>
        </w:rPr>
        <w:t>.</w:t>
      </w:r>
    </w:p>
    <w:bookmarkEnd w:id="8"/>
    <w:p w14:paraId="530B4DB8" w14:textId="77777777" w:rsidR="001A3992" w:rsidRPr="00497C85" w:rsidRDefault="001A3992" w:rsidP="00DE19CA">
      <w:pPr>
        <w:pStyle w:val="Heading2"/>
        <w:tabs>
          <w:tab w:val="num" w:pos="680"/>
        </w:tabs>
        <w:ind w:left="680" w:hanging="680"/>
      </w:pPr>
      <w:r w:rsidRPr="00497C85">
        <w:t xml:space="preserve">Shelf life </w:t>
      </w:r>
    </w:p>
    <w:p w14:paraId="73B161A2" w14:textId="77777777" w:rsidR="00497C85" w:rsidRPr="00497C85" w:rsidRDefault="00497C85" w:rsidP="00CF3CA1">
      <w:r w:rsidRPr="00497C85">
        <w:rPr>
          <w:lang w:val="en"/>
        </w:rPr>
        <w:t>In Australia, information on the shelf life can be found on the public summary of the Australian Register of Therapeutic Goods (ARTG). The expiry date can be found on the packaging.</w:t>
      </w:r>
    </w:p>
    <w:p w14:paraId="76FB833A" w14:textId="77777777" w:rsidR="001A3992" w:rsidRDefault="001A3992" w:rsidP="00DE19CA">
      <w:pPr>
        <w:pStyle w:val="Heading2"/>
        <w:tabs>
          <w:tab w:val="num" w:pos="680"/>
        </w:tabs>
        <w:ind w:left="680" w:hanging="680"/>
      </w:pPr>
      <w:r w:rsidRPr="00497C85">
        <w:t xml:space="preserve">Special precautions for storage </w:t>
      </w:r>
    </w:p>
    <w:p w14:paraId="29E6402F" w14:textId="101F74BF" w:rsidR="00B91D54" w:rsidRPr="00B91D54" w:rsidRDefault="00B91D54" w:rsidP="00B91D54">
      <w:r w:rsidRPr="00B91D54">
        <w:t xml:space="preserve">Store below </w:t>
      </w:r>
      <w:r w:rsidR="00326201">
        <w:t>30</w:t>
      </w:r>
      <w:r w:rsidRPr="00B91D54">
        <w:t xml:space="preserve">ºC. </w:t>
      </w:r>
    </w:p>
    <w:p w14:paraId="01390526" w14:textId="77777777" w:rsidR="001A3992" w:rsidRDefault="001A3992" w:rsidP="0017202D">
      <w:pPr>
        <w:pStyle w:val="Heading2"/>
        <w:tabs>
          <w:tab w:val="num" w:pos="680"/>
        </w:tabs>
        <w:ind w:left="680" w:hanging="680"/>
      </w:pPr>
      <w:r w:rsidRPr="00497C85">
        <w:t>Nature and contents of container</w:t>
      </w:r>
      <w:r w:rsidR="00B91D54">
        <w:t xml:space="preserve"> </w:t>
      </w:r>
    </w:p>
    <w:p w14:paraId="03872D85" w14:textId="74B8EB5F" w:rsidR="00B91D54" w:rsidRDefault="002403D2" w:rsidP="00187411">
      <w:r>
        <w:t xml:space="preserve">SLENYTO 1 mg tablets: </w:t>
      </w:r>
      <w:r w:rsidR="00B91D54">
        <w:t>B</w:t>
      </w:r>
      <w:r w:rsidR="00B91D54" w:rsidRPr="00B91D54">
        <w:t xml:space="preserve">lister packs </w:t>
      </w:r>
      <w:r w:rsidR="00DC35C9">
        <w:rPr>
          <w:shd w:val="clear" w:color="auto" w:fill="FFFFFF"/>
        </w:rPr>
        <w:t>(PVC/PV</w:t>
      </w:r>
      <w:r w:rsidR="00326201">
        <w:rPr>
          <w:shd w:val="clear" w:color="auto" w:fill="FFFFFF"/>
        </w:rPr>
        <w:t>D</w:t>
      </w:r>
      <w:r w:rsidR="00DC35C9">
        <w:rPr>
          <w:shd w:val="clear" w:color="auto" w:fill="FFFFFF"/>
        </w:rPr>
        <w:t xml:space="preserve">C/Al) </w:t>
      </w:r>
      <w:r w:rsidR="00B91D54" w:rsidRPr="00B91D54">
        <w:t xml:space="preserve">of 30 or </w:t>
      </w:r>
      <w:r w:rsidR="00187411">
        <w:t>60</w:t>
      </w:r>
      <w:r w:rsidR="00187411" w:rsidRPr="00B91D54">
        <w:t xml:space="preserve"> </w:t>
      </w:r>
      <w:r w:rsidR="00B91D54" w:rsidRPr="00B91D54">
        <w:t xml:space="preserve"> tablets</w:t>
      </w:r>
      <w:r w:rsidR="00B91D54">
        <w:t xml:space="preserve">. </w:t>
      </w:r>
    </w:p>
    <w:p w14:paraId="73E9E8F5" w14:textId="77777777" w:rsidR="002403D2" w:rsidRPr="00B91D54" w:rsidRDefault="002403D2" w:rsidP="002403D2">
      <w:r>
        <w:t>SLENYTO 5 mg tablets: B</w:t>
      </w:r>
      <w:r w:rsidRPr="00B91D54">
        <w:t xml:space="preserve">lister packs </w:t>
      </w:r>
      <w:r>
        <w:rPr>
          <w:shd w:val="clear" w:color="auto" w:fill="FFFFFF"/>
        </w:rPr>
        <w:t xml:space="preserve">(PVC/PVDC/Al) </w:t>
      </w:r>
      <w:r w:rsidRPr="00B91D54">
        <w:t>of 30 tablets</w:t>
      </w:r>
      <w:r>
        <w:t xml:space="preserve">. </w:t>
      </w:r>
    </w:p>
    <w:p w14:paraId="2769F177" w14:textId="77777777" w:rsidR="001A3992" w:rsidRPr="00497C85" w:rsidRDefault="001A3992" w:rsidP="0017202D">
      <w:pPr>
        <w:pStyle w:val="Heading2"/>
        <w:tabs>
          <w:tab w:val="num" w:pos="680"/>
        </w:tabs>
        <w:ind w:left="680" w:hanging="680"/>
      </w:pPr>
      <w:r w:rsidRPr="00497C85">
        <w:t xml:space="preserve">Special precautions for disposal </w:t>
      </w:r>
    </w:p>
    <w:p w14:paraId="266126F1" w14:textId="77777777" w:rsidR="00497C85" w:rsidRDefault="00497C85" w:rsidP="00CF3CA1">
      <w:pPr>
        <w:rPr>
          <w:lang w:val="en"/>
        </w:rPr>
      </w:pPr>
      <w:r w:rsidRPr="00497C85">
        <w:rPr>
          <w:lang w:val="en"/>
        </w:rPr>
        <w:t>In Australia, any unused medicine or waste material should be disposed of by taking to your local pharmacy.</w:t>
      </w:r>
    </w:p>
    <w:p w14:paraId="781FB4AD" w14:textId="77777777" w:rsidR="001A3992" w:rsidRDefault="001A3992" w:rsidP="0017202D">
      <w:pPr>
        <w:pStyle w:val="Heading2"/>
        <w:tabs>
          <w:tab w:val="num" w:pos="680"/>
        </w:tabs>
        <w:ind w:left="680" w:hanging="680"/>
      </w:pPr>
      <w:r w:rsidRPr="00497C85">
        <w:t>Physicochemical properties</w:t>
      </w:r>
    </w:p>
    <w:p w14:paraId="73635BD6" w14:textId="77777777" w:rsidR="0068129B" w:rsidRPr="0068129B" w:rsidRDefault="0068129B" w:rsidP="0068129B">
      <w:r w:rsidRPr="0068129B">
        <w:t xml:space="preserve">Melatonin is a slightly off-white, </w:t>
      </w:r>
      <w:proofErr w:type="spellStart"/>
      <w:r w:rsidRPr="0068129B">
        <w:t>odourless</w:t>
      </w:r>
      <w:proofErr w:type="spellEnd"/>
      <w:r w:rsidRPr="0068129B">
        <w:t xml:space="preserve"> crystalline powder. Melatonin is very slightly soluble in water and in dilute hydrochloric acid.</w:t>
      </w:r>
    </w:p>
    <w:p w14:paraId="45C71ED9" w14:textId="77777777" w:rsidR="001A3992" w:rsidRDefault="001A3992" w:rsidP="00CF3CA1">
      <w:pPr>
        <w:pStyle w:val="Heading3"/>
      </w:pPr>
      <w:r w:rsidRPr="00497C85">
        <w:t>Chemical structure</w:t>
      </w:r>
    </w:p>
    <w:p w14:paraId="02F73949" w14:textId="77777777" w:rsidR="00C2534C" w:rsidRDefault="00C2534C" w:rsidP="00C2534C">
      <w:r>
        <w:t xml:space="preserve">Chemical name:  N-[2-(5-Methoxyindol-3-yl)ethyl]acetamide. </w:t>
      </w:r>
    </w:p>
    <w:p w14:paraId="615D5FD0" w14:textId="77777777" w:rsidR="00C2534C" w:rsidRDefault="00C2534C" w:rsidP="00C2534C">
      <w:r>
        <w:t>Structural formula:</w:t>
      </w:r>
    </w:p>
    <w:p w14:paraId="5631948B" w14:textId="77777777" w:rsidR="00C2534C" w:rsidRDefault="00C2534C" w:rsidP="00C2534C">
      <w:r>
        <w:rPr>
          <w:noProof/>
          <w:lang w:val="en-AU" w:eastAsia="en-AU"/>
        </w:rPr>
        <w:drawing>
          <wp:inline distT="0" distB="0" distL="0" distR="0" wp14:anchorId="53D48ACC" wp14:editId="1BDD8A0E">
            <wp:extent cx="2099117" cy="10251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34443" cy="1042402"/>
                    </a:xfrm>
                    <a:prstGeom prst="rect">
                      <a:avLst/>
                    </a:prstGeom>
                    <a:noFill/>
                    <a:ln w="9525">
                      <a:noFill/>
                      <a:miter lim="800000"/>
                      <a:headEnd/>
                      <a:tailEnd/>
                    </a:ln>
                  </pic:spPr>
                </pic:pic>
              </a:graphicData>
            </a:graphic>
          </wp:inline>
        </w:drawing>
      </w:r>
    </w:p>
    <w:p w14:paraId="471C6B24" w14:textId="77777777" w:rsidR="00C2534C" w:rsidRPr="00941101" w:rsidRDefault="00C2534C" w:rsidP="00C2534C">
      <w:pPr>
        <w:rPr>
          <w:lang w:val="pt-PT"/>
        </w:rPr>
      </w:pPr>
      <w:r w:rsidRPr="00941101">
        <w:rPr>
          <w:lang w:val="pt-PT"/>
        </w:rPr>
        <w:t>Molecular formula</w:t>
      </w:r>
      <w:r>
        <w:rPr>
          <w:lang w:val="pt-PT"/>
        </w:rPr>
        <w:t>:</w:t>
      </w:r>
      <w:r w:rsidRPr="00941101">
        <w:rPr>
          <w:lang w:val="pt-PT"/>
        </w:rPr>
        <w:t xml:space="preserve"> C</w:t>
      </w:r>
      <w:r w:rsidRPr="00941101">
        <w:rPr>
          <w:vertAlign w:val="subscript"/>
          <w:lang w:val="pt-PT"/>
        </w:rPr>
        <w:t>13</w:t>
      </w:r>
      <w:r w:rsidRPr="00941101">
        <w:rPr>
          <w:lang w:val="pt-PT"/>
        </w:rPr>
        <w:t>H</w:t>
      </w:r>
      <w:r w:rsidRPr="00941101">
        <w:rPr>
          <w:vertAlign w:val="subscript"/>
          <w:lang w:val="pt-PT"/>
        </w:rPr>
        <w:t>16</w:t>
      </w:r>
      <w:r w:rsidRPr="00941101">
        <w:rPr>
          <w:lang w:val="pt-PT"/>
        </w:rPr>
        <w:t>N</w:t>
      </w:r>
      <w:r w:rsidRPr="00941101">
        <w:rPr>
          <w:vertAlign w:val="subscript"/>
          <w:lang w:val="pt-PT"/>
        </w:rPr>
        <w:t>2</w:t>
      </w:r>
      <w:r w:rsidRPr="00941101">
        <w:rPr>
          <w:lang w:val="pt-PT"/>
        </w:rPr>
        <w:t>O</w:t>
      </w:r>
      <w:r w:rsidRPr="00941101">
        <w:rPr>
          <w:vertAlign w:val="subscript"/>
          <w:lang w:val="pt-PT"/>
        </w:rPr>
        <w:t>2</w:t>
      </w:r>
    </w:p>
    <w:p w14:paraId="28472B55" w14:textId="77777777" w:rsidR="00C2534C" w:rsidRPr="00941101" w:rsidRDefault="00C2534C" w:rsidP="00C2534C">
      <w:pPr>
        <w:rPr>
          <w:lang w:val="pt-PT"/>
        </w:rPr>
      </w:pPr>
      <w:r w:rsidRPr="00941101">
        <w:rPr>
          <w:lang w:val="pt-PT"/>
        </w:rPr>
        <w:lastRenderedPageBreak/>
        <w:t xml:space="preserve">Molecular </w:t>
      </w:r>
      <w:r>
        <w:rPr>
          <w:lang w:val="pt-PT"/>
        </w:rPr>
        <w:t>w</w:t>
      </w:r>
      <w:r w:rsidRPr="00941101">
        <w:rPr>
          <w:lang w:val="pt-PT"/>
        </w:rPr>
        <w:t>eight: 232.27</w:t>
      </w:r>
    </w:p>
    <w:p w14:paraId="4D561AE5" w14:textId="77777777" w:rsidR="00C2534C" w:rsidRPr="002D4C60" w:rsidRDefault="00C2534C" w:rsidP="00C2534C">
      <w:proofErr w:type="spellStart"/>
      <w:r w:rsidRPr="002D4C60">
        <w:t>pKa</w:t>
      </w:r>
      <w:proofErr w:type="spellEnd"/>
      <w:r w:rsidRPr="002D4C60">
        <w:t xml:space="preserve">: 12.3 </w:t>
      </w:r>
      <w:r>
        <w:t>-</w:t>
      </w:r>
      <w:r w:rsidRPr="002D4C60">
        <w:t xml:space="preserve"> 12.7</w:t>
      </w:r>
    </w:p>
    <w:p w14:paraId="7B5293D0" w14:textId="77777777" w:rsidR="001A3992" w:rsidRDefault="001A3992" w:rsidP="00CF3CA1">
      <w:pPr>
        <w:pStyle w:val="Heading3"/>
      </w:pPr>
      <w:r w:rsidRPr="00497C85">
        <w:t>CAS number</w:t>
      </w:r>
    </w:p>
    <w:p w14:paraId="29FD7D7D" w14:textId="77777777" w:rsidR="00C2534C" w:rsidRPr="00C2534C" w:rsidRDefault="00C2534C" w:rsidP="00C2534C">
      <w:r w:rsidRPr="00C2534C">
        <w:t>73-31-4</w:t>
      </w:r>
    </w:p>
    <w:p w14:paraId="7CC3DFAD" w14:textId="77777777" w:rsidR="001A3992" w:rsidRDefault="001A3992" w:rsidP="00CF3CA1">
      <w:pPr>
        <w:pStyle w:val="Heading1"/>
      </w:pPr>
      <w:r w:rsidRPr="00497C85">
        <w:t>Medicine schedule (Poisons Standard)</w:t>
      </w:r>
    </w:p>
    <w:p w14:paraId="0168E3B1" w14:textId="77777777" w:rsidR="007F22EE" w:rsidRPr="007F22EE" w:rsidRDefault="007F22EE" w:rsidP="007F22EE">
      <w:r w:rsidRPr="007F22EE">
        <w:t>Schedule 4. Prescription Only Medicine</w:t>
      </w:r>
    </w:p>
    <w:p w14:paraId="2FF3A9E2" w14:textId="77777777" w:rsidR="001A3992" w:rsidRDefault="001A3992" w:rsidP="00F80FA5">
      <w:pPr>
        <w:pStyle w:val="Heading1"/>
      </w:pPr>
      <w:r w:rsidRPr="00497C85">
        <w:t>Sponsor</w:t>
      </w:r>
      <w:r w:rsidR="007F22EE">
        <w:t xml:space="preserve"> </w:t>
      </w:r>
    </w:p>
    <w:p w14:paraId="31C91FDD" w14:textId="77777777" w:rsidR="007F22EE" w:rsidRPr="007F22EE" w:rsidRDefault="007F22EE" w:rsidP="00A81C46">
      <w:pPr>
        <w:keepNext/>
        <w:rPr>
          <w:b/>
        </w:rPr>
      </w:pPr>
      <w:r w:rsidRPr="007F22EE">
        <w:rPr>
          <w:b/>
        </w:rPr>
        <w:t>Sponsor:</w:t>
      </w:r>
    </w:p>
    <w:p w14:paraId="0BD841AF" w14:textId="77777777" w:rsidR="007F22EE" w:rsidRDefault="007F22EE" w:rsidP="00A81C46">
      <w:pPr>
        <w:keepNext/>
        <w:contextualSpacing/>
      </w:pPr>
      <w:r>
        <w:t xml:space="preserve">RAD Data Australia Pty Ltd </w:t>
      </w:r>
    </w:p>
    <w:p w14:paraId="025C90FC" w14:textId="77777777" w:rsidR="007F22EE" w:rsidRDefault="007F22EE" w:rsidP="00A81C46">
      <w:pPr>
        <w:keepNext/>
        <w:contextualSpacing/>
      </w:pPr>
      <w:r>
        <w:t>PKF Melbourne</w:t>
      </w:r>
    </w:p>
    <w:p w14:paraId="3432CA6F" w14:textId="77777777" w:rsidR="007F22EE" w:rsidRDefault="007F22EE" w:rsidP="00A81C46">
      <w:pPr>
        <w:keepNext/>
        <w:contextualSpacing/>
      </w:pPr>
      <w:r>
        <w:t>Level 12, 440 Collins Street</w:t>
      </w:r>
    </w:p>
    <w:p w14:paraId="1B8CCCF9" w14:textId="77777777" w:rsidR="007F22EE" w:rsidRDefault="007F22EE" w:rsidP="00A81C46">
      <w:pPr>
        <w:keepNext/>
        <w:contextualSpacing/>
      </w:pPr>
      <w:r>
        <w:t>Melbourne, VIC, 3000</w:t>
      </w:r>
    </w:p>
    <w:p w14:paraId="321C883E" w14:textId="77777777" w:rsidR="007F22EE" w:rsidRPr="007F22EE" w:rsidRDefault="007F22EE" w:rsidP="007F22EE">
      <w:pPr>
        <w:rPr>
          <w:b/>
        </w:rPr>
      </w:pPr>
      <w:r w:rsidRPr="007F22EE">
        <w:rPr>
          <w:b/>
        </w:rPr>
        <w:t>Distributor:</w:t>
      </w:r>
    </w:p>
    <w:p w14:paraId="0BA37853" w14:textId="77777777" w:rsidR="007F22EE" w:rsidRDefault="007F22EE" w:rsidP="007F22EE">
      <w:pPr>
        <w:contextualSpacing/>
      </w:pPr>
      <w:r>
        <w:t xml:space="preserve">Aspen Pharma Pty Ltd </w:t>
      </w:r>
    </w:p>
    <w:p w14:paraId="194BB00E" w14:textId="77777777" w:rsidR="007F22EE" w:rsidRDefault="007F22EE" w:rsidP="007F22EE">
      <w:pPr>
        <w:contextualSpacing/>
      </w:pPr>
      <w:r>
        <w:t xml:space="preserve">34-36 </w:t>
      </w:r>
      <w:proofErr w:type="spellStart"/>
      <w:r>
        <w:t>Chandos</w:t>
      </w:r>
      <w:proofErr w:type="spellEnd"/>
      <w:r>
        <w:t xml:space="preserve"> Street</w:t>
      </w:r>
    </w:p>
    <w:p w14:paraId="07ADC525" w14:textId="77777777" w:rsidR="007F22EE" w:rsidRDefault="007F22EE" w:rsidP="007F22EE">
      <w:pPr>
        <w:contextualSpacing/>
      </w:pPr>
      <w:r>
        <w:t xml:space="preserve">St </w:t>
      </w:r>
      <w:proofErr w:type="spellStart"/>
      <w:r>
        <w:t>Leonards</w:t>
      </w:r>
      <w:proofErr w:type="spellEnd"/>
      <w:r>
        <w:t xml:space="preserve"> NSW 2065</w:t>
      </w:r>
    </w:p>
    <w:p w14:paraId="3070D32E" w14:textId="77777777" w:rsidR="001A3992" w:rsidRDefault="001A3992" w:rsidP="00CF3CA1">
      <w:pPr>
        <w:pStyle w:val="Heading1"/>
      </w:pPr>
      <w:r w:rsidRPr="00497C85">
        <w:t xml:space="preserve">Date of first approval </w:t>
      </w:r>
    </w:p>
    <w:p w14:paraId="1C3449A2" w14:textId="2B07E406" w:rsidR="00975D8D" w:rsidRPr="00975D8D" w:rsidRDefault="008B3F26">
      <w:r>
        <w:t>22</w:t>
      </w:r>
      <w:r w:rsidR="000E43B5">
        <w:t xml:space="preserve"> May 2020</w:t>
      </w:r>
    </w:p>
    <w:p w14:paraId="1CF98420" w14:textId="77777777" w:rsidR="001A3992" w:rsidRDefault="001A3992" w:rsidP="00CF3CA1">
      <w:pPr>
        <w:pStyle w:val="Heading1"/>
      </w:pPr>
      <w:r w:rsidRPr="00497C85">
        <w:t xml:space="preserve">Date of revision </w:t>
      </w:r>
    </w:p>
    <w:p w14:paraId="2B4E82EA" w14:textId="5854881B" w:rsidR="007F22EE" w:rsidRDefault="000E43B5" w:rsidP="007F22EE">
      <w:r>
        <w:t>N/A</w:t>
      </w:r>
    </w:p>
    <w:p w14:paraId="7E0102D3" w14:textId="162D0BBF" w:rsidR="007F22EE" w:rsidRPr="007F22EE" w:rsidRDefault="00AE2B75" w:rsidP="007F22EE">
      <w:r>
        <w:t>SLENYTO</w:t>
      </w:r>
      <w:r w:rsidR="007F22EE" w:rsidRPr="007F22EE">
        <w:t xml:space="preserve"> is a registered trademark of </w:t>
      </w:r>
      <w:proofErr w:type="spellStart"/>
      <w:r w:rsidR="007F22EE" w:rsidRPr="007F22EE">
        <w:t>Neurim</w:t>
      </w:r>
      <w:proofErr w:type="spellEnd"/>
      <w:r w:rsidR="007F22EE" w:rsidRPr="007F22EE">
        <w:t xml:space="preserve"> Pharmaceuticals</w:t>
      </w:r>
    </w:p>
    <w:p w14:paraId="07D66539" w14:textId="77777777" w:rsidR="001A3992" w:rsidRPr="00497C85" w:rsidRDefault="001A3992" w:rsidP="0092304A">
      <w:pPr>
        <w:pStyle w:val="Heading3"/>
        <w:spacing w:after="120"/>
      </w:pPr>
      <w:r w:rsidRPr="00497C85">
        <w:t>Summary table of changes</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7053"/>
      </w:tblGrid>
      <w:tr w:rsidR="0092304A" w:rsidRPr="00F30850" w14:paraId="1378C156" w14:textId="77777777" w:rsidTr="007F22EE">
        <w:trPr>
          <w:tblHeader/>
        </w:trPr>
        <w:tc>
          <w:tcPr>
            <w:tcW w:w="2127" w:type="dxa"/>
            <w:shd w:val="clear" w:color="auto" w:fill="F2F2F2"/>
            <w:vAlign w:val="center"/>
          </w:tcPr>
          <w:p w14:paraId="46F5E5E4" w14:textId="77777777" w:rsidR="0092304A" w:rsidRPr="00F30850" w:rsidRDefault="0092304A" w:rsidP="007F22EE">
            <w:pPr>
              <w:spacing w:before="40" w:after="40" w:line="0" w:lineRule="atLeast"/>
              <w:ind w:left="120"/>
              <w:rPr>
                <w:rFonts w:eastAsia="Cambria"/>
                <w:b/>
                <w:sz w:val="22"/>
              </w:rPr>
            </w:pPr>
            <w:r w:rsidRPr="00F30850">
              <w:rPr>
                <w:rFonts w:eastAsia="Cambria"/>
                <w:b/>
                <w:sz w:val="22"/>
              </w:rPr>
              <w:t>Section changed</w:t>
            </w:r>
          </w:p>
        </w:tc>
        <w:tc>
          <w:tcPr>
            <w:tcW w:w="7053" w:type="dxa"/>
            <w:shd w:val="clear" w:color="auto" w:fill="F2F2F2"/>
            <w:vAlign w:val="center"/>
          </w:tcPr>
          <w:p w14:paraId="62813FC8" w14:textId="77777777" w:rsidR="0092304A" w:rsidRPr="00F30850" w:rsidRDefault="0092304A" w:rsidP="007F22EE">
            <w:pPr>
              <w:spacing w:before="40" w:after="40" w:line="0" w:lineRule="atLeast"/>
              <w:ind w:left="100"/>
              <w:rPr>
                <w:rFonts w:eastAsia="Cambria"/>
                <w:b/>
                <w:sz w:val="22"/>
              </w:rPr>
            </w:pPr>
            <w:r w:rsidRPr="00F30850">
              <w:rPr>
                <w:rFonts w:eastAsia="Cambria"/>
                <w:b/>
                <w:sz w:val="22"/>
              </w:rPr>
              <w:t>Summary of new information</w:t>
            </w:r>
          </w:p>
        </w:tc>
      </w:tr>
      <w:tr w:rsidR="0092304A" w:rsidRPr="00F30850" w14:paraId="1A1A7F1F" w14:textId="77777777" w:rsidTr="007F22EE">
        <w:tc>
          <w:tcPr>
            <w:tcW w:w="2127" w:type="dxa"/>
            <w:shd w:val="clear" w:color="auto" w:fill="auto"/>
            <w:vAlign w:val="center"/>
          </w:tcPr>
          <w:p w14:paraId="1A9DC661" w14:textId="59284A5E" w:rsidR="0092304A" w:rsidRPr="00F30850" w:rsidRDefault="002E345E" w:rsidP="007F22EE">
            <w:pPr>
              <w:spacing w:before="40" w:after="40" w:line="0" w:lineRule="atLeast"/>
              <w:ind w:left="120"/>
              <w:rPr>
                <w:rFonts w:eastAsia="Cambria"/>
                <w:sz w:val="22"/>
              </w:rPr>
            </w:pPr>
            <w:r>
              <w:rPr>
                <w:rFonts w:eastAsia="Cambria"/>
                <w:sz w:val="22"/>
              </w:rPr>
              <w:t>All</w:t>
            </w:r>
          </w:p>
        </w:tc>
        <w:tc>
          <w:tcPr>
            <w:tcW w:w="7053" w:type="dxa"/>
            <w:shd w:val="clear" w:color="auto" w:fill="auto"/>
            <w:vAlign w:val="center"/>
          </w:tcPr>
          <w:p w14:paraId="31D02B51" w14:textId="1F4328B8" w:rsidR="0092304A" w:rsidRPr="00F30850" w:rsidRDefault="002E345E" w:rsidP="007F22EE">
            <w:pPr>
              <w:spacing w:before="40" w:after="40" w:line="0" w:lineRule="atLeast"/>
              <w:ind w:left="120"/>
              <w:rPr>
                <w:rFonts w:eastAsia="Cambria"/>
                <w:sz w:val="22"/>
              </w:rPr>
            </w:pPr>
            <w:r>
              <w:rPr>
                <w:rFonts w:eastAsia="Cambria"/>
                <w:sz w:val="22"/>
              </w:rPr>
              <w:t xml:space="preserve">New PI for </w:t>
            </w:r>
            <w:proofErr w:type="spellStart"/>
            <w:r>
              <w:rPr>
                <w:rFonts w:eastAsia="Cambria"/>
                <w:sz w:val="22"/>
              </w:rPr>
              <w:t>paediatric</w:t>
            </w:r>
            <w:proofErr w:type="spellEnd"/>
            <w:r>
              <w:rPr>
                <w:rFonts w:eastAsia="Cambria"/>
                <w:sz w:val="22"/>
              </w:rPr>
              <w:t xml:space="preserve"> indication.</w:t>
            </w:r>
          </w:p>
        </w:tc>
      </w:tr>
    </w:tbl>
    <w:p w14:paraId="058B80B0" w14:textId="77777777" w:rsidR="00960CD5" w:rsidRPr="00497C85" w:rsidRDefault="00960CD5" w:rsidP="0092304A"/>
    <w:sectPr w:rsidR="00960CD5" w:rsidRPr="00497C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9789" w14:textId="77777777" w:rsidR="00F571B8" w:rsidRDefault="00F571B8" w:rsidP="00CF3CA1">
      <w:r>
        <w:separator/>
      </w:r>
    </w:p>
  </w:endnote>
  <w:endnote w:type="continuationSeparator" w:id="0">
    <w:p w14:paraId="7F02D6F8" w14:textId="77777777" w:rsidR="00F571B8" w:rsidRDefault="00F571B8"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6C56" w14:textId="77777777" w:rsidR="004047FA" w:rsidRDefault="00404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3430"/>
      <w:docPartObj>
        <w:docPartGallery w:val="Page Numbers (Bottom of Page)"/>
        <w:docPartUnique/>
      </w:docPartObj>
    </w:sdtPr>
    <w:sdtEndPr>
      <w:rPr>
        <w:rFonts w:ascii="Arial" w:hAnsi="Arial" w:cs="Arial"/>
        <w:noProof/>
        <w:sz w:val="18"/>
      </w:rPr>
    </w:sdtEndPr>
    <w:sdtContent>
      <w:p w14:paraId="71870D3E" w14:textId="77777777" w:rsidR="000816D5" w:rsidRDefault="000816D5" w:rsidP="00CF3CA1">
        <w:pPr>
          <w:pStyle w:val="Footer"/>
          <w:pBdr>
            <w:bottom w:val="single" w:sz="12" w:space="1" w:color="auto"/>
          </w:pBdr>
        </w:pPr>
      </w:p>
      <w:p w14:paraId="6513EC59" w14:textId="5ECC03B1" w:rsidR="000816D5" w:rsidRPr="00CF3CA1" w:rsidRDefault="000816D5" w:rsidP="00C2534C">
        <w:pPr>
          <w:pStyle w:val="Footer"/>
          <w:spacing w:before="120"/>
          <w:rPr>
            <w:rFonts w:ascii="Arial" w:hAnsi="Arial" w:cs="Arial"/>
            <w:sz w:val="18"/>
          </w:rPr>
        </w:pPr>
        <w:r>
          <w:rPr>
            <w:rFonts w:ascii="Arial" w:hAnsi="Arial" w:cs="Arial"/>
            <w:sz w:val="18"/>
          </w:rPr>
          <w:t>SLENYTO_PI_</w:t>
        </w:r>
        <w:r w:rsidR="00163236">
          <w:rPr>
            <w:rFonts w:ascii="Arial" w:hAnsi="Arial" w:cs="Arial"/>
            <w:sz w:val="18"/>
          </w:rPr>
          <w:t>20</w:t>
        </w:r>
        <w:r w:rsidR="00D321FD">
          <w:rPr>
            <w:rFonts w:ascii="Arial" w:hAnsi="Arial" w:cs="Arial"/>
            <w:sz w:val="18"/>
          </w:rPr>
          <w:t xml:space="preserve"> </w:t>
        </w:r>
        <w:r w:rsidR="002F6501">
          <w:rPr>
            <w:rFonts w:ascii="Arial" w:hAnsi="Arial" w:cs="Arial"/>
            <w:sz w:val="18"/>
          </w:rPr>
          <w:t>May 2020</w:t>
        </w:r>
        <w:r w:rsidRPr="00CF3CA1">
          <w:rPr>
            <w:rFonts w:ascii="Arial" w:hAnsi="Arial" w:cs="Arial"/>
            <w:sz w:val="18"/>
          </w:rPr>
          <w:tab/>
        </w:r>
        <w:r w:rsidRPr="00CF3CA1">
          <w:rPr>
            <w:rFonts w:ascii="Arial" w:hAnsi="Arial" w:cs="Arial"/>
            <w:sz w:val="18"/>
          </w:rPr>
          <w:tab/>
        </w:r>
        <w:r w:rsidRPr="00CF3CA1">
          <w:rPr>
            <w:rFonts w:ascii="Arial" w:hAnsi="Arial" w:cs="Arial"/>
            <w:sz w:val="18"/>
          </w:rPr>
          <w:fldChar w:fldCharType="begin"/>
        </w:r>
        <w:r w:rsidRPr="00CF3CA1">
          <w:rPr>
            <w:rFonts w:ascii="Arial" w:hAnsi="Arial" w:cs="Arial"/>
            <w:sz w:val="18"/>
          </w:rPr>
          <w:instrText xml:space="preserve"> PAGE   \* MERGEFORMAT </w:instrText>
        </w:r>
        <w:r w:rsidRPr="00CF3CA1">
          <w:rPr>
            <w:rFonts w:ascii="Arial" w:hAnsi="Arial" w:cs="Arial"/>
            <w:sz w:val="18"/>
          </w:rPr>
          <w:fldChar w:fldCharType="separate"/>
        </w:r>
        <w:r w:rsidR="00B2378C">
          <w:rPr>
            <w:rFonts w:ascii="Arial" w:hAnsi="Arial" w:cs="Arial"/>
            <w:noProof/>
            <w:sz w:val="18"/>
          </w:rPr>
          <w:t>16</w:t>
        </w:r>
        <w:r w:rsidRPr="00CF3CA1">
          <w:rPr>
            <w:rFonts w:ascii="Arial" w:hAnsi="Arial" w:cs="Arial"/>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03CF4" w14:textId="77777777" w:rsidR="004047FA" w:rsidRDefault="0040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F663" w14:textId="77777777" w:rsidR="00F571B8" w:rsidRDefault="00F571B8" w:rsidP="00CF3CA1">
      <w:r>
        <w:separator/>
      </w:r>
    </w:p>
  </w:footnote>
  <w:footnote w:type="continuationSeparator" w:id="0">
    <w:p w14:paraId="7327F442" w14:textId="77777777" w:rsidR="00F571B8" w:rsidRDefault="00F571B8"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C4C1" w14:textId="77777777" w:rsidR="004047FA" w:rsidRDefault="00404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047FA" w:rsidRPr="000B2145" w14:paraId="7A75AA62" w14:textId="77777777" w:rsidTr="00E664CB">
      <w:trPr>
        <w:trHeight w:val="590"/>
      </w:trPr>
      <w:tc>
        <w:tcPr>
          <w:tcW w:w="8720" w:type="dxa"/>
          <w:shd w:val="clear" w:color="auto" w:fill="E4F2E0"/>
        </w:tcPr>
        <w:p w14:paraId="3838E9FF" w14:textId="33407C42" w:rsidR="004047FA" w:rsidRPr="000B2145" w:rsidRDefault="004047FA" w:rsidP="004047FA">
          <w:pPr>
            <w:pStyle w:val="Footer"/>
            <w:rPr>
              <w:b/>
              <w:sz w:val="18"/>
              <w:szCs w:val="18"/>
            </w:rPr>
          </w:pPr>
          <w:r w:rsidRPr="00EA0C3C">
            <w:rPr>
              <w:b/>
              <w:sz w:val="18"/>
              <w:szCs w:val="18"/>
            </w:rPr>
            <w:t>Attachment 1:</w:t>
          </w:r>
          <w:r>
            <w:rPr>
              <w:b/>
              <w:sz w:val="18"/>
              <w:szCs w:val="18"/>
            </w:rPr>
            <w:t xml:space="preserve"> </w:t>
          </w:r>
          <w:r w:rsidRPr="00E66995">
            <w:rPr>
              <w:b/>
              <w:sz w:val="18"/>
              <w:szCs w:val="18"/>
            </w:rPr>
            <w:t xml:space="preserve">AusPAR - </w:t>
          </w:r>
          <w:proofErr w:type="spellStart"/>
          <w:r w:rsidRPr="00E66995">
            <w:rPr>
              <w:b/>
              <w:sz w:val="18"/>
              <w:szCs w:val="18"/>
            </w:rPr>
            <w:t>Slenyto</w:t>
          </w:r>
          <w:proofErr w:type="spellEnd"/>
          <w:r w:rsidRPr="00E66995">
            <w:rPr>
              <w:b/>
              <w:sz w:val="18"/>
              <w:szCs w:val="18"/>
            </w:rPr>
            <w:t xml:space="preserve"> – melatonin – RAD Data Australia Pty Ltd - PM-2019-02617-1-1</w:t>
          </w:r>
          <w:r>
            <w:rPr>
              <w:b/>
              <w:sz w:val="18"/>
              <w:szCs w:val="18"/>
            </w:rPr>
            <w:t xml:space="preserve"> </w:t>
          </w:r>
          <w:r w:rsidRPr="00E66995">
            <w:rPr>
              <w:b/>
              <w:sz w:val="18"/>
              <w:szCs w:val="18"/>
            </w:rPr>
            <w:t>FINAL 27 October 2020</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3F3E622D" w14:textId="77777777" w:rsidR="004047FA" w:rsidRDefault="004047FA" w:rsidP="00404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97C0" w14:textId="77777777" w:rsidR="004047FA" w:rsidRDefault="0040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383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2131C2E"/>
    <w:multiLevelType w:val="hybridMultilevel"/>
    <w:tmpl w:val="2E6E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10"/>
  </w:num>
  <w:num w:numId="6">
    <w:abstractNumId w:val="8"/>
  </w:num>
  <w:num w:numId="7">
    <w:abstractNumId w:val="5"/>
  </w:num>
  <w:num w:numId="8">
    <w:abstractNumId w:val="9"/>
  </w:num>
  <w:num w:numId="9">
    <w:abstractNumId w:val="2"/>
  </w:num>
  <w:num w:numId="10">
    <w:abstractNumId w:val="4"/>
  </w:num>
  <w:num w:numId="11">
    <w:abstractNumId w:val="7"/>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5C"/>
    <w:rsid w:val="000034F1"/>
    <w:rsid w:val="00004321"/>
    <w:rsid w:val="000147C0"/>
    <w:rsid w:val="00017877"/>
    <w:rsid w:val="00043667"/>
    <w:rsid w:val="000507CA"/>
    <w:rsid w:val="0006391D"/>
    <w:rsid w:val="00073F2E"/>
    <w:rsid w:val="0008060C"/>
    <w:rsid w:val="000816D5"/>
    <w:rsid w:val="00083F71"/>
    <w:rsid w:val="000A3615"/>
    <w:rsid w:val="000A4039"/>
    <w:rsid w:val="000A55D2"/>
    <w:rsid w:val="000A5603"/>
    <w:rsid w:val="000B2D63"/>
    <w:rsid w:val="000B6EBF"/>
    <w:rsid w:val="000D5DD4"/>
    <w:rsid w:val="000D6AE1"/>
    <w:rsid w:val="000E3CAD"/>
    <w:rsid w:val="000E43B5"/>
    <w:rsid w:val="000E5D28"/>
    <w:rsid w:val="000F3691"/>
    <w:rsid w:val="001218D4"/>
    <w:rsid w:val="0012457B"/>
    <w:rsid w:val="00124A95"/>
    <w:rsid w:val="00125C40"/>
    <w:rsid w:val="0013070E"/>
    <w:rsid w:val="001413A2"/>
    <w:rsid w:val="001417B3"/>
    <w:rsid w:val="001428EE"/>
    <w:rsid w:val="001459E6"/>
    <w:rsid w:val="001510FD"/>
    <w:rsid w:val="00163236"/>
    <w:rsid w:val="0017202D"/>
    <w:rsid w:val="00175EAE"/>
    <w:rsid w:val="00182901"/>
    <w:rsid w:val="00187411"/>
    <w:rsid w:val="00194C52"/>
    <w:rsid w:val="00197834"/>
    <w:rsid w:val="001A1ECB"/>
    <w:rsid w:val="001A3992"/>
    <w:rsid w:val="001A4DC3"/>
    <w:rsid w:val="001B0406"/>
    <w:rsid w:val="001C31CE"/>
    <w:rsid w:val="001D3A0A"/>
    <w:rsid w:val="001E19D6"/>
    <w:rsid w:val="001E306C"/>
    <w:rsid w:val="001E3905"/>
    <w:rsid w:val="001E53B4"/>
    <w:rsid w:val="001F11DD"/>
    <w:rsid w:val="001F14BF"/>
    <w:rsid w:val="001F1E74"/>
    <w:rsid w:val="00201515"/>
    <w:rsid w:val="0021117A"/>
    <w:rsid w:val="00214574"/>
    <w:rsid w:val="00232F3B"/>
    <w:rsid w:val="00233362"/>
    <w:rsid w:val="002403D2"/>
    <w:rsid w:val="002441B1"/>
    <w:rsid w:val="00253A3E"/>
    <w:rsid w:val="0025485C"/>
    <w:rsid w:val="00256154"/>
    <w:rsid w:val="00256E09"/>
    <w:rsid w:val="00260D36"/>
    <w:rsid w:val="002619C4"/>
    <w:rsid w:val="002619FC"/>
    <w:rsid w:val="00272EC3"/>
    <w:rsid w:val="00274F3A"/>
    <w:rsid w:val="002A015A"/>
    <w:rsid w:val="002A28FF"/>
    <w:rsid w:val="002A7E0F"/>
    <w:rsid w:val="002B424E"/>
    <w:rsid w:val="002B5BB5"/>
    <w:rsid w:val="002C2C72"/>
    <w:rsid w:val="002C340E"/>
    <w:rsid w:val="002D6039"/>
    <w:rsid w:val="002E00C1"/>
    <w:rsid w:val="002E1D33"/>
    <w:rsid w:val="002E277D"/>
    <w:rsid w:val="002E345E"/>
    <w:rsid w:val="002E639B"/>
    <w:rsid w:val="002F6501"/>
    <w:rsid w:val="003102B8"/>
    <w:rsid w:val="003239C9"/>
    <w:rsid w:val="00324E5B"/>
    <w:rsid w:val="00326201"/>
    <w:rsid w:val="00341DB9"/>
    <w:rsid w:val="00356012"/>
    <w:rsid w:val="00357643"/>
    <w:rsid w:val="003664D7"/>
    <w:rsid w:val="00376526"/>
    <w:rsid w:val="00380A24"/>
    <w:rsid w:val="00386CB4"/>
    <w:rsid w:val="00390CAF"/>
    <w:rsid w:val="00392ADB"/>
    <w:rsid w:val="003A10D7"/>
    <w:rsid w:val="003A247F"/>
    <w:rsid w:val="003B0EE1"/>
    <w:rsid w:val="003B1F0E"/>
    <w:rsid w:val="003B722E"/>
    <w:rsid w:val="003C0D9A"/>
    <w:rsid w:val="003C6E00"/>
    <w:rsid w:val="003D17E7"/>
    <w:rsid w:val="003D52E4"/>
    <w:rsid w:val="003D7F3D"/>
    <w:rsid w:val="003E52F8"/>
    <w:rsid w:val="003F0D34"/>
    <w:rsid w:val="003F0EC9"/>
    <w:rsid w:val="003F3A95"/>
    <w:rsid w:val="003F55DC"/>
    <w:rsid w:val="004032BD"/>
    <w:rsid w:val="004046ED"/>
    <w:rsid w:val="004047FA"/>
    <w:rsid w:val="00406C2D"/>
    <w:rsid w:val="00411F9E"/>
    <w:rsid w:val="00412726"/>
    <w:rsid w:val="004229F2"/>
    <w:rsid w:val="00431ACD"/>
    <w:rsid w:val="00436ABA"/>
    <w:rsid w:val="00437AF3"/>
    <w:rsid w:val="0045219B"/>
    <w:rsid w:val="00453B15"/>
    <w:rsid w:val="00457AF1"/>
    <w:rsid w:val="004622F1"/>
    <w:rsid w:val="00463F5B"/>
    <w:rsid w:val="0047789D"/>
    <w:rsid w:val="004806E6"/>
    <w:rsid w:val="0048335F"/>
    <w:rsid w:val="00485E69"/>
    <w:rsid w:val="00486503"/>
    <w:rsid w:val="00490086"/>
    <w:rsid w:val="0049372B"/>
    <w:rsid w:val="00497C85"/>
    <w:rsid w:val="004A21AA"/>
    <w:rsid w:val="004A221B"/>
    <w:rsid w:val="004B4B13"/>
    <w:rsid w:val="004B6579"/>
    <w:rsid w:val="004C189F"/>
    <w:rsid w:val="004D19D2"/>
    <w:rsid w:val="004E185D"/>
    <w:rsid w:val="004F2360"/>
    <w:rsid w:val="00500A63"/>
    <w:rsid w:val="00503DD4"/>
    <w:rsid w:val="00505C40"/>
    <w:rsid w:val="00512BA0"/>
    <w:rsid w:val="005172ED"/>
    <w:rsid w:val="0053685F"/>
    <w:rsid w:val="0054406C"/>
    <w:rsid w:val="005448B6"/>
    <w:rsid w:val="0054607D"/>
    <w:rsid w:val="005476E3"/>
    <w:rsid w:val="00550333"/>
    <w:rsid w:val="00557E0E"/>
    <w:rsid w:val="00564BAA"/>
    <w:rsid w:val="0056638A"/>
    <w:rsid w:val="00567954"/>
    <w:rsid w:val="005702AD"/>
    <w:rsid w:val="00570469"/>
    <w:rsid w:val="0058275D"/>
    <w:rsid w:val="0059768C"/>
    <w:rsid w:val="005A4922"/>
    <w:rsid w:val="005C3369"/>
    <w:rsid w:val="005D0EDF"/>
    <w:rsid w:val="005D1972"/>
    <w:rsid w:val="005D3CB1"/>
    <w:rsid w:val="005D4138"/>
    <w:rsid w:val="005E2D6A"/>
    <w:rsid w:val="005F5CBF"/>
    <w:rsid w:val="005F600C"/>
    <w:rsid w:val="00610651"/>
    <w:rsid w:val="00616040"/>
    <w:rsid w:val="00616368"/>
    <w:rsid w:val="006206CF"/>
    <w:rsid w:val="00634A01"/>
    <w:rsid w:val="00635C7F"/>
    <w:rsid w:val="00644ACC"/>
    <w:rsid w:val="00644F35"/>
    <w:rsid w:val="006510E7"/>
    <w:rsid w:val="006519A6"/>
    <w:rsid w:val="00652B9B"/>
    <w:rsid w:val="00661135"/>
    <w:rsid w:val="0066319C"/>
    <w:rsid w:val="006645A3"/>
    <w:rsid w:val="00667817"/>
    <w:rsid w:val="006700D4"/>
    <w:rsid w:val="0067748B"/>
    <w:rsid w:val="00677840"/>
    <w:rsid w:val="0068090A"/>
    <w:rsid w:val="0068129B"/>
    <w:rsid w:val="00683170"/>
    <w:rsid w:val="00691B3F"/>
    <w:rsid w:val="006A1EC3"/>
    <w:rsid w:val="006A4F78"/>
    <w:rsid w:val="006B28A7"/>
    <w:rsid w:val="006C24F3"/>
    <w:rsid w:val="006D7345"/>
    <w:rsid w:val="00710300"/>
    <w:rsid w:val="007401CE"/>
    <w:rsid w:val="00741573"/>
    <w:rsid w:val="007503B0"/>
    <w:rsid w:val="00750FBE"/>
    <w:rsid w:val="00756EB2"/>
    <w:rsid w:val="00760469"/>
    <w:rsid w:val="007629DA"/>
    <w:rsid w:val="0078796B"/>
    <w:rsid w:val="00797101"/>
    <w:rsid w:val="007A47AE"/>
    <w:rsid w:val="007A7C3D"/>
    <w:rsid w:val="007E218E"/>
    <w:rsid w:val="007E693C"/>
    <w:rsid w:val="007F22EE"/>
    <w:rsid w:val="00807BE7"/>
    <w:rsid w:val="00812F70"/>
    <w:rsid w:val="00814BF6"/>
    <w:rsid w:val="008153EF"/>
    <w:rsid w:val="008239E6"/>
    <w:rsid w:val="00825017"/>
    <w:rsid w:val="0083260D"/>
    <w:rsid w:val="00851BB2"/>
    <w:rsid w:val="00870218"/>
    <w:rsid w:val="00876559"/>
    <w:rsid w:val="00877E01"/>
    <w:rsid w:val="00885227"/>
    <w:rsid w:val="00890A55"/>
    <w:rsid w:val="008A47F4"/>
    <w:rsid w:val="008A57AC"/>
    <w:rsid w:val="008B3F26"/>
    <w:rsid w:val="008B6011"/>
    <w:rsid w:val="008C6946"/>
    <w:rsid w:val="008C7532"/>
    <w:rsid w:val="008E6339"/>
    <w:rsid w:val="008F149B"/>
    <w:rsid w:val="00903FBA"/>
    <w:rsid w:val="009043A7"/>
    <w:rsid w:val="00906CC3"/>
    <w:rsid w:val="009125BF"/>
    <w:rsid w:val="00917527"/>
    <w:rsid w:val="0092304A"/>
    <w:rsid w:val="009252E2"/>
    <w:rsid w:val="00925E23"/>
    <w:rsid w:val="00927616"/>
    <w:rsid w:val="00960CD5"/>
    <w:rsid w:val="009714F0"/>
    <w:rsid w:val="00971A81"/>
    <w:rsid w:val="00975D8D"/>
    <w:rsid w:val="009824A4"/>
    <w:rsid w:val="0099455A"/>
    <w:rsid w:val="009945F0"/>
    <w:rsid w:val="00994FEB"/>
    <w:rsid w:val="00995AFA"/>
    <w:rsid w:val="009A2628"/>
    <w:rsid w:val="009B1167"/>
    <w:rsid w:val="009B48E8"/>
    <w:rsid w:val="009D29E6"/>
    <w:rsid w:val="009D3A84"/>
    <w:rsid w:val="009D4D29"/>
    <w:rsid w:val="009D7654"/>
    <w:rsid w:val="009E6827"/>
    <w:rsid w:val="009F39C8"/>
    <w:rsid w:val="009F3D0E"/>
    <w:rsid w:val="00A00B10"/>
    <w:rsid w:val="00A11FFC"/>
    <w:rsid w:val="00A152CF"/>
    <w:rsid w:val="00A17350"/>
    <w:rsid w:val="00A24233"/>
    <w:rsid w:val="00A25370"/>
    <w:rsid w:val="00A276F3"/>
    <w:rsid w:val="00A3534A"/>
    <w:rsid w:val="00A37119"/>
    <w:rsid w:val="00A42986"/>
    <w:rsid w:val="00A430B9"/>
    <w:rsid w:val="00A469B7"/>
    <w:rsid w:val="00A60471"/>
    <w:rsid w:val="00A65146"/>
    <w:rsid w:val="00A6775A"/>
    <w:rsid w:val="00A73594"/>
    <w:rsid w:val="00A74BDB"/>
    <w:rsid w:val="00A81983"/>
    <w:rsid w:val="00A81C46"/>
    <w:rsid w:val="00A84B67"/>
    <w:rsid w:val="00A900A5"/>
    <w:rsid w:val="00A93BA4"/>
    <w:rsid w:val="00A95E9B"/>
    <w:rsid w:val="00AA2149"/>
    <w:rsid w:val="00AA37F3"/>
    <w:rsid w:val="00AA57EF"/>
    <w:rsid w:val="00AB4EB2"/>
    <w:rsid w:val="00AB582F"/>
    <w:rsid w:val="00AD279F"/>
    <w:rsid w:val="00AE24B3"/>
    <w:rsid w:val="00AE2B75"/>
    <w:rsid w:val="00AE2E40"/>
    <w:rsid w:val="00B0439A"/>
    <w:rsid w:val="00B053D1"/>
    <w:rsid w:val="00B10216"/>
    <w:rsid w:val="00B12BB8"/>
    <w:rsid w:val="00B15119"/>
    <w:rsid w:val="00B158B7"/>
    <w:rsid w:val="00B2378C"/>
    <w:rsid w:val="00B31FE8"/>
    <w:rsid w:val="00B32B17"/>
    <w:rsid w:val="00B372C8"/>
    <w:rsid w:val="00B37480"/>
    <w:rsid w:val="00B5554F"/>
    <w:rsid w:val="00B71573"/>
    <w:rsid w:val="00B769FA"/>
    <w:rsid w:val="00B80939"/>
    <w:rsid w:val="00B91D54"/>
    <w:rsid w:val="00BA4C93"/>
    <w:rsid w:val="00BD0FA3"/>
    <w:rsid w:val="00BF5411"/>
    <w:rsid w:val="00C0081F"/>
    <w:rsid w:val="00C119FF"/>
    <w:rsid w:val="00C1745C"/>
    <w:rsid w:val="00C1770A"/>
    <w:rsid w:val="00C2534C"/>
    <w:rsid w:val="00C25D21"/>
    <w:rsid w:val="00C2705C"/>
    <w:rsid w:val="00C42D1B"/>
    <w:rsid w:val="00C45FD9"/>
    <w:rsid w:val="00C53502"/>
    <w:rsid w:val="00C56EFB"/>
    <w:rsid w:val="00C60A09"/>
    <w:rsid w:val="00C63907"/>
    <w:rsid w:val="00C64076"/>
    <w:rsid w:val="00C6477A"/>
    <w:rsid w:val="00C64893"/>
    <w:rsid w:val="00C67065"/>
    <w:rsid w:val="00C8224F"/>
    <w:rsid w:val="00C84DC9"/>
    <w:rsid w:val="00C86F59"/>
    <w:rsid w:val="00C9436F"/>
    <w:rsid w:val="00CA21F4"/>
    <w:rsid w:val="00CA2646"/>
    <w:rsid w:val="00CA6CCF"/>
    <w:rsid w:val="00CA7EE9"/>
    <w:rsid w:val="00CB7798"/>
    <w:rsid w:val="00CD5813"/>
    <w:rsid w:val="00CD7396"/>
    <w:rsid w:val="00CE1254"/>
    <w:rsid w:val="00CE26A6"/>
    <w:rsid w:val="00CF3CA1"/>
    <w:rsid w:val="00CF3DE7"/>
    <w:rsid w:val="00D075AF"/>
    <w:rsid w:val="00D22B31"/>
    <w:rsid w:val="00D23941"/>
    <w:rsid w:val="00D30E00"/>
    <w:rsid w:val="00D321FD"/>
    <w:rsid w:val="00D43A2D"/>
    <w:rsid w:val="00D44085"/>
    <w:rsid w:val="00D44BA0"/>
    <w:rsid w:val="00D511C9"/>
    <w:rsid w:val="00D52501"/>
    <w:rsid w:val="00D62E8A"/>
    <w:rsid w:val="00D64C9F"/>
    <w:rsid w:val="00D74FA0"/>
    <w:rsid w:val="00D95736"/>
    <w:rsid w:val="00DA2193"/>
    <w:rsid w:val="00DA2771"/>
    <w:rsid w:val="00DA4377"/>
    <w:rsid w:val="00DB33BC"/>
    <w:rsid w:val="00DB7986"/>
    <w:rsid w:val="00DC1107"/>
    <w:rsid w:val="00DC13BB"/>
    <w:rsid w:val="00DC35C9"/>
    <w:rsid w:val="00DD0296"/>
    <w:rsid w:val="00DD3C00"/>
    <w:rsid w:val="00DD3D93"/>
    <w:rsid w:val="00DE19CA"/>
    <w:rsid w:val="00DE434E"/>
    <w:rsid w:val="00DF5E99"/>
    <w:rsid w:val="00DF5FF5"/>
    <w:rsid w:val="00DF6E51"/>
    <w:rsid w:val="00E0293C"/>
    <w:rsid w:val="00E13271"/>
    <w:rsid w:val="00E13CF1"/>
    <w:rsid w:val="00E1441B"/>
    <w:rsid w:val="00E14D82"/>
    <w:rsid w:val="00E23EAA"/>
    <w:rsid w:val="00E25676"/>
    <w:rsid w:val="00E31A17"/>
    <w:rsid w:val="00E4106A"/>
    <w:rsid w:val="00E41A55"/>
    <w:rsid w:val="00E528DA"/>
    <w:rsid w:val="00E53193"/>
    <w:rsid w:val="00E554B7"/>
    <w:rsid w:val="00E63911"/>
    <w:rsid w:val="00E74A56"/>
    <w:rsid w:val="00E77538"/>
    <w:rsid w:val="00E80CA0"/>
    <w:rsid w:val="00E83090"/>
    <w:rsid w:val="00E91951"/>
    <w:rsid w:val="00EB1BCF"/>
    <w:rsid w:val="00EC1E68"/>
    <w:rsid w:val="00EC404C"/>
    <w:rsid w:val="00EC6AB6"/>
    <w:rsid w:val="00EC71A6"/>
    <w:rsid w:val="00ED0937"/>
    <w:rsid w:val="00EF0BD3"/>
    <w:rsid w:val="00EF657E"/>
    <w:rsid w:val="00EF7C7E"/>
    <w:rsid w:val="00F0013B"/>
    <w:rsid w:val="00F02C4E"/>
    <w:rsid w:val="00F07E22"/>
    <w:rsid w:val="00F11D4D"/>
    <w:rsid w:val="00F22116"/>
    <w:rsid w:val="00F45696"/>
    <w:rsid w:val="00F47743"/>
    <w:rsid w:val="00F5300F"/>
    <w:rsid w:val="00F55D1A"/>
    <w:rsid w:val="00F571B8"/>
    <w:rsid w:val="00F64165"/>
    <w:rsid w:val="00F70D6A"/>
    <w:rsid w:val="00F717EA"/>
    <w:rsid w:val="00F75589"/>
    <w:rsid w:val="00F759D7"/>
    <w:rsid w:val="00F77585"/>
    <w:rsid w:val="00F80FA5"/>
    <w:rsid w:val="00F83F0E"/>
    <w:rsid w:val="00F86172"/>
    <w:rsid w:val="00F864BE"/>
    <w:rsid w:val="00F90AE6"/>
    <w:rsid w:val="00F92030"/>
    <w:rsid w:val="00F952EF"/>
    <w:rsid w:val="00F95723"/>
    <w:rsid w:val="00FA06EA"/>
    <w:rsid w:val="00FA6181"/>
    <w:rsid w:val="00FB61F7"/>
    <w:rsid w:val="00FB64B4"/>
    <w:rsid w:val="00FC44D2"/>
    <w:rsid w:val="00FD3848"/>
    <w:rsid w:val="00FD3B0D"/>
    <w:rsid w:val="00FD4B5E"/>
    <w:rsid w:val="00FD6D41"/>
    <w:rsid w:val="00FF1DC6"/>
    <w:rsid w:val="00FF234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E87FC5"/>
  <w15:docId w15:val="{D6EDAA21-7B5B-456F-B604-3D3052FB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A1"/>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spacing w:before="480"/>
      <w:ind w:left="3979"/>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3B0EE1"/>
    <w:pPr>
      <w:keepNext/>
      <w:spacing w:before="360"/>
      <w:outlineLvl w:val="2"/>
    </w:pPr>
    <w:rPr>
      <w:rFonts w:ascii="Arial" w:eastAsia="MS Gothic" w:hAnsi="Arial" w:cs="Arial"/>
      <w:b/>
      <w:color w:val="auto"/>
      <w:kern w:val="32"/>
      <w:sz w:val="22"/>
      <w:szCs w:val="26"/>
    </w:rPr>
  </w:style>
  <w:style w:type="paragraph" w:styleId="Heading4">
    <w:name w:val="heading 4"/>
    <w:basedOn w:val="Heading3"/>
    <w:next w:val="Normal"/>
    <w:link w:val="Heading4Char"/>
    <w:uiPriority w:val="9"/>
    <w:unhideWhenUsed/>
    <w:qFormat/>
    <w:rsid w:val="00411F9E"/>
    <w:pPr>
      <w:outlineLvl w:val="3"/>
    </w:pPr>
    <w:rPr>
      <w:i/>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3B0EE1"/>
    <w:rPr>
      <w:rFonts w:ascii="Arial" w:eastAsia="MS Gothic" w:hAnsi="Arial" w:cs="Arial"/>
      <w:b/>
      <w:kern w:val="32"/>
      <w:szCs w:val="26"/>
      <w:lang w:val="en-US"/>
    </w:rPr>
  </w:style>
  <w:style w:type="character" w:customStyle="1" w:styleId="Heading4Char">
    <w:name w:val="Heading 4 Char"/>
    <w:basedOn w:val="DefaultParagraphFont"/>
    <w:link w:val="Heading4"/>
    <w:uiPriority w:val="9"/>
    <w:rsid w:val="00411F9E"/>
    <w:rPr>
      <w:rFonts w:ascii="Arial" w:eastAsia="MS Gothic" w:hAnsi="Arial" w:cs="Arial"/>
      <w:b/>
      <w:i/>
      <w:kern w:val="32"/>
      <w:szCs w:val="26"/>
      <w:lang w:val="en-US"/>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C2534C"/>
    <w:rPr>
      <w:rFonts w:ascii="Times New Roman" w:hAnsi="Times New Roman"/>
      <w:b/>
      <w:bCs/>
    </w:rPr>
  </w:style>
  <w:style w:type="character" w:customStyle="1" w:styleId="CommentSubjectChar">
    <w:name w:val="Comment Subject Char"/>
    <w:basedOn w:val="CommentTextChar"/>
    <w:link w:val="CommentSubject"/>
    <w:uiPriority w:val="99"/>
    <w:semiHidden/>
    <w:rsid w:val="00C2534C"/>
    <w:rPr>
      <w:rFonts w:ascii="Times New Roman" w:eastAsia="MS Mincho" w:hAnsi="Times New Roman" w:cs="Times New Roman"/>
      <w:b/>
      <w:bCs/>
      <w:color w:val="000000"/>
      <w:sz w:val="20"/>
      <w:szCs w:val="20"/>
      <w:lang w:val="en-US"/>
    </w:rPr>
  </w:style>
  <w:style w:type="paragraph" w:styleId="Caption">
    <w:name w:val="caption"/>
    <w:basedOn w:val="Normal"/>
    <w:next w:val="Normal"/>
    <w:uiPriority w:val="35"/>
    <w:unhideWhenUsed/>
    <w:qFormat/>
    <w:rsid w:val="000A55D2"/>
    <w:pPr>
      <w:spacing w:after="120"/>
    </w:pPr>
    <w:rPr>
      <w:b/>
    </w:rPr>
  </w:style>
  <w:style w:type="paragraph" w:customStyle="1" w:styleId="Default">
    <w:name w:val="Default"/>
    <w:rsid w:val="0059768C"/>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CD7396"/>
    <w:rPr>
      <w:color w:val="605E5C"/>
      <w:shd w:val="clear" w:color="auto" w:fill="E1DFDD"/>
    </w:rPr>
  </w:style>
  <w:style w:type="table" w:styleId="TableGrid">
    <w:name w:val="Table Grid"/>
    <w:basedOn w:val="TableNormal"/>
    <w:uiPriority w:val="59"/>
    <w:rsid w:val="0058275D"/>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10E7"/>
    <w:pPr>
      <w:spacing w:after="0" w:line="240" w:lineRule="auto"/>
    </w:pPr>
    <w:rPr>
      <w:rFonts w:ascii="Times New Roman" w:eastAsia="MS Mincho"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8A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1253">
      <w:bodyDiv w:val="1"/>
      <w:marLeft w:val="0"/>
      <w:marRight w:val="0"/>
      <w:marTop w:val="0"/>
      <w:marBottom w:val="0"/>
      <w:divBdr>
        <w:top w:val="none" w:sz="0" w:space="0" w:color="auto"/>
        <w:left w:val="none" w:sz="0" w:space="0" w:color="auto"/>
        <w:bottom w:val="none" w:sz="0" w:space="0" w:color="auto"/>
        <w:right w:val="none" w:sz="0" w:space="0" w:color="auto"/>
      </w:divBdr>
    </w:div>
    <w:div w:id="165944724">
      <w:bodyDiv w:val="1"/>
      <w:marLeft w:val="0"/>
      <w:marRight w:val="0"/>
      <w:marTop w:val="0"/>
      <w:marBottom w:val="0"/>
      <w:divBdr>
        <w:top w:val="none" w:sz="0" w:space="0" w:color="auto"/>
        <w:left w:val="none" w:sz="0" w:space="0" w:color="auto"/>
        <w:bottom w:val="none" w:sz="0" w:space="0" w:color="auto"/>
        <w:right w:val="none" w:sz="0" w:space="0" w:color="auto"/>
      </w:divBdr>
    </w:div>
    <w:div w:id="251856941">
      <w:bodyDiv w:val="1"/>
      <w:marLeft w:val="0"/>
      <w:marRight w:val="0"/>
      <w:marTop w:val="0"/>
      <w:marBottom w:val="0"/>
      <w:divBdr>
        <w:top w:val="none" w:sz="0" w:space="0" w:color="auto"/>
        <w:left w:val="none" w:sz="0" w:space="0" w:color="auto"/>
        <w:bottom w:val="none" w:sz="0" w:space="0" w:color="auto"/>
        <w:right w:val="none" w:sz="0" w:space="0" w:color="auto"/>
      </w:divBdr>
    </w:div>
    <w:div w:id="305361527">
      <w:bodyDiv w:val="1"/>
      <w:marLeft w:val="0"/>
      <w:marRight w:val="0"/>
      <w:marTop w:val="0"/>
      <w:marBottom w:val="0"/>
      <w:divBdr>
        <w:top w:val="none" w:sz="0" w:space="0" w:color="auto"/>
        <w:left w:val="none" w:sz="0" w:space="0" w:color="auto"/>
        <w:bottom w:val="none" w:sz="0" w:space="0" w:color="auto"/>
        <w:right w:val="none" w:sz="0" w:space="0" w:color="auto"/>
      </w:divBdr>
    </w:div>
    <w:div w:id="345795531">
      <w:bodyDiv w:val="1"/>
      <w:marLeft w:val="0"/>
      <w:marRight w:val="0"/>
      <w:marTop w:val="0"/>
      <w:marBottom w:val="0"/>
      <w:divBdr>
        <w:top w:val="none" w:sz="0" w:space="0" w:color="auto"/>
        <w:left w:val="none" w:sz="0" w:space="0" w:color="auto"/>
        <w:bottom w:val="none" w:sz="0" w:space="0" w:color="auto"/>
        <w:right w:val="none" w:sz="0" w:space="0" w:color="auto"/>
      </w:divBdr>
    </w:div>
    <w:div w:id="397869417">
      <w:bodyDiv w:val="1"/>
      <w:marLeft w:val="0"/>
      <w:marRight w:val="0"/>
      <w:marTop w:val="0"/>
      <w:marBottom w:val="0"/>
      <w:divBdr>
        <w:top w:val="none" w:sz="0" w:space="0" w:color="auto"/>
        <w:left w:val="none" w:sz="0" w:space="0" w:color="auto"/>
        <w:bottom w:val="none" w:sz="0" w:space="0" w:color="auto"/>
        <w:right w:val="none" w:sz="0" w:space="0" w:color="auto"/>
      </w:divBdr>
    </w:div>
    <w:div w:id="413430377">
      <w:bodyDiv w:val="1"/>
      <w:marLeft w:val="0"/>
      <w:marRight w:val="0"/>
      <w:marTop w:val="0"/>
      <w:marBottom w:val="0"/>
      <w:divBdr>
        <w:top w:val="none" w:sz="0" w:space="0" w:color="auto"/>
        <w:left w:val="none" w:sz="0" w:space="0" w:color="auto"/>
        <w:bottom w:val="none" w:sz="0" w:space="0" w:color="auto"/>
        <w:right w:val="none" w:sz="0" w:space="0" w:color="auto"/>
      </w:divBdr>
    </w:div>
    <w:div w:id="485317826">
      <w:bodyDiv w:val="1"/>
      <w:marLeft w:val="0"/>
      <w:marRight w:val="0"/>
      <w:marTop w:val="0"/>
      <w:marBottom w:val="0"/>
      <w:divBdr>
        <w:top w:val="none" w:sz="0" w:space="0" w:color="auto"/>
        <w:left w:val="none" w:sz="0" w:space="0" w:color="auto"/>
        <w:bottom w:val="none" w:sz="0" w:space="0" w:color="auto"/>
        <w:right w:val="none" w:sz="0" w:space="0" w:color="auto"/>
      </w:divBdr>
    </w:div>
    <w:div w:id="1120881838">
      <w:bodyDiv w:val="1"/>
      <w:marLeft w:val="0"/>
      <w:marRight w:val="0"/>
      <w:marTop w:val="0"/>
      <w:marBottom w:val="0"/>
      <w:divBdr>
        <w:top w:val="none" w:sz="0" w:space="0" w:color="auto"/>
        <w:left w:val="none" w:sz="0" w:space="0" w:color="auto"/>
        <w:bottom w:val="none" w:sz="0" w:space="0" w:color="auto"/>
        <w:right w:val="none" w:sz="0" w:space="0" w:color="auto"/>
      </w:divBdr>
    </w:div>
    <w:div w:id="1140029086">
      <w:bodyDiv w:val="1"/>
      <w:marLeft w:val="0"/>
      <w:marRight w:val="0"/>
      <w:marTop w:val="0"/>
      <w:marBottom w:val="0"/>
      <w:divBdr>
        <w:top w:val="none" w:sz="0" w:space="0" w:color="auto"/>
        <w:left w:val="none" w:sz="0" w:space="0" w:color="auto"/>
        <w:bottom w:val="none" w:sz="0" w:space="0" w:color="auto"/>
        <w:right w:val="none" w:sz="0" w:space="0" w:color="auto"/>
      </w:divBdr>
    </w:div>
    <w:div w:id="1163351077">
      <w:bodyDiv w:val="1"/>
      <w:marLeft w:val="0"/>
      <w:marRight w:val="0"/>
      <w:marTop w:val="0"/>
      <w:marBottom w:val="0"/>
      <w:divBdr>
        <w:top w:val="none" w:sz="0" w:space="0" w:color="auto"/>
        <w:left w:val="none" w:sz="0" w:space="0" w:color="auto"/>
        <w:bottom w:val="none" w:sz="0" w:space="0" w:color="auto"/>
        <w:right w:val="none" w:sz="0" w:space="0" w:color="auto"/>
      </w:divBdr>
    </w:div>
    <w:div w:id="1235169337">
      <w:bodyDiv w:val="1"/>
      <w:marLeft w:val="0"/>
      <w:marRight w:val="0"/>
      <w:marTop w:val="0"/>
      <w:marBottom w:val="0"/>
      <w:divBdr>
        <w:top w:val="none" w:sz="0" w:space="0" w:color="auto"/>
        <w:left w:val="none" w:sz="0" w:space="0" w:color="auto"/>
        <w:bottom w:val="none" w:sz="0" w:space="0" w:color="auto"/>
        <w:right w:val="none" w:sz="0" w:space="0" w:color="auto"/>
      </w:divBdr>
    </w:div>
    <w:div w:id="1299608338">
      <w:bodyDiv w:val="1"/>
      <w:marLeft w:val="0"/>
      <w:marRight w:val="0"/>
      <w:marTop w:val="0"/>
      <w:marBottom w:val="0"/>
      <w:divBdr>
        <w:top w:val="none" w:sz="0" w:space="0" w:color="auto"/>
        <w:left w:val="none" w:sz="0" w:space="0" w:color="auto"/>
        <w:bottom w:val="none" w:sz="0" w:space="0" w:color="auto"/>
        <w:right w:val="none" w:sz="0" w:space="0" w:color="auto"/>
      </w:divBdr>
    </w:div>
    <w:div w:id="1312826857">
      <w:bodyDiv w:val="1"/>
      <w:marLeft w:val="0"/>
      <w:marRight w:val="0"/>
      <w:marTop w:val="0"/>
      <w:marBottom w:val="0"/>
      <w:divBdr>
        <w:top w:val="none" w:sz="0" w:space="0" w:color="auto"/>
        <w:left w:val="none" w:sz="0" w:space="0" w:color="auto"/>
        <w:bottom w:val="none" w:sz="0" w:space="0" w:color="auto"/>
        <w:right w:val="none" w:sz="0" w:space="0" w:color="auto"/>
      </w:divBdr>
    </w:div>
    <w:div w:id="1424836519">
      <w:bodyDiv w:val="1"/>
      <w:marLeft w:val="0"/>
      <w:marRight w:val="0"/>
      <w:marTop w:val="0"/>
      <w:marBottom w:val="0"/>
      <w:divBdr>
        <w:top w:val="none" w:sz="0" w:space="0" w:color="auto"/>
        <w:left w:val="none" w:sz="0" w:space="0" w:color="auto"/>
        <w:bottom w:val="none" w:sz="0" w:space="0" w:color="auto"/>
        <w:right w:val="none" w:sz="0" w:space="0" w:color="auto"/>
      </w:divBdr>
    </w:div>
    <w:div w:id="1516189598">
      <w:bodyDiv w:val="1"/>
      <w:marLeft w:val="0"/>
      <w:marRight w:val="0"/>
      <w:marTop w:val="0"/>
      <w:marBottom w:val="0"/>
      <w:divBdr>
        <w:top w:val="none" w:sz="0" w:space="0" w:color="auto"/>
        <w:left w:val="none" w:sz="0" w:space="0" w:color="auto"/>
        <w:bottom w:val="none" w:sz="0" w:space="0" w:color="auto"/>
        <w:right w:val="none" w:sz="0" w:space="0" w:color="auto"/>
      </w:divBdr>
    </w:div>
    <w:div w:id="1558130240">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748648797">
      <w:bodyDiv w:val="1"/>
      <w:marLeft w:val="0"/>
      <w:marRight w:val="0"/>
      <w:marTop w:val="0"/>
      <w:marBottom w:val="0"/>
      <w:divBdr>
        <w:top w:val="none" w:sz="0" w:space="0" w:color="auto"/>
        <w:left w:val="none" w:sz="0" w:space="0" w:color="auto"/>
        <w:bottom w:val="none" w:sz="0" w:space="0" w:color="auto"/>
        <w:right w:val="none" w:sz="0" w:space="0" w:color="auto"/>
      </w:divBdr>
    </w:div>
    <w:div w:id="1749956193">
      <w:bodyDiv w:val="1"/>
      <w:marLeft w:val="0"/>
      <w:marRight w:val="0"/>
      <w:marTop w:val="0"/>
      <w:marBottom w:val="0"/>
      <w:divBdr>
        <w:top w:val="none" w:sz="0" w:space="0" w:color="auto"/>
        <w:left w:val="none" w:sz="0" w:space="0" w:color="auto"/>
        <w:bottom w:val="none" w:sz="0" w:space="0" w:color="auto"/>
        <w:right w:val="none" w:sz="0" w:space="0" w:color="auto"/>
      </w:divBdr>
    </w:div>
    <w:div w:id="1913925037">
      <w:bodyDiv w:val="1"/>
      <w:marLeft w:val="0"/>
      <w:marRight w:val="0"/>
      <w:marTop w:val="0"/>
      <w:marBottom w:val="0"/>
      <w:divBdr>
        <w:top w:val="none" w:sz="0" w:space="0" w:color="auto"/>
        <w:left w:val="none" w:sz="0" w:space="0" w:color="auto"/>
        <w:bottom w:val="none" w:sz="0" w:space="0" w:color="auto"/>
        <w:right w:val="none" w:sz="0" w:space="0" w:color="auto"/>
      </w:divBdr>
    </w:div>
    <w:div w:id="20252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4EAA-AABC-4BE6-AD48-756F7706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4345</Words>
  <Characters>24928</Characters>
  <Application>Microsoft Office Word</Application>
  <DocSecurity>0</DocSecurity>
  <Lines>621</Lines>
  <Paragraphs>326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Melatonin</dc:title>
  <dc:subject>prescription medicines</dc:subject>
  <dc:creator/>
  <cp:lastPrinted>2020-05-07T04:26:00Z</cp:lastPrinted>
  <dcterms:created xsi:type="dcterms:W3CDTF">2020-11-09T00:54:00Z</dcterms:created>
  <dcterms:modified xsi:type="dcterms:W3CDTF">2020-11-09T01:13:00Z</dcterms:modified>
</cp:coreProperties>
</file>