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EA3FF9" w:rsidP="00EA3FF9">
            <w:pPr>
              <w:rPr>
                <w:rFonts w:ascii="Arial" w:hAnsi="Arial" w:cs="Arial"/>
                <w:b/>
                <w:color w:val="002C47"/>
                <w:sz w:val="36"/>
                <w:szCs w:val="36"/>
              </w:rPr>
            </w:pPr>
            <w:r>
              <w:rPr>
                <w:rFonts w:ascii="Arial" w:hAnsi="Arial" w:cs="Arial"/>
                <w:b/>
                <w:color w:val="002C47"/>
                <w:sz w:val="36"/>
                <w:szCs w:val="36"/>
              </w:rPr>
              <w:t>Octob</w:t>
            </w:r>
            <w:r w:rsidR="00A7153E">
              <w:rPr>
                <w:rFonts w:ascii="Arial" w:hAnsi="Arial" w:cs="Arial"/>
                <w:b/>
                <w:color w:val="002C47"/>
                <w:sz w:val="36"/>
                <w:szCs w:val="36"/>
              </w:rPr>
              <w:t>er 2013</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0F78BC">
            <w:pPr>
              <w:pStyle w:val="Title"/>
              <w:rPr>
                <w:color w:val="FFFFFF" w:themeColor="background1"/>
              </w:rPr>
            </w:pPr>
            <w:r w:rsidRPr="00A964D1">
              <w:rPr>
                <w:color w:val="FFFFFF" w:themeColor="background1"/>
              </w:rPr>
              <w:t>Australia</w:t>
            </w:r>
            <w:r w:rsidR="00A7153E">
              <w:rPr>
                <w:color w:val="FFFFFF" w:themeColor="background1"/>
              </w:rPr>
              <w:t xml:space="preserve">n Public Assessment Report for </w:t>
            </w:r>
            <w:r w:rsidR="00A7153E" w:rsidRPr="00A7153E">
              <w:rPr>
                <w:color w:val="FFFFFF" w:themeColor="background1"/>
              </w:rPr>
              <w:t>Multi-Component Meningococcal B vaccine</w:t>
            </w:r>
          </w:p>
        </w:tc>
      </w:tr>
      <w:tr w:rsidR="0032583B" w:rsidRPr="00B64760" w:rsidTr="0032583B">
        <w:tc>
          <w:tcPr>
            <w:tcW w:w="9079" w:type="dxa"/>
          </w:tcPr>
          <w:p w:rsidR="0032583B" w:rsidRPr="008E7846" w:rsidRDefault="0032583B" w:rsidP="00A7153E">
            <w:pPr>
              <w:pStyle w:val="Subtitle"/>
              <w:rPr>
                <w:color w:val="FFFFFF" w:themeColor="background1"/>
              </w:rPr>
            </w:pPr>
            <w:r w:rsidRPr="008E7846">
              <w:rPr>
                <w:color w:val="FFFFFF" w:themeColor="background1"/>
              </w:rPr>
              <w:t xml:space="preserve">Proprietary Product Name: </w:t>
            </w:r>
            <w:proofErr w:type="spellStart"/>
            <w:r w:rsidR="00A7153E">
              <w:rPr>
                <w:color w:val="FFFFFF" w:themeColor="background1"/>
              </w:rPr>
              <w:t>Bexsero</w:t>
            </w:r>
            <w:proofErr w:type="spellEnd"/>
          </w:p>
        </w:tc>
      </w:tr>
      <w:tr w:rsidR="0032583B" w:rsidRPr="00B64760" w:rsidTr="0032583B">
        <w:trPr>
          <w:trHeight w:val="486"/>
        </w:trPr>
        <w:tc>
          <w:tcPr>
            <w:tcW w:w="9079" w:type="dxa"/>
          </w:tcPr>
          <w:p w:rsidR="0032583B" w:rsidRPr="008E7846" w:rsidRDefault="00A7153E" w:rsidP="00A7153E">
            <w:pPr>
              <w:pStyle w:val="Subtitle"/>
              <w:rPr>
                <w:color w:val="FFFFFF" w:themeColor="background1"/>
              </w:rPr>
            </w:pPr>
            <w:r>
              <w:rPr>
                <w:color w:val="FFFFFF" w:themeColor="background1"/>
              </w:rPr>
              <w:t xml:space="preserve">Sponsor: </w:t>
            </w:r>
            <w:r w:rsidRPr="00A7153E">
              <w:rPr>
                <w:color w:val="FFFFFF" w:themeColor="background1"/>
              </w:rPr>
              <w:t>Novart</w:t>
            </w:r>
            <w:r w:rsidR="000E003F">
              <w:rPr>
                <w:color w:val="FFFFFF" w:themeColor="background1"/>
              </w:rPr>
              <w:t>is Vaccines and Diagnostics Pty </w:t>
            </w:r>
            <w:r w:rsidRPr="00A7153E">
              <w:rPr>
                <w:color w:val="FFFFFF" w:themeColor="background1"/>
              </w:rPr>
              <w:t>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917449">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917449">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917449">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917449">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917449">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200804" w:rsidRPr="00BF4669">
          <w:rPr>
            <w:rStyle w:val="Hyperlink"/>
          </w:rPr>
          <w:t>http://www.tga.gov.au</w:t>
        </w:r>
      </w:hyperlink>
      <w:r w:rsidR="00112F56">
        <w:t>&gt;</w:t>
      </w:r>
      <w:r>
        <w:t>.</w:t>
      </w:r>
    </w:p>
    <w:p w:rsidR="008E7846" w:rsidRDefault="008E7846" w:rsidP="008E7846">
      <w:pPr>
        <w:pStyle w:val="NonTOCHeading2"/>
      </w:pPr>
      <w:r>
        <w:t>About AusPARs</w:t>
      </w:r>
    </w:p>
    <w:p w:rsidR="008E7846" w:rsidRDefault="008E7846" w:rsidP="00917449">
      <w:pPr>
        <w:pStyle w:val="ListBullet"/>
        <w:numPr>
          <w:ilvl w:val="0"/>
          <w:numId w:val="1"/>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917449">
      <w:pPr>
        <w:pStyle w:val="ListBullet"/>
        <w:numPr>
          <w:ilvl w:val="0"/>
          <w:numId w:val="1"/>
        </w:numPr>
        <w:ind w:left="357" w:hanging="357"/>
      </w:pPr>
      <w:r>
        <w:t>AusPARs are prepared and published by the TGA.</w:t>
      </w:r>
    </w:p>
    <w:p w:rsidR="008E7846" w:rsidRDefault="008E7846" w:rsidP="00917449">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917449">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917449">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5A2D21" w:rsidRDefault="00E064FC">
          <w:pPr>
            <w:pStyle w:val="TOC2"/>
            <w:rPr>
              <w:rFonts w:asciiTheme="minorHAnsi" w:eastAsiaTheme="minorEastAsia" w:hAnsiTheme="minorHAnsi" w:cstheme="minorBidi"/>
              <w:b w:val="0"/>
              <w:noProof/>
              <w:sz w:val="22"/>
              <w:lang w:eastAsia="en-AU" w:bidi="lo-LA"/>
            </w:rPr>
          </w:pPr>
          <w:r>
            <w:fldChar w:fldCharType="begin"/>
          </w:r>
          <w:r w:rsidR="0089635C">
            <w:instrText xml:space="preserve"> TOC \o "1-3" \h \z \u </w:instrText>
          </w:r>
          <w:r>
            <w:fldChar w:fldCharType="separate"/>
          </w:r>
          <w:hyperlink w:anchor="_Toc370985713" w:history="1">
            <w:r w:rsidR="005A2D21" w:rsidRPr="0076732D">
              <w:rPr>
                <w:rStyle w:val="Hyperlink"/>
                <w:noProof/>
              </w:rPr>
              <w:t>I. Introduction to product submission</w:t>
            </w:r>
            <w:r w:rsidR="005A2D21">
              <w:rPr>
                <w:noProof/>
                <w:webHidden/>
              </w:rPr>
              <w:tab/>
            </w:r>
            <w:r>
              <w:rPr>
                <w:noProof/>
                <w:webHidden/>
              </w:rPr>
              <w:fldChar w:fldCharType="begin"/>
            </w:r>
            <w:r w:rsidR="005A2D21">
              <w:rPr>
                <w:noProof/>
                <w:webHidden/>
              </w:rPr>
              <w:instrText xml:space="preserve"> PAGEREF _Toc370985713 \h </w:instrText>
            </w:r>
            <w:r>
              <w:rPr>
                <w:noProof/>
                <w:webHidden/>
              </w:rPr>
            </w:r>
            <w:r>
              <w:rPr>
                <w:noProof/>
                <w:webHidden/>
              </w:rPr>
              <w:fldChar w:fldCharType="separate"/>
            </w:r>
            <w:r w:rsidR="006F4341">
              <w:rPr>
                <w:noProof/>
                <w:webHidden/>
              </w:rPr>
              <w:t>5</w:t>
            </w:r>
            <w:r>
              <w:rPr>
                <w:noProof/>
                <w:webHidden/>
              </w:rPr>
              <w:fldChar w:fldCharType="end"/>
            </w:r>
          </w:hyperlink>
        </w:p>
        <w:p w:rsidR="005A2D21" w:rsidRDefault="00E064FC">
          <w:pPr>
            <w:pStyle w:val="TOC3"/>
            <w:rPr>
              <w:rFonts w:asciiTheme="minorHAnsi" w:eastAsiaTheme="minorEastAsia" w:hAnsiTheme="minorHAnsi" w:cstheme="minorBidi"/>
              <w:noProof/>
              <w:lang w:eastAsia="en-AU" w:bidi="lo-LA"/>
            </w:rPr>
          </w:pPr>
          <w:hyperlink w:anchor="_Toc370985714" w:history="1">
            <w:r w:rsidR="005A2D21" w:rsidRPr="0076732D">
              <w:rPr>
                <w:rStyle w:val="Hyperlink"/>
                <w:noProof/>
                <w:lang w:eastAsia="en-AU"/>
              </w:rPr>
              <w:t>Submission details</w:t>
            </w:r>
            <w:r w:rsidR="005A2D21">
              <w:rPr>
                <w:noProof/>
                <w:webHidden/>
              </w:rPr>
              <w:tab/>
            </w:r>
            <w:r>
              <w:rPr>
                <w:noProof/>
                <w:webHidden/>
              </w:rPr>
              <w:fldChar w:fldCharType="begin"/>
            </w:r>
            <w:r w:rsidR="005A2D21">
              <w:rPr>
                <w:noProof/>
                <w:webHidden/>
              </w:rPr>
              <w:instrText xml:space="preserve"> PAGEREF _Toc370985714 \h </w:instrText>
            </w:r>
            <w:r>
              <w:rPr>
                <w:noProof/>
                <w:webHidden/>
              </w:rPr>
            </w:r>
            <w:r>
              <w:rPr>
                <w:noProof/>
                <w:webHidden/>
              </w:rPr>
              <w:fldChar w:fldCharType="separate"/>
            </w:r>
            <w:r w:rsidR="006F4341">
              <w:rPr>
                <w:noProof/>
                <w:webHidden/>
              </w:rPr>
              <w:t>5</w:t>
            </w:r>
            <w:r>
              <w:rPr>
                <w:noProof/>
                <w:webHidden/>
              </w:rPr>
              <w:fldChar w:fldCharType="end"/>
            </w:r>
          </w:hyperlink>
        </w:p>
        <w:p w:rsidR="005A2D21" w:rsidRDefault="00E064FC">
          <w:pPr>
            <w:pStyle w:val="TOC3"/>
            <w:rPr>
              <w:rFonts w:asciiTheme="minorHAnsi" w:eastAsiaTheme="minorEastAsia" w:hAnsiTheme="minorHAnsi" w:cstheme="minorBidi"/>
              <w:noProof/>
              <w:lang w:eastAsia="en-AU" w:bidi="lo-LA"/>
            </w:rPr>
          </w:pPr>
          <w:hyperlink w:anchor="_Toc370985715" w:history="1">
            <w:r w:rsidR="005A2D21" w:rsidRPr="0076732D">
              <w:rPr>
                <w:rStyle w:val="Hyperlink"/>
                <w:noProof/>
              </w:rPr>
              <w:t>Product background</w:t>
            </w:r>
            <w:r w:rsidR="005A2D21">
              <w:rPr>
                <w:noProof/>
                <w:webHidden/>
              </w:rPr>
              <w:tab/>
            </w:r>
            <w:r>
              <w:rPr>
                <w:noProof/>
                <w:webHidden/>
              </w:rPr>
              <w:fldChar w:fldCharType="begin"/>
            </w:r>
            <w:r w:rsidR="005A2D21">
              <w:rPr>
                <w:noProof/>
                <w:webHidden/>
              </w:rPr>
              <w:instrText xml:space="preserve"> PAGEREF _Toc370985715 \h </w:instrText>
            </w:r>
            <w:r>
              <w:rPr>
                <w:noProof/>
                <w:webHidden/>
              </w:rPr>
            </w:r>
            <w:r>
              <w:rPr>
                <w:noProof/>
                <w:webHidden/>
              </w:rPr>
              <w:fldChar w:fldCharType="separate"/>
            </w:r>
            <w:r w:rsidR="006F4341">
              <w:rPr>
                <w:noProof/>
                <w:webHidden/>
              </w:rPr>
              <w:t>6</w:t>
            </w:r>
            <w:r>
              <w:rPr>
                <w:noProof/>
                <w:webHidden/>
              </w:rPr>
              <w:fldChar w:fldCharType="end"/>
            </w:r>
          </w:hyperlink>
        </w:p>
        <w:p w:rsidR="005A2D21" w:rsidRDefault="00E064FC">
          <w:pPr>
            <w:pStyle w:val="TOC3"/>
            <w:rPr>
              <w:rFonts w:asciiTheme="minorHAnsi" w:eastAsiaTheme="minorEastAsia" w:hAnsiTheme="minorHAnsi" w:cstheme="minorBidi"/>
              <w:noProof/>
              <w:lang w:eastAsia="en-AU" w:bidi="lo-LA"/>
            </w:rPr>
          </w:pPr>
          <w:hyperlink w:anchor="_Toc370985716" w:history="1">
            <w:r w:rsidR="005A2D21" w:rsidRPr="0076732D">
              <w:rPr>
                <w:rStyle w:val="Hyperlink"/>
                <w:noProof/>
              </w:rPr>
              <w:t>Regulatory status</w:t>
            </w:r>
            <w:r w:rsidR="005A2D21">
              <w:rPr>
                <w:noProof/>
                <w:webHidden/>
              </w:rPr>
              <w:tab/>
            </w:r>
            <w:r>
              <w:rPr>
                <w:noProof/>
                <w:webHidden/>
              </w:rPr>
              <w:fldChar w:fldCharType="begin"/>
            </w:r>
            <w:r w:rsidR="005A2D21">
              <w:rPr>
                <w:noProof/>
                <w:webHidden/>
              </w:rPr>
              <w:instrText xml:space="preserve"> PAGEREF _Toc370985716 \h </w:instrText>
            </w:r>
            <w:r>
              <w:rPr>
                <w:noProof/>
                <w:webHidden/>
              </w:rPr>
            </w:r>
            <w:r>
              <w:rPr>
                <w:noProof/>
                <w:webHidden/>
              </w:rPr>
              <w:fldChar w:fldCharType="separate"/>
            </w:r>
            <w:r w:rsidR="006F4341">
              <w:rPr>
                <w:noProof/>
                <w:webHidden/>
              </w:rPr>
              <w:t>7</w:t>
            </w:r>
            <w:r>
              <w:rPr>
                <w:noProof/>
                <w:webHidden/>
              </w:rPr>
              <w:fldChar w:fldCharType="end"/>
            </w:r>
          </w:hyperlink>
        </w:p>
        <w:p w:rsidR="005A2D21" w:rsidRDefault="00E064FC">
          <w:pPr>
            <w:pStyle w:val="TOC3"/>
            <w:rPr>
              <w:rFonts w:asciiTheme="minorHAnsi" w:eastAsiaTheme="minorEastAsia" w:hAnsiTheme="minorHAnsi" w:cstheme="minorBidi"/>
              <w:noProof/>
              <w:lang w:eastAsia="en-AU" w:bidi="lo-LA"/>
            </w:rPr>
          </w:pPr>
          <w:hyperlink w:anchor="_Toc370985717" w:history="1">
            <w:r w:rsidR="005A2D21" w:rsidRPr="0076732D">
              <w:rPr>
                <w:rStyle w:val="Hyperlink"/>
                <w:noProof/>
              </w:rPr>
              <w:t>Product Information</w:t>
            </w:r>
            <w:r w:rsidR="005A2D21">
              <w:rPr>
                <w:noProof/>
                <w:webHidden/>
              </w:rPr>
              <w:tab/>
            </w:r>
            <w:r>
              <w:rPr>
                <w:noProof/>
                <w:webHidden/>
              </w:rPr>
              <w:fldChar w:fldCharType="begin"/>
            </w:r>
            <w:r w:rsidR="005A2D21">
              <w:rPr>
                <w:noProof/>
                <w:webHidden/>
              </w:rPr>
              <w:instrText xml:space="preserve"> PAGEREF _Toc370985717 \h </w:instrText>
            </w:r>
            <w:r>
              <w:rPr>
                <w:noProof/>
                <w:webHidden/>
              </w:rPr>
            </w:r>
            <w:r>
              <w:rPr>
                <w:noProof/>
                <w:webHidden/>
              </w:rPr>
              <w:fldChar w:fldCharType="separate"/>
            </w:r>
            <w:r w:rsidR="006F4341">
              <w:rPr>
                <w:noProof/>
                <w:webHidden/>
              </w:rPr>
              <w:t>7</w:t>
            </w:r>
            <w:r>
              <w:rPr>
                <w:noProof/>
                <w:webHidden/>
              </w:rPr>
              <w:fldChar w:fldCharType="end"/>
            </w:r>
          </w:hyperlink>
        </w:p>
        <w:p w:rsidR="005A2D21" w:rsidRDefault="00E064FC">
          <w:pPr>
            <w:pStyle w:val="TOC2"/>
            <w:rPr>
              <w:rFonts w:asciiTheme="minorHAnsi" w:eastAsiaTheme="minorEastAsia" w:hAnsiTheme="minorHAnsi" w:cstheme="minorBidi"/>
              <w:b w:val="0"/>
              <w:noProof/>
              <w:sz w:val="22"/>
              <w:lang w:eastAsia="en-AU" w:bidi="lo-LA"/>
            </w:rPr>
          </w:pPr>
          <w:hyperlink w:anchor="_Toc370985718" w:history="1">
            <w:r w:rsidR="005A2D21" w:rsidRPr="0076732D">
              <w:rPr>
                <w:rStyle w:val="Hyperlink"/>
                <w:noProof/>
              </w:rPr>
              <w:t>II. Quality findings</w:t>
            </w:r>
            <w:r w:rsidR="005A2D21">
              <w:rPr>
                <w:noProof/>
                <w:webHidden/>
              </w:rPr>
              <w:tab/>
            </w:r>
            <w:r>
              <w:rPr>
                <w:noProof/>
                <w:webHidden/>
              </w:rPr>
              <w:fldChar w:fldCharType="begin"/>
            </w:r>
            <w:r w:rsidR="005A2D21">
              <w:rPr>
                <w:noProof/>
                <w:webHidden/>
              </w:rPr>
              <w:instrText xml:space="preserve"> PAGEREF _Toc370985718 \h </w:instrText>
            </w:r>
            <w:r>
              <w:rPr>
                <w:noProof/>
                <w:webHidden/>
              </w:rPr>
            </w:r>
            <w:r>
              <w:rPr>
                <w:noProof/>
                <w:webHidden/>
              </w:rPr>
              <w:fldChar w:fldCharType="separate"/>
            </w:r>
            <w:r w:rsidR="006F4341">
              <w:rPr>
                <w:noProof/>
                <w:webHidden/>
              </w:rPr>
              <w:t>7</w:t>
            </w:r>
            <w:r>
              <w:rPr>
                <w:noProof/>
                <w:webHidden/>
              </w:rPr>
              <w:fldChar w:fldCharType="end"/>
            </w:r>
          </w:hyperlink>
        </w:p>
        <w:p w:rsidR="005A2D21" w:rsidRDefault="00E064FC">
          <w:pPr>
            <w:pStyle w:val="TOC3"/>
            <w:rPr>
              <w:rFonts w:asciiTheme="minorHAnsi" w:eastAsiaTheme="minorEastAsia" w:hAnsiTheme="minorHAnsi" w:cstheme="minorBidi"/>
              <w:noProof/>
              <w:lang w:eastAsia="en-AU" w:bidi="lo-LA"/>
            </w:rPr>
          </w:pPr>
          <w:hyperlink w:anchor="_Toc370985719" w:history="1">
            <w:r w:rsidR="005A2D21" w:rsidRPr="0076732D">
              <w:rPr>
                <w:rStyle w:val="Hyperlink"/>
                <w:noProof/>
              </w:rPr>
              <w:t>Drug substance (active ingredient)</w:t>
            </w:r>
            <w:r w:rsidR="005A2D21">
              <w:rPr>
                <w:noProof/>
                <w:webHidden/>
              </w:rPr>
              <w:tab/>
            </w:r>
            <w:r>
              <w:rPr>
                <w:noProof/>
                <w:webHidden/>
              </w:rPr>
              <w:fldChar w:fldCharType="begin"/>
            </w:r>
            <w:r w:rsidR="005A2D21">
              <w:rPr>
                <w:noProof/>
                <w:webHidden/>
              </w:rPr>
              <w:instrText xml:space="preserve"> PAGEREF _Toc370985719 \h </w:instrText>
            </w:r>
            <w:r>
              <w:rPr>
                <w:noProof/>
                <w:webHidden/>
              </w:rPr>
            </w:r>
            <w:r>
              <w:rPr>
                <w:noProof/>
                <w:webHidden/>
              </w:rPr>
              <w:fldChar w:fldCharType="separate"/>
            </w:r>
            <w:r w:rsidR="006F4341">
              <w:rPr>
                <w:noProof/>
                <w:webHidden/>
              </w:rPr>
              <w:t>7</w:t>
            </w:r>
            <w:r>
              <w:rPr>
                <w:noProof/>
                <w:webHidden/>
              </w:rPr>
              <w:fldChar w:fldCharType="end"/>
            </w:r>
          </w:hyperlink>
        </w:p>
        <w:p w:rsidR="005A2D21" w:rsidRDefault="00E064FC">
          <w:pPr>
            <w:pStyle w:val="TOC3"/>
            <w:rPr>
              <w:rFonts w:asciiTheme="minorHAnsi" w:eastAsiaTheme="minorEastAsia" w:hAnsiTheme="minorHAnsi" w:cstheme="minorBidi"/>
              <w:noProof/>
              <w:lang w:eastAsia="en-AU" w:bidi="lo-LA"/>
            </w:rPr>
          </w:pPr>
          <w:hyperlink w:anchor="_Toc370985720" w:history="1">
            <w:r w:rsidR="005A2D21" w:rsidRPr="0076732D">
              <w:rPr>
                <w:rStyle w:val="Hyperlink"/>
                <w:noProof/>
              </w:rPr>
              <w:t>Drug product</w:t>
            </w:r>
            <w:r w:rsidR="005A2D21">
              <w:rPr>
                <w:noProof/>
                <w:webHidden/>
              </w:rPr>
              <w:tab/>
            </w:r>
            <w:r>
              <w:rPr>
                <w:noProof/>
                <w:webHidden/>
              </w:rPr>
              <w:fldChar w:fldCharType="begin"/>
            </w:r>
            <w:r w:rsidR="005A2D21">
              <w:rPr>
                <w:noProof/>
                <w:webHidden/>
              </w:rPr>
              <w:instrText xml:space="preserve"> PAGEREF _Toc370985720 \h </w:instrText>
            </w:r>
            <w:r>
              <w:rPr>
                <w:noProof/>
                <w:webHidden/>
              </w:rPr>
            </w:r>
            <w:r>
              <w:rPr>
                <w:noProof/>
                <w:webHidden/>
              </w:rPr>
              <w:fldChar w:fldCharType="separate"/>
            </w:r>
            <w:r w:rsidR="006F4341">
              <w:rPr>
                <w:noProof/>
                <w:webHidden/>
              </w:rPr>
              <w:t>9</w:t>
            </w:r>
            <w:r>
              <w:rPr>
                <w:noProof/>
                <w:webHidden/>
              </w:rPr>
              <w:fldChar w:fldCharType="end"/>
            </w:r>
          </w:hyperlink>
        </w:p>
        <w:p w:rsidR="005A2D21" w:rsidRDefault="00E064FC">
          <w:pPr>
            <w:pStyle w:val="TOC3"/>
            <w:rPr>
              <w:rFonts w:asciiTheme="minorHAnsi" w:eastAsiaTheme="minorEastAsia" w:hAnsiTheme="minorHAnsi" w:cstheme="minorBidi"/>
              <w:noProof/>
              <w:lang w:eastAsia="en-AU" w:bidi="lo-LA"/>
            </w:rPr>
          </w:pPr>
          <w:hyperlink w:anchor="_Toc370985721" w:history="1">
            <w:r w:rsidR="005A2D21" w:rsidRPr="0076732D">
              <w:rPr>
                <w:rStyle w:val="Hyperlink"/>
                <w:noProof/>
              </w:rPr>
              <w:t>Biopharmaceutics</w:t>
            </w:r>
            <w:r w:rsidR="005A2D21">
              <w:rPr>
                <w:noProof/>
                <w:webHidden/>
              </w:rPr>
              <w:tab/>
            </w:r>
            <w:r>
              <w:rPr>
                <w:noProof/>
                <w:webHidden/>
              </w:rPr>
              <w:fldChar w:fldCharType="begin"/>
            </w:r>
            <w:r w:rsidR="005A2D21">
              <w:rPr>
                <w:noProof/>
                <w:webHidden/>
              </w:rPr>
              <w:instrText xml:space="preserve"> PAGEREF _Toc370985721 \h </w:instrText>
            </w:r>
            <w:r>
              <w:rPr>
                <w:noProof/>
                <w:webHidden/>
              </w:rPr>
            </w:r>
            <w:r>
              <w:rPr>
                <w:noProof/>
                <w:webHidden/>
              </w:rPr>
              <w:fldChar w:fldCharType="separate"/>
            </w:r>
            <w:r w:rsidR="006F4341">
              <w:rPr>
                <w:noProof/>
                <w:webHidden/>
              </w:rPr>
              <w:t>10</w:t>
            </w:r>
            <w:r>
              <w:rPr>
                <w:noProof/>
                <w:webHidden/>
              </w:rPr>
              <w:fldChar w:fldCharType="end"/>
            </w:r>
          </w:hyperlink>
        </w:p>
        <w:p w:rsidR="005A2D21" w:rsidRDefault="00E064FC">
          <w:pPr>
            <w:pStyle w:val="TOC3"/>
            <w:rPr>
              <w:rFonts w:asciiTheme="minorHAnsi" w:eastAsiaTheme="minorEastAsia" w:hAnsiTheme="minorHAnsi" w:cstheme="minorBidi"/>
              <w:noProof/>
              <w:lang w:eastAsia="en-AU" w:bidi="lo-LA"/>
            </w:rPr>
          </w:pPr>
          <w:hyperlink w:anchor="_Toc370985722" w:history="1">
            <w:r w:rsidR="005A2D21" w:rsidRPr="0076732D">
              <w:rPr>
                <w:rStyle w:val="Hyperlink"/>
                <w:noProof/>
              </w:rPr>
              <w:t>Advisory committee considerations</w:t>
            </w:r>
            <w:r w:rsidR="005A2D21">
              <w:rPr>
                <w:noProof/>
                <w:webHidden/>
              </w:rPr>
              <w:tab/>
            </w:r>
            <w:r>
              <w:rPr>
                <w:noProof/>
                <w:webHidden/>
              </w:rPr>
              <w:fldChar w:fldCharType="begin"/>
            </w:r>
            <w:r w:rsidR="005A2D21">
              <w:rPr>
                <w:noProof/>
                <w:webHidden/>
              </w:rPr>
              <w:instrText xml:space="preserve"> PAGEREF _Toc370985722 \h </w:instrText>
            </w:r>
            <w:r>
              <w:rPr>
                <w:noProof/>
                <w:webHidden/>
              </w:rPr>
            </w:r>
            <w:r>
              <w:rPr>
                <w:noProof/>
                <w:webHidden/>
              </w:rPr>
              <w:fldChar w:fldCharType="separate"/>
            </w:r>
            <w:r w:rsidR="006F4341">
              <w:rPr>
                <w:noProof/>
                <w:webHidden/>
              </w:rPr>
              <w:t>10</w:t>
            </w:r>
            <w:r>
              <w:rPr>
                <w:noProof/>
                <w:webHidden/>
              </w:rPr>
              <w:fldChar w:fldCharType="end"/>
            </w:r>
          </w:hyperlink>
        </w:p>
        <w:p w:rsidR="005A2D21" w:rsidRDefault="00E064FC">
          <w:pPr>
            <w:pStyle w:val="TOC3"/>
            <w:rPr>
              <w:rFonts w:asciiTheme="minorHAnsi" w:eastAsiaTheme="minorEastAsia" w:hAnsiTheme="minorHAnsi" w:cstheme="minorBidi"/>
              <w:noProof/>
              <w:lang w:eastAsia="en-AU" w:bidi="lo-LA"/>
            </w:rPr>
          </w:pPr>
          <w:hyperlink w:anchor="_Toc370985723" w:history="1">
            <w:r w:rsidR="005A2D21" w:rsidRPr="0076732D">
              <w:rPr>
                <w:rStyle w:val="Hyperlink"/>
                <w:noProof/>
              </w:rPr>
              <w:t>Quality summary and conclusions</w:t>
            </w:r>
            <w:r w:rsidR="005A2D21">
              <w:rPr>
                <w:noProof/>
                <w:webHidden/>
              </w:rPr>
              <w:tab/>
            </w:r>
            <w:r>
              <w:rPr>
                <w:noProof/>
                <w:webHidden/>
              </w:rPr>
              <w:fldChar w:fldCharType="begin"/>
            </w:r>
            <w:r w:rsidR="005A2D21">
              <w:rPr>
                <w:noProof/>
                <w:webHidden/>
              </w:rPr>
              <w:instrText xml:space="preserve"> PAGEREF _Toc370985723 \h </w:instrText>
            </w:r>
            <w:r>
              <w:rPr>
                <w:noProof/>
                <w:webHidden/>
              </w:rPr>
            </w:r>
            <w:r>
              <w:rPr>
                <w:noProof/>
                <w:webHidden/>
              </w:rPr>
              <w:fldChar w:fldCharType="separate"/>
            </w:r>
            <w:r w:rsidR="006F4341">
              <w:rPr>
                <w:noProof/>
                <w:webHidden/>
              </w:rPr>
              <w:t>11</w:t>
            </w:r>
            <w:r>
              <w:rPr>
                <w:noProof/>
                <w:webHidden/>
              </w:rPr>
              <w:fldChar w:fldCharType="end"/>
            </w:r>
          </w:hyperlink>
        </w:p>
        <w:p w:rsidR="005A2D21" w:rsidRDefault="00E064FC">
          <w:pPr>
            <w:pStyle w:val="TOC3"/>
            <w:rPr>
              <w:rFonts w:asciiTheme="minorHAnsi" w:eastAsiaTheme="minorEastAsia" w:hAnsiTheme="minorHAnsi" w:cstheme="minorBidi"/>
              <w:noProof/>
              <w:lang w:eastAsia="en-AU" w:bidi="lo-LA"/>
            </w:rPr>
          </w:pPr>
          <w:hyperlink w:anchor="_Toc370985724" w:history="1">
            <w:r w:rsidR="005A2D21" w:rsidRPr="0076732D">
              <w:rPr>
                <w:rStyle w:val="Hyperlink"/>
                <w:noProof/>
              </w:rPr>
              <w:t>Conclusions and Recommendations</w:t>
            </w:r>
            <w:r w:rsidR="005A2D21">
              <w:rPr>
                <w:noProof/>
                <w:webHidden/>
              </w:rPr>
              <w:tab/>
            </w:r>
            <w:r>
              <w:rPr>
                <w:noProof/>
                <w:webHidden/>
              </w:rPr>
              <w:fldChar w:fldCharType="begin"/>
            </w:r>
            <w:r w:rsidR="005A2D21">
              <w:rPr>
                <w:noProof/>
                <w:webHidden/>
              </w:rPr>
              <w:instrText xml:space="preserve"> PAGEREF _Toc370985724 \h </w:instrText>
            </w:r>
            <w:r>
              <w:rPr>
                <w:noProof/>
                <w:webHidden/>
              </w:rPr>
            </w:r>
            <w:r>
              <w:rPr>
                <w:noProof/>
                <w:webHidden/>
              </w:rPr>
              <w:fldChar w:fldCharType="separate"/>
            </w:r>
            <w:r w:rsidR="006F4341">
              <w:rPr>
                <w:noProof/>
                <w:webHidden/>
              </w:rPr>
              <w:t>13</w:t>
            </w:r>
            <w:r>
              <w:rPr>
                <w:noProof/>
                <w:webHidden/>
              </w:rPr>
              <w:fldChar w:fldCharType="end"/>
            </w:r>
          </w:hyperlink>
        </w:p>
        <w:p w:rsidR="005A2D21" w:rsidRDefault="00E064FC">
          <w:pPr>
            <w:pStyle w:val="TOC2"/>
            <w:rPr>
              <w:rFonts w:asciiTheme="minorHAnsi" w:eastAsiaTheme="minorEastAsia" w:hAnsiTheme="minorHAnsi" w:cstheme="minorBidi"/>
              <w:b w:val="0"/>
              <w:noProof/>
              <w:sz w:val="22"/>
              <w:lang w:eastAsia="en-AU" w:bidi="lo-LA"/>
            </w:rPr>
          </w:pPr>
          <w:hyperlink w:anchor="_Toc370985725" w:history="1">
            <w:r w:rsidR="005A2D21" w:rsidRPr="0076732D">
              <w:rPr>
                <w:rStyle w:val="Hyperlink"/>
                <w:noProof/>
              </w:rPr>
              <w:t>III. Nonclinical findings</w:t>
            </w:r>
            <w:r w:rsidR="005A2D21">
              <w:rPr>
                <w:noProof/>
                <w:webHidden/>
              </w:rPr>
              <w:tab/>
            </w:r>
            <w:r>
              <w:rPr>
                <w:noProof/>
                <w:webHidden/>
              </w:rPr>
              <w:fldChar w:fldCharType="begin"/>
            </w:r>
            <w:r w:rsidR="005A2D21">
              <w:rPr>
                <w:noProof/>
                <w:webHidden/>
              </w:rPr>
              <w:instrText xml:space="preserve"> PAGEREF _Toc370985725 \h </w:instrText>
            </w:r>
            <w:r>
              <w:rPr>
                <w:noProof/>
                <w:webHidden/>
              </w:rPr>
            </w:r>
            <w:r>
              <w:rPr>
                <w:noProof/>
                <w:webHidden/>
              </w:rPr>
              <w:fldChar w:fldCharType="separate"/>
            </w:r>
            <w:r w:rsidR="006F4341">
              <w:rPr>
                <w:noProof/>
                <w:webHidden/>
              </w:rPr>
              <w:t>14</w:t>
            </w:r>
            <w:r>
              <w:rPr>
                <w:noProof/>
                <w:webHidden/>
              </w:rPr>
              <w:fldChar w:fldCharType="end"/>
            </w:r>
          </w:hyperlink>
        </w:p>
        <w:p w:rsidR="005A2D21" w:rsidRDefault="00E064FC">
          <w:pPr>
            <w:pStyle w:val="TOC3"/>
            <w:rPr>
              <w:rFonts w:asciiTheme="minorHAnsi" w:eastAsiaTheme="minorEastAsia" w:hAnsiTheme="minorHAnsi" w:cstheme="minorBidi"/>
              <w:noProof/>
              <w:lang w:eastAsia="en-AU" w:bidi="lo-LA"/>
            </w:rPr>
          </w:pPr>
          <w:hyperlink w:anchor="_Toc370985726" w:history="1">
            <w:r w:rsidR="005A2D21" w:rsidRPr="0076732D">
              <w:rPr>
                <w:rStyle w:val="Hyperlink"/>
                <w:noProof/>
              </w:rPr>
              <w:t>Introduction</w:t>
            </w:r>
            <w:r w:rsidR="005A2D21">
              <w:rPr>
                <w:noProof/>
                <w:webHidden/>
              </w:rPr>
              <w:tab/>
            </w:r>
            <w:r>
              <w:rPr>
                <w:noProof/>
                <w:webHidden/>
              </w:rPr>
              <w:fldChar w:fldCharType="begin"/>
            </w:r>
            <w:r w:rsidR="005A2D21">
              <w:rPr>
                <w:noProof/>
                <w:webHidden/>
              </w:rPr>
              <w:instrText xml:space="preserve"> PAGEREF _Toc370985726 \h </w:instrText>
            </w:r>
            <w:r>
              <w:rPr>
                <w:noProof/>
                <w:webHidden/>
              </w:rPr>
            </w:r>
            <w:r>
              <w:rPr>
                <w:noProof/>
                <w:webHidden/>
              </w:rPr>
              <w:fldChar w:fldCharType="separate"/>
            </w:r>
            <w:r w:rsidR="006F4341">
              <w:rPr>
                <w:noProof/>
                <w:webHidden/>
              </w:rPr>
              <w:t>14</w:t>
            </w:r>
            <w:r>
              <w:rPr>
                <w:noProof/>
                <w:webHidden/>
              </w:rPr>
              <w:fldChar w:fldCharType="end"/>
            </w:r>
          </w:hyperlink>
        </w:p>
        <w:p w:rsidR="005A2D21" w:rsidRDefault="00E064FC">
          <w:pPr>
            <w:pStyle w:val="TOC3"/>
            <w:rPr>
              <w:rFonts w:asciiTheme="minorHAnsi" w:eastAsiaTheme="minorEastAsia" w:hAnsiTheme="minorHAnsi" w:cstheme="minorBidi"/>
              <w:noProof/>
              <w:lang w:eastAsia="en-AU" w:bidi="lo-LA"/>
            </w:rPr>
          </w:pPr>
          <w:hyperlink w:anchor="_Toc370985727" w:history="1">
            <w:r w:rsidR="005A2D21" w:rsidRPr="0076732D">
              <w:rPr>
                <w:rStyle w:val="Hyperlink"/>
                <w:noProof/>
              </w:rPr>
              <w:t>Pharmacology</w:t>
            </w:r>
            <w:r w:rsidR="005A2D21">
              <w:rPr>
                <w:noProof/>
                <w:webHidden/>
              </w:rPr>
              <w:tab/>
            </w:r>
            <w:r>
              <w:rPr>
                <w:noProof/>
                <w:webHidden/>
              </w:rPr>
              <w:fldChar w:fldCharType="begin"/>
            </w:r>
            <w:r w:rsidR="005A2D21">
              <w:rPr>
                <w:noProof/>
                <w:webHidden/>
              </w:rPr>
              <w:instrText xml:space="preserve"> PAGEREF _Toc370985727 \h </w:instrText>
            </w:r>
            <w:r>
              <w:rPr>
                <w:noProof/>
                <w:webHidden/>
              </w:rPr>
            </w:r>
            <w:r>
              <w:rPr>
                <w:noProof/>
                <w:webHidden/>
              </w:rPr>
              <w:fldChar w:fldCharType="separate"/>
            </w:r>
            <w:r w:rsidR="006F4341">
              <w:rPr>
                <w:noProof/>
                <w:webHidden/>
              </w:rPr>
              <w:t>14</w:t>
            </w:r>
            <w:r>
              <w:rPr>
                <w:noProof/>
                <w:webHidden/>
              </w:rPr>
              <w:fldChar w:fldCharType="end"/>
            </w:r>
          </w:hyperlink>
        </w:p>
        <w:p w:rsidR="005A2D21" w:rsidRDefault="00E064FC">
          <w:pPr>
            <w:pStyle w:val="TOC3"/>
            <w:rPr>
              <w:rFonts w:asciiTheme="minorHAnsi" w:eastAsiaTheme="minorEastAsia" w:hAnsiTheme="minorHAnsi" w:cstheme="minorBidi"/>
              <w:noProof/>
              <w:lang w:eastAsia="en-AU" w:bidi="lo-LA"/>
            </w:rPr>
          </w:pPr>
          <w:hyperlink w:anchor="_Toc370985728" w:history="1">
            <w:r w:rsidR="005A2D21" w:rsidRPr="0076732D">
              <w:rPr>
                <w:rStyle w:val="Hyperlink"/>
                <w:noProof/>
              </w:rPr>
              <w:t>Toxicology</w:t>
            </w:r>
            <w:r w:rsidR="005A2D21">
              <w:rPr>
                <w:noProof/>
                <w:webHidden/>
              </w:rPr>
              <w:tab/>
            </w:r>
            <w:r>
              <w:rPr>
                <w:noProof/>
                <w:webHidden/>
              </w:rPr>
              <w:fldChar w:fldCharType="begin"/>
            </w:r>
            <w:r w:rsidR="005A2D21">
              <w:rPr>
                <w:noProof/>
                <w:webHidden/>
              </w:rPr>
              <w:instrText xml:space="preserve"> PAGEREF _Toc370985728 \h </w:instrText>
            </w:r>
            <w:r>
              <w:rPr>
                <w:noProof/>
                <w:webHidden/>
              </w:rPr>
            </w:r>
            <w:r>
              <w:rPr>
                <w:noProof/>
                <w:webHidden/>
              </w:rPr>
              <w:fldChar w:fldCharType="separate"/>
            </w:r>
            <w:r w:rsidR="006F4341">
              <w:rPr>
                <w:noProof/>
                <w:webHidden/>
              </w:rPr>
              <w:t>16</w:t>
            </w:r>
            <w:r>
              <w:rPr>
                <w:noProof/>
                <w:webHidden/>
              </w:rPr>
              <w:fldChar w:fldCharType="end"/>
            </w:r>
          </w:hyperlink>
        </w:p>
        <w:p w:rsidR="005A2D21" w:rsidRDefault="00E064FC">
          <w:pPr>
            <w:pStyle w:val="TOC3"/>
            <w:rPr>
              <w:rFonts w:asciiTheme="minorHAnsi" w:eastAsiaTheme="minorEastAsia" w:hAnsiTheme="minorHAnsi" w:cstheme="minorBidi"/>
              <w:noProof/>
              <w:lang w:eastAsia="en-AU" w:bidi="lo-LA"/>
            </w:rPr>
          </w:pPr>
          <w:hyperlink w:anchor="_Toc370985729" w:history="1">
            <w:r w:rsidR="005A2D21" w:rsidRPr="0076732D">
              <w:rPr>
                <w:rStyle w:val="Hyperlink"/>
                <w:noProof/>
              </w:rPr>
              <w:t>Nonclinical summary and conclusions</w:t>
            </w:r>
            <w:r w:rsidR="005A2D21">
              <w:rPr>
                <w:noProof/>
                <w:webHidden/>
              </w:rPr>
              <w:tab/>
            </w:r>
            <w:r>
              <w:rPr>
                <w:noProof/>
                <w:webHidden/>
              </w:rPr>
              <w:fldChar w:fldCharType="begin"/>
            </w:r>
            <w:r w:rsidR="005A2D21">
              <w:rPr>
                <w:noProof/>
                <w:webHidden/>
              </w:rPr>
              <w:instrText xml:space="preserve"> PAGEREF _Toc370985729 \h </w:instrText>
            </w:r>
            <w:r>
              <w:rPr>
                <w:noProof/>
                <w:webHidden/>
              </w:rPr>
            </w:r>
            <w:r>
              <w:rPr>
                <w:noProof/>
                <w:webHidden/>
              </w:rPr>
              <w:fldChar w:fldCharType="separate"/>
            </w:r>
            <w:r w:rsidR="006F4341">
              <w:rPr>
                <w:noProof/>
                <w:webHidden/>
              </w:rPr>
              <w:t>20</w:t>
            </w:r>
            <w:r>
              <w:rPr>
                <w:noProof/>
                <w:webHidden/>
              </w:rPr>
              <w:fldChar w:fldCharType="end"/>
            </w:r>
          </w:hyperlink>
        </w:p>
        <w:p w:rsidR="005A2D21" w:rsidRDefault="00E064FC">
          <w:pPr>
            <w:pStyle w:val="TOC3"/>
            <w:rPr>
              <w:rFonts w:asciiTheme="minorHAnsi" w:eastAsiaTheme="minorEastAsia" w:hAnsiTheme="minorHAnsi" w:cstheme="minorBidi"/>
              <w:noProof/>
              <w:lang w:eastAsia="en-AU" w:bidi="lo-LA"/>
            </w:rPr>
          </w:pPr>
          <w:hyperlink w:anchor="_Toc370985730" w:history="1">
            <w:r w:rsidR="005A2D21" w:rsidRPr="0076732D">
              <w:rPr>
                <w:rStyle w:val="Hyperlink"/>
                <w:noProof/>
              </w:rPr>
              <w:t>Conclusions and recommendation</w:t>
            </w:r>
            <w:r w:rsidR="005A2D21">
              <w:rPr>
                <w:noProof/>
                <w:webHidden/>
              </w:rPr>
              <w:tab/>
            </w:r>
            <w:r>
              <w:rPr>
                <w:noProof/>
                <w:webHidden/>
              </w:rPr>
              <w:fldChar w:fldCharType="begin"/>
            </w:r>
            <w:r w:rsidR="005A2D21">
              <w:rPr>
                <w:noProof/>
                <w:webHidden/>
              </w:rPr>
              <w:instrText xml:space="preserve"> PAGEREF _Toc370985730 \h </w:instrText>
            </w:r>
            <w:r>
              <w:rPr>
                <w:noProof/>
                <w:webHidden/>
              </w:rPr>
            </w:r>
            <w:r>
              <w:rPr>
                <w:noProof/>
                <w:webHidden/>
              </w:rPr>
              <w:fldChar w:fldCharType="separate"/>
            </w:r>
            <w:r w:rsidR="006F4341">
              <w:rPr>
                <w:noProof/>
                <w:webHidden/>
              </w:rPr>
              <w:t>21</w:t>
            </w:r>
            <w:r>
              <w:rPr>
                <w:noProof/>
                <w:webHidden/>
              </w:rPr>
              <w:fldChar w:fldCharType="end"/>
            </w:r>
          </w:hyperlink>
        </w:p>
        <w:p w:rsidR="005A2D21" w:rsidRDefault="00E064FC">
          <w:pPr>
            <w:pStyle w:val="TOC2"/>
            <w:rPr>
              <w:rFonts w:asciiTheme="minorHAnsi" w:eastAsiaTheme="minorEastAsia" w:hAnsiTheme="minorHAnsi" w:cstheme="minorBidi"/>
              <w:b w:val="0"/>
              <w:noProof/>
              <w:sz w:val="22"/>
              <w:lang w:eastAsia="en-AU" w:bidi="lo-LA"/>
            </w:rPr>
          </w:pPr>
          <w:hyperlink w:anchor="_Toc370985731" w:history="1">
            <w:r w:rsidR="005A2D21" w:rsidRPr="0076732D">
              <w:rPr>
                <w:rStyle w:val="Hyperlink"/>
                <w:noProof/>
              </w:rPr>
              <w:t>IV. Clinical findings</w:t>
            </w:r>
            <w:r w:rsidR="005A2D21">
              <w:rPr>
                <w:noProof/>
                <w:webHidden/>
              </w:rPr>
              <w:tab/>
            </w:r>
            <w:r>
              <w:rPr>
                <w:noProof/>
                <w:webHidden/>
              </w:rPr>
              <w:fldChar w:fldCharType="begin"/>
            </w:r>
            <w:r w:rsidR="005A2D21">
              <w:rPr>
                <w:noProof/>
                <w:webHidden/>
              </w:rPr>
              <w:instrText xml:space="preserve"> PAGEREF _Toc370985731 \h </w:instrText>
            </w:r>
            <w:r>
              <w:rPr>
                <w:noProof/>
                <w:webHidden/>
              </w:rPr>
            </w:r>
            <w:r>
              <w:rPr>
                <w:noProof/>
                <w:webHidden/>
              </w:rPr>
              <w:fldChar w:fldCharType="separate"/>
            </w:r>
            <w:r w:rsidR="006F4341">
              <w:rPr>
                <w:noProof/>
                <w:webHidden/>
              </w:rPr>
              <w:t>21</w:t>
            </w:r>
            <w:r>
              <w:rPr>
                <w:noProof/>
                <w:webHidden/>
              </w:rPr>
              <w:fldChar w:fldCharType="end"/>
            </w:r>
          </w:hyperlink>
        </w:p>
        <w:p w:rsidR="005A2D21" w:rsidRDefault="00E064FC">
          <w:pPr>
            <w:pStyle w:val="TOC3"/>
            <w:rPr>
              <w:rFonts w:asciiTheme="minorHAnsi" w:eastAsiaTheme="minorEastAsia" w:hAnsiTheme="minorHAnsi" w:cstheme="minorBidi"/>
              <w:noProof/>
              <w:lang w:eastAsia="en-AU" w:bidi="lo-LA"/>
            </w:rPr>
          </w:pPr>
          <w:hyperlink w:anchor="_Toc370985732" w:history="1">
            <w:r w:rsidR="005A2D21" w:rsidRPr="0076732D">
              <w:rPr>
                <w:rStyle w:val="Hyperlink"/>
                <w:noProof/>
              </w:rPr>
              <w:t>Introduction</w:t>
            </w:r>
            <w:r w:rsidR="005A2D21">
              <w:rPr>
                <w:noProof/>
                <w:webHidden/>
              </w:rPr>
              <w:tab/>
            </w:r>
            <w:r>
              <w:rPr>
                <w:noProof/>
                <w:webHidden/>
              </w:rPr>
              <w:fldChar w:fldCharType="begin"/>
            </w:r>
            <w:r w:rsidR="005A2D21">
              <w:rPr>
                <w:noProof/>
                <w:webHidden/>
              </w:rPr>
              <w:instrText xml:space="preserve"> PAGEREF _Toc370985732 \h </w:instrText>
            </w:r>
            <w:r>
              <w:rPr>
                <w:noProof/>
                <w:webHidden/>
              </w:rPr>
            </w:r>
            <w:r>
              <w:rPr>
                <w:noProof/>
                <w:webHidden/>
              </w:rPr>
              <w:fldChar w:fldCharType="separate"/>
            </w:r>
            <w:r w:rsidR="006F4341">
              <w:rPr>
                <w:noProof/>
                <w:webHidden/>
              </w:rPr>
              <w:t>22</w:t>
            </w:r>
            <w:r>
              <w:rPr>
                <w:noProof/>
                <w:webHidden/>
              </w:rPr>
              <w:fldChar w:fldCharType="end"/>
            </w:r>
          </w:hyperlink>
        </w:p>
        <w:p w:rsidR="005A2D21" w:rsidRDefault="00E064FC">
          <w:pPr>
            <w:pStyle w:val="TOC3"/>
            <w:rPr>
              <w:rFonts w:asciiTheme="minorHAnsi" w:eastAsiaTheme="minorEastAsia" w:hAnsiTheme="minorHAnsi" w:cstheme="minorBidi"/>
              <w:noProof/>
              <w:lang w:eastAsia="en-AU" w:bidi="lo-LA"/>
            </w:rPr>
          </w:pPr>
          <w:hyperlink w:anchor="_Toc370985733" w:history="1">
            <w:r w:rsidR="005A2D21" w:rsidRPr="0076732D">
              <w:rPr>
                <w:rStyle w:val="Hyperlink"/>
                <w:noProof/>
              </w:rPr>
              <w:t>Pharmacokinetics</w:t>
            </w:r>
            <w:r w:rsidR="005A2D21">
              <w:rPr>
                <w:noProof/>
                <w:webHidden/>
              </w:rPr>
              <w:tab/>
            </w:r>
            <w:r>
              <w:rPr>
                <w:noProof/>
                <w:webHidden/>
              </w:rPr>
              <w:fldChar w:fldCharType="begin"/>
            </w:r>
            <w:r w:rsidR="005A2D21">
              <w:rPr>
                <w:noProof/>
                <w:webHidden/>
              </w:rPr>
              <w:instrText xml:space="preserve"> PAGEREF _Toc370985733 \h </w:instrText>
            </w:r>
            <w:r>
              <w:rPr>
                <w:noProof/>
                <w:webHidden/>
              </w:rPr>
            </w:r>
            <w:r>
              <w:rPr>
                <w:noProof/>
                <w:webHidden/>
              </w:rPr>
              <w:fldChar w:fldCharType="separate"/>
            </w:r>
            <w:r w:rsidR="006F4341">
              <w:rPr>
                <w:noProof/>
                <w:webHidden/>
              </w:rPr>
              <w:t>27</w:t>
            </w:r>
            <w:r>
              <w:rPr>
                <w:noProof/>
                <w:webHidden/>
              </w:rPr>
              <w:fldChar w:fldCharType="end"/>
            </w:r>
          </w:hyperlink>
        </w:p>
        <w:p w:rsidR="005A2D21" w:rsidRDefault="00E064FC">
          <w:pPr>
            <w:pStyle w:val="TOC3"/>
            <w:rPr>
              <w:rFonts w:asciiTheme="minorHAnsi" w:eastAsiaTheme="minorEastAsia" w:hAnsiTheme="minorHAnsi" w:cstheme="minorBidi"/>
              <w:noProof/>
              <w:lang w:eastAsia="en-AU" w:bidi="lo-LA"/>
            </w:rPr>
          </w:pPr>
          <w:hyperlink w:anchor="_Toc370985734" w:history="1">
            <w:r w:rsidR="005A2D21" w:rsidRPr="0076732D">
              <w:rPr>
                <w:rStyle w:val="Hyperlink"/>
                <w:noProof/>
              </w:rPr>
              <w:t>Pharmacodynamics</w:t>
            </w:r>
            <w:r w:rsidR="005A2D21">
              <w:rPr>
                <w:noProof/>
                <w:webHidden/>
              </w:rPr>
              <w:tab/>
            </w:r>
            <w:r>
              <w:rPr>
                <w:noProof/>
                <w:webHidden/>
              </w:rPr>
              <w:fldChar w:fldCharType="begin"/>
            </w:r>
            <w:r w:rsidR="005A2D21">
              <w:rPr>
                <w:noProof/>
                <w:webHidden/>
              </w:rPr>
              <w:instrText xml:space="preserve"> PAGEREF _Toc370985734 \h </w:instrText>
            </w:r>
            <w:r>
              <w:rPr>
                <w:noProof/>
                <w:webHidden/>
              </w:rPr>
            </w:r>
            <w:r>
              <w:rPr>
                <w:noProof/>
                <w:webHidden/>
              </w:rPr>
              <w:fldChar w:fldCharType="separate"/>
            </w:r>
            <w:r w:rsidR="006F4341">
              <w:rPr>
                <w:noProof/>
                <w:webHidden/>
              </w:rPr>
              <w:t>27</w:t>
            </w:r>
            <w:r>
              <w:rPr>
                <w:noProof/>
                <w:webHidden/>
              </w:rPr>
              <w:fldChar w:fldCharType="end"/>
            </w:r>
          </w:hyperlink>
        </w:p>
        <w:p w:rsidR="005A2D21" w:rsidRDefault="00E064FC">
          <w:pPr>
            <w:pStyle w:val="TOC3"/>
            <w:rPr>
              <w:rFonts w:asciiTheme="minorHAnsi" w:eastAsiaTheme="minorEastAsia" w:hAnsiTheme="minorHAnsi" w:cstheme="minorBidi"/>
              <w:noProof/>
              <w:lang w:eastAsia="en-AU" w:bidi="lo-LA"/>
            </w:rPr>
          </w:pPr>
          <w:hyperlink w:anchor="_Toc370985735" w:history="1">
            <w:r w:rsidR="005A2D21" w:rsidRPr="0076732D">
              <w:rPr>
                <w:rStyle w:val="Hyperlink"/>
                <w:noProof/>
              </w:rPr>
              <w:t>Efficacy</w:t>
            </w:r>
            <w:r w:rsidR="005A2D21">
              <w:rPr>
                <w:noProof/>
                <w:webHidden/>
              </w:rPr>
              <w:tab/>
            </w:r>
            <w:r>
              <w:rPr>
                <w:noProof/>
                <w:webHidden/>
              </w:rPr>
              <w:fldChar w:fldCharType="begin"/>
            </w:r>
            <w:r w:rsidR="005A2D21">
              <w:rPr>
                <w:noProof/>
                <w:webHidden/>
              </w:rPr>
              <w:instrText xml:space="preserve"> PAGEREF _Toc370985735 \h </w:instrText>
            </w:r>
            <w:r>
              <w:rPr>
                <w:noProof/>
                <w:webHidden/>
              </w:rPr>
            </w:r>
            <w:r>
              <w:rPr>
                <w:noProof/>
                <w:webHidden/>
              </w:rPr>
              <w:fldChar w:fldCharType="separate"/>
            </w:r>
            <w:r w:rsidR="006F4341">
              <w:rPr>
                <w:noProof/>
                <w:webHidden/>
              </w:rPr>
              <w:t>28</w:t>
            </w:r>
            <w:r>
              <w:rPr>
                <w:noProof/>
                <w:webHidden/>
              </w:rPr>
              <w:fldChar w:fldCharType="end"/>
            </w:r>
          </w:hyperlink>
        </w:p>
        <w:p w:rsidR="005A2D21" w:rsidRDefault="00E064FC">
          <w:pPr>
            <w:pStyle w:val="TOC3"/>
            <w:rPr>
              <w:rFonts w:asciiTheme="minorHAnsi" w:eastAsiaTheme="minorEastAsia" w:hAnsiTheme="minorHAnsi" w:cstheme="minorBidi"/>
              <w:noProof/>
              <w:lang w:eastAsia="en-AU" w:bidi="lo-LA"/>
            </w:rPr>
          </w:pPr>
          <w:hyperlink w:anchor="_Toc370985736" w:history="1">
            <w:r w:rsidR="005A2D21" w:rsidRPr="0076732D">
              <w:rPr>
                <w:rStyle w:val="Hyperlink"/>
                <w:noProof/>
              </w:rPr>
              <w:t>Safety</w:t>
            </w:r>
            <w:r w:rsidR="005A2D21">
              <w:rPr>
                <w:noProof/>
                <w:webHidden/>
              </w:rPr>
              <w:tab/>
            </w:r>
            <w:r>
              <w:rPr>
                <w:noProof/>
                <w:webHidden/>
              </w:rPr>
              <w:fldChar w:fldCharType="begin"/>
            </w:r>
            <w:r w:rsidR="005A2D21">
              <w:rPr>
                <w:noProof/>
                <w:webHidden/>
              </w:rPr>
              <w:instrText xml:space="preserve"> PAGEREF _Toc370985736 \h </w:instrText>
            </w:r>
            <w:r>
              <w:rPr>
                <w:noProof/>
                <w:webHidden/>
              </w:rPr>
            </w:r>
            <w:r>
              <w:rPr>
                <w:noProof/>
                <w:webHidden/>
              </w:rPr>
              <w:fldChar w:fldCharType="separate"/>
            </w:r>
            <w:r w:rsidR="006F4341">
              <w:rPr>
                <w:noProof/>
                <w:webHidden/>
              </w:rPr>
              <w:t>31</w:t>
            </w:r>
            <w:r>
              <w:rPr>
                <w:noProof/>
                <w:webHidden/>
              </w:rPr>
              <w:fldChar w:fldCharType="end"/>
            </w:r>
          </w:hyperlink>
        </w:p>
        <w:p w:rsidR="005A2D21" w:rsidRDefault="00E064FC">
          <w:pPr>
            <w:pStyle w:val="TOC3"/>
            <w:rPr>
              <w:rFonts w:asciiTheme="minorHAnsi" w:eastAsiaTheme="minorEastAsia" w:hAnsiTheme="minorHAnsi" w:cstheme="minorBidi"/>
              <w:noProof/>
              <w:lang w:eastAsia="en-AU" w:bidi="lo-LA"/>
            </w:rPr>
          </w:pPr>
          <w:hyperlink w:anchor="_Toc370985737" w:history="1">
            <w:r w:rsidR="005A2D21" w:rsidRPr="0076732D">
              <w:rPr>
                <w:rStyle w:val="Hyperlink"/>
                <w:noProof/>
              </w:rPr>
              <w:t>List of questions</w:t>
            </w:r>
            <w:r w:rsidR="005A2D21">
              <w:rPr>
                <w:noProof/>
                <w:webHidden/>
              </w:rPr>
              <w:tab/>
            </w:r>
            <w:r>
              <w:rPr>
                <w:noProof/>
                <w:webHidden/>
              </w:rPr>
              <w:fldChar w:fldCharType="begin"/>
            </w:r>
            <w:r w:rsidR="005A2D21">
              <w:rPr>
                <w:noProof/>
                <w:webHidden/>
              </w:rPr>
              <w:instrText xml:space="preserve"> PAGEREF _Toc370985737 \h </w:instrText>
            </w:r>
            <w:r>
              <w:rPr>
                <w:noProof/>
                <w:webHidden/>
              </w:rPr>
            </w:r>
            <w:r>
              <w:rPr>
                <w:noProof/>
                <w:webHidden/>
              </w:rPr>
              <w:fldChar w:fldCharType="separate"/>
            </w:r>
            <w:r w:rsidR="006F4341">
              <w:rPr>
                <w:noProof/>
                <w:webHidden/>
              </w:rPr>
              <w:t>37</w:t>
            </w:r>
            <w:r>
              <w:rPr>
                <w:noProof/>
                <w:webHidden/>
              </w:rPr>
              <w:fldChar w:fldCharType="end"/>
            </w:r>
          </w:hyperlink>
        </w:p>
        <w:p w:rsidR="005A2D21" w:rsidRDefault="00E064FC">
          <w:pPr>
            <w:pStyle w:val="TOC3"/>
            <w:rPr>
              <w:rFonts w:asciiTheme="minorHAnsi" w:eastAsiaTheme="minorEastAsia" w:hAnsiTheme="minorHAnsi" w:cstheme="minorBidi"/>
              <w:noProof/>
              <w:lang w:eastAsia="en-AU" w:bidi="lo-LA"/>
            </w:rPr>
          </w:pPr>
          <w:hyperlink w:anchor="_Toc370985738" w:history="1">
            <w:r w:rsidR="005A2D21" w:rsidRPr="0076732D">
              <w:rPr>
                <w:rStyle w:val="Hyperlink"/>
                <w:noProof/>
              </w:rPr>
              <w:t>Recommendation regarding authorisation</w:t>
            </w:r>
            <w:r w:rsidR="005A2D21">
              <w:rPr>
                <w:noProof/>
                <w:webHidden/>
              </w:rPr>
              <w:tab/>
            </w:r>
            <w:r>
              <w:rPr>
                <w:noProof/>
                <w:webHidden/>
              </w:rPr>
              <w:fldChar w:fldCharType="begin"/>
            </w:r>
            <w:r w:rsidR="005A2D21">
              <w:rPr>
                <w:noProof/>
                <w:webHidden/>
              </w:rPr>
              <w:instrText xml:space="preserve"> PAGEREF _Toc370985738 \h </w:instrText>
            </w:r>
            <w:r>
              <w:rPr>
                <w:noProof/>
                <w:webHidden/>
              </w:rPr>
            </w:r>
            <w:r>
              <w:rPr>
                <w:noProof/>
                <w:webHidden/>
              </w:rPr>
              <w:fldChar w:fldCharType="separate"/>
            </w:r>
            <w:r w:rsidR="006F4341">
              <w:rPr>
                <w:noProof/>
                <w:webHidden/>
              </w:rPr>
              <w:t>37</w:t>
            </w:r>
            <w:r>
              <w:rPr>
                <w:noProof/>
                <w:webHidden/>
              </w:rPr>
              <w:fldChar w:fldCharType="end"/>
            </w:r>
          </w:hyperlink>
        </w:p>
        <w:p w:rsidR="005A2D21" w:rsidRDefault="00E064FC">
          <w:pPr>
            <w:pStyle w:val="TOC3"/>
            <w:rPr>
              <w:rFonts w:asciiTheme="minorHAnsi" w:eastAsiaTheme="minorEastAsia" w:hAnsiTheme="minorHAnsi" w:cstheme="minorBidi"/>
              <w:noProof/>
              <w:lang w:eastAsia="en-AU" w:bidi="lo-LA"/>
            </w:rPr>
          </w:pPr>
          <w:hyperlink w:anchor="_Toc370985739" w:history="1">
            <w:r w:rsidR="005A2D21" w:rsidRPr="0076732D">
              <w:rPr>
                <w:rStyle w:val="Hyperlink"/>
                <w:noProof/>
              </w:rPr>
              <w:t>Supplementary clinical evaluation</w:t>
            </w:r>
            <w:r w:rsidR="005A2D21">
              <w:rPr>
                <w:noProof/>
                <w:webHidden/>
              </w:rPr>
              <w:tab/>
            </w:r>
            <w:r>
              <w:rPr>
                <w:noProof/>
                <w:webHidden/>
              </w:rPr>
              <w:fldChar w:fldCharType="begin"/>
            </w:r>
            <w:r w:rsidR="005A2D21">
              <w:rPr>
                <w:noProof/>
                <w:webHidden/>
              </w:rPr>
              <w:instrText xml:space="preserve"> PAGEREF _Toc370985739 \h </w:instrText>
            </w:r>
            <w:r>
              <w:rPr>
                <w:noProof/>
                <w:webHidden/>
              </w:rPr>
            </w:r>
            <w:r>
              <w:rPr>
                <w:noProof/>
                <w:webHidden/>
              </w:rPr>
              <w:fldChar w:fldCharType="separate"/>
            </w:r>
            <w:r w:rsidR="006F4341">
              <w:rPr>
                <w:noProof/>
                <w:webHidden/>
              </w:rPr>
              <w:t>38</w:t>
            </w:r>
            <w:r>
              <w:rPr>
                <w:noProof/>
                <w:webHidden/>
              </w:rPr>
              <w:fldChar w:fldCharType="end"/>
            </w:r>
          </w:hyperlink>
        </w:p>
        <w:p w:rsidR="005A2D21" w:rsidRDefault="00E064FC">
          <w:pPr>
            <w:pStyle w:val="TOC2"/>
            <w:rPr>
              <w:rFonts w:asciiTheme="minorHAnsi" w:eastAsiaTheme="minorEastAsia" w:hAnsiTheme="minorHAnsi" w:cstheme="minorBidi"/>
              <w:b w:val="0"/>
              <w:noProof/>
              <w:sz w:val="22"/>
              <w:lang w:eastAsia="en-AU" w:bidi="lo-LA"/>
            </w:rPr>
          </w:pPr>
          <w:hyperlink w:anchor="_Toc370985740" w:history="1">
            <w:r w:rsidR="005A2D21" w:rsidRPr="0076732D">
              <w:rPr>
                <w:rStyle w:val="Hyperlink"/>
                <w:noProof/>
              </w:rPr>
              <w:t>V. Pharmacovigilance findings</w:t>
            </w:r>
            <w:r w:rsidR="005A2D21">
              <w:rPr>
                <w:noProof/>
                <w:webHidden/>
              </w:rPr>
              <w:tab/>
            </w:r>
            <w:r>
              <w:rPr>
                <w:noProof/>
                <w:webHidden/>
              </w:rPr>
              <w:fldChar w:fldCharType="begin"/>
            </w:r>
            <w:r w:rsidR="005A2D21">
              <w:rPr>
                <w:noProof/>
                <w:webHidden/>
              </w:rPr>
              <w:instrText xml:space="preserve"> PAGEREF _Toc370985740 \h </w:instrText>
            </w:r>
            <w:r>
              <w:rPr>
                <w:noProof/>
                <w:webHidden/>
              </w:rPr>
            </w:r>
            <w:r>
              <w:rPr>
                <w:noProof/>
                <w:webHidden/>
              </w:rPr>
              <w:fldChar w:fldCharType="separate"/>
            </w:r>
            <w:r w:rsidR="006F4341">
              <w:rPr>
                <w:noProof/>
                <w:webHidden/>
              </w:rPr>
              <w:t>40</w:t>
            </w:r>
            <w:r>
              <w:rPr>
                <w:noProof/>
                <w:webHidden/>
              </w:rPr>
              <w:fldChar w:fldCharType="end"/>
            </w:r>
          </w:hyperlink>
        </w:p>
        <w:p w:rsidR="005A2D21" w:rsidRDefault="00E064FC">
          <w:pPr>
            <w:pStyle w:val="TOC3"/>
            <w:rPr>
              <w:rFonts w:asciiTheme="minorHAnsi" w:eastAsiaTheme="minorEastAsia" w:hAnsiTheme="minorHAnsi" w:cstheme="minorBidi"/>
              <w:noProof/>
              <w:lang w:eastAsia="en-AU" w:bidi="lo-LA"/>
            </w:rPr>
          </w:pPr>
          <w:hyperlink w:anchor="_Toc370985741" w:history="1">
            <w:r w:rsidR="005A2D21" w:rsidRPr="0076732D">
              <w:rPr>
                <w:rStyle w:val="Hyperlink"/>
                <w:noProof/>
                <w:lang w:eastAsia="en-AU"/>
              </w:rPr>
              <w:t>Risk management plan</w:t>
            </w:r>
            <w:r w:rsidR="005A2D21">
              <w:rPr>
                <w:noProof/>
                <w:webHidden/>
              </w:rPr>
              <w:tab/>
            </w:r>
            <w:r>
              <w:rPr>
                <w:noProof/>
                <w:webHidden/>
              </w:rPr>
              <w:fldChar w:fldCharType="begin"/>
            </w:r>
            <w:r w:rsidR="005A2D21">
              <w:rPr>
                <w:noProof/>
                <w:webHidden/>
              </w:rPr>
              <w:instrText xml:space="preserve"> PAGEREF _Toc370985741 \h </w:instrText>
            </w:r>
            <w:r>
              <w:rPr>
                <w:noProof/>
                <w:webHidden/>
              </w:rPr>
            </w:r>
            <w:r>
              <w:rPr>
                <w:noProof/>
                <w:webHidden/>
              </w:rPr>
              <w:fldChar w:fldCharType="separate"/>
            </w:r>
            <w:r w:rsidR="006F4341">
              <w:rPr>
                <w:noProof/>
                <w:webHidden/>
              </w:rPr>
              <w:t>40</w:t>
            </w:r>
            <w:r>
              <w:rPr>
                <w:noProof/>
                <w:webHidden/>
              </w:rPr>
              <w:fldChar w:fldCharType="end"/>
            </w:r>
          </w:hyperlink>
        </w:p>
        <w:p w:rsidR="005A2D21" w:rsidRDefault="00E064FC">
          <w:pPr>
            <w:pStyle w:val="TOC2"/>
            <w:rPr>
              <w:rFonts w:asciiTheme="minorHAnsi" w:eastAsiaTheme="minorEastAsia" w:hAnsiTheme="minorHAnsi" w:cstheme="minorBidi"/>
              <w:b w:val="0"/>
              <w:noProof/>
              <w:sz w:val="22"/>
              <w:lang w:eastAsia="en-AU" w:bidi="lo-LA"/>
            </w:rPr>
          </w:pPr>
          <w:hyperlink w:anchor="_Toc370985742" w:history="1">
            <w:r w:rsidR="005A2D21" w:rsidRPr="0076732D">
              <w:rPr>
                <w:rStyle w:val="Hyperlink"/>
                <w:noProof/>
              </w:rPr>
              <w:t>VI. Overall conclusion and risk/benefit assessment</w:t>
            </w:r>
            <w:r w:rsidR="005A2D21">
              <w:rPr>
                <w:noProof/>
                <w:webHidden/>
              </w:rPr>
              <w:tab/>
            </w:r>
            <w:r>
              <w:rPr>
                <w:noProof/>
                <w:webHidden/>
              </w:rPr>
              <w:fldChar w:fldCharType="begin"/>
            </w:r>
            <w:r w:rsidR="005A2D21">
              <w:rPr>
                <w:noProof/>
                <w:webHidden/>
              </w:rPr>
              <w:instrText xml:space="preserve"> PAGEREF _Toc370985742 \h </w:instrText>
            </w:r>
            <w:r>
              <w:rPr>
                <w:noProof/>
                <w:webHidden/>
              </w:rPr>
            </w:r>
            <w:r>
              <w:rPr>
                <w:noProof/>
                <w:webHidden/>
              </w:rPr>
              <w:fldChar w:fldCharType="separate"/>
            </w:r>
            <w:r w:rsidR="006F4341">
              <w:rPr>
                <w:noProof/>
                <w:webHidden/>
              </w:rPr>
              <w:t>45</w:t>
            </w:r>
            <w:r>
              <w:rPr>
                <w:noProof/>
                <w:webHidden/>
              </w:rPr>
              <w:fldChar w:fldCharType="end"/>
            </w:r>
          </w:hyperlink>
        </w:p>
        <w:p w:rsidR="005A2D21" w:rsidRDefault="00E064FC">
          <w:pPr>
            <w:pStyle w:val="TOC3"/>
            <w:rPr>
              <w:rFonts w:asciiTheme="minorHAnsi" w:eastAsiaTheme="minorEastAsia" w:hAnsiTheme="minorHAnsi" w:cstheme="minorBidi"/>
              <w:noProof/>
              <w:lang w:eastAsia="en-AU" w:bidi="lo-LA"/>
            </w:rPr>
          </w:pPr>
          <w:hyperlink w:anchor="_Toc370985743" w:history="1">
            <w:r w:rsidR="005A2D21" w:rsidRPr="0076732D">
              <w:rPr>
                <w:rStyle w:val="Hyperlink"/>
                <w:noProof/>
              </w:rPr>
              <w:t>Background</w:t>
            </w:r>
            <w:r w:rsidR="005A2D21">
              <w:rPr>
                <w:noProof/>
                <w:webHidden/>
              </w:rPr>
              <w:tab/>
            </w:r>
            <w:r>
              <w:rPr>
                <w:noProof/>
                <w:webHidden/>
              </w:rPr>
              <w:fldChar w:fldCharType="begin"/>
            </w:r>
            <w:r w:rsidR="005A2D21">
              <w:rPr>
                <w:noProof/>
                <w:webHidden/>
              </w:rPr>
              <w:instrText xml:space="preserve"> PAGEREF _Toc370985743 \h </w:instrText>
            </w:r>
            <w:r>
              <w:rPr>
                <w:noProof/>
                <w:webHidden/>
              </w:rPr>
            </w:r>
            <w:r>
              <w:rPr>
                <w:noProof/>
                <w:webHidden/>
              </w:rPr>
              <w:fldChar w:fldCharType="separate"/>
            </w:r>
            <w:r w:rsidR="006F4341">
              <w:rPr>
                <w:noProof/>
                <w:webHidden/>
              </w:rPr>
              <w:t>45</w:t>
            </w:r>
            <w:r>
              <w:rPr>
                <w:noProof/>
                <w:webHidden/>
              </w:rPr>
              <w:fldChar w:fldCharType="end"/>
            </w:r>
          </w:hyperlink>
        </w:p>
        <w:p w:rsidR="005A2D21" w:rsidRDefault="00E064FC">
          <w:pPr>
            <w:pStyle w:val="TOC3"/>
            <w:rPr>
              <w:rFonts w:asciiTheme="minorHAnsi" w:eastAsiaTheme="minorEastAsia" w:hAnsiTheme="minorHAnsi" w:cstheme="minorBidi"/>
              <w:noProof/>
              <w:lang w:eastAsia="en-AU" w:bidi="lo-LA"/>
            </w:rPr>
          </w:pPr>
          <w:hyperlink w:anchor="_Toc370985744" w:history="1">
            <w:r w:rsidR="005A2D21" w:rsidRPr="0076732D">
              <w:rPr>
                <w:rStyle w:val="Hyperlink"/>
                <w:noProof/>
              </w:rPr>
              <w:t>Quality</w:t>
            </w:r>
            <w:r w:rsidR="005A2D21">
              <w:rPr>
                <w:noProof/>
                <w:webHidden/>
              </w:rPr>
              <w:tab/>
            </w:r>
            <w:r>
              <w:rPr>
                <w:noProof/>
                <w:webHidden/>
              </w:rPr>
              <w:fldChar w:fldCharType="begin"/>
            </w:r>
            <w:r w:rsidR="005A2D21">
              <w:rPr>
                <w:noProof/>
                <w:webHidden/>
              </w:rPr>
              <w:instrText xml:space="preserve"> PAGEREF _Toc370985744 \h </w:instrText>
            </w:r>
            <w:r>
              <w:rPr>
                <w:noProof/>
                <w:webHidden/>
              </w:rPr>
            </w:r>
            <w:r>
              <w:rPr>
                <w:noProof/>
                <w:webHidden/>
              </w:rPr>
              <w:fldChar w:fldCharType="separate"/>
            </w:r>
            <w:r w:rsidR="006F4341">
              <w:rPr>
                <w:noProof/>
                <w:webHidden/>
              </w:rPr>
              <w:t>46</w:t>
            </w:r>
            <w:r>
              <w:rPr>
                <w:noProof/>
                <w:webHidden/>
              </w:rPr>
              <w:fldChar w:fldCharType="end"/>
            </w:r>
          </w:hyperlink>
        </w:p>
        <w:p w:rsidR="005A2D21" w:rsidRDefault="00E064FC">
          <w:pPr>
            <w:pStyle w:val="TOC3"/>
            <w:rPr>
              <w:rFonts w:asciiTheme="minorHAnsi" w:eastAsiaTheme="minorEastAsia" w:hAnsiTheme="minorHAnsi" w:cstheme="minorBidi"/>
              <w:noProof/>
              <w:lang w:eastAsia="en-AU" w:bidi="lo-LA"/>
            </w:rPr>
          </w:pPr>
          <w:hyperlink w:anchor="_Toc370985745" w:history="1">
            <w:r w:rsidR="005A2D21" w:rsidRPr="0076732D">
              <w:rPr>
                <w:rStyle w:val="Hyperlink"/>
                <w:noProof/>
              </w:rPr>
              <w:t>Nonclinical</w:t>
            </w:r>
            <w:r w:rsidR="005A2D21">
              <w:rPr>
                <w:noProof/>
                <w:webHidden/>
              </w:rPr>
              <w:tab/>
            </w:r>
            <w:r>
              <w:rPr>
                <w:noProof/>
                <w:webHidden/>
              </w:rPr>
              <w:fldChar w:fldCharType="begin"/>
            </w:r>
            <w:r w:rsidR="005A2D21">
              <w:rPr>
                <w:noProof/>
                <w:webHidden/>
              </w:rPr>
              <w:instrText xml:space="preserve"> PAGEREF _Toc370985745 \h </w:instrText>
            </w:r>
            <w:r>
              <w:rPr>
                <w:noProof/>
                <w:webHidden/>
              </w:rPr>
            </w:r>
            <w:r>
              <w:rPr>
                <w:noProof/>
                <w:webHidden/>
              </w:rPr>
              <w:fldChar w:fldCharType="separate"/>
            </w:r>
            <w:r w:rsidR="006F4341">
              <w:rPr>
                <w:noProof/>
                <w:webHidden/>
              </w:rPr>
              <w:t>48</w:t>
            </w:r>
            <w:r>
              <w:rPr>
                <w:noProof/>
                <w:webHidden/>
              </w:rPr>
              <w:fldChar w:fldCharType="end"/>
            </w:r>
          </w:hyperlink>
        </w:p>
        <w:p w:rsidR="005A2D21" w:rsidRDefault="00E064FC">
          <w:pPr>
            <w:pStyle w:val="TOC3"/>
            <w:rPr>
              <w:rFonts w:asciiTheme="minorHAnsi" w:eastAsiaTheme="minorEastAsia" w:hAnsiTheme="minorHAnsi" w:cstheme="minorBidi"/>
              <w:noProof/>
              <w:lang w:eastAsia="en-AU" w:bidi="lo-LA"/>
            </w:rPr>
          </w:pPr>
          <w:hyperlink w:anchor="_Toc370985746" w:history="1">
            <w:r w:rsidR="005A2D21" w:rsidRPr="0076732D">
              <w:rPr>
                <w:rStyle w:val="Hyperlink"/>
                <w:noProof/>
              </w:rPr>
              <w:t>Clinical</w:t>
            </w:r>
            <w:r w:rsidR="005A2D21">
              <w:rPr>
                <w:noProof/>
                <w:webHidden/>
              </w:rPr>
              <w:tab/>
            </w:r>
            <w:r>
              <w:rPr>
                <w:noProof/>
                <w:webHidden/>
              </w:rPr>
              <w:fldChar w:fldCharType="begin"/>
            </w:r>
            <w:r w:rsidR="005A2D21">
              <w:rPr>
                <w:noProof/>
                <w:webHidden/>
              </w:rPr>
              <w:instrText xml:space="preserve"> PAGEREF _Toc370985746 \h </w:instrText>
            </w:r>
            <w:r>
              <w:rPr>
                <w:noProof/>
                <w:webHidden/>
              </w:rPr>
            </w:r>
            <w:r>
              <w:rPr>
                <w:noProof/>
                <w:webHidden/>
              </w:rPr>
              <w:fldChar w:fldCharType="separate"/>
            </w:r>
            <w:r w:rsidR="006F4341">
              <w:rPr>
                <w:noProof/>
                <w:webHidden/>
              </w:rPr>
              <w:t>48</w:t>
            </w:r>
            <w:r>
              <w:rPr>
                <w:noProof/>
                <w:webHidden/>
              </w:rPr>
              <w:fldChar w:fldCharType="end"/>
            </w:r>
          </w:hyperlink>
        </w:p>
        <w:p w:rsidR="005A2D21" w:rsidRDefault="00E064FC">
          <w:pPr>
            <w:pStyle w:val="TOC3"/>
            <w:rPr>
              <w:rFonts w:asciiTheme="minorHAnsi" w:eastAsiaTheme="minorEastAsia" w:hAnsiTheme="minorHAnsi" w:cstheme="minorBidi"/>
              <w:noProof/>
              <w:lang w:eastAsia="en-AU" w:bidi="lo-LA"/>
            </w:rPr>
          </w:pPr>
          <w:hyperlink w:anchor="_Toc370985747" w:history="1">
            <w:r w:rsidR="005A2D21" w:rsidRPr="0076732D">
              <w:rPr>
                <w:rStyle w:val="Hyperlink"/>
                <w:noProof/>
                <w:lang w:eastAsia="en-AU"/>
              </w:rPr>
              <w:t>Risk management plan</w:t>
            </w:r>
            <w:r w:rsidR="005A2D21">
              <w:rPr>
                <w:noProof/>
                <w:webHidden/>
              </w:rPr>
              <w:tab/>
            </w:r>
            <w:r>
              <w:rPr>
                <w:noProof/>
                <w:webHidden/>
              </w:rPr>
              <w:fldChar w:fldCharType="begin"/>
            </w:r>
            <w:r w:rsidR="005A2D21">
              <w:rPr>
                <w:noProof/>
                <w:webHidden/>
              </w:rPr>
              <w:instrText xml:space="preserve"> PAGEREF _Toc370985747 \h </w:instrText>
            </w:r>
            <w:r>
              <w:rPr>
                <w:noProof/>
                <w:webHidden/>
              </w:rPr>
            </w:r>
            <w:r>
              <w:rPr>
                <w:noProof/>
                <w:webHidden/>
              </w:rPr>
              <w:fldChar w:fldCharType="separate"/>
            </w:r>
            <w:r w:rsidR="006F4341">
              <w:rPr>
                <w:noProof/>
                <w:webHidden/>
              </w:rPr>
              <w:t>55</w:t>
            </w:r>
            <w:r>
              <w:rPr>
                <w:noProof/>
                <w:webHidden/>
              </w:rPr>
              <w:fldChar w:fldCharType="end"/>
            </w:r>
          </w:hyperlink>
        </w:p>
        <w:p w:rsidR="005A2D21" w:rsidRDefault="00E064FC">
          <w:pPr>
            <w:pStyle w:val="TOC3"/>
            <w:rPr>
              <w:rFonts w:asciiTheme="minorHAnsi" w:eastAsiaTheme="minorEastAsia" w:hAnsiTheme="minorHAnsi" w:cstheme="minorBidi"/>
              <w:noProof/>
              <w:lang w:eastAsia="en-AU" w:bidi="lo-LA"/>
            </w:rPr>
          </w:pPr>
          <w:hyperlink w:anchor="_Toc370985748" w:history="1">
            <w:r w:rsidR="005A2D21" w:rsidRPr="0076732D">
              <w:rPr>
                <w:rStyle w:val="Hyperlink"/>
                <w:noProof/>
              </w:rPr>
              <w:t>Risk-benefit analysis</w:t>
            </w:r>
            <w:r w:rsidR="005A2D21">
              <w:rPr>
                <w:noProof/>
                <w:webHidden/>
              </w:rPr>
              <w:tab/>
            </w:r>
            <w:r>
              <w:rPr>
                <w:noProof/>
                <w:webHidden/>
              </w:rPr>
              <w:fldChar w:fldCharType="begin"/>
            </w:r>
            <w:r w:rsidR="005A2D21">
              <w:rPr>
                <w:noProof/>
                <w:webHidden/>
              </w:rPr>
              <w:instrText xml:space="preserve"> PAGEREF _Toc370985748 \h </w:instrText>
            </w:r>
            <w:r>
              <w:rPr>
                <w:noProof/>
                <w:webHidden/>
              </w:rPr>
            </w:r>
            <w:r>
              <w:rPr>
                <w:noProof/>
                <w:webHidden/>
              </w:rPr>
              <w:fldChar w:fldCharType="separate"/>
            </w:r>
            <w:r w:rsidR="006F4341">
              <w:rPr>
                <w:noProof/>
                <w:webHidden/>
              </w:rPr>
              <w:t>55</w:t>
            </w:r>
            <w:r>
              <w:rPr>
                <w:noProof/>
                <w:webHidden/>
              </w:rPr>
              <w:fldChar w:fldCharType="end"/>
            </w:r>
          </w:hyperlink>
        </w:p>
        <w:p w:rsidR="005A2D21" w:rsidRDefault="00E064FC">
          <w:pPr>
            <w:pStyle w:val="TOC3"/>
            <w:rPr>
              <w:rFonts w:asciiTheme="minorHAnsi" w:eastAsiaTheme="minorEastAsia" w:hAnsiTheme="minorHAnsi" w:cstheme="minorBidi"/>
              <w:noProof/>
              <w:lang w:eastAsia="en-AU" w:bidi="lo-LA"/>
            </w:rPr>
          </w:pPr>
          <w:hyperlink w:anchor="_Toc370985749" w:history="1">
            <w:r w:rsidR="005A2D21" w:rsidRPr="0076732D">
              <w:rPr>
                <w:rStyle w:val="Hyperlink"/>
                <w:noProof/>
              </w:rPr>
              <w:t>Outcome</w:t>
            </w:r>
            <w:r w:rsidR="005A2D21">
              <w:rPr>
                <w:noProof/>
                <w:webHidden/>
              </w:rPr>
              <w:tab/>
            </w:r>
            <w:r>
              <w:rPr>
                <w:noProof/>
                <w:webHidden/>
              </w:rPr>
              <w:fldChar w:fldCharType="begin"/>
            </w:r>
            <w:r w:rsidR="005A2D21">
              <w:rPr>
                <w:noProof/>
                <w:webHidden/>
              </w:rPr>
              <w:instrText xml:space="preserve"> PAGEREF _Toc370985749 \h </w:instrText>
            </w:r>
            <w:r>
              <w:rPr>
                <w:noProof/>
                <w:webHidden/>
              </w:rPr>
            </w:r>
            <w:r>
              <w:rPr>
                <w:noProof/>
                <w:webHidden/>
              </w:rPr>
              <w:fldChar w:fldCharType="separate"/>
            </w:r>
            <w:r w:rsidR="006F4341">
              <w:rPr>
                <w:noProof/>
                <w:webHidden/>
              </w:rPr>
              <w:t>65</w:t>
            </w:r>
            <w:r>
              <w:rPr>
                <w:noProof/>
                <w:webHidden/>
              </w:rPr>
              <w:fldChar w:fldCharType="end"/>
            </w:r>
          </w:hyperlink>
        </w:p>
        <w:p w:rsidR="005A2D21" w:rsidRDefault="00E064FC">
          <w:pPr>
            <w:pStyle w:val="TOC2"/>
            <w:tabs>
              <w:tab w:val="left" w:pos="2448"/>
            </w:tabs>
            <w:rPr>
              <w:rFonts w:asciiTheme="minorHAnsi" w:eastAsiaTheme="minorEastAsia" w:hAnsiTheme="minorHAnsi" w:cstheme="minorBidi"/>
              <w:b w:val="0"/>
              <w:noProof/>
              <w:sz w:val="22"/>
              <w:lang w:eastAsia="en-AU" w:bidi="lo-LA"/>
            </w:rPr>
          </w:pPr>
          <w:hyperlink w:anchor="_Toc370985750" w:history="1">
            <w:r w:rsidR="005A2D21" w:rsidRPr="0076732D">
              <w:rPr>
                <w:rStyle w:val="Hyperlink"/>
                <w:noProof/>
              </w:rPr>
              <w:t>Attachment 1.</w:t>
            </w:r>
            <w:r w:rsidR="005A2D21">
              <w:rPr>
                <w:rFonts w:asciiTheme="minorHAnsi" w:eastAsiaTheme="minorEastAsia" w:hAnsiTheme="minorHAnsi" w:cstheme="minorBidi"/>
                <w:b w:val="0"/>
                <w:noProof/>
                <w:sz w:val="22"/>
                <w:lang w:eastAsia="en-AU" w:bidi="lo-LA"/>
              </w:rPr>
              <w:tab/>
            </w:r>
            <w:r w:rsidR="005A2D21" w:rsidRPr="0076732D">
              <w:rPr>
                <w:rStyle w:val="Hyperlink"/>
                <w:noProof/>
              </w:rPr>
              <w:t>Product Information</w:t>
            </w:r>
            <w:r w:rsidR="005A2D21">
              <w:rPr>
                <w:noProof/>
                <w:webHidden/>
              </w:rPr>
              <w:tab/>
            </w:r>
            <w:r>
              <w:rPr>
                <w:noProof/>
                <w:webHidden/>
              </w:rPr>
              <w:fldChar w:fldCharType="begin"/>
            </w:r>
            <w:r w:rsidR="005A2D21">
              <w:rPr>
                <w:noProof/>
                <w:webHidden/>
              </w:rPr>
              <w:instrText xml:space="preserve"> PAGEREF _Toc370985750 \h </w:instrText>
            </w:r>
            <w:r>
              <w:rPr>
                <w:noProof/>
                <w:webHidden/>
              </w:rPr>
            </w:r>
            <w:r>
              <w:rPr>
                <w:noProof/>
                <w:webHidden/>
              </w:rPr>
              <w:fldChar w:fldCharType="separate"/>
            </w:r>
            <w:r w:rsidR="006F4341">
              <w:rPr>
                <w:noProof/>
                <w:webHidden/>
              </w:rPr>
              <w:t>66</w:t>
            </w:r>
            <w:r>
              <w:rPr>
                <w:noProof/>
                <w:webHidden/>
              </w:rPr>
              <w:fldChar w:fldCharType="end"/>
            </w:r>
          </w:hyperlink>
        </w:p>
        <w:p w:rsidR="005A2D21" w:rsidRDefault="00E064FC">
          <w:pPr>
            <w:pStyle w:val="TOC2"/>
            <w:tabs>
              <w:tab w:val="left" w:pos="2448"/>
            </w:tabs>
            <w:rPr>
              <w:rFonts w:asciiTheme="minorHAnsi" w:eastAsiaTheme="minorEastAsia" w:hAnsiTheme="minorHAnsi" w:cstheme="minorBidi"/>
              <w:b w:val="0"/>
              <w:noProof/>
              <w:sz w:val="22"/>
              <w:lang w:eastAsia="en-AU" w:bidi="lo-LA"/>
            </w:rPr>
          </w:pPr>
          <w:hyperlink w:anchor="_Toc370985751" w:history="1">
            <w:r w:rsidR="005A2D21" w:rsidRPr="0076732D">
              <w:rPr>
                <w:rStyle w:val="Hyperlink"/>
                <w:noProof/>
                <w:lang w:eastAsia="en-AU"/>
              </w:rPr>
              <w:t>Attachment 2.</w:t>
            </w:r>
            <w:r w:rsidR="005A2D21">
              <w:rPr>
                <w:rFonts w:asciiTheme="minorHAnsi" w:eastAsiaTheme="minorEastAsia" w:hAnsiTheme="minorHAnsi" w:cstheme="minorBidi"/>
                <w:b w:val="0"/>
                <w:noProof/>
                <w:sz w:val="22"/>
                <w:lang w:eastAsia="en-AU" w:bidi="lo-LA"/>
              </w:rPr>
              <w:tab/>
            </w:r>
            <w:r w:rsidR="005A2D21" w:rsidRPr="0076732D">
              <w:rPr>
                <w:rStyle w:val="Hyperlink"/>
                <w:noProof/>
                <w:lang w:eastAsia="en-AU"/>
              </w:rPr>
              <w:t>Extract from the Clinical Evaluation Report</w:t>
            </w:r>
            <w:r w:rsidR="005A2D21">
              <w:rPr>
                <w:noProof/>
                <w:webHidden/>
              </w:rPr>
              <w:tab/>
            </w:r>
            <w:r>
              <w:rPr>
                <w:noProof/>
                <w:webHidden/>
              </w:rPr>
              <w:fldChar w:fldCharType="begin"/>
            </w:r>
            <w:r w:rsidR="005A2D21">
              <w:rPr>
                <w:noProof/>
                <w:webHidden/>
              </w:rPr>
              <w:instrText xml:space="preserve"> PAGEREF _Toc370985751 \h </w:instrText>
            </w:r>
            <w:r>
              <w:rPr>
                <w:noProof/>
                <w:webHidden/>
              </w:rPr>
            </w:r>
            <w:r>
              <w:rPr>
                <w:noProof/>
                <w:webHidden/>
              </w:rPr>
              <w:fldChar w:fldCharType="separate"/>
            </w:r>
            <w:r w:rsidR="006F4341">
              <w:rPr>
                <w:noProof/>
                <w:webHidden/>
              </w:rPr>
              <w:t>66</w:t>
            </w:r>
            <w:r>
              <w:rPr>
                <w:noProof/>
                <w:webHidden/>
              </w:rPr>
              <w:fldChar w:fldCharType="end"/>
            </w:r>
          </w:hyperlink>
        </w:p>
        <w:p w:rsidR="003A7F6C" w:rsidRPr="00B811C6" w:rsidRDefault="00E064FC" w:rsidP="00B811C6">
          <w:pPr>
            <w:pStyle w:val="TOC2"/>
          </w:pPr>
          <w:r>
            <w:fldChar w:fldCharType="end"/>
          </w:r>
        </w:p>
      </w:sdtContent>
    </w:sdt>
    <w:bookmarkStart w:id="2" w:name="_Toc314842482" w:displacedByCustomXml="prev"/>
    <w:p w:rsidR="00A7153E" w:rsidRDefault="00A7153E">
      <w:pPr>
        <w:spacing w:before="0" w:after="200" w:line="0" w:lineRule="auto"/>
        <w:rPr>
          <w:rFonts w:ascii="Arial" w:eastAsia="Times New Roman" w:hAnsi="Arial"/>
          <w:b/>
          <w:bCs/>
          <w:sz w:val="32"/>
          <w:szCs w:val="26"/>
        </w:rPr>
      </w:pPr>
      <w:r>
        <w:br w:type="page"/>
      </w:r>
    </w:p>
    <w:p w:rsidR="008E7846" w:rsidRDefault="00F53C07" w:rsidP="008E7846">
      <w:pPr>
        <w:pStyle w:val="Heading2"/>
      </w:pPr>
      <w:bookmarkStart w:id="3" w:name="_Toc370985713"/>
      <w:r>
        <w:lastRenderedPageBreak/>
        <w:t>I.</w:t>
      </w:r>
      <w:r w:rsidR="008E7846">
        <w:t xml:space="preserve"> Introduction to product submission</w:t>
      </w:r>
      <w:bookmarkEnd w:id="3"/>
      <w:bookmarkEnd w:id="2"/>
      <w:bookmarkEnd w:id="0"/>
    </w:p>
    <w:p w:rsidR="008E7846" w:rsidRDefault="008E7846" w:rsidP="008E7846">
      <w:pPr>
        <w:pStyle w:val="Heading3"/>
        <w:rPr>
          <w:lang w:eastAsia="en-AU"/>
        </w:rPr>
      </w:pPr>
      <w:bookmarkStart w:id="4" w:name="_Toc247691502"/>
      <w:bookmarkStart w:id="5" w:name="_Toc314842483"/>
      <w:bookmarkStart w:id="6" w:name="_Toc370985714"/>
      <w:r>
        <w:rPr>
          <w:lang w:eastAsia="en-AU"/>
        </w:rPr>
        <w:t>Submission details</w:t>
      </w:r>
      <w:bookmarkEnd w:id="4"/>
      <w:bookmarkEnd w:id="5"/>
      <w:bookmarkEnd w:id="6"/>
    </w:p>
    <w:tbl>
      <w:tblPr>
        <w:tblW w:w="9497" w:type="dxa"/>
        <w:tblInd w:w="108" w:type="dxa"/>
        <w:tblLook w:val="01E0"/>
      </w:tblPr>
      <w:tblGrid>
        <w:gridCol w:w="2907"/>
        <w:gridCol w:w="6590"/>
      </w:tblGrid>
      <w:tr w:rsidR="008E7846" w:rsidRPr="003D1E62" w:rsidTr="0089635C">
        <w:trPr>
          <w:trHeight w:hRule="exact" w:val="454"/>
        </w:trPr>
        <w:tc>
          <w:tcPr>
            <w:tcW w:w="2907" w:type="dxa"/>
          </w:tcPr>
          <w:p w:rsidR="008E7846" w:rsidRPr="003D1E62" w:rsidRDefault="00200804" w:rsidP="003D1E62">
            <w:pPr>
              <w:rPr>
                <w:i/>
              </w:rPr>
            </w:pPr>
            <w:r>
              <w:rPr>
                <w:i/>
              </w:rPr>
              <w:t>Type of s</w:t>
            </w:r>
            <w:r w:rsidR="008E7846" w:rsidRPr="003D1E62">
              <w:rPr>
                <w:i/>
              </w:rPr>
              <w:t>ubmission</w:t>
            </w:r>
            <w:r w:rsidR="00A7153E">
              <w:rPr>
                <w:i/>
              </w:rPr>
              <w:t>:</w:t>
            </w:r>
          </w:p>
        </w:tc>
        <w:tc>
          <w:tcPr>
            <w:tcW w:w="6590" w:type="dxa"/>
          </w:tcPr>
          <w:p w:rsidR="008E7846" w:rsidRPr="003D1E62" w:rsidRDefault="008E7846" w:rsidP="005E158D">
            <w:r w:rsidRPr="003D1E62">
              <w:t>New Chemical Entity</w:t>
            </w:r>
          </w:p>
        </w:tc>
      </w:tr>
      <w:tr w:rsidR="008E7846" w:rsidRPr="003D1E62" w:rsidTr="0089635C">
        <w:trPr>
          <w:trHeight w:hRule="exact" w:val="454"/>
        </w:trPr>
        <w:tc>
          <w:tcPr>
            <w:tcW w:w="2907" w:type="dxa"/>
          </w:tcPr>
          <w:p w:rsidR="008E7846" w:rsidRPr="003D1E62" w:rsidRDefault="008E7846" w:rsidP="003D1E62">
            <w:r w:rsidRPr="003D1E62">
              <w:rPr>
                <w:i/>
              </w:rPr>
              <w:t>Decision</w:t>
            </w:r>
            <w:r w:rsidRPr="003D1E62">
              <w:t>:</w:t>
            </w:r>
          </w:p>
        </w:tc>
        <w:tc>
          <w:tcPr>
            <w:tcW w:w="6590" w:type="dxa"/>
          </w:tcPr>
          <w:p w:rsidR="008E7846" w:rsidRPr="003D1E62" w:rsidRDefault="008E7846" w:rsidP="00A7153E">
            <w:r w:rsidRPr="003D1E62">
              <w:t>Approved</w:t>
            </w:r>
          </w:p>
        </w:tc>
      </w:tr>
      <w:tr w:rsidR="008E7846" w:rsidRPr="003D1E62" w:rsidTr="0089635C">
        <w:trPr>
          <w:trHeight w:hRule="exact" w:val="454"/>
        </w:trPr>
        <w:tc>
          <w:tcPr>
            <w:tcW w:w="2907" w:type="dxa"/>
          </w:tcPr>
          <w:p w:rsidR="008E7846" w:rsidRPr="003D1E62" w:rsidRDefault="008E7846" w:rsidP="00200804">
            <w:pPr>
              <w:rPr>
                <w:i/>
              </w:rPr>
            </w:pPr>
            <w:r w:rsidRPr="003D1E62">
              <w:rPr>
                <w:i/>
              </w:rPr>
              <w:t xml:space="preserve">Date of </w:t>
            </w:r>
            <w:r w:rsidR="00200804">
              <w:rPr>
                <w:i/>
              </w:rPr>
              <w:t>d</w:t>
            </w:r>
            <w:r w:rsidRPr="003D1E62">
              <w:rPr>
                <w:i/>
              </w:rPr>
              <w:t>ecision:</w:t>
            </w:r>
          </w:p>
        </w:tc>
        <w:tc>
          <w:tcPr>
            <w:tcW w:w="6590" w:type="dxa"/>
          </w:tcPr>
          <w:p w:rsidR="008E7846" w:rsidRPr="003D1E62" w:rsidRDefault="00A7153E" w:rsidP="003D1E62">
            <w:r>
              <w:t>9 August 2013</w:t>
            </w:r>
          </w:p>
        </w:tc>
      </w:tr>
    </w:tbl>
    <w:p w:rsidR="008E7846" w:rsidRDefault="008E7846" w:rsidP="008E7846"/>
    <w:tbl>
      <w:tblPr>
        <w:tblW w:w="9214" w:type="dxa"/>
        <w:tblInd w:w="108" w:type="dxa"/>
        <w:tblLook w:val="01E0"/>
      </w:tblPr>
      <w:tblGrid>
        <w:gridCol w:w="2907"/>
        <w:gridCol w:w="6307"/>
      </w:tblGrid>
      <w:tr w:rsidR="008E7846" w:rsidRPr="00487162" w:rsidTr="00BF1190">
        <w:tc>
          <w:tcPr>
            <w:tcW w:w="2907" w:type="dxa"/>
          </w:tcPr>
          <w:p w:rsidR="008E7846" w:rsidRPr="00487162" w:rsidRDefault="00A7153E" w:rsidP="00E45619">
            <w:pPr>
              <w:rPr>
                <w:i/>
              </w:rPr>
            </w:pPr>
            <w:r>
              <w:rPr>
                <w:i/>
              </w:rPr>
              <w:t>Active ingredients</w:t>
            </w:r>
            <w:r w:rsidR="008E7846" w:rsidRPr="00487162">
              <w:rPr>
                <w:i/>
              </w:rPr>
              <w:t>:</w:t>
            </w:r>
          </w:p>
        </w:tc>
        <w:tc>
          <w:tcPr>
            <w:tcW w:w="6307" w:type="dxa"/>
          </w:tcPr>
          <w:p w:rsidR="008E7846" w:rsidRPr="00487162" w:rsidRDefault="00A7153E" w:rsidP="00A7153E">
            <w:r w:rsidRPr="000F78BC">
              <w:rPr>
                <w:i/>
                <w:iCs/>
              </w:rPr>
              <w:t>Neisseria meningitidis</w:t>
            </w:r>
            <w:r w:rsidRPr="00A7153E">
              <w:t xml:space="preserve"> Group B Factor H Binding Protein fusion protein</w:t>
            </w:r>
            <w:r>
              <w:t xml:space="preserve">, </w:t>
            </w:r>
            <w:r w:rsidRPr="000F78BC">
              <w:rPr>
                <w:i/>
                <w:iCs/>
              </w:rPr>
              <w:t>Neisseria meningitidis</w:t>
            </w:r>
            <w:r w:rsidRPr="00A7153E">
              <w:t xml:space="preserve"> Group B </w:t>
            </w:r>
            <w:proofErr w:type="spellStart"/>
            <w:r w:rsidRPr="00A7153E">
              <w:t>Neisseria</w:t>
            </w:r>
            <w:proofErr w:type="spellEnd"/>
            <w:r w:rsidRPr="00A7153E">
              <w:t xml:space="preserve"> </w:t>
            </w:r>
            <w:proofErr w:type="spellStart"/>
            <w:r w:rsidRPr="00A7153E">
              <w:t>Adhesin</w:t>
            </w:r>
            <w:proofErr w:type="spellEnd"/>
            <w:r w:rsidRPr="00A7153E">
              <w:t xml:space="preserve"> A protein</w:t>
            </w:r>
            <w:r>
              <w:t xml:space="preserve">, </w:t>
            </w:r>
            <w:proofErr w:type="spellStart"/>
            <w:r w:rsidRPr="000F78BC">
              <w:rPr>
                <w:i/>
                <w:iCs/>
              </w:rPr>
              <w:t>Neisseria</w:t>
            </w:r>
            <w:proofErr w:type="spellEnd"/>
            <w:r w:rsidRPr="000F78BC">
              <w:rPr>
                <w:i/>
                <w:iCs/>
              </w:rPr>
              <w:t xml:space="preserve"> meningitidis</w:t>
            </w:r>
            <w:r w:rsidRPr="00A7153E">
              <w:t xml:space="preserve"> Group B Neisseria Heparin Binding Antigen fusion protein</w:t>
            </w:r>
            <w:r>
              <w:t xml:space="preserve">, </w:t>
            </w:r>
            <w:r w:rsidRPr="000F78BC">
              <w:rPr>
                <w:i/>
                <w:iCs/>
              </w:rPr>
              <w:t>Neisseria meningitidis</w:t>
            </w:r>
            <w:r w:rsidRPr="00A7153E">
              <w:t xml:space="preserve"> serogroup B outer membrane vesicles</w:t>
            </w:r>
          </w:p>
        </w:tc>
      </w:tr>
      <w:tr w:rsidR="008E7846" w:rsidRPr="00487162" w:rsidTr="00BF1190">
        <w:tc>
          <w:tcPr>
            <w:tcW w:w="2907" w:type="dxa"/>
          </w:tcPr>
          <w:p w:rsidR="008E7846" w:rsidRPr="00487162" w:rsidRDefault="008B42A1" w:rsidP="00E45619">
            <w:pPr>
              <w:rPr>
                <w:i/>
              </w:rPr>
            </w:pPr>
            <w:r>
              <w:rPr>
                <w:i/>
              </w:rPr>
              <w:t>Product n</w:t>
            </w:r>
            <w:r w:rsidR="00A7153E">
              <w:rPr>
                <w:i/>
              </w:rPr>
              <w:t>ame</w:t>
            </w:r>
            <w:r w:rsidR="008E7846" w:rsidRPr="00487162">
              <w:rPr>
                <w:i/>
              </w:rPr>
              <w:t>:</w:t>
            </w:r>
          </w:p>
        </w:tc>
        <w:tc>
          <w:tcPr>
            <w:tcW w:w="6307" w:type="dxa"/>
          </w:tcPr>
          <w:p w:rsidR="008E7846" w:rsidRPr="00487162" w:rsidRDefault="00A7153E" w:rsidP="000F78BC">
            <w:proofErr w:type="spellStart"/>
            <w:r>
              <w:t>Bexsero</w:t>
            </w:r>
            <w:proofErr w:type="spellEnd"/>
          </w:p>
        </w:tc>
      </w:tr>
      <w:tr w:rsidR="008E7846" w:rsidRPr="00487162" w:rsidTr="00BF1190">
        <w:tc>
          <w:tcPr>
            <w:tcW w:w="2907" w:type="dxa"/>
          </w:tcPr>
          <w:p w:rsidR="008E7846" w:rsidRPr="00487162" w:rsidRDefault="008B42A1" w:rsidP="008B42A1">
            <w:pPr>
              <w:rPr>
                <w:i/>
              </w:rPr>
            </w:pPr>
            <w:r>
              <w:rPr>
                <w:i/>
              </w:rPr>
              <w:t>Sponsor’s n</w:t>
            </w:r>
            <w:r w:rsidR="008E7846" w:rsidRPr="00487162">
              <w:rPr>
                <w:i/>
              </w:rPr>
              <w:t xml:space="preserve">ame and </w:t>
            </w:r>
            <w:r>
              <w:rPr>
                <w:i/>
              </w:rPr>
              <w:t>a</w:t>
            </w:r>
            <w:r w:rsidR="008E7846" w:rsidRPr="00487162">
              <w:rPr>
                <w:i/>
              </w:rPr>
              <w:t>ddress:</w:t>
            </w:r>
          </w:p>
        </w:tc>
        <w:tc>
          <w:tcPr>
            <w:tcW w:w="6307" w:type="dxa"/>
          </w:tcPr>
          <w:p w:rsidR="00297AA7" w:rsidRPr="00487162" w:rsidRDefault="00297AA7" w:rsidP="00297AA7">
            <w:r w:rsidRPr="00297AA7">
              <w:t>Novartis Vaccines and Diagnostics Pty Ltd</w:t>
            </w:r>
            <w:r>
              <w:br/>
              <w:t>54 Waterloo Road</w:t>
            </w:r>
            <w:r>
              <w:br/>
              <w:t>North Ryde</w:t>
            </w:r>
            <w:r w:rsidR="00B66DC3">
              <w:t xml:space="preserve"> </w:t>
            </w:r>
            <w:r w:rsidR="005E158D">
              <w:t xml:space="preserve"> </w:t>
            </w:r>
            <w:r>
              <w:t>NSW</w:t>
            </w:r>
            <w:r w:rsidR="00B66DC3">
              <w:t xml:space="preserve"> </w:t>
            </w:r>
            <w:r w:rsidR="005E158D">
              <w:t xml:space="preserve"> </w:t>
            </w:r>
            <w:r>
              <w:t>2113</w:t>
            </w:r>
          </w:p>
        </w:tc>
      </w:tr>
      <w:tr w:rsidR="008E7846" w:rsidRPr="00487162" w:rsidTr="00BF1190">
        <w:tc>
          <w:tcPr>
            <w:tcW w:w="2907" w:type="dxa"/>
          </w:tcPr>
          <w:p w:rsidR="008E7846" w:rsidRPr="00487162" w:rsidRDefault="00A7153E" w:rsidP="00E45619">
            <w:pPr>
              <w:rPr>
                <w:i/>
              </w:rPr>
            </w:pPr>
            <w:r>
              <w:rPr>
                <w:i/>
              </w:rPr>
              <w:t>Dose form</w:t>
            </w:r>
            <w:r w:rsidR="008E7846" w:rsidRPr="00487162">
              <w:rPr>
                <w:i/>
              </w:rPr>
              <w:t>:</w:t>
            </w:r>
          </w:p>
        </w:tc>
        <w:tc>
          <w:tcPr>
            <w:tcW w:w="6307" w:type="dxa"/>
          </w:tcPr>
          <w:p w:rsidR="008E7846" w:rsidRPr="00487162" w:rsidRDefault="00A7153E" w:rsidP="00E45619">
            <w:r>
              <w:t>Suspension for injection</w:t>
            </w:r>
          </w:p>
        </w:tc>
      </w:tr>
      <w:tr w:rsidR="008E7846" w:rsidRPr="00487162" w:rsidTr="00BF1190">
        <w:tc>
          <w:tcPr>
            <w:tcW w:w="2907" w:type="dxa"/>
          </w:tcPr>
          <w:p w:rsidR="008E7846" w:rsidRPr="00487162" w:rsidRDefault="00E61D57" w:rsidP="00E45619">
            <w:pPr>
              <w:rPr>
                <w:i/>
              </w:rPr>
            </w:pPr>
            <w:r>
              <w:rPr>
                <w:i/>
              </w:rPr>
              <w:t>Strength</w:t>
            </w:r>
            <w:r w:rsidR="008E7846" w:rsidRPr="00487162">
              <w:rPr>
                <w:i/>
              </w:rPr>
              <w:t>:</w:t>
            </w:r>
          </w:p>
        </w:tc>
        <w:tc>
          <w:tcPr>
            <w:tcW w:w="6307" w:type="dxa"/>
          </w:tcPr>
          <w:p w:rsidR="008E7846" w:rsidRPr="00487162" w:rsidRDefault="00A513B2" w:rsidP="000F78BC">
            <w:r w:rsidRPr="00A513B2">
              <w:t>One dose (0.5</w:t>
            </w:r>
            <w:r w:rsidR="000F78BC">
              <w:t xml:space="preserve"> </w:t>
            </w:r>
            <w:r w:rsidRPr="00A513B2">
              <w:t>mL) contains 50</w:t>
            </w:r>
            <w:r w:rsidR="000F78BC">
              <w:t xml:space="preserve"> </w:t>
            </w:r>
            <w:r w:rsidRPr="00A513B2">
              <w:t xml:space="preserve">µg of each of the 3 recombinant </w:t>
            </w:r>
            <w:r w:rsidRPr="00A513B2">
              <w:rPr>
                <w:i/>
              </w:rPr>
              <w:t xml:space="preserve">Neisseria </w:t>
            </w:r>
            <w:r w:rsidR="0039703B">
              <w:rPr>
                <w:i/>
              </w:rPr>
              <w:t xml:space="preserve">(N.) </w:t>
            </w:r>
            <w:r w:rsidRPr="00A513B2">
              <w:rPr>
                <w:i/>
              </w:rPr>
              <w:t>meningitidis</w:t>
            </w:r>
            <w:r w:rsidRPr="00A513B2">
              <w:t xml:space="preserve"> Group B proteins and 25 µg </w:t>
            </w:r>
            <w:r w:rsidR="000F78BC">
              <w:t>outer membrane vesicles</w:t>
            </w:r>
          </w:p>
        </w:tc>
      </w:tr>
      <w:tr w:rsidR="008E7846" w:rsidRPr="00487162" w:rsidTr="00BF1190">
        <w:tc>
          <w:tcPr>
            <w:tcW w:w="2907" w:type="dxa"/>
          </w:tcPr>
          <w:p w:rsidR="008E7846" w:rsidRPr="00487162" w:rsidRDefault="00297AA7" w:rsidP="00E45619">
            <w:pPr>
              <w:rPr>
                <w:i/>
              </w:rPr>
            </w:pPr>
            <w:r>
              <w:rPr>
                <w:i/>
              </w:rPr>
              <w:t>Container</w:t>
            </w:r>
            <w:r w:rsidR="008E7846" w:rsidRPr="00487162">
              <w:rPr>
                <w:i/>
              </w:rPr>
              <w:t>:</w:t>
            </w:r>
          </w:p>
        </w:tc>
        <w:tc>
          <w:tcPr>
            <w:tcW w:w="6307" w:type="dxa"/>
          </w:tcPr>
          <w:p w:rsidR="008E7846" w:rsidRPr="00487162" w:rsidRDefault="00297AA7" w:rsidP="00410D15">
            <w:r>
              <w:t xml:space="preserve">Prefilled syringe with </w:t>
            </w:r>
            <w:r w:rsidR="00410D15">
              <w:t xml:space="preserve">or </w:t>
            </w:r>
            <w:r>
              <w:t>without needle</w:t>
            </w:r>
          </w:p>
        </w:tc>
      </w:tr>
      <w:tr w:rsidR="008E7846" w:rsidRPr="00487162" w:rsidTr="00BF1190">
        <w:tc>
          <w:tcPr>
            <w:tcW w:w="2907" w:type="dxa"/>
          </w:tcPr>
          <w:p w:rsidR="008E7846" w:rsidRPr="00487162" w:rsidRDefault="008E7846" w:rsidP="00297AA7">
            <w:pPr>
              <w:rPr>
                <w:i/>
              </w:rPr>
            </w:pPr>
            <w:r w:rsidRPr="00487162">
              <w:rPr>
                <w:i/>
              </w:rPr>
              <w:t>Pac</w:t>
            </w:r>
            <w:r w:rsidR="00297AA7">
              <w:rPr>
                <w:i/>
              </w:rPr>
              <w:t>k size</w:t>
            </w:r>
            <w:r w:rsidRPr="00487162">
              <w:rPr>
                <w:i/>
              </w:rPr>
              <w:t>s:</w:t>
            </w:r>
          </w:p>
        </w:tc>
        <w:tc>
          <w:tcPr>
            <w:tcW w:w="6307" w:type="dxa"/>
          </w:tcPr>
          <w:p w:rsidR="008E7846" w:rsidRPr="00487162" w:rsidRDefault="00297AA7" w:rsidP="00410D15">
            <w:r>
              <w:t xml:space="preserve">1 (with </w:t>
            </w:r>
            <w:r w:rsidR="00410D15">
              <w:t xml:space="preserve">or </w:t>
            </w:r>
            <w:r>
              <w:t>without needle) and 10 (without needle)</w:t>
            </w:r>
          </w:p>
        </w:tc>
      </w:tr>
      <w:tr w:rsidR="008E7846" w:rsidRPr="00487162" w:rsidTr="00BF1190">
        <w:tc>
          <w:tcPr>
            <w:tcW w:w="2907" w:type="dxa"/>
          </w:tcPr>
          <w:p w:rsidR="008E7846" w:rsidRPr="00487162" w:rsidRDefault="008B42A1" w:rsidP="00E45619">
            <w:pPr>
              <w:rPr>
                <w:i/>
              </w:rPr>
            </w:pPr>
            <w:r>
              <w:rPr>
                <w:i/>
              </w:rPr>
              <w:t>Approved t</w:t>
            </w:r>
            <w:r w:rsidR="008E7846" w:rsidRPr="00487162">
              <w:rPr>
                <w:i/>
              </w:rPr>
              <w:t>herapeutic use:</w:t>
            </w:r>
          </w:p>
        </w:tc>
        <w:tc>
          <w:tcPr>
            <w:tcW w:w="6307" w:type="dxa"/>
          </w:tcPr>
          <w:p w:rsidR="008E7846" w:rsidRPr="00487162" w:rsidRDefault="00A7153E" w:rsidP="00A7153E">
            <w:pPr>
              <w:rPr>
                <w:rFonts w:eastAsia="MS Mincho"/>
                <w:lang w:eastAsia="ja-JP"/>
              </w:rPr>
            </w:pPr>
            <w:r w:rsidRPr="00A7153E">
              <w:t>B</w:t>
            </w:r>
            <w:r w:rsidR="005E158D" w:rsidRPr="00A7153E">
              <w:t>exsero</w:t>
            </w:r>
            <w:r w:rsidRPr="00A7153E">
              <w:t xml:space="preserve"> is indicated for active immunisation against invasive disease caused by </w:t>
            </w:r>
            <w:r w:rsidR="00B50959" w:rsidRPr="00B50959">
              <w:rPr>
                <w:i/>
                <w:iCs/>
              </w:rPr>
              <w:t>N. meningitidis</w:t>
            </w:r>
            <w:r w:rsidRPr="00A7153E">
              <w:t xml:space="preserve"> group B strains. See P</w:t>
            </w:r>
            <w:r w:rsidR="005E158D" w:rsidRPr="00A7153E">
              <w:t>harmacology</w:t>
            </w:r>
            <w:r w:rsidRPr="00A7153E">
              <w:t xml:space="preserve"> for information on protection</w:t>
            </w:r>
            <w:r>
              <w:t xml:space="preserve"> </w:t>
            </w:r>
            <w:r w:rsidRPr="00A7153E">
              <w:t>against specific group B strains.</w:t>
            </w:r>
            <w:r w:rsidRPr="00A7153E">
              <w:br/>
              <w:t>B</w:t>
            </w:r>
            <w:r w:rsidR="005E158D" w:rsidRPr="00A7153E">
              <w:t>exsero</w:t>
            </w:r>
            <w:r w:rsidRPr="00A7153E">
              <w:t xml:space="preserve"> is indicated for vaccination of individuals from 2 months of age and older.</w:t>
            </w:r>
          </w:p>
        </w:tc>
      </w:tr>
      <w:tr w:rsidR="008E7846" w:rsidRPr="00487162" w:rsidTr="00BF1190">
        <w:tc>
          <w:tcPr>
            <w:tcW w:w="2907" w:type="dxa"/>
          </w:tcPr>
          <w:p w:rsidR="008E7846" w:rsidRPr="00487162" w:rsidRDefault="00A7153E" w:rsidP="00E45619">
            <w:pPr>
              <w:rPr>
                <w:i/>
              </w:rPr>
            </w:pPr>
            <w:r>
              <w:rPr>
                <w:i/>
              </w:rPr>
              <w:t>Route</w:t>
            </w:r>
            <w:r w:rsidR="008E7846" w:rsidRPr="00487162">
              <w:rPr>
                <w:i/>
              </w:rPr>
              <w:t xml:space="preserve"> of administration:</w:t>
            </w:r>
          </w:p>
        </w:tc>
        <w:tc>
          <w:tcPr>
            <w:tcW w:w="6307" w:type="dxa"/>
          </w:tcPr>
          <w:p w:rsidR="008E7846" w:rsidRPr="00487162" w:rsidRDefault="00A7153E" w:rsidP="00E45619">
            <w:r>
              <w:t>Intramuscular injection</w:t>
            </w:r>
          </w:p>
        </w:tc>
      </w:tr>
      <w:tr w:rsidR="008E7846" w:rsidRPr="00487162" w:rsidTr="00BF1190">
        <w:tc>
          <w:tcPr>
            <w:tcW w:w="2907" w:type="dxa"/>
          </w:tcPr>
          <w:p w:rsidR="008E7846" w:rsidRPr="00487162" w:rsidRDefault="008E7846" w:rsidP="00AF1A89">
            <w:pPr>
              <w:rPr>
                <w:i/>
              </w:rPr>
            </w:pPr>
            <w:r w:rsidRPr="00487162">
              <w:rPr>
                <w:i/>
              </w:rPr>
              <w:t>Dosage</w:t>
            </w:r>
            <w:r w:rsidR="000F78BC">
              <w:rPr>
                <w:i/>
              </w:rPr>
              <w:t xml:space="preserve"> (</w:t>
            </w:r>
            <w:r w:rsidR="00AF1A89">
              <w:rPr>
                <w:i/>
              </w:rPr>
              <w:t>abbreviated</w:t>
            </w:r>
            <w:r w:rsidR="000F78BC">
              <w:rPr>
                <w:i/>
              </w:rPr>
              <w:t>)</w:t>
            </w:r>
            <w:r w:rsidRPr="00487162">
              <w:rPr>
                <w:i/>
              </w:rPr>
              <w:t>:</w:t>
            </w:r>
          </w:p>
        </w:tc>
        <w:tc>
          <w:tcPr>
            <w:tcW w:w="6307" w:type="dxa"/>
          </w:tcPr>
          <w:p w:rsidR="00AF1A89" w:rsidRDefault="00AF1A89" w:rsidP="00AF1A89">
            <w:r>
              <w:t>Infants aged 2 months to 5 months: three doses, each of 0.5 ml, with an interval of at least 1 month between doses. A booster dose is recommended between 12 mont</w:t>
            </w:r>
            <w:r w:rsidR="008B42A1">
              <w:t>hs and 23 months of age.</w:t>
            </w:r>
          </w:p>
          <w:p w:rsidR="00AF1A89" w:rsidRDefault="00AF1A89" w:rsidP="00AF1A89">
            <w:r>
              <w:t>Unvaccinated infants aged 6 months to 11 months: two doses of 0.5 mL with an interval of at least 2 months between doses. A booster dose is recomme</w:t>
            </w:r>
            <w:r w:rsidR="008B42A1">
              <w:t>nded in the second year of life.</w:t>
            </w:r>
          </w:p>
          <w:p w:rsidR="00AF1A89" w:rsidRDefault="00AF1A89" w:rsidP="00AF1A89">
            <w:r>
              <w:t xml:space="preserve">Unvaccinated toddlers and children aged 12 months to 10 years: </w:t>
            </w:r>
            <w:r w:rsidRPr="00AF1A89">
              <w:t xml:space="preserve">two doses of 0.5 mL with an interval of at least 2 </w:t>
            </w:r>
            <w:r>
              <w:t>between doses. The need for a booster dose after this vaccination sc</w:t>
            </w:r>
            <w:r w:rsidR="008B42A1">
              <w:t>hedule has not been established.</w:t>
            </w:r>
          </w:p>
          <w:p w:rsidR="00AF1A89" w:rsidRDefault="00AF1A89" w:rsidP="00AF1A89">
            <w:r>
              <w:lastRenderedPageBreak/>
              <w:t>Individuals 11 years to 50 years of age: two doses, each of 0.5 mL, with an interval of at least 1 month between doses. The need for a booster dose after this vaccination sc</w:t>
            </w:r>
            <w:r w:rsidR="008B42A1">
              <w:t>hedule has not been established.</w:t>
            </w:r>
          </w:p>
          <w:p w:rsidR="008E7846" w:rsidRPr="00AF1A89" w:rsidRDefault="00AF1A89" w:rsidP="00AF1A89">
            <w:r>
              <w:t>Individuals above 50 years of age: There are no data in individuals above 50 years of age.</w:t>
            </w:r>
          </w:p>
        </w:tc>
      </w:tr>
      <w:tr w:rsidR="008E7846" w:rsidRPr="00487162" w:rsidTr="00BF1190">
        <w:tc>
          <w:tcPr>
            <w:tcW w:w="2907" w:type="dxa"/>
          </w:tcPr>
          <w:p w:rsidR="008E7846" w:rsidRPr="00487162" w:rsidRDefault="008B42A1" w:rsidP="00E45619">
            <w:pPr>
              <w:rPr>
                <w:i/>
              </w:rPr>
            </w:pPr>
            <w:r>
              <w:rPr>
                <w:i/>
              </w:rPr>
              <w:lastRenderedPageBreak/>
              <w:t>ARTG n</w:t>
            </w:r>
            <w:r w:rsidR="00297AA7">
              <w:rPr>
                <w:i/>
              </w:rPr>
              <w:t>umber</w:t>
            </w:r>
            <w:r w:rsidR="008E7846" w:rsidRPr="00487162">
              <w:rPr>
                <w:i/>
              </w:rPr>
              <w:t>s</w:t>
            </w:r>
            <w:r w:rsidR="00297AA7">
              <w:rPr>
                <w:i/>
              </w:rPr>
              <w:t>:</w:t>
            </w:r>
          </w:p>
        </w:tc>
        <w:tc>
          <w:tcPr>
            <w:tcW w:w="6307" w:type="dxa"/>
          </w:tcPr>
          <w:p w:rsidR="008E7846" w:rsidRPr="00487162" w:rsidRDefault="00297AA7" w:rsidP="00297AA7">
            <w:r w:rsidRPr="00297AA7">
              <w:t xml:space="preserve">190719 </w:t>
            </w:r>
            <w:r>
              <w:t xml:space="preserve">and </w:t>
            </w:r>
            <w:r w:rsidRPr="00297AA7">
              <w:t>190718</w:t>
            </w:r>
          </w:p>
        </w:tc>
      </w:tr>
    </w:tbl>
    <w:p w:rsidR="008E7846" w:rsidRDefault="008E7846" w:rsidP="008E7846">
      <w:pPr>
        <w:pStyle w:val="Heading3"/>
      </w:pPr>
      <w:bookmarkStart w:id="7" w:name="_Toc247691503"/>
      <w:bookmarkStart w:id="8" w:name="_Toc314842484"/>
      <w:bookmarkStart w:id="9" w:name="_Toc370985715"/>
      <w:r>
        <w:t>Product background</w:t>
      </w:r>
      <w:bookmarkEnd w:id="7"/>
      <w:bookmarkEnd w:id="8"/>
      <w:bookmarkEnd w:id="9"/>
    </w:p>
    <w:p w:rsidR="00A1538B" w:rsidRDefault="00A1538B" w:rsidP="008B42A1">
      <w:r w:rsidRPr="00A1538B">
        <w:t xml:space="preserve">This </w:t>
      </w:r>
      <w:r>
        <w:t xml:space="preserve">AusPAR describes the application by </w:t>
      </w:r>
      <w:r w:rsidRPr="00A1538B">
        <w:t>Novartis Vaccines and Diagnostics Pty Ltd</w:t>
      </w:r>
      <w:r>
        <w:t xml:space="preserve"> (the sponsor) to register Bexsero m</w:t>
      </w:r>
      <w:r w:rsidRPr="00A1538B">
        <w:t>eningococcal B vaccine</w:t>
      </w:r>
      <w:r>
        <w:t xml:space="preserve"> </w:t>
      </w:r>
      <w:r w:rsidRPr="00A1538B">
        <w:t xml:space="preserve">for active immunisation against invasive </w:t>
      </w:r>
      <w:r>
        <w:t xml:space="preserve">meningococcal </w:t>
      </w:r>
      <w:r w:rsidRPr="00A1538B">
        <w:t xml:space="preserve">disease </w:t>
      </w:r>
      <w:r>
        <w:t xml:space="preserve">(IMD) </w:t>
      </w:r>
      <w:r w:rsidRPr="00A1538B">
        <w:t xml:space="preserve">caused by </w:t>
      </w:r>
      <w:r w:rsidRPr="00A1538B">
        <w:rPr>
          <w:i/>
          <w:iCs/>
        </w:rPr>
        <w:t>Neisseria meningitidis</w:t>
      </w:r>
      <w:r w:rsidRPr="00A1538B">
        <w:t xml:space="preserve"> </w:t>
      </w:r>
      <w:r>
        <w:t>(</w:t>
      </w:r>
      <w:r w:rsidRPr="00A1538B">
        <w:rPr>
          <w:i/>
          <w:iCs/>
        </w:rPr>
        <w:t>N. meningitidis</w:t>
      </w:r>
      <w:r w:rsidRPr="00A1538B">
        <w:t>) serogroup B strains in individuals from 2 months of age and older.</w:t>
      </w:r>
    </w:p>
    <w:p w:rsidR="00A1538B" w:rsidRPr="00A1538B" w:rsidRDefault="00A1538B" w:rsidP="008B42A1">
      <w:r w:rsidRPr="00A1538B">
        <w:t>This vaccine is a liquid suspension ad</w:t>
      </w:r>
      <w:r w:rsidR="004863EF">
        <w:t xml:space="preserve">sorbed on </w:t>
      </w:r>
      <w:r w:rsidRPr="00A1538B">
        <w:t xml:space="preserve">aluminium hydroxide </w:t>
      </w:r>
      <w:r>
        <w:t>(</w:t>
      </w:r>
      <w:proofErr w:type="gramStart"/>
      <w:r>
        <w:t>Al(</w:t>
      </w:r>
      <w:proofErr w:type="gramEnd"/>
      <w:r>
        <w:t>OH)</w:t>
      </w:r>
      <w:r w:rsidRPr="00A1538B">
        <w:rPr>
          <w:vertAlign w:val="subscript"/>
        </w:rPr>
        <w:t>3</w:t>
      </w:r>
      <w:r>
        <w:t>)</w:t>
      </w:r>
      <w:r w:rsidR="00724BBF">
        <w:t xml:space="preserve"> </w:t>
      </w:r>
      <w:r w:rsidRPr="00A1538B">
        <w:t xml:space="preserve">and presented as a mono-dose (in a glass syringe) ready for intramuscular </w:t>
      </w:r>
      <w:r>
        <w:t xml:space="preserve">(IM) </w:t>
      </w:r>
      <w:r w:rsidRPr="00A1538B">
        <w:t xml:space="preserve">injection. The composition of the vaccine is </w:t>
      </w:r>
      <w:r w:rsidR="00B26C4D">
        <w:t xml:space="preserve">shown </w:t>
      </w:r>
      <w:r w:rsidRPr="00A1538B">
        <w:t>in Table 1.</w:t>
      </w:r>
    </w:p>
    <w:p w:rsidR="00A1538B" w:rsidRPr="00A1538B" w:rsidRDefault="00A1538B" w:rsidP="008B42A1">
      <w:pPr>
        <w:pStyle w:val="TableTitle"/>
      </w:pPr>
      <w:bookmarkStart w:id="10" w:name="_Ref317686165"/>
      <w:bookmarkStart w:id="11" w:name="_Toc347406375"/>
      <w:proofErr w:type="gramStart"/>
      <w:r w:rsidRPr="00A1538B">
        <w:t>Table</w:t>
      </w:r>
      <w:bookmarkEnd w:id="10"/>
      <w:r w:rsidRPr="00A1538B">
        <w:t xml:space="preserve"> 1</w:t>
      </w:r>
      <w:r w:rsidR="001D7C7D">
        <w:t>.</w:t>
      </w:r>
      <w:proofErr w:type="gramEnd"/>
      <w:r w:rsidRPr="00A1538B">
        <w:t xml:space="preserve"> Composition of </w:t>
      </w:r>
      <w:r w:rsidR="0007306A">
        <w:t xml:space="preserve">Bexsero </w:t>
      </w:r>
      <w:r w:rsidRPr="00A1538B">
        <w:t>vaccine</w:t>
      </w:r>
      <w:bookmarkEnd w:id="11"/>
    </w:p>
    <w:tbl>
      <w:tblPr>
        <w:tblStyle w:val="TableTGAblue"/>
        <w:tblW w:w="0" w:type="auto"/>
        <w:tblInd w:w="108" w:type="dxa"/>
        <w:tblLook w:val="04A0"/>
      </w:tblPr>
      <w:tblGrid>
        <w:gridCol w:w="4257"/>
        <w:gridCol w:w="4355"/>
      </w:tblGrid>
      <w:tr w:rsidR="00A1538B" w:rsidRPr="00A1538B" w:rsidTr="008B42A1">
        <w:trPr>
          <w:cnfStyle w:val="100000000000"/>
          <w:tblHeader/>
        </w:trPr>
        <w:tc>
          <w:tcPr>
            <w:tcW w:w="4257" w:type="dxa"/>
            <w:hideMark/>
          </w:tcPr>
          <w:p w:rsidR="00FA01FD" w:rsidRPr="00A1538B" w:rsidRDefault="00A1538B" w:rsidP="00A1538B">
            <w:pPr>
              <w:ind w:left="0" w:right="0"/>
            </w:pPr>
            <w:r w:rsidRPr="00A1538B">
              <w:t>Active ingredients</w:t>
            </w:r>
          </w:p>
        </w:tc>
        <w:tc>
          <w:tcPr>
            <w:tcW w:w="4355" w:type="dxa"/>
            <w:hideMark/>
          </w:tcPr>
          <w:p w:rsidR="00FA01FD" w:rsidRPr="00A1538B" w:rsidRDefault="00A1538B" w:rsidP="00A1538B">
            <w:pPr>
              <w:ind w:left="0" w:right="0"/>
            </w:pPr>
            <w:r w:rsidRPr="00A1538B">
              <w:t>Other ingredients</w:t>
            </w:r>
          </w:p>
        </w:tc>
      </w:tr>
      <w:tr w:rsidR="00A1538B" w:rsidRPr="00A1538B" w:rsidTr="00755627">
        <w:tc>
          <w:tcPr>
            <w:tcW w:w="4257" w:type="dxa"/>
            <w:hideMark/>
          </w:tcPr>
          <w:p w:rsidR="00A1538B" w:rsidRPr="00A1538B" w:rsidRDefault="00A1538B" w:rsidP="00A1538B">
            <w:pPr>
              <w:ind w:left="0" w:right="0"/>
              <w:rPr>
                <w:bCs/>
              </w:rPr>
            </w:pPr>
            <w:r w:rsidRPr="00A1538B">
              <w:rPr>
                <w:bCs/>
                <w:i/>
                <w:iCs/>
              </w:rPr>
              <w:t>N. meningit</w:t>
            </w:r>
            <w:r w:rsidR="007B6E1F">
              <w:rPr>
                <w:bCs/>
                <w:i/>
                <w:iCs/>
              </w:rPr>
              <w:t>id</w:t>
            </w:r>
            <w:r w:rsidRPr="00A1538B">
              <w:rPr>
                <w:bCs/>
                <w:i/>
                <w:iCs/>
              </w:rPr>
              <w:t>is</w:t>
            </w:r>
            <w:r w:rsidRPr="00A1538B">
              <w:rPr>
                <w:bCs/>
              </w:rPr>
              <w:t xml:space="preserve"> </w:t>
            </w:r>
            <w:r w:rsidR="00410D15" w:rsidRPr="00410D15">
              <w:rPr>
                <w:bCs/>
              </w:rPr>
              <w:t xml:space="preserve">Group B Neisseria Heparin Binding Antigen fusion protein </w:t>
            </w:r>
            <w:r w:rsidR="00410D15">
              <w:rPr>
                <w:bCs/>
              </w:rPr>
              <w:t>(</w:t>
            </w:r>
            <w:r w:rsidRPr="00A1538B">
              <w:rPr>
                <w:bCs/>
              </w:rPr>
              <w:t>961c purified antigen</w:t>
            </w:r>
            <w:r w:rsidR="00410D15">
              <w:rPr>
                <w:bCs/>
              </w:rPr>
              <w:t>)</w:t>
            </w:r>
          </w:p>
          <w:p w:rsidR="00A1538B" w:rsidRPr="00A1538B" w:rsidRDefault="00A1538B" w:rsidP="00A1538B">
            <w:pPr>
              <w:ind w:left="0" w:right="0"/>
            </w:pPr>
            <w:r w:rsidRPr="00A1538B">
              <w:rPr>
                <w:i/>
                <w:iCs/>
              </w:rPr>
              <w:t>N. meningiti</w:t>
            </w:r>
            <w:r w:rsidR="007B6E1F">
              <w:rPr>
                <w:i/>
                <w:iCs/>
              </w:rPr>
              <w:t>di</w:t>
            </w:r>
            <w:r w:rsidRPr="00A1538B">
              <w:rPr>
                <w:i/>
                <w:iCs/>
              </w:rPr>
              <w:t>s</w:t>
            </w:r>
            <w:r w:rsidRPr="00A1538B">
              <w:t xml:space="preserve"> </w:t>
            </w:r>
            <w:r w:rsidR="00410D15" w:rsidRPr="00410D15">
              <w:t xml:space="preserve">Group B </w:t>
            </w:r>
            <w:proofErr w:type="spellStart"/>
            <w:r w:rsidR="00410D15" w:rsidRPr="00410D15">
              <w:t>Neisseria</w:t>
            </w:r>
            <w:proofErr w:type="spellEnd"/>
            <w:r w:rsidR="00410D15" w:rsidRPr="00410D15">
              <w:t xml:space="preserve"> </w:t>
            </w:r>
            <w:proofErr w:type="spellStart"/>
            <w:r w:rsidR="00410D15" w:rsidRPr="00410D15">
              <w:t>Adhesin</w:t>
            </w:r>
            <w:proofErr w:type="spellEnd"/>
            <w:r w:rsidR="00410D15" w:rsidRPr="00410D15">
              <w:t xml:space="preserve"> A protein </w:t>
            </w:r>
            <w:r w:rsidR="00410D15">
              <w:t>(</w:t>
            </w:r>
            <w:r w:rsidRPr="00A1538B">
              <w:t>936-741 purified antigen</w:t>
            </w:r>
            <w:r w:rsidR="00410D15">
              <w:t>)</w:t>
            </w:r>
          </w:p>
          <w:p w:rsidR="00A1538B" w:rsidRPr="00A1538B" w:rsidRDefault="00A1538B" w:rsidP="00A1538B">
            <w:pPr>
              <w:ind w:left="0" w:right="0"/>
            </w:pPr>
            <w:r w:rsidRPr="00A1538B">
              <w:rPr>
                <w:i/>
                <w:iCs/>
              </w:rPr>
              <w:t>N. meningiti</w:t>
            </w:r>
            <w:r w:rsidR="007B6E1F">
              <w:rPr>
                <w:i/>
                <w:iCs/>
              </w:rPr>
              <w:t>di</w:t>
            </w:r>
            <w:r w:rsidRPr="00A1538B">
              <w:rPr>
                <w:i/>
                <w:iCs/>
              </w:rPr>
              <w:t>s</w:t>
            </w:r>
            <w:r w:rsidRPr="00A1538B">
              <w:t xml:space="preserve"> </w:t>
            </w:r>
            <w:r w:rsidR="00410D15">
              <w:t>(</w:t>
            </w:r>
            <w:r w:rsidR="00410D15" w:rsidRPr="00410D15">
              <w:t>Group B Factor H Binding Protein fusion protein</w:t>
            </w:r>
            <w:r w:rsidR="00410D15">
              <w:t>)</w:t>
            </w:r>
            <w:r w:rsidR="00410D15" w:rsidRPr="00410D15">
              <w:t xml:space="preserve"> </w:t>
            </w:r>
            <w:r w:rsidRPr="00A1538B">
              <w:t>∆G287-953 purified antigen</w:t>
            </w:r>
          </w:p>
          <w:p w:rsidR="00FA01FD" w:rsidRPr="00A1538B" w:rsidRDefault="00410D15" w:rsidP="00410D15">
            <w:pPr>
              <w:ind w:left="0" w:right="0"/>
              <w:rPr>
                <w:b/>
              </w:rPr>
            </w:pPr>
            <w:r w:rsidRPr="00410D15">
              <w:rPr>
                <w:lang w:val="da-DK"/>
              </w:rPr>
              <w:t xml:space="preserve">Outer membrane vesicles (OMV) from </w:t>
            </w:r>
            <w:r w:rsidRPr="00410D15">
              <w:rPr>
                <w:i/>
                <w:lang w:val="da-DK"/>
              </w:rPr>
              <w:t>Neisseria meningitidis</w:t>
            </w:r>
            <w:r w:rsidRPr="00410D15">
              <w:rPr>
                <w:lang w:val="da-DK"/>
              </w:rPr>
              <w:t xml:space="preserve"> group B strain NZ98/254 measured as amount of total protein containing the PorA P1.4</w:t>
            </w:r>
          </w:p>
        </w:tc>
        <w:tc>
          <w:tcPr>
            <w:tcW w:w="4355" w:type="dxa"/>
            <w:hideMark/>
          </w:tcPr>
          <w:p w:rsidR="00A1538B" w:rsidRPr="00A1538B" w:rsidRDefault="00A1538B" w:rsidP="00A1538B">
            <w:pPr>
              <w:ind w:left="0" w:right="0"/>
              <w:rPr>
                <w:bCs/>
              </w:rPr>
            </w:pPr>
            <w:r w:rsidRPr="00A1538B">
              <w:rPr>
                <w:bCs/>
              </w:rPr>
              <w:t>Aluminium hydroxide</w:t>
            </w:r>
          </w:p>
          <w:p w:rsidR="00A1538B" w:rsidRPr="00A1538B" w:rsidRDefault="00A1538B" w:rsidP="00A1538B">
            <w:pPr>
              <w:ind w:left="0" w:right="0"/>
              <w:rPr>
                <w:bCs/>
              </w:rPr>
            </w:pPr>
            <w:proofErr w:type="spellStart"/>
            <w:r w:rsidRPr="00A1538B">
              <w:rPr>
                <w:bCs/>
              </w:rPr>
              <w:t>NaCl</w:t>
            </w:r>
            <w:proofErr w:type="spellEnd"/>
          </w:p>
          <w:p w:rsidR="00A1538B" w:rsidRPr="00A1538B" w:rsidRDefault="00A1538B" w:rsidP="00A1538B">
            <w:pPr>
              <w:ind w:left="0" w:right="0"/>
              <w:rPr>
                <w:bCs/>
              </w:rPr>
            </w:pPr>
            <w:proofErr w:type="spellStart"/>
            <w:r w:rsidRPr="00A1538B">
              <w:rPr>
                <w:bCs/>
              </w:rPr>
              <w:t>Histidine</w:t>
            </w:r>
            <w:proofErr w:type="spellEnd"/>
          </w:p>
          <w:p w:rsidR="00FA01FD" w:rsidRPr="00A1538B" w:rsidRDefault="00A1538B" w:rsidP="00A1538B">
            <w:pPr>
              <w:ind w:left="0" w:right="0"/>
              <w:rPr>
                <w:b/>
              </w:rPr>
            </w:pPr>
            <w:r w:rsidRPr="00A1538B">
              <w:rPr>
                <w:bCs/>
              </w:rPr>
              <w:t>Water for injection</w:t>
            </w:r>
          </w:p>
        </w:tc>
      </w:tr>
    </w:tbl>
    <w:p w:rsidR="00B26C4D" w:rsidRDefault="00B26C4D" w:rsidP="008B42A1">
      <w:bookmarkStart w:id="12" w:name="_Toc314842485"/>
      <w:bookmarkStart w:id="13" w:name="_Toc247691504"/>
      <w:r w:rsidRPr="00B26C4D">
        <w:t xml:space="preserve">The proposed vaccine is a multi-component meningococcal B vaccine composed of three purified recombinant </w:t>
      </w:r>
      <w:r w:rsidRPr="00B26C4D">
        <w:rPr>
          <w:i/>
          <w:iCs/>
        </w:rPr>
        <w:t>N. meningitidis</w:t>
      </w:r>
      <w:r w:rsidRPr="00B26C4D">
        <w:t xml:space="preserve"> serogroup B protein antigens: </w:t>
      </w:r>
      <w:proofErr w:type="spellStart"/>
      <w:r w:rsidRPr="00B26C4D">
        <w:t>Neisseria</w:t>
      </w:r>
      <w:proofErr w:type="spellEnd"/>
      <w:r w:rsidRPr="00B26C4D">
        <w:t xml:space="preserve"> </w:t>
      </w:r>
      <w:proofErr w:type="spellStart"/>
      <w:r w:rsidRPr="00B26C4D">
        <w:t>adhesin</w:t>
      </w:r>
      <w:proofErr w:type="spellEnd"/>
      <w:r w:rsidRPr="00B26C4D">
        <w:t xml:space="preserve"> A (</w:t>
      </w:r>
      <w:proofErr w:type="spellStart"/>
      <w:r w:rsidRPr="00B26C4D">
        <w:t>NadA</w:t>
      </w:r>
      <w:proofErr w:type="spellEnd"/>
      <w:r w:rsidR="00410D15">
        <w:t xml:space="preserve"> or 961c</w:t>
      </w:r>
      <w:r w:rsidRPr="00B26C4D">
        <w:t>) as single protein, Neisseria Heparin Binding Antigen (NHBA</w:t>
      </w:r>
      <w:r w:rsidR="00410D15">
        <w:t xml:space="preserve"> or 287</w:t>
      </w:r>
      <w:r w:rsidRPr="00B26C4D">
        <w:t>) as fusion protein, factor H Binding Protein (</w:t>
      </w:r>
      <w:proofErr w:type="spellStart"/>
      <w:r w:rsidRPr="00B26C4D">
        <w:t>fHBP</w:t>
      </w:r>
      <w:proofErr w:type="spellEnd"/>
      <w:r w:rsidR="00410D15">
        <w:t xml:space="preserve"> or 741</w:t>
      </w:r>
      <w:r w:rsidRPr="00B26C4D">
        <w:t xml:space="preserve">) as fusion protein, and Outer Membrane Vesicles (OMV) derived from </w:t>
      </w:r>
      <w:r w:rsidRPr="00B26C4D">
        <w:rPr>
          <w:i/>
          <w:iCs/>
        </w:rPr>
        <w:t>N. meningitidis</w:t>
      </w:r>
      <w:r w:rsidRPr="00B26C4D">
        <w:t xml:space="preserve"> serogroup B strain NZ 98/254, with the protein </w:t>
      </w:r>
      <w:proofErr w:type="spellStart"/>
      <w:r w:rsidRPr="00B26C4D">
        <w:t>PorA</w:t>
      </w:r>
      <w:proofErr w:type="spellEnd"/>
      <w:r w:rsidRPr="00B26C4D">
        <w:t xml:space="preserve"> P1.4 as the main antigen</w:t>
      </w:r>
      <w:r w:rsidR="00410D15">
        <w:t xml:space="preserve"> (as described in Table 1)</w:t>
      </w:r>
      <w:r w:rsidRPr="00B26C4D">
        <w:t>. A 0.5 mL dose of the vaccine contains 50 μg of each recombinant protein and 25 µg of the OMV me</w:t>
      </w:r>
      <w:r w:rsidR="008B42A1">
        <w:t>asured as total protein amount.</w:t>
      </w:r>
    </w:p>
    <w:p w:rsidR="00397A98" w:rsidRPr="0007306A" w:rsidRDefault="00397A98" w:rsidP="0007306A">
      <w:r w:rsidRPr="0007306A">
        <w:t xml:space="preserve">Bexsero </w:t>
      </w:r>
      <w:r w:rsidR="0007306A" w:rsidRPr="0007306A">
        <w:t xml:space="preserve">(also called </w:t>
      </w:r>
      <w:r w:rsidR="00410D15">
        <w:t xml:space="preserve">4CMenB or </w:t>
      </w:r>
      <w:r w:rsidR="0007306A" w:rsidRPr="0007306A">
        <w:t>rMenB+OMV NZ</w:t>
      </w:r>
      <w:r w:rsidR="0007306A">
        <w:t xml:space="preserve">) </w:t>
      </w:r>
      <w:r w:rsidRPr="0007306A">
        <w:t xml:space="preserve">was developed as a vaccine to prevent meningitis and sepsis caused by </w:t>
      </w:r>
      <w:r w:rsidRPr="0007306A">
        <w:rPr>
          <w:i/>
          <w:iCs/>
        </w:rPr>
        <w:t>N. meningitidis</w:t>
      </w:r>
      <w:r w:rsidRPr="0007306A">
        <w:t xml:space="preserve"> serogroup B. Infants and children aged 6 months to 2 years are at greatest risk of this lethal disease. In Australia, the majority of cases of invasive meningococcal disease (IMD) have been shown to be caused by </w:t>
      </w:r>
      <w:r w:rsidRPr="0007306A">
        <w:rPr>
          <w:i/>
          <w:iCs/>
        </w:rPr>
        <w:t>N. meningitidis</w:t>
      </w:r>
      <w:r w:rsidRPr="0007306A">
        <w:t xml:space="preserve"> serogroup B. According to the National </w:t>
      </w:r>
      <w:proofErr w:type="spellStart"/>
      <w:r w:rsidRPr="0007306A">
        <w:t>Notifiable</w:t>
      </w:r>
      <w:proofErr w:type="spellEnd"/>
      <w:r w:rsidRPr="0007306A">
        <w:t xml:space="preserve"> Diseases Surveillance System there were 259 notifications of IMD in Australia in 2009, representing notification rates of 1.2 per 100,000. Eighty-six per cent of IMD notifications (224) in 2009 had </w:t>
      </w:r>
      <w:r w:rsidRPr="0007306A">
        <w:lastRenderedPageBreak/>
        <w:t>serogroup data available, of which 88% (197) were caused by serogroup B organisms. The highest rate for serogroup B infection in 2009 was in the 0</w:t>
      </w:r>
      <w:r w:rsidRPr="0007306A">
        <w:noBreakHyphen/>
        <w:t>4 years age group (5.2 per 100,000 population) followed by a peak in children from 15</w:t>
      </w:r>
      <w:r w:rsidRPr="0007306A">
        <w:noBreakHyphen/>
        <w:t xml:space="preserve">19 years of age (2 per 100,000 population) (Communicable Diseases Intelligence Vol 35 Number 2, June 2011). There is currently no vaccine available in Australia for the prevention of disease caused by </w:t>
      </w:r>
      <w:r w:rsidRPr="0007306A">
        <w:rPr>
          <w:i/>
          <w:iCs/>
        </w:rPr>
        <w:t xml:space="preserve">N. </w:t>
      </w:r>
      <w:proofErr w:type="spellStart"/>
      <w:r w:rsidRPr="0007306A">
        <w:rPr>
          <w:i/>
          <w:iCs/>
        </w:rPr>
        <w:t>meningitidis</w:t>
      </w:r>
      <w:proofErr w:type="spellEnd"/>
      <w:r w:rsidRPr="0007306A">
        <w:t xml:space="preserve"> </w:t>
      </w:r>
      <w:proofErr w:type="spellStart"/>
      <w:r w:rsidRPr="0007306A">
        <w:t>serogroup</w:t>
      </w:r>
      <w:proofErr w:type="spellEnd"/>
      <w:r w:rsidRPr="0007306A">
        <w:t xml:space="preserve"> B.</w:t>
      </w:r>
    </w:p>
    <w:p w:rsidR="008E7846" w:rsidRPr="008B42A1" w:rsidRDefault="00386150" w:rsidP="008B42A1">
      <w:pPr>
        <w:pStyle w:val="Heading3"/>
      </w:pPr>
      <w:bookmarkStart w:id="14" w:name="_Toc370985716"/>
      <w:r>
        <w:t>Regulatory s</w:t>
      </w:r>
      <w:r w:rsidR="008E7846">
        <w:t>tatus</w:t>
      </w:r>
      <w:bookmarkEnd w:id="12"/>
      <w:bookmarkEnd w:id="14"/>
      <w:bookmarkEnd w:id="13"/>
    </w:p>
    <w:p w:rsidR="008E7846" w:rsidRDefault="00E61D57" w:rsidP="00E7344E">
      <w:proofErr w:type="spellStart"/>
      <w:r>
        <w:t>Bexsero</w:t>
      </w:r>
      <w:proofErr w:type="spellEnd"/>
      <w:r>
        <w:t xml:space="preserve"> </w:t>
      </w:r>
      <w:r w:rsidR="008E7846">
        <w:t xml:space="preserve">received initial </w:t>
      </w:r>
      <w:r w:rsidR="00B31C1E">
        <w:t xml:space="preserve">registration on the </w:t>
      </w:r>
      <w:r w:rsidR="008E7846">
        <w:t>A</w:t>
      </w:r>
      <w:r w:rsidR="00B31C1E">
        <w:t xml:space="preserve">ustralian </w:t>
      </w:r>
      <w:r w:rsidR="008E7846">
        <w:t>R</w:t>
      </w:r>
      <w:r w:rsidR="00B31C1E">
        <w:t xml:space="preserve">egister of </w:t>
      </w:r>
      <w:r w:rsidR="008E7846">
        <w:t>T</w:t>
      </w:r>
      <w:r w:rsidR="00B31C1E">
        <w:t xml:space="preserve">herapeutic </w:t>
      </w:r>
      <w:r w:rsidR="008E7846">
        <w:t>G</w:t>
      </w:r>
      <w:r w:rsidR="00B31C1E">
        <w:t>oods (ARTG)</w:t>
      </w:r>
      <w:r w:rsidR="008E7846">
        <w:t xml:space="preserve"> on</w:t>
      </w:r>
      <w:r w:rsidR="008B42A1">
        <w:t xml:space="preserve"> 14 August 2013.</w:t>
      </w:r>
    </w:p>
    <w:p w:rsidR="008E7846" w:rsidRDefault="008E7846" w:rsidP="008E7846">
      <w:r w:rsidRPr="00C27667">
        <w:t>A</w:t>
      </w:r>
      <w:r w:rsidR="00B31C1E">
        <w:t xml:space="preserve">t the time </w:t>
      </w:r>
      <w:r w:rsidR="00E61D57">
        <w:t xml:space="preserve">this application was considered by the </w:t>
      </w:r>
      <w:r w:rsidR="00B31C1E">
        <w:t>TGA</w:t>
      </w:r>
      <w:r w:rsidR="00E61D57">
        <w:t>,</w:t>
      </w:r>
      <w:r w:rsidR="00B31C1E">
        <w:t xml:space="preserve"> a</w:t>
      </w:r>
      <w:r w:rsidRPr="00C27667">
        <w:t xml:space="preserve"> similar application ha</w:t>
      </w:r>
      <w:r w:rsidR="00B31C1E">
        <w:t>d been approved in the European Union (EU) and was</w:t>
      </w:r>
      <w:r w:rsidR="008B42A1">
        <w:t xml:space="preserve"> under consideration in Canada.</w:t>
      </w:r>
    </w:p>
    <w:p w:rsidR="008E7846" w:rsidRDefault="008E7846" w:rsidP="008E7846">
      <w:pPr>
        <w:pStyle w:val="Heading3"/>
      </w:pPr>
      <w:bookmarkStart w:id="15" w:name="_Toc247691505"/>
      <w:bookmarkStart w:id="16" w:name="_Toc314842486"/>
      <w:bookmarkStart w:id="17" w:name="_Toc370985717"/>
      <w:r>
        <w:t>Product Information</w:t>
      </w:r>
      <w:bookmarkEnd w:id="15"/>
      <w:bookmarkEnd w:id="16"/>
      <w:bookmarkEnd w:id="17"/>
    </w:p>
    <w:p w:rsidR="008E7846" w:rsidRDefault="008E7846" w:rsidP="008B42A1">
      <w:r>
        <w:t>The approved Product Information (PI) current at the time this AusPAR was prepared can be found as Attachment 1.</w:t>
      </w:r>
      <w:bookmarkStart w:id="18" w:name="_Toc247691506"/>
      <w:bookmarkStart w:id="19" w:name="_Toc314842487"/>
    </w:p>
    <w:p w:rsidR="008E7846" w:rsidRPr="003602A9" w:rsidRDefault="008E7846" w:rsidP="008B42A1">
      <w:pPr>
        <w:pStyle w:val="Heading2"/>
      </w:pPr>
      <w:bookmarkStart w:id="20" w:name="_Toc370985718"/>
      <w:r>
        <w:t>II. Quality</w:t>
      </w:r>
      <w:bookmarkEnd w:id="1"/>
      <w:r>
        <w:t xml:space="preserve"> findings</w:t>
      </w:r>
      <w:bookmarkEnd w:id="18"/>
      <w:bookmarkEnd w:id="19"/>
      <w:bookmarkEnd w:id="20"/>
    </w:p>
    <w:p w:rsidR="008E7846" w:rsidRDefault="008E7846" w:rsidP="008B42A1">
      <w:pPr>
        <w:pStyle w:val="Heading3"/>
      </w:pPr>
      <w:bookmarkStart w:id="21" w:name="_Toc247691507"/>
      <w:bookmarkStart w:id="22" w:name="_Toc314842488"/>
      <w:bookmarkStart w:id="23" w:name="_Toc370985719"/>
      <w:r w:rsidRPr="008751DC">
        <w:t xml:space="preserve">Drug </w:t>
      </w:r>
      <w:r>
        <w:t>s</w:t>
      </w:r>
      <w:r w:rsidRPr="008751DC">
        <w:t>ubstance</w:t>
      </w:r>
      <w:r>
        <w:t xml:space="preserve"> (active ingredient)</w:t>
      </w:r>
      <w:bookmarkEnd w:id="21"/>
      <w:bookmarkEnd w:id="22"/>
      <w:bookmarkEnd w:id="23"/>
    </w:p>
    <w:p w:rsidR="003D2161" w:rsidRPr="003D2161" w:rsidRDefault="00A513B2" w:rsidP="003D2161">
      <w:r w:rsidRPr="00A513B2">
        <w:t>Bexsero contains four compo</w:t>
      </w:r>
      <w:r w:rsidR="00041BB7">
        <w:t>nents that might be considered d</w:t>
      </w:r>
      <w:r w:rsidRPr="00A513B2">
        <w:t xml:space="preserve">rug </w:t>
      </w:r>
      <w:r w:rsidR="00041BB7">
        <w:t>s</w:t>
      </w:r>
      <w:r w:rsidRPr="00A513B2">
        <w:t>ubstances</w:t>
      </w:r>
      <w:r w:rsidR="003D2161">
        <w:t>:</w:t>
      </w:r>
      <w:r w:rsidRPr="00A513B2">
        <w:t xml:space="preserve"> 3 </w:t>
      </w:r>
      <w:r w:rsidR="00041BB7">
        <w:t>r</w:t>
      </w:r>
      <w:r w:rsidR="003D2161" w:rsidRPr="003D2161">
        <w:t xml:space="preserve">ecombinant </w:t>
      </w:r>
      <w:r w:rsidR="00E61D57" w:rsidRPr="00E61D57">
        <w:rPr>
          <w:i/>
          <w:iCs/>
        </w:rPr>
        <w:t xml:space="preserve">N. meningitidis </w:t>
      </w:r>
      <w:r w:rsidR="00F30D62">
        <w:t>Group B proteins</w:t>
      </w:r>
      <w:r w:rsidR="003D2161" w:rsidRPr="003D2161">
        <w:t>:</w:t>
      </w:r>
    </w:p>
    <w:p w:rsidR="003D2161" w:rsidRPr="003D2161" w:rsidRDefault="00041BB7" w:rsidP="000019F0">
      <w:pPr>
        <w:pStyle w:val="ListBullet"/>
      </w:pPr>
      <w:r w:rsidRPr="00041BB7">
        <w:t xml:space="preserve">Neisseria Heparin Binding Antigen </w:t>
      </w:r>
      <w:r>
        <w:t>(</w:t>
      </w:r>
      <w:r w:rsidR="003D2161" w:rsidRPr="003D2161">
        <w:t>NHBA</w:t>
      </w:r>
      <w:r>
        <w:t>)</w:t>
      </w:r>
      <w:r w:rsidR="003D2161" w:rsidRPr="003D2161">
        <w:t xml:space="preserve"> fusion protein</w:t>
      </w:r>
    </w:p>
    <w:p w:rsidR="003D2161" w:rsidRPr="003D2161" w:rsidRDefault="00041BB7" w:rsidP="000019F0">
      <w:pPr>
        <w:pStyle w:val="ListBullet"/>
      </w:pPr>
      <w:r w:rsidRPr="00041BB7">
        <w:t xml:space="preserve">Factor H Binding Protein </w:t>
      </w:r>
      <w:r>
        <w:t>(</w:t>
      </w:r>
      <w:proofErr w:type="spellStart"/>
      <w:r>
        <w:t>f</w:t>
      </w:r>
      <w:r w:rsidR="00A50238">
        <w:t>HBP</w:t>
      </w:r>
      <w:proofErr w:type="spellEnd"/>
      <w:r>
        <w:t xml:space="preserve">) </w:t>
      </w:r>
      <w:r w:rsidR="003D2161" w:rsidRPr="003D2161">
        <w:t>fusion protein</w:t>
      </w:r>
    </w:p>
    <w:p w:rsidR="003D2161" w:rsidRPr="003D2161" w:rsidRDefault="00041BB7" w:rsidP="000019F0">
      <w:pPr>
        <w:pStyle w:val="ListBullet"/>
      </w:pPr>
      <w:proofErr w:type="spellStart"/>
      <w:r w:rsidRPr="00041BB7">
        <w:t>Neisseria</w:t>
      </w:r>
      <w:proofErr w:type="spellEnd"/>
      <w:r w:rsidRPr="00041BB7">
        <w:t xml:space="preserve"> </w:t>
      </w:r>
      <w:proofErr w:type="spellStart"/>
      <w:r w:rsidRPr="00041BB7">
        <w:t>Adhesin</w:t>
      </w:r>
      <w:proofErr w:type="spellEnd"/>
      <w:r w:rsidRPr="00041BB7">
        <w:t xml:space="preserve"> A </w:t>
      </w:r>
      <w:r>
        <w:t>(</w:t>
      </w:r>
      <w:proofErr w:type="spellStart"/>
      <w:r w:rsidR="003D2161" w:rsidRPr="003D2161">
        <w:t>NadA</w:t>
      </w:r>
      <w:proofErr w:type="spellEnd"/>
      <w:r>
        <w:t>)</w:t>
      </w:r>
      <w:r w:rsidR="003D2161" w:rsidRPr="003D2161">
        <w:t xml:space="preserve"> protein</w:t>
      </w:r>
    </w:p>
    <w:p w:rsidR="00041BB7" w:rsidRDefault="008B42A1" w:rsidP="000019F0">
      <w:proofErr w:type="gramStart"/>
      <w:r>
        <w:t>and</w:t>
      </w:r>
      <w:proofErr w:type="gramEnd"/>
    </w:p>
    <w:p w:rsidR="00041BB7" w:rsidRDefault="000019F0" w:rsidP="00041BB7">
      <w:pPr>
        <w:pStyle w:val="ListBullet"/>
      </w:pPr>
      <w:r>
        <w:t>O</w:t>
      </w:r>
      <w:r w:rsidR="003D2161" w:rsidRPr="003D2161">
        <w:t xml:space="preserve">uter </w:t>
      </w:r>
      <w:r w:rsidR="00F30D62">
        <w:t>m</w:t>
      </w:r>
      <w:r w:rsidR="003D2161" w:rsidRPr="003D2161">
        <w:t xml:space="preserve">embrane </w:t>
      </w:r>
      <w:r w:rsidR="00F30D62">
        <w:t>v</w:t>
      </w:r>
      <w:r w:rsidR="00E61D57">
        <w:t xml:space="preserve">esicles (OMV) </w:t>
      </w:r>
      <w:r w:rsidR="003D2161" w:rsidRPr="003D2161">
        <w:t xml:space="preserve">from </w:t>
      </w:r>
      <w:r w:rsidR="003D2161" w:rsidRPr="003D2161">
        <w:rPr>
          <w:i/>
          <w:iCs/>
        </w:rPr>
        <w:t>N</w:t>
      </w:r>
      <w:r w:rsidR="00724BBF">
        <w:rPr>
          <w:i/>
          <w:iCs/>
        </w:rPr>
        <w:t xml:space="preserve">. </w:t>
      </w:r>
      <w:r w:rsidR="003D2161" w:rsidRPr="003D2161">
        <w:rPr>
          <w:i/>
          <w:iCs/>
        </w:rPr>
        <w:t xml:space="preserve">meningitidis </w:t>
      </w:r>
      <w:r w:rsidR="00E61D57">
        <w:t>serogroup B s</w:t>
      </w:r>
      <w:r w:rsidR="003D2161" w:rsidRPr="003D2161">
        <w:t>train NZ 98/254</w:t>
      </w:r>
      <w:r w:rsidR="008B42A1">
        <w:t>.</w:t>
      </w:r>
    </w:p>
    <w:p w:rsidR="00A513B2" w:rsidRPr="00A513B2" w:rsidRDefault="00A513B2" w:rsidP="00A513B2">
      <w:r w:rsidRPr="00A513B2">
        <w:t xml:space="preserve">The NHBA fusion protein (Protein 287-953) is a product of </w:t>
      </w:r>
      <w:proofErr w:type="spellStart"/>
      <w:r w:rsidRPr="00A513B2">
        <w:t>Neisserial</w:t>
      </w:r>
      <w:proofErr w:type="spellEnd"/>
      <w:r w:rsidRPr="00A513B2">
        <w:t xml:space="preserve"> Heparin Binding Antigen, a primary antigenic component, and an accessory protein (953) that enhances the immunogenicity of its fused counterpart. The fusion protein is expressed via bacterial fermentation by standard recombinant </w:t>
      </w:r>
      <w:r w:rsidR="00E61D57">
        <w:t>deoxyribonucleic acid (</w:t>
      </w:r>
      <w:r w:rsidRPr="00A513B2">
        <w:t>DNA</w:t>
      </w:r>
      <w:r w:rsidR="00E61D57">
        <w:t>)</w:t>
      </w:r>
      <w:r w:rsidRPr="00A513B2">
        <w:t xml:space="preserve"> technology methods in </w:t>
      </w:r>
      <w:r w:rsidRPr="00A513B2">
        <w:rPr>
          <w:i/>
          <w:iCs/>
        </w:rPr>
        <w:t>Escherichia</w:t>
      </w:r>
      <w:r w:rsidRPr="00A513B2">
        <w:t xml:space="preserve"> </w:t>
      </w:r>
      <w:r w:rsidRPr="00A513B2">
        <w:rPr>
          <w:i/>
          <w:iCs/>
        </w:rPr>
        <w:t xml:space="preserve">coli (E. coli) </w:t>
      </w:r>
      <w:r w:rsidRPr="00A513B2">
        <w:t>using a plasmid vector system.</w:t>
      </w:r>
    </w:p>
    <w:p w:rsidR="00A513B2" w:rsidRPr="00A513B2" w:rsidRDefault="00A513B2" w:rsidP="008B42A1">
      <w:r w:rsidRPr="00A513B2">
        <w:t xml:space="preserve">The </w:t>
      </w:r>
      <w:proofErr w:type="spellStart"/>
      <w:r w:rsidRPr="00A513B2">
        <w:t>fHBP</w:t>
      </w:r>
      <w:proofErr w:type="spellEnd"/>
      <w:r w:rsidRPr="00A513B2">
        <w:t xml:space="preserve"> fusion protein (Protein 936-741) is a product of Factor H Binding Protein (the primary antigenic component) and an accessory protein (936) that enhances the immunogenicity of its fused counterpart. The fusion protein is expressed via bacterial fermentation by standard recombinant DNA technology methods in </w:t>
      </w:r>
      <w:r w:rsidRPr="00A513B2">
        <w:rPr>
          <w:i/>
          <w:iCs/>
        </w:rPr>
        <w:t>E. coli</w:t>
      </w:r>
      <w:r w:rsidRPr="00A513B2">
        <w:rPr>
          <w:iCs/>
        </w:rPr>
        <w:t xml:space="preserve"> </w:t>
      </w:r>
      <w:r w:rsidRPr="00A513B2">
        <w:t>using a plasmid vector.</w:t>
      </w:r>
    </w:p>
    <w:p w:rsidR="00A513B2" w:rsidRPr="00A513B2" w:rsidRDefault="00A513B2" w:rsidP="008B42A1">
      <w:proofErr w:type="spellStart"/>
      <w:r w:rsidRPr="00A513B2">
        <w:t>NadA</w:t>
      </w:r>
      <w:proofErr w:type="spellEnd"/>
      <w:r w:rsidRPr="00A513B2">
        <w:t xml:space="preserve"> (Protein 961c) is a fragme</w:t>
      </w:r>
      <w:r w:rsidR="00E61D57">
        <w:t xml:space="preserve">nt of </w:t>
      </w:r>
      <w:proofErr w:type="spellStart"/>
      <w:r w:rsidR="00E61D57">
        <w:t>Neisseria</w:t>
      </w:r>
      <w:proofErr w:type="spellEnd"/>
      <w:r w:rsidR="00E61D57">
        <w:t xml:space="preserve"> </w:t>
      </w:r>
      <w:proofErr w:type="spellStart"/>
      <w:r w:rsidR="00E61D57">
        <w:t>adhesin</w:t>
      </w:r>
      <w:proofErr w:type="spellEnd"/>
      <w:r w:rsidR="00E61D57">
        <w:t xml:space="preserve"> A</w:t>
      </w:r>
      <w:r w:rsidRPr="00A513B2">
        <w:t xml:space="preserve">, a surface-exposed </w:t>
      </w:r>
      <w:proofErr w:type="spellStart"/>
      <w:r w:rsidRPr="00A513B2">
        <w:t>oligo</w:t>
      </w:r>
      <w:r w:rsidR="00213E1E">
        <w:t>meric</w:t>
      </w:r>
      <w:proofErr w:type="spellEnd"/>
      <w:r w:rsidR="00213E1E">
        <w:t xml:space="preserve"> protein belonging to the </w:t>
      </w:r>
      <w:proofErr w:type="spellStart"/>
      <w:r w:rsidR="00213E1E">
        <w:t>o</w:t>
      </w:r>
      <w:r w:rsidRPr="00A513B2">
        <w:t>ligomeric</w:t>
      </w:r>
      <w:proofErr w:type="spellEnd"/>
      <w:r w:rsidRPr="00A513B2">
        <w:t xml:space="preserve"> </w:t>
      </w:r>
      <w:r w:rsidR="00213E1E">
        <w:t>c</w:t>
      </w:r>
      <w:r w:rsidRPr="00A513B2">
        <w:t xml:space="preserve">oiled-coil </w:t>
      </w:r>
      <w:proofErr w:type="spellStart"/>
      <w:r w:rsidR="00213E1E">
        <w:t>a</w:t>
      </w:r>
      <w:r w:rsidRPr="00A513B2">
        <w:t>dhesin</w:t>
      </w:r>
      <w:proofErr w:type="spellEnd"/>
      <w:r w:rsidRPr="00A513B2">
        <w:t xml:space="preserve"> (OCA) family. </w:t>
      </w:r>
      <w:proofErr w:type="spellStart"/>
      <w:r w:rsidRPr="00A513B2">
        <w:t>NadA</w:t>
      </w:r>
      <w:proofErr w:type="spellEnd"/>
      <w:r w:rsidRPr="00A513B2">
        <w:t xml:space="preserve"> is a meningococcal </w:t>
      </w:r>
      <w:proofErr w:type="spellStart"/>
      <w:r w:rsidRPr="00A513B2">
        <w:t>adhesin</w:t>
      </w:r>
      <w:proofErr w:type="spellEnd"/>
      <w:r w:rsidRPr="00A513B2">
        <w:t xml:space="preserve"> molecule involved in binding to epithelial cells. This antigen is also expressed via bacterial fermentation by standard recombinant DNA technology methods in </w:t>
      </w:r>
      <w:r w:rsidRPr="00A513B2">
        <w:rPr>
          <w:i/>
          <w:iCs/>
        </w:rPr>
        <w:t xml:space="preserve">E. coli </w:t>
      </w:r>
      <w:r w:rsidRPr="00A513B2">
        <w:t>using a plasmid vector system.</w:t>
      </w:r>
    </w:p>
    <w:p w:rsidR="00A513B2" w:rsidRPr="00A513B2" w:rsidRDefault="00A513B2" w:rsidP="008B42A1">
      <w:r w:rsidRPr="00A513B2">
        <w:t xml:space="preserve">The primary antigenic components of the three recombinant proteins were identified by reverse </w:t>
      </w:r>
      <w:proofErr w:type="spellStart"/>
      <w:r w:rsidRPr="00A513B2">
        <w:t>vaccinology</w:t>
      </w:r>
      <w:proofErr w:type="spellEnd"/>
      <w:r w:rsidRPr="00A513B2">
        <w:t>.</w:t>
      </w:r>
    </w:p>
    <w:p w:rsidR="00A513B2" w:rsidRPr="00A513B2" w:rsidRDefault="00F30D62" w:rsidP="008B42A1">
      <w:pPr>
        <w:rPr>
          <w:bCs/>
        </w:rPr>
      </w:pPr>
      <w:r>
        <w:lastRenderedPageBreak/>
        <w:t>Outer m</w:t>
      </w:r>
      <w:r w:rsidR="00A513B2" w:rsidRPr="00A513B2">
        <w:t xml:space="preserve">embrane </w:t>
      </w:r>
      <w:r>
        <w:t>v</w:t>
      </w:r>
      <w:r w:rsidR="00A513B2" w:rsidRPr="00A513B2">
        <w:t xml:space="preserve">esicles are extracted via detergent from the bacterial membrane of </w:t>
      </w:r>
      <w:r w:rsidR="00A513B2" w:rsidRPr="00A513B2">
        <w:rPr>
          <w:i/>
          <w:iCs/>
        </w:rPr>
        <w:t>N. meningitidis</w:t>
      </w:r>
      <w:r w:rsidR="00A513B2" w:rsidRPr="00A513B2">
        <w:rPr>
          <w:iCs/>
        </w:rPr>
        <w:t xml:space="preserve"> </w:t>
      </w:r>
      <w:r w:rsidR="00A513B2" w:rsidRPr="00A513B2">
        <w:t xml:space="preserve">serogroup B strain NZ98/254. The primary immunogenic components of the OMV are the outer membrane proteins (OMPs) and the membrane-bound </w:t>
      </w:r>
      <w:proofErr w:type="spellStart"/>
      <w:r w:rsidR="00A513B2" w:rsidRPr="00A513B2">
        <w:t>lipopolysaccharides</w:t>
      </w:r>
      <w:proofErr w:type="spellEnd"/>
      <w:r w:rsidR="00A513B2" w:rsidRPr="00A513B2">
        <w:t xml:space="preserve"> (LPS). OMVs are complex mixtures of lipids, OMPs, and peri-</w:t>
      </w:r>
      <w:proofErr w:type="spellStart"/>
      <w:r w:rsidR="00A513B2" w:rsidRPr="00A513B2">
        <w:t>plasmic</w:t>
      </w:r>
      <w:proofErr w:type="spellEnd"/>
      <w:r w:rsidR="00A513B2" w:rsidRPr="00A513B2">
        <w:t xml:space="preserve"> components. A diagram of an intact OMV, with selected major OMPs and LPS embedded in the vesicular membrane, is</w:t>
      </w:r>
      <w:r w:rsidR="008B42A1">
        <w:t xml:space="preserve"> provided in the diagram below.</w:t>
      </w:r>
    </w:p>
    <w:p w:rsidR="000F78BC" w:rsidRDefault="00D32DD9" w:rsidP="009D4D5B">
      <w:pPr>
        <w:pStyle w:val="FigureTitle"/>
        <w:keepNext/>
      </w:pPr>
      <w:proofErr w:type="gramStart"/>
      <w:r>
        <w:t>Figure 1.</w:t>
      </w:r>
      <w:proofErr w:type="gramEnd"/>
      <w:r>
        <w:t xml:space="preserve"> </w:t>
      </w:r>
      <w:r w:rsidR="00A513B2" w:rsidRPr="00A513B2">
        <w:t>Diagram of an OMV Particle</w:t>
      </w:r>
    </w:p>
    <w:p w:rsidR="009D4D5B" w:rsidRDefault="009D4D5B" w:rsidP="00D32DD9">
      <w:pPr>
        <w:pStyle w:val="FigureTitle"/>
      </w:pPr>
      <w:r>
        <w:rPr>
          <w:b w:val="0"/>
          <w:noProof/>
          <w:lang w:eastAsia="en-AU"/>
        </w:rPr>
        <w:drawing>
          <wp:inline distT="0" distB="0" distL="0" distR="0">
            <wp:extent cx="4148137" cy="2333964"/>
            <wp:effectExtent l="19050" t="0" r="4763" b="0"/>
            <wp:docPr id="3" name="Picture 2" descr="Figure 1. Diagram of an OMV P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4152308" cy="2336311"/>
                    </a:xfrm>
                    <a:prstGeom prst="rect">
                      <a:avLst/>
                    </a:prstGeom>
                    <a:noFill/>
                    <a:ln w="9525">
                      <a:noFill/>
                      <a:miter lim="800000"/>
                      <a:headEnd/>
                      <a:tailEnd/>
                    </a:ln>
                  </pic:spPr>
                </pic:pic>
              </a:graphicData>
            </a:graphic>
          </wp:inline>
        </w:drawing>
      </w:r>
    </w:p>
    <w:p w:rsidR="00A513B2" w:rsidRPr="00A513B2" w:rsidRDefault="00E61D57" w:rsidP="00A513B2">
      <w:r>
        <w:t xml:space="preserve">The outer membrane protein </w:t>
      </w:r>
      <w:proofErr w:type="spellStart"/>
      <w:r w:rsidR="00A513B2" w:rsidRPr="00A513B2">
        <w:t>PorA</w:t>
      </w:r>
      <w:proofErr w:type="spellEnd"/>
      <w:r w:rsidR="00A513B2" w:rsidRPr="00A513B2">
        <w:t xml:space="preserve"> P1.4 is cons</w:t>
      </w:r>
      <w:r w:rsidR="008B42A1">
        <w:t>idered the main antigen of OMV.</w:t>
      </w:r>
    </w:p>
    <w:p w:rsidR="00A513B2" w:rsidRPr="00A513B2" w:rsidRDefault="00A513B2" w:rsidP="008B42A1">
      <w:pPr>
        <w:pStyle w:val="Heading4"/>
      </w:pPr>
      <w:r w:rsidRPr="00A513B2">
        <w:t>Manufacture</w:t>
      </w:r>
    </w:p>
    <w:p w:rsidR="00A513B2" w:rsidRPr="00F30D62" w:rsidRDefault="00A513B2" w:rsidP="00F30D62">
      <w:r w:rsidRPr="00F30D62">
        <w:t>The manufacturing process for each recombinant protein is div</w:t>
      </w:r>
      <w:r w:rsidR="00F30D62" w:rsidRPr="00F30D62">
        <w:t>ided into three separate stages</w:t>
      </w:r>
      <w:r w:rsidR="008B42A1">
        <w:t>:</w:t>
      </w:r>
    </w:p>
    <w:p w:rsidR="00A513B2" w:rsidRPr="00A513B2" w:rsidRDefault="008B42A1" w:rsidP="003D2161">
      <w:pPr>
        <w:pStyle w:val="ListBullet"/>
      </w:pPr>
      <w:r>
        <w:t>fermentation,</w:t>
      </w:r>
    </w:p>
    <w:p w:rsidR="00A513B2" w:rsidRPr="00A513B2" w:rsidRDefault="008B42A1" w:rsidP="003D2161">
      <w:pPr>
        <w:pStyle w:val="ListBullet"/>
      </w:pPr>
      <w:r>
        <w:t>isolation, and</w:t>
      </w:r>
    </w:p>
    <w:p w:rsidR="00A513B2" w:rsidRPr="00A513B2" w:rsidRDefault="00A513B2" w:rsidP="003D2161">
      <w:pPr>
        <w:pStyle w:val="ListBullet"/>
      </w:pPr>
      <w:proofErr w:type="gramStart"/>
      <w:r w:rsidRPr="00A513B2">
        <w:t>purification</w:t>
      </w:r>
      <w:proofErr w:type="gramEnd"/>
      <w:r w:rsidR="008B42A1">
        <w:t>.</w:t>
      </w:r>
    </w:p>
    <w:p w:rsidR="00A513B2" w:rsidRPr="00A513B2" w:rsidRDefault="00A513B2" w:rsidP="00A513B2">
      <w:pPr>
        <w:rPr>
          <w:bCs/>
        </w:rPr>
      </w:pPr>
      <w:r w:rsidRPr="00A513B2">
        <w:rPr>
          <w:bCs/>
        </w:rPr>
        <w:t xml:space="preserve">During the fermentation step, </w:t>
      </w:r>
      <w:r w:rsidRPr="00A513B2">
        <w:rPr>
          <w:bCs/>
          <w:i/>
          <w:iCs/>
        </w:rPr>
        <w:t xml:space="preserve">E. coli </w:t>
      </w:r>
      <w:r w:rsidR="00E61D57">
        <w:rPr>
          <w:bCs/>
        </w:rPr>
        <w:t>cells</w:t>
      </w:r>
      <w:r w:rsidRPr="00A513B2">
        <w:rPr>
          <w:bCs/>
        </w:rPr>
        <w:t xml:space="preserve"> containing the recombinant</w:t>
      </w:r>
      <w:r w:rsidR="00E61D57">
        <w:rPr>
          <w:bCs/>
        </w:rPr>
        <w:t xml:space="preserve"> plasmids encoding each antigen</w:t>
      </w:r>
      <w:r w:rsidRPr="00A513B2">
        <w:rPr>
          <w:bCs/>
        </w:rPr>
        <w:t xml:space="preserve"> are expanded</w:t>
      </w:r>
      <w:r w:rsidR="00E61D57">
        <w:rPr>
          <w:bCs/>
        </w:rPr>
        <w:t>.</w:t>
      </w:r>
      <w:r w:rsidRPr="00A513B2">
        <w:rPr>
          <w:bCs/>
        </w:rPr>
        <w:t xml:space="preserve"> </w:t>
      </w:r>
      <w:r w:rsidR="00E61D57">
        <w:rPr>
          <w:bCs/>
        </w:rPr>
        <w:t>T</w:t>
      </w:r>
      <w:r w:rsidRPr="00A513B2">
        <w:rPr>
          <w:bCs/>
        </w:rPr>
        <w:t>he recombinant protei</w:t>
      </w:r>
      <w:r w:rsidR="008B42A1">
        <w:rPr>
          <w:bCs/>
        </w:rPr>
        <w:t>ns are expressed and harvested.</w:t>
      </w:r>
    </w:p>
    <w:p w:rsidR="00A513B2" w:rsidRPr="00A513B2" w:rsidRDefault="00A513B2" w:rsidP="00A513B2">
      <w:pPr>
        <w:rPr>
          <w:bCs/>
        </w:rPr>
      </w:pPr>
      <w:r w:rsidRPr="00A513B2">
        <w:rPr>
          <w:bCs/>
        </w:rPr>
        <w:t xml:space="preserve">After the broth has been harvested, the bacteria are separated from the supernatant via centrifugation. </w:t>
      </w:r>
      <w:r w:rsidR="00F30D62">
        <w:rPr>
          <w:bCs/>
        </w:rPr>
        <w:t xml:space="preserve">The </w:t>
      </w:r>
      <w:r w:rsidRPr="00A513B2">
        <w:rPr>
          <w:bCs/>
        </w:rPr>
        <w:t>recombinant protein</w:t>
      </w:r>
      <w:r w:rsidR="00F30D62">
        <w:rPr>
          <w:bCs/>
        </w:rPr>
        <w:t xml:space="preserve">s are isolated </w:t>
      </w:r>
      <w:r w:rsidRPr="00A513B2">
        <w:rPr>
          <w:bCs/>
        </w:rPr>
        <w:t>via centrifugation and filtration steps.</w:t>
      </w:r>
    </w:p>
    <w:p w:rsidR="00A513B2" w:rsidRPr="00A513B2" w:rsidRDefault="00A513B2" w:rsidP="00A513B2">
      <w:pPr>
        <w:rPr>
          <w:bCs/>
        </w:rPr>
      </w:pPr>
      <w:r w:rsidRPr="00A513B2">
        <w:rPr>
          <w:bCs/>
        </w:rPr>
        <w:t xml:space="preserve">The last series of steps in bulk manufacture of the three recombinant antigens are the purification steps. Bulk concentrates are filled into sterile screw-capped polyethylene </w:t>
      </w:r>
      <w:proofErr w:type="spellStart"/>
      <w:r w:rsidRPr="00A513B2">
        <w:rPr>
          <w:bCs/>
        </w:rPr>
        <w:t>terephthalate</w:t>
      </w:r>
      <w:proofErr w:type="spellEnd"/>
      <w:r w:rsidRPr="00A513B2">
        <w:rPr>
          <w:bCs/>
        </w:rPr>
        <w:t xml:space="preserve"> gly</w:t>
      </w:r>
      <w:r w:rsidR="008B42A1">
        <w:rPr>
          <w:bCs/>
        </w:rPr>
        <w:t xml:space="preserve">col </w:t>
      </w:r>
      <w:proofErr w:type="spellStart"/>
      <w:r w:rsidR="008B42A1">
        <w:rPr>
          <w:bCs/>
        </w:rPr>
        <w:t>copolyester</w:t>
      </w:r>
      <w:proofErr w:type="spellEnd"/>
      <w:r w:rsidR="008B42A1">
        <w:rPr>
          <w:bCs/>
        </w:rPr>
        <w:t xml:space="preserve"> (PETG) bottles.</w:t>
      </w:r>
    </w:p>
    <w:p w:rsidR="00A513B2" w:rsidRPr="00A513B2" w:rsidRDefault="00A513B2" w:rsidP="00A513B2">
      <w:pPr>
        <w:rPr>
          <w:bCs/>
        </w:rPr>
      </w:pPr>
      <w:r w:rsidRPr="00A513B2">
        <w:rPr>
          <w:bCs/>
        </w:rPr>
        <w:t>The manufacturing process for OMV is</w:t>
      </w:r>
      <w:r w:rsidR="00F30D62">
        <w:rPr>
          <w:bCs/>
        </w:rPr>
        <w:t xml:space="preserve"> divided into three main phases</w:t>
      </w:r>
      <w:r w:rsidR="008B42A1">
        <w:rPr>
          <w:bCs/>
        </w:rPr>
        <w:t>:</w:t>
      </w:r>
    </w:p>
    <w:p w:rsidR="00A513B2" w:rsidRPr="00A513B2" w:rsidRDefault="00E61D57" w:rsidP="003D2161">
      <w:pPr>
        <w:pStyle w:val="ListBullet"/>
      </w:pPr>
      <w:r>
        <w:t>fermentation and harvest,</w:t>
      </w:r>
    </w:p>
    <w:p w:rsidR="00A513B2" w:rsidRPr="00A513B2" w:rsidRDefault="00A513B2" w:rsidP="003D2161">
      <w:pPr>
        <w:pStyle w:val="ListBullet"/>
      </w:pPr>
      <w:r w:rsidRPr="00A513B2">
        <w:t>purification</w:t>
      </w:r>
      <w:r w:rsidR="00E61D57">
        <w:t>,</w:t>
      </w:r>
      <w:r w:rsidR="008B42A1">
        <w:t xml:space="preserve"> and</w:t>
      </w:r>
    </w:p>
    <w:p w:rsidR="00A513B2" w:rsidRPr="00A513B2" w:rsidRDefault="00A513B2" w:rsidP="003D2161">
      <w:pPr>
        <w:pStyle w:val="ListBullet"/>
      </w:pPr>
      <w:proofErr w:type="gramStart"/>
      <w:r w:rsidRPr="00A513B2">
        <w:t>sterile</w:t>
      </w:r>
      <w:proofErr w:type="gramEnd"/>
      <w:r w:rsidRPr="00A513B2">
        <w:t xml:space="preserve"> filtration.</w:t>
      </w:r>
    </w:p>
    <w:p w:rsidR="00A513B2" w:rsidRPr="00A513B2" w:rsidRDefault="00A513B2" w:rsidP="00A513B2">
      <w:pPr>
        <w:rPr>
          <w:bCs/>
        </w:rPr>
      </w:pPr>
      <w:r w:rsidRPr="00A513B2">
        <w:rPr>
          <w:bCs/>
        </w:rPr>
        <w:t>During the fermentation step culture expansion occurs. After fermentation the bacterial suspension is concentrated and inactivated. The inactivated suspension undergoes centrifugation to remove cellular debris and the supernatant is recovered to yield the crude OMV intermediate</w:t>
      </w:r>
      <w:r w:rsidR="009C35F7">
        <w:rPr>
          <w:bCs/>
        </w:rPr>
        <w:t>, which is then purified</w:t>
      </w:r>
      <w:r w:rsidRPr="00A513B2">
        <w:rPr>
          <w:bCs/>
        </w:rPr>
        <w:t>.</w:t>
      </w:r>
    </w:p>
    <w:p w:rsidR="00A513B2" w:rsidRPr="00A513B2" w:rsidRDefault="009C35F7" w:rsidP="009C35F7">
      <w:pPr>
        <w:rPr>
          <w:b/>
          <w:bCs/>
        </w:rPr>
      </w:pPr>
      <w:r>
        <w:rPr>
          <w:bCs/>
        </w:rPr>
        <w:t>T</w:t>
      </w:r>
      <w:r w:rsidR="00A513B2" w:rsidRPr="00A513B2">
        <w:rPr>
          <w:bCs/>
        </w:rPr>
        <w:t>he filtered pre-bulk is sterile filtered to yield th</w:t>
      </w:r>
      <w:r w:rsidR="008B42A1">
        <w:rPr>
          <w:bCs/>
        </w:rPr>
        <w:t>e OMV sterile bulk concentrate.</w:t>
      </w:r>
    </w:p>
    <w:p w:rsidR="00A513B2" w:rsidRPr="00A513B2" w:rsidRDefault="00A513B2" w:rsidP="00A513B2">
      <w:r w:rsidRPr="00A513B2">
        <w:lastRenderedPageBreak/>
        <w:t>Cell banking processes are satisfactory. All viral/</w:t>
      </w:r>
      <w:proofErr w:type="spellStart"/>
      <w:r w:rsidRPr="00A513B2">
        <w:t>prion</w:t>
      </w:r>
      <w:proofErr w:type="spellEnd"/>
      <w:r w:rsidRPr="00A513B2">
        <w:t xml:space="preserve"> safety issues have been addressed, including use of animal-derived excipients, supplements in the fermentation process and in cell banking.</w:t>
      </w:r>
    </w:p>
    <w:p w:rsidR="00A513B2" w:rsidRPr="00A513B2" w:rsidRDefault="00A513B2" w:rsidP="00FA22D4">
      <w:pPr>
        <w:pStyle w:val="Heading4"/>
      </w:pPr>
      <w:r w:rsidRPr="00A513B2">
        <w:t xml:space="preserve">Physical and </w:t>
      </w:r>
      <w:r w:rsidR="00FA22D4">
        <w:t>c</w:t>
      </w:r>
      <w:r w:rsidRPr="00A513B2">
        <w:t xml:space="preserve">hemical </w:t>
      </w:r>
      <w:r w:rsidR="00FA22D4">
        <w:t>p</w:t>
      </w:r>
      <w:r w:rsidRPr="00A513B2">
        <w:t>roperties</w:t>
      </w:r>
    </w:p>
    <w:p w:rsidR="00A513B2" w:rsidRPr="00A513B2" w:rsidRDefault="00A513B2" w:rsidP="00A513B2">
      <w:pPr>
        <w:rPr>
          <w:bCs/>
        </w:rPr>
      </w:pPr>
      <w:r w:rsidRPr="00A513B2">
        <w:rPr>
          <w:bCs/>
        </w:rPr>
        <w:t>The purified recombinant proteins in buffer solution are descr</w:t>
      </w:r>
      <w:r w:rsidR="00A50238">
        <w:rPr>
          <w:bCs/>
        </w:rPr>
        <w:t>ibed as a colourless clear liquid</w:t>
      </w:r>
      <w:r w:rsidRPr="00A513B2">
        <w:rPr>
          <w:bCs/>
        </w:rPr>
        <w:t xml:space="preserve"> essentially free from visible particulates.</w:t>
      </w:r>
    </w:p>
    <w:p w:rsidR="00A513B2" w:rsidRPr="00A513B2" w:rsidRDefault="00A513B2" w:rsidP="00A513B2">
      <w:pPr>
        <w:rPr>
          <w:bCs/>
        </w:rPr>
      </w:pPr>
      <w:r w:rsidRPr="00A513B2">
        <w:rPr>
          <w:bCs/>
        </w:rPr>
        <w:t>The OMV drug substance is a sterile suspension of OMV</w:t>
      </w:r>
      <w:r w:rsidR="00FA22D4">
        <w:rPr>
          <w:bCs/>
        </w:rPr>
        <w:t xml:space="preserve"> </w:t>
      </w:r>
      <w:r w:rsidRPr="00A513B2">
        <w:rPr>
          <w:bCs/>
        </w:rPr>
        <w:t xml:space="preserve">and OMV fragments that are extracted from the bacteria by the use of the detergent and then suspended. </w:t>
      </w:r>
      <w:r w:rsidR="00A50238" w:rsidRPr="00A50238">
        <w:rPr>
          <w:bCs/>
        </w:rPr>
        <w:t xml:space="preserve">Outer membrane vesicles </w:t>
      </w:r>
      <w:r w:rsidRPr="00A513B2">
        <w:rPr>
          <w:bCs/>
        </w:rPr>
        <w:t xml:space="preserve">are a complex mixture of lipid, outer membrane proteins, </w:t>
      </w:r>
      <w:proofErr w:type="spellStart"/>
      <w:r w:rsidRPr="00A513B2">
        <w:rPr>
          <w:bCs/>
        </w:rPr>
        <w:t>periplasmic</w:t>
      </w:r>
      <w:proofErr w:type="spellEnd"/>
      <w:r w:rsidRPr="00A513B2">
        <w:rPr>
          <w:bCs/>
        </w:rPr>
        <w:t xml:space="preserve"> components and </w:t>
      </w:r>
      <w:proofErr w:type="spellStart"/>
      <w:r w:rsidRPr="00A513B2">
        <w:rPr>
          <w:bCs/>
        </w:rPr>
        <w:t>cytoplasmic</w:t>
      </w:r>
      <w:proofErr w:type="spellEnd"/>
      <w:r w:rsidRPr="00A513B2">
        <w:rPr>
          <w:bCs/>
        </w:rPr>
        <w:t xml:space="preserve"> proteins.</w:t>
      </w:r>
    </w:p>
    <w:p w:rsidR="00A513B2" w:rsidRPr="00A513B2" w:rsidRDefault="00A513B2" w:rsidP="00A513B2">
      <w:r w:rsidRPr="00A513B2">
        <w:t>The</w:t>
      </w:r>
      <w:r w:rsidR="009C35F7">
        <w:t xml:space="preserve"> </w:t>
      </w:r>
      <w:r w:rsidRPr="00A513B2">
        <w:t xml:space="preserve">relevant biological properties </w:t>
      </w:r>
      <w:r w:rsidR="009C35F7">
        <w:t xml:space="preserve">of the four drug substances </w:t>
      </w:r>
      <w:r w:rsidRPr="00A513B2">
        <w:t xml:space="preserve">are derived from their capacity to act as </w:t>
      </w:r>
      <w:proofErr w:type="spellStart"/>
      <w:r w:rsidRPr="00A513B2">
        <w:t>immunogens</w:t>
      </w:r>
      <w:proofErr w:type="spellEnd"/>
      <w:r w:rsidRPr="00A513B2">
        <w:t xml:space="preserve"> in the formulated vaccine and elicit appropriate pro</w:t>
      </w:r>
      <w:r w:rsidR="00C76C47">
        <w:t xml:space="preserve">tective responses in </w:t>
      </w:r>
      <w:proofErr w:type="spellStart"/>
      <w:r w:rsidR="00C76C47">
        <w:t>vaccinees</w:t>
      </w:r>
      <w:proofErr w:type="spellEnd"/>
      <w:r w:rsidR="00C76C47">
        <w:t>.</w:t>
      </w:r>
    </w:p>
    <w:p w:rsidR="00A513B2" w:rsidRPr="00A513B2" w:rsidRDefault="00A513B2" w:rsidP="00A513B2">
      <w:r w:rsidRPr="00A513B2">
        <w:t>The elimination of produ</w:t>
      </w:r>
      <w:r w:rsidR="00213E1E">
        <w:t>ct-related impurities from the d</w:t>
      </w:r>
      <w:r w:rsidRPr="00A513B2">
        <w:t xml:space="preserve">rug </w:t>
      </w:r>
      <w:r w:rsidR="00213E1E">
        <w:t>s</w:t>
      </w:r>
      <w:r w:rsidRPr="00A513B2">
        <w:t>ubstances is satisfactorily addressed in the data.</w:t>
      </w:r>
    </w:p>
    <w:p w:rsidR="00A513B2" w:rsidRPr="00A513B2" w:rsidRDefault="00A513B2" w:rsidP="00FA22D4">
      <w:pPr>
        <w:pStyle w:val="Heading4"/>
      </w:pPr>
      <w:r w:rsidRPr="00A513B2">
        <w:t>Specifications</w:t>
      </w:r>
    </w:p>
    <w:p w:rsidR="00A513B2" w:rsidRPr="00A513B2" w:rsidRDefault="00A513B2" w:rsidP="00A513B2">
      <w:r w:rsidRPr="009C35F7">
        <w:t>The proposed specifications, which control identity, content, potency, purity and other biological and physical properties of the drug substance relevant to the dose form and its intended clinical use</w:t>
      </w:r>
      <w:r w:rsidR="00FA22D4">
        <w:t>,</w:t>
      </w:r>
      <w:r w:rsidRPr="009C35F7">
        <w:t xml:space="preserve"> are </w:t>
      </w:r>
      <w:r w:rsidR="009C35F7" w:rsidRPr="009C35F7">
        <w:t>described for the three re</w:t>
      </w:r>
      <w:r w:rsidR="00FA22D4">
        <w:t xml:space="preserve">combinant </w:t>
      </w:r>
      <w:r w:rsidR="00213E1E">
        <w:t>protein d</w:t>
      </w:r>
      <w:r w:rsidR="009C35F7" w:rsidRPr="009C35F7">
        <w:t xml:space="preserve">rug </w:t>
      </w:r>
      <w:r w:rsidR="00213E1E">
        <w:t>s</w:t>
      </w:r>
      <w:r w:rsidR="009C35F7" w:rsidRPr="009C35F7">
        <w:t xml:space="preserve">ubstance bulk concentrates and the </w:t>
      </w:r>
      <w:r w:rsidR="00213E1E">
        <w:t>OMV c</w:t>
      </w:r>
      <w:r w:rsidR="009C35F7">
        <w:t xml:space="preserve">oncentrated </w:t>
      </w:r>
      <w:r w:rsidR="00213E1E">
        <w:t>b</w:t>
      </w:r>
      <w:r w:rsidR="009C35F7">
        <w:t>ulks.</w:t>
      </w:r>
    </w:p>
    <w:p w:rsidR="00A513B2" w:rsidRPr="00A513B2" w:rsidRDefault="00A513B2" w:rsidP="00A513B2">
      <w:r w:rsidRPr="00A513B2">
        <w:t>Appropriate validation data have been submitted in support of the te</w:t>
      </w:r>
      <w:r w:rsidR="00C76C47">
        <w:t>st procedures for all antigens.</w:t>
      </w:r>
    </w:p>
    <w:p w:rsidR="00A513B2" w:rsidRPr="00FA22D4" w:rsidRDefault="00A513B2" w:rsidP="00FA22D4">
      <w:r w:rsidRPr="00FA22D4">
        <w:t>Stability data have been generated under real time to characteris</w:t>
      </w:r>
      <w:r w:rsidR="00213E1E" w:rsidRPr="00FA22D4">
        <w:t>e the stability profile of the d</w:t>
      </w:r>
      <w:r w:rsidRPr="00FA22D4">
        <w:t xml:space="preserve">rug </w:t>
      </w:r>
      <w:r w:rsidR="00213E1E" w:rsidRPr="00FA22D4">
        <w:t>s</w:t>
      </w:r>
      <w:r w:rsidRPr="00FA22D4">
        <w:t>ubstance</w:t>
      </w:r>
      <w:r w:rsidR="00C76C47">
        <w:t>s and to establish shelf lives.</w:t>
      </w:r>
    </w:p>
    <w:p w:rsidR="008E7846" w:rsidRDefault="008E7846" w:rsidP="008E7846">
      <w:pPr>
        <w:pStyle w:val="Heading3"/>
      </w:pPr>
      <w:bookmarkStart w:id="24" w:name="_Toc247691508"/>
      <w:bookmarkStart w:id="25" w:name="_Toc314842490"/>
      <w:bookmarkStart w:id="26" w:name="_Toc370985720"/>
      <w:r w:rsidRPr="008751DC">
        <w:t xml:space="preserve">Drug </w:t>
      </w:r>
      <w:r>
        <w:t>p</w:t>
      </w:r>
      <w:r w:rsidRPr="008751DC">
        <w:t>roduct</w:t>
      </w:r>
      <w:bookmarkEnd w:id="24"/>
      <w:bookmarkEnd w:id="25"/>
      <w:bookmarkEnd w:id="26"/>
    </w:p>
    <w:p w:rsidR="00A513B2" w:rsidRPr="00C76C47" w:rsidRDefault="00213E1E" w:rsidP="00C76C47">
      <w:pPr>
        <w:pStyle w:val="Heading4"/>
      </w:pPr>
      <w:r>
        <w:rPr>
          <w:lang w:eastAsia="ja-JP"/>
        </w:rPr>
        <w:t>Description and c</w:t>
      </w:r>
      <w:r w:rsidR="00C76C47">
        <w:rPr>
          <w:lang w:eastAsia="ja-JP"/>
        </w:rPr>
        <w:t>omposition</w:t>
      </w:r>
    </w:p>
    <w:p w:rsidR="00A513B2" w:rsidRPr="00A513B2" w:rsidRDefault="00213E1E" w:rsidP="00A513B2">
      <w:pPr>
        <w:autoSpaceDE w:val="0"/>
        <w:autoSpaceDN w:val="0"/>
        <w:adjustRightInd w:val="0"/>
        <w:rPr>
          <w:rFonts w:eastAsia="MS Mincho"/>
          <w:lang w:eastAsia="ja-JP"/>
        </w:rPr>
      </w:pPr>
      <w:proofErr w:type="spellStart"/>
      <w:r>
        <w:rPr>
          <w:rFonts w:eastAsia="MS Mincho"/>
          <w:lang w:eastAsia="ja-JP"/>
        </w:rPr>
        <w:t>Bexsero</w:t>
      </w:r>
      <w:proofErr w:type="spellEnd"/>
      <w:r>
        <w:rPr>
          <w:rFonts w:eastAsia="MS Mincho"/>
          <w:lang w:eastAsia="ja-JP"/>
        </w:rPr>
        <w:t xml:space="preserve"> m</w:t>
      </w:r>
      <w:r w:rsidR="00A513B2" w:rsidRPr="00A513B2">
        <w:rPr>
          <w:rFonts w:eastAsia="MS Mincho"/>
          <w:lang w:eastAsia="ja-JP"/>
        </w:rPr>
        <w:t xml:space="preserve">ulti-component </w:t>
      </w:r>
      <w:r>
        <w:rPr>
          <w:rFonts w:eastAsia="MS Mincho"/>
          <w:lang w:eastAsia="ja-JP"/>
        </w:rPr>
        <w:t>m</w:t>
      </w:r>
      <w:r w:rsidR="00A513B2" w:rsidRPr="00A513B2">
        <w:rPr>
          <w:rFonts w:eastAsia="MS Mincho"/>
          <w:lang w:eastAsia="ja-JP"/>
        </w:rPr>
        <w:t>eningococcal B vaccine (recombinant, adsorbed) suspension for injection 0.5</w:t>
      </w:r>
      <w:r w:rsidR="006327B2">
        <w:rPr>
          <w:rFonts w:eastAsia="MS Mincho"/>
          <w:lang w:eastAsia="ja-JP"/>
        </w:rPr>
        <w:t xml:space="preserve"> </w:t>
      </w:r>
      <w:r w:rsidR="00A513B2" w:rsidRPr="00A513B2">
        <w:rPr>
          <w:rFonts w:eastAsia="MS Mincho"/>
          <w:lang w:eastAsia="ja-JP"/>
        </w:rPr>
        <w:t>mL pre-filled syringe contains three recombinant proteins, OMV an</w:t>
      </w:r>
      <w:r w:rsidR="003D2161">
        <w:rPr>
          <w:rFonts w:eastAsia="MS Mincho"/>
          <w:lang w:eastAsia="ja-JP"/>
        </w:rPr>
        <w:t xml:space="preserve">d </w:t>
      </w:r>
      <w:r w:rsidR="000B0927">
        <w:rPr>
          <w:rFonts w:eastAsia="MS Mincho"/>
          <w:lang w:eastAsia="ja-JP"/>
        </w:rPr>
        <w:t xml:space="preserve">the </w:t>
      </w:r>
      <w:r w:rsidR="003D2161">
        <w:rPr>
          <w:rFonts w:eastAsia="MS Mincho"/>
          <w:lang w:eastAsia="ja-JP"/>
        </w:rPr>
        <w:t>excipients</w:t>
      </w:r>
      <w:r w:rsidR="000B0927">
        <w:rPr>
          <w:rFonts w:eastAsia="MS Mincho"/>
          <w:lang w:eastAsia="ja-JP"/>
        </w:rPr>
        <w:t xml:space="preserve"> aluminium hydroxide</w:t>
      </w:r>
      <w:r w:rsidR="00FA22D4">
        <w:rPr>
          <w:rFonts w:eastAsia="MS Mincho"/>
          <w:lang w:eastAsia="ja-JP"/>
        </w:rPr>
        <w:t xml:space="preserve"> (Al</w:t>
      </w:r>
      <w:r w:rsidR="006D2F6B">
        <w:rPr>
          <w:rFonts w:eastAsia="MS Mincho"/>
          <w:lang w:eastAsia="ja-JP"/>
        </w:rPr>
        <w:t>(</w:t>
      </w:r>
      <w:r w:rsidR="00FA22D4">
        <w:rPr>
          <w:rFonts w:eastAsia="MS Mincho"/>
          <w:lang w:eastAsia="ja-JP"/>
        </w:rPr>
        <w:t>OH</w:t>
      </w:r>
      <w:r w:rsidR="006D2F6B">
        <w:rPr>
          <w:rFonts w:eastAsia="MS Mincho"/>
          <w:lang w:eastAsia="ja-JP"/>
        </w:rPr>
        <w:t>)</w:t>
      </w:r>
      <w:r w:rsidR="00FA22D4" w:rsidRPr="00FA22D4">
        <w:rPr>
          <w:rFonts w:eastAsia="MS Mincho"/>
          <w:vertAlign w:val="subscript"/>
          <w:lang w:eastAsia="ja-JP"/>
        </w:rPr>
        <w:t>3</w:t>
      </w:r>
      <w:r w:rsidR="00FA22D4">
        <w:rPr>
          <w:rFonts w:eastAsia="MS Mincho"/>
          <w:lang w:eastAsia="ja-JP"/>
        </w:rPr>
        <w:t>)</w:t>
      </w:r>
      <w:r w:rsidR="000B0927">
        <w:rPr>
          <w:rFonts w:eastAsia="MS Mincho"/>
          <w:lang w:eastAsia="ja-JP"/>
        </w:rPr>
        <w:t xml:space="preserve">, sodium chloride, sucrose, </w:t>
      </w:r>
      <w:proofErr w:type="spellStart"/>
      <w:r w:rsidR="000B0927">
        <w:rPr>
          <w:rFonts w:eastAsia="MS Mincho"/>
          <w:lang w:eastAsia="ja-JP"/>
        </w:rPr>
        <w:t>his</w:t>
      </w:r>
      <w:r w:rsidR="00C76C47">
        <w:rPr>
          <w:rFonts w:eastAsia="MS Mincho"/>
          <w:lang w:eastAsia="ja-JP"/>
        </w:rPr>
        <w:t>tidine</w:t>
      </w:r>
      <w:proofErr w:type="spellEnd"/>
      <w:r w:rsidR="00C76C47">
        <w:rPr>
          <w:rFonts w:eastAsia="MS Mincho"/>
          <w:lang w:eastAsia="ja-JP"/>
        </w:rPr>
        <w:t xml:space="preserve"> and water for injection.</w:t>
      </w:r>
    </w:p>
    <w:p w:rsidR="00A513B2" w:rsidRPr="00A513B2" w:rsidRDefault="00A513B2" w:rsidP="00A513B2">
      <w:pPr>
        <w:autoSpaceDE w:val="0"/>
        <w:autoSpaceDN w:val="0"/>
        <w:adjustRightInd w:val="0"/>
        <w:rPr>
          <w:rFonts w:eastAsia="MS Mincho"/>
          <w:lang w:eastAsia="ja-JP"/>
        </w:rPr>
      </w:pPr>
      <w:r w:rsidRPr="00A513B2">
        <w:rPr>
          <w:rFonts w:eastAsia="MS Mincho"/>
          <w:lang w:eastAsia="ja-JP"/>
        </w:rPr>
        <w:t>There are no overages used in the manufacture</w:t>
      </w:r>
      <w:r w:rsidR="003D2161">
        <w:rPr>
          <w:rFonts w:eastAsia="MS Mincho"/>
          <w:lang w:eastAsia="ja-JP"/>
        </w:rPr>
        <w:t xml:space="preserve"> of this vaccine. </w:t>
      </w:r>
      <w:r w:rsidRPr="00A513B2">
        <w:rPr>
          <w:rFonts w:eastAsia="MS Mincho"/>
          <w:lang w:eastAsia="ja-JP"/>
        </w:rPr>
        <w:t>An over-fill of 0.1 mL is included in the syringe to ensure that 0.5 mL can be withdrawn.</w:t>
      </w:r>
      <w:r w:rsidR="000B0927">
        <w:rPr>
          <w:rFonts w:eastAsia="MS Mincho"/>
          <w:lang w:eastAsia="ja-JP"/>
        </w:rPr>
        <w:t xml:space="preserve"> The vaccine is supplied in a 1 </w:t>
      </w:r>
      <w:r w:rsidRPr="00A513B2">
        <w:rPr>
          <w:rFonts w:eastAsia="MS Mincho"/>
          <w:lang w:eastAsia="ja-JP"/>
        </w:rPr>
        <w:t xml:space="preserve">mL hydrolytic glass pre-filled syringe without a pre-affixed needle. Syringes are sealed with a </w:t>
      </w:r>
      <w:proofErr w:type="spellStart"/>
      <w:r w:rsidRPr="00A513B2">
        <w:rPr>
          <w:rFonts w:eastAsia="MS Mincho"/>
          <w:lang w:eastAsia="ja-JP"/>
        </w:rPr>
        <w:t>bromobutyl</w:t>
      </w:r>
      <w:proofErr w:type="spellEnd"/>
      <w:r w:rsidRPr="00A513B2">
        <w:rPr>
          <w:rFonts w:eastAsia="MS Mincho"/>
          <w:lang w:eastAsia="ja-JP"/>
        </w:rPr>
        <w:t xml:space="preserve"> rubb</w:t>
      </w:r>
      <w:r w:rsidR="00C76C47">
        <w:rPr>
          <w:rFonts w:eastAsia="MS Mincho"/>
          <w:lang w:eastAsia="ja-JP"/>
        </w:rPr>
        <w:t>er plunger stopper and tip cap.</w:t>
      </w:r>
    </w:p>
    <w:p w:rsidR="00A513B2" w:rsidRPr="00A513B2" w:rsidRDefault="00A513B2" w:rsidP="00C76C47">
      <w:pPr>
        <w:pStyle w:val="Heading4"/>
        <w:rPr>
          <w:lang w:eastAsia="ja-JP"/>
        </w:rPr>
      </w:pPr>
      <w:r w:rsidRPr="00A513B2">
        <w:rPr>
          <w:lang w:eastAsia="ja-JP"/>
        </w:rPr>
        <w:t>Manufacture</w:t>
      </w:r>
    </w:p>
    <w:p w:rsidR="00A513B2" w:rsidRPr="00A513B2" w:rsidRDefault="00A513B2" w:rsidP="00A513B2">
      <w:pPr>
        <w:autoSpaceDE w:val="0"/>
        <w:autoSpaceDN w:val="0"/>
        <w:adjustRightInd w:val="0"/>
        <w:rPr>
          <w:rFonts w:eastAsia="MS Mincho"/>
          <w:lang w:eastAsia="ja-JP"/>
        </w:rPr>
      </w:pPr>
      <w:r w:rsidRPr="00A513B2">
        <w:rPr>
          <w:rFonts w:eastAsia="MS Mincho"/>
          <w:lang w:eastAsia="ja-JP"/>
        </w:rPr>
        <w:t>The manufacturing process for the drug product involves formulati</w:t>
      </w:r>
      <w:r w:rsidR="00DA1F35">
        <w:rPr>
          <w:rFonts w:eastAsia="MS Mincho"/>
          <w:lang w:eastAsia="ja-JP"/>
        </w:rPr>
        <w:t xml:space="preserve">on of the drug substances with </w:t>
      </w:r>
      <w:proofErr w:type="gramStart"/>
      <w:r w:rsidR="00FA22D4" w:rsidRPr="00FA22D4">
        <w:rPr>
          <w:rFonts w:eastAsia="MS Mincho"/>
          <w:lang w:eastAsia="ja-JP"/>
        </w:rPr>
        <w:t>Al</w:t>
      </w:r>
      <w:r w:rsidR="006D2F6B">
        <w:rPr>
          <w:rFonts w:eastAsia="MS Mincho"/>
          <w:lang w:eastAsia="ja-JP"/>
        </w:rPr>
        <w:t>(</w:t>
      </w:r>
      <w:proofErr w:type="gramEnd"/>
      <w:r w:rsidR="00FA22D4" w:rsidRPr="00FA22D4">
        <w:rPr>
          <w:rFonts w:eastAsia="MS Mincho"/>
          <w:lang w:eastAsia="ja-JP"/>
        </w:rPr>
        <w:t>OH</w:t>
      </w:r>
      <w:r w:rsidR="006D2F6B">
        <w:rPr>
          <w:rFonts w:eastAsia="MS Mincho"/>
          <w:lang w:eastAsia="ja-JP"/>
        </w:rPr>
        <w:t>)</w:t>
      </w:r>
      <w:r w:rsidR="00FA22D4" w:rsidRPr="00FA22D4">
        <w:rPr>
          <w:rFonts w:eastAsia="MS Mincho"/>
          <w:vertAlign w:val="subscript"/>
          <w:lang w:eastAsia="ja-JP"/>
        </w:rPr>
        <w:t>3</w:t>
      </w:r>
      <w:r w:rsidR="00FA22D4">
        <w:rPr>
          <w:rFonts w:eastAsia="MS Mincho"/>
          <w:vertAlign w:val="subscript"/>
          <w:lang w:eastAsia="ja-JP"/>
        </w:rPr>
        <w:t xml:space="preserve"> </w:t>
      </w:r>
      <w:r w:rsidRPr="00A513B2">
        <w:rPr>
          <w:rFonts w:eastAsia="MS Mincho"/>
          <w:lang w:eastAsia="ja-JP"/>
        </w:rPr>
        <w:t>and buffers, followed by aseptic filling, v</w:t>
      </w:r>
      <w:r w:rsidR="00C76C47">
        <w:rPr>
          <w:rFonts w:eastAsia="MS Mincho"/>
          <w:lang w:eastAsia="ja-JP"/>
        </w:rPr>
        <w:t>isual inspection and packaging.</w:t>
      </w:r>
    </w:p>
    <w:p w:rsidR="00A513B2" w:rsidRPr="00A513B2" w:rsidRDefault="00A513B2" w:rsidP="00C76C47">
      <w:pPr>
        <w:rPr>
          <w:lang w:eastAsia="ja-JP"/>
        </w:rPr>
      </w:pPr>
      <w:r w:rsidRPr="00A513B2">
        <w:rPr>
          <w:lang w:eastAsia="ja-JP"/>
        </w:rPr>
        <w:t xml:space="preserve">The formulated bulk is aseptically filled into unit dose syringes under Class </w:t>
      </w:r>
      <w:proofErr w:type="gramStart"/>
      <w:r w:rsidRPr="00A513B2">
        <w:rPr>
          <w:lang w:eastAsia="ja-JP"/>
        </w:rPr>
        <w:t>A</w:t>
      </w:r>
      <w:proofErr w:type="gramEnd"/>
      <w:r w:rsidRPr="00A513B2">
        <w:rPr>
          <w:lang w:eastAsia="ja-JP"/>
        </w:rPr>
        <w:t xml:space="preserve"> Laminar Air Flow (LAF) in a Class B room. Filled syringes are inspected for defects prior to labelling; the syringes are then labelled and packaged for distribution.</w:t>
      </w:r>
    </w:p>
    <w:p w:rsidR="00A513B2" w:rsidRPr="00A513B2" w:rsidRDefault="00A513B2" w:rsidP="00C76C47">
      <w:pPr>
        <w:pStyle w:val="Heading4"/>
        <w:rPr>
          <w:lang w:eastAsia="ja-JP"/>
        </w:rPr>
      </w:pPr>
      <w:r w:rsidRPr="00A513B2">
        <w:rPr>
          <w:lang w:eastAsia="ja-JP"/>
        </w:rPr>
        <w:lastRenderedPageBreak/>
        <w:t>Specifications</w:t>
      </w:r>
    </w:p>
    <w:p w:rsidR="00A513B2" w:rsidRPr="00A513B2" w:rsidRDefault="00A513B2" w:rsidP="00A513B2">
      <w:pPr>
        <w:autoSpaceDE w:val="0"/>
        <w:autoSpaceDN w:val="0"/>
        <w:adjustRightInd w:val="0"/>
        <w:rPr>
          <w:rFonts w:eastAsia="MS Mincho"/>
          <w:lang w:eastAsia="ja-JP"/>
        </w:rPr>
      </w:pPr>
      <w:r w:rsidRPr="00A513B2">
        <w:rPr>
          <w:rFonts w:eastAsia="MS Mincho"/>
          <w:lang w:eastAsia="ja-JP"/>
        </w:rPr>
        <w:t>The proposed specifications, which control identity, potency, purity, dose delivery and other physical, chemical and microbiological properties relevant to the clinical use of the product</w:t>
      </w:r>
      <w:r w:rsidR="00FA22D4">
        <w:rPr>
          <w:rFonts w:eastAsia="MS Mincho"/>
          <w:lang w:eastAsia="ja-JP"/>
        </w:rPr>
        <w:t>,</w:t>
      </w:r>
      <w:r w:rsidRPr="00A513B2">
        <w:rPr>
          <w:rFonts w:eastAsia="MS Mincho"/>
          <w:lang w:eastAsia="ja-JP"/>
        </w:rPr>
        <w:t xml:space="preserve"> </w:t>
      </w:r>
      <w:r w:rsidR="00D85AD1">
        <w:rPr>
          <w:rFonts w:eastAsia="MS Mincho"/>
          <w:lang w:eastAsia="ja-JP"/>
        </w:rPr>
        <w:t>have been provided for the final bul</w:t>
      </w:r>
      <w:r w:rsidR="00C76C47">
        <w:rPr>
          <w:rFonts w:eastAsia="MS Mincho"/>
          <w:lang w:eastAsia="ja-JP"/>
        </w:rPr>
        <w:t>k, filled and packaged product.</w:t>
      </w:r>
    </w:p>
    <w:p w:rsidR="00A513B2" w:rsidRPr="00A513B2" w:rsidRDefault="00792A92" w:rsidP="00A513B2">
      <w:pPr>
        <w:autoSpaceDE w:val="0"/>
        <w:autoSpaceDN w:val="0"/>
        <w:adjustRightInd w:val="0"/>
        <w:rPr>
          <w:rFonts w:eastAsia="MS Mincho"/>
          <w:lang w:val="en-US" w:eastAsia="ja-JP"/>
        </w:rPr>
      </w:pPr>
      <w:r w:rsidRPr="00792A92">
        <w:t xml:space="preserve">The proposed test methods and specifications are </w:t>
      </w:r>
      <w:r w:rsidRPr="00792A92">
        <w:rPr>
          <w:lang w:eastAsia="ja-JP"/>
        </w:rPr>
        <w:t xml:space="preserve">different </w:t>
      </w:r>
      <w:r w:rsidRPr="00792A92">
        <w:t xml:space="preserve">from those proposed in the original data. </w:t>
      </w:r>
      <w:r>
        <w:t>In particular, t</w:t>
      </w:r>
      <w:r w:rsidR="00A513B2" w:rsidRPr="00792A92">
        <w:t xml:space="preserve">he test </w:t>
      </w:r>
      <w:r w:rsidR="006D2683" w:rsidRPr="00792A92">
        <w:t>methods and specifications for e</w:t>
      </w:r>
      <w:r w:rsidR="00A513B2" w:rsidRPr="00792A92">
        <w:t xml:space="preserve">ndotoxin and </w:t>
      </w:r>
      <w:r w:rsidR="006D2683" w:rsidRPr="00792A92">
        <w:t>i</w:t>
      </w:r>
      <w:r w:rsidR="00A513B2" w:rsidRPr="00792A92">
        <w:t>mmunoge</w:t>
      </w:r>
      <w:r w:rsidR="00FA22D4" w:rsidRPr="00792A92">
        <w:t>nicity (p</w:t>
      </w:r>
      <w:r w:rsidR="00A513B2" w:rsidRPr="00792A92">
        <w:t xml:space="preserve">otency) </w:t>
      </w:r>
      <w:r w:rsidR="006327B2">
        <w:t xml:space="preserve">were </w:t>
      </w:r>
      <w:r w:rsidR="00A513B2" w:rsidRPr="00792A92">
        <w:t xml:space="preserve">significantly improved in response to the evaluation process. </w:t>
      </w:r>
      <w:r w:rsidR="006D2683">
        <w:rPr>
          <w:rFonts w:eastAsia="MS Mincho"/>
          <w:lang w:val="en-US" w:eastAsia="ja-JP"/>
        </w:rPr>
        <w:t xml:space="preserve">The </w:t>
      </w:r>
      <w:r>
        <w:rPr>
          <w:rFonts w:eastAsia="MS Mincho"/>
          <w:lang w:val="en-US" w:eastAsia="ja-JP"/>
        </w:rPr>
        <w:t>sponsor</w:t>
      </w:r>
      <w:r w:rsidR="006D2683">
        <w:rPr>
          <w:rFonts w:eastAsia="MS Mincho"/>
          <w:lang w:val="en-US" w:eastAsia="ja-JP"/>
        </w:rPr>
        <w:t xml:space="preserve"> considers that the proposed e</w:t>
      </w:r>
      <w:r w:rsidR="00A513B2" w:rsidRPr="00A513B2">
        <w:rPr>
          <w:rFonts w:eastAsia="MS Mincho"/>
          <w:lang w:val="en-US" w:eastAsia="ja-JP"/>
        </w:rPr>
        <w:t xml:space="preserve">ndotoxin specification is clinically qualified and provides assurance that manufactured lots will be representative of lots used in clinical studies and shown to be safe (see discussion under </w:t>
      </w:r>
      <w:r w:rsidR="00FA22D4">
        <w:rPr>
          <w:rFonts w:eastAsia="MS Mincho"/>
          <w:bCs/>
          <w:i/>
          <w:iCs/>
          <w:lang w:eastAsia="ja-JP"/>
        </w:rPr>
        <w:t>Summary of e</w:t>
      </w:r>
      <w:r w:rsidR="00A513B2" w:rsidRPr="006D2683">
        <w:rPr>
          <w:rFonts w:eastAsia="MS Mincho"/>
          <w:bCs/>
          <w:i/>
          <w:iCs/>
          <w:lang w:eastAsia="ja-JP"/>
        </w:rPr>
        <w:t xml:space="preserve">valuation and </w:t>
      </w:r>
      <w:r w:rsidR="00FA22D4">
        <w:rPr>
          <w:rFonts w:eastAsia="MS Mincho"/>
          <w:bCs/>
          <w:i/>
          <w:iCs/>
          <w:lang w:eastAsia="ja-JP"/>
        </w:rPr>
        <w:t>i</w:t>
      </w:r>
      <w:r w:rsidR="00A513B2" w:rsidRPr="006D2683">
        <w:rPr>
          <w:rFonts w:eastAsia="MS Mincho"/>
          <w:bCs/>
          <w:i/>
          <w:iCs/>
          <w:lang w:eastAsia="ja-JP"/>
        </w:rPr>
        <w:t xml:space="preserve">ssues of </w:t>
      </w:r>
      <w:r w:rsidR="00FA22D4">
        <w:rPr>
          <w:rFonts w:eastAsia="MS Mincho"/>
          <w:bCs/>
          <w:i/>
          <w:iCs/>
          <w:lang w:eastAsia="ja-JP"/>
        </w:rPr>
        <w:t>i</w:t>
      </w:r>
      <w:r w:rsidR="00A513B2" w:rsidRPr="006D2683">
        <w:rPr>
          <w:rFonts w:eastAsia="MS Mincho"/>
          <w:bCs/>
          <w:i/>
          <w:iCs/>
          <w:lang w:eastAsia="ja-JP"/>
        </w:rPr>
        <w:t>mportance</w:t>
      </w:r>
      <w:r w:rsidR="00A513B2" w:rsidRPr="00A513B2">
        <w:rPr>
          <w:rFonts w:eastAsia="MS Mincho"/>
          <w:b/>
          <w:lang w:eastAsia="ja-JP"/>
        </w:rPr>
        <w:t xml:space="preserve"> </w:t>
      </w:r>
      <w:r w:rsidR="00A513B2" w:rsidRPr="00A513B2">
        <w:rPr>
          <w:rFonts w:eastAsia="MS Mincho"/>
          <w:lang w:eastAsia="ja-JP"/>
        </w:rPr>
        <w:t>below)</w:t>
      </w:r>
      <w:r w:rsidR="00A513B2" w:rsidRPr="00A513B2">
        <w:rPr>
          <w:rFonts w:eastAsia="MS Mincho"/>
          <w:lang w:val="en-US" w:eastAsia="ja-JP"/>
        </w:rPr>
        <w:t xml:space="preserve">. </w:t>
      </w:r>
      <w:r w:rsidR="00A513B2" w:rsidRPr="00A513B2">
        <w:rPr>
          <w:rFonts w:eastAsia="MS Mincho"/>
          <w:lang w:eastAsia="ja-JP"/>
        </w:rPr>
        <w:t xml:space="preserve">Because of the potentially </w:t>
      </w:r>
      <w:proofErr w:type="spellStart"/>
      <w:r w:rsidR="00A513B2" w:rsidRPr="00A513B2">
        <w:rPr>
          <w:rFonts w:eastAsia="MS Mincho"/>
          <w:lang w:eastAsia="ja-JP"/>
        </w:rPr>
        <w:t>pyrogenic</w:t>
      </w:r>
      <w:proofErr w:type="spellEnd"/>
      <w:r w:rsidR="00A513B2" w:rsidRPr="00A513B2">
        <w:rPr>
          <w:rFonts w:eastAsia="MS Mincho"/>
          <w:lang w:eastAsia="ja-JP"/>
        </w:rPr>
        <w:t xml:space="preserve"> nature of the OMV component of the vaccine, the specifications contain a modified </w:t>
      </w:r>
      <w:r w:rsidR="00A513B2" w:rsidRPr="00A513B2">
        <w:rPr>
          <w:rFonts w:eastAsia="MS Mincho"/>
          <w:i/>
          <w:lang w:eastAsia="ja-JP"/>
        </w:rPr>
        <w:t>in vivo</w:t>
      </w:r>
      <w:r w:rsidR="006D2683">
        <w:rPr>
          <w:rFonts w:eastAsia="MS Mincho"/>
          <w:lang w:eastAsia="ja-JP"/>
        </w:rPr>
        <w:t xml:space="preserve"> </w:t>
      </w:r>
      <w:proofErr w:type="spellStart"/>
      <w:r w:rsidR="006D2683">
        <w:rPr>
          <w:rFonts w:eastAsia="MS Mincho"/>
          <w:lang w:eastAsia="ja-JP"/>
        </w:rPr>
        <w:t>p</w:t>
      </w:r>
      <w:r w:rsidR="00A513B2" w:rsidRPr="00A513B2">
        <w:rPr>
          <w:rFonts w:eastAsia="MS Mincho"/>
          <w:lang w:eastAsia="ja-JP"/>
        </w:rPr>
        <w:t>y</w:t>
      </w:r>
      <w:r w:rsidR="006D2683">
        <w:rPr>
          <w:rFonts w:eastAsia="MS Mincho"/>
          <w:lang w:eastAsia="ja-JP"/>
        </w:rPr>
        <w:t>rogens</w:t>
      </w:r>
      <w:proofErr w:type="spellEnd"/>
      <w:r w:rsidR="006D2683">
        <w:rPr>
          <w:rFonts w:eastAsia="MS Mincho"/>
          <w:lang w:eastAsia="ja-JP"/>
        </w:rPr>
        <w:t xml:space="preserve"> test in addition to the e</w:t>
      </w:r>
      <w:r w:rsidR="00A513B2" w:rsidRPr="00A513B2">
        <w:rPr>
          <w:rFonts w:eastAsia="MS Mincho"/>
          <w:lang w:eastAsia="ja-JP"/>
        </w:rPr>
        <w:t xml:space="preserve">ndotoxin test. The </w:t>
      </w:r>
      <w:r w:rsidRPr="00792A92">
        <w:rPr>
          <w:rFonts w:eastAsia="MS Mincho"/>
          <w:lang w:val="en-US" w:eastAsia="ja-JP"/>
        </w:rPr>
        <w:t>sponsor</w:t>
      </w:r>
      <w:r w:rsidR="00A513B2" w:rsidRPr="00A513B2">
        <w:rPr>
          <w:rFonts w:eastAsia="MS Mincho"/>
          <w:lang w:eastAsia="ja-JP"/>
        </w:rPr>
        <w:t xml:space="preserve"> believes that this test has the capacity to register the presence of non-</w:t>
      </w:r>
      <w:proofErr w:type="spellStart"/>
      <w:r w:rsidR="00A513B2" w:rsidRPr="00A513B2">
        <w:rPr>
          <w:rFonts w:eastAsia="MS Mincho"/>
          <w:lang w:eastAsia="ja-JP"/>
        </w:rPr>
        <w:t>endotoxin</w:t>
      </w:r>
      <w:proofErr w:type="spellEnd"/>
      <w:r w:rsidR="00A513B2" w:rsidRPr="00A513B2">
        <w:rPr>
          <w:rFonts w:eastAsia="MS Mincho"/>
          <w:lang w:eastAsia="ja-JP"/>
        </w:rPr>
        <w:t xml:space="preserve"> </w:t>
      </w:r>
      <w:proofErr w:type="spellStart"/>
      <w:r w:rsidR="00A513B2" w:rsidRPr="00A513B2">
        <w:rPr>
          <w:rFonts w:eastAsia="MS Mincho"/>
          <w:lang w:eastAsia="ja-JP"/>
        </w:rPr>
        <w:t>pyrogens</w:t>
      </w:r>
      <w:proofErr w:type="spellEnd"/>
      <w:r w:rsidR="00A513B2" w:rsidRPr="00A513B2">
        <w:rPr>
          <w:rFonts w:eastAsia="MS Mincho"/>
          <w:lang w:eastAsia="ja-JP"/>
        </w:rPr>
        <w:t xml:space="preserve"> in the product.</w:t>
      </w:r>
    </w:p>
    <w:p w:rsidR="00A513B2" w:rsidRPr="00A513B2" w:rsidRDefault="00A513B2" w:rsidP="00FA22D4">
      <w:pPr>
        <w:pStyle w:val="Heading4"/>
        <w:rPr>
          <w:lang w:eastAsia="ja-JP"/>
        </w:rPr>
      </w:pPr>
      <w:r w:rsidRPr="00A513B2">
        <w:rPr>
          <w:lang w:eastAsia="ja-JP"/>
        </w:rPr>
        <w:t>Stability</w:t>
      </w:r>
    </w:p>
    <w:p w:rsidR="00A513B2" w:rsidRPr="00A513B2" w:rsidRDefault="00A513B2" w:rsidP="00A513B2">
      <w:pPr>
        <w:autoSpaceDE w:val="0"/>
        <w:autoSpaceDN w:val="0"/>
        <w:adjustRightInd w:val="0"/>
        <w:rPr>
          <w:rFonts w:eastAsia="MS Mincho"/>
          <w:lang w:eastAsia="ja-JP"/>
        </w:rPr>
      </w:pPr>
      <w:r w:rsidRPr="00A513B2">
        <w:rPr>
          <w:rFonts w:eastAsia="MS Mincho"/>
          <w:lang w:eastAsia="ja-JP"/>
        </w:rPr>
        <w:t>Stability data have been generated under stressed and real time conditions to characterise the stability profile of the product. The proposed shelf life i</w:t>
      </w:r>
      <w:r w:rsidR="006327B2">
        <w:rPr>
          <w:rFonts w:eastAsia="MS Mincho"/>
          <w:lang w:eastAsia="ja-JP"/>
        </w:rPr>
        <w:t>s 2 years when stored at 2-8 °C</w:t>
      </w:r>
      <w:r w:rsidRPr="00A513B2">
        <w:rPr>
          <w:rFonts w:eastAsia="MS Mincho"/>
          <w:lang w:eastAsia="ja-JP"/>
        </w:rPr>
        <w:t xml:space="preserve"> protected from light.</w:t>
      </w:r>
    </w:p>
    <w:p w:rsidR="006D2683" w:rsidRDefault="00A513B2" w:rsidP="003D2161">
      <w:pPr>
        <w:autoSpaceDE w:val="0"/>
        <w:autoSpaceDN w:val="0"/>
        <w:adjustRightInd w:val="0"/>
        <w:rPr>
          <w:rFonts w:eastAsia="MS Mincho"/>
          <w:lang w:eastAsia="ja-JP"/>
        </w:rPr>
      </w:pPr>
      <w:r w:rsidRPr="00A513B2">
        <w:rPr>
          <w:rFonts w:eastAsia="MS Mincho"/>
          <w:lang w:eastAsia="ja-JP"/>
        </w:rPr>
        <w:t>The stability data originally submitted to support the proposed shelf-life contained results of potency and endotoxin testing conducted by methods that were considered unacceptable and were replaced during the evaluation process by improved methods. This means that the stability data is incomplete in that it does not contain real-time potency and endotoxin results obtained by (what are now) the current test metho</w:t>
      </w:r>
      <w:r w:rsidR="00C76C47">
        <w:rPr>
          <w:rFonts w:eastAsia="MS Mincho"/>
          <w:lang w:eastAsia="ja-JP"/>
        </w:rPr>
        <w:t>ds.</w:t>
      </w:r>
    </w:p>
    <w:p w:rsidR="003D2161" w:rsidRDefault="00A513B2" w:rsidP="003D2161">
      <w:pPr>
        <w:autoSpaceDE w:val="0"/>
        <w:autoSpaceDN w:val="0"/>
        <w:adjustRightInd w:val="0"/>
      </w:pPr>
      <w:r w:rsidRPr="00A513B2">
        <w:rPr>
          <w:rFonts w:eastAsia="MS Mincho"/>
          <w:lang w:eastAsia="ja-JP"/>
        </w:rPr>
        <w:t xml:space="preserve">The </w:t>
      </w:r>
      <w:r w:rsidR="00792A92" w:rsidRPr="00792A92">
        <w:rPr>
          <w:rFonts w:eastAsia="MS Mincho"/>
          <w:lang w:val="en-US" w:eastAsia="ja-JP"/>
        </w:rPr>
        <w:t>sponsor</w:t>
      </w:r>
      <w:r w:rsidRPr="00A513B2">
        <w:rPr>
          <w:rFonts w:eastAsia="MS Mincho"/>
          <w:lang w:eastAsia="ja-JP"/>
        </w:rPr>
        <w:t xml:space="preserve"> proposes that the finding that a number of batches of vaccine used in clinical studies were clinically effective when used at times in excess of 24 months after manufacture should be considered to justify the proposed shelf-life until appropriate stability data generated by the new potency and endotoxin tests are available. This proposal is conditionally supported with the requirements that the </w:t>
      </w:r>
      <w:r w:rsidR="00792A92" w:rsidRPr="00792A92">
        <w:rPr>
          <w:rFonts w:eastAsia="MS Mincho"/>
          <w:lang w:val="en-US" w:eastAsia="ja-JP"/>
        </w:rPr>
        <w:t>sponsor</w:t>
      </w:r>
      <w:r w:rsidRPr="00A513B2">
        <w:rPr>
          <w:rFonts w:eastAsia="MS Mincho"/>
          <w:lang w:eastAsia="ja-JP"/>
        </w:rPr>
        <w:t xml:space="preserve"> provides TGA with stability data that will become available from ongoing studies and acknowledges the obligation to notify TGA of any results in ongoing stability studies that could indicate a trend towards</w:t>
      </w:r>
      <w:r w:rsidR="00FA22D4">
        <w:rPr>
          <w:rFonts w:eastAsia="MS Mincho"/>
          <w:lang w:eastAsia="ja-JP"/>
        </w:rPr>
        <w:t xml:space="preserve"> diminished potency over the 24 </w:t>
      </w:r>
      <w:r w:rsidRPr="00A513B2">
        <w:rPr>
          <w:rFonts w:eastAsia="MS Mincho"/>
          <w:lang w:eastAsia="ja-JP"/>
        </w:rPr>
        <w:t xml:space="preserve">month storage period. A recommendation is made </w:t>
      </w:r>
      <w:r w:rsidR="00FA22D4">
        <w:rPr>
          <w:rFonts w:eastAsia="MS Mincho"/>
          <w:lang w:eastAsia="ja-JP"/>
        </w:rPr>
        <w:t xml:space="preserve">(see </w:t>
      </w:r>
      <w:r w:rsidRPr="00A513B2">
        <w:rPr>
          <w:rFonts w:eastAsia="MS Mincho"/>
          <w:lang w:eastAsia="ja-JP"/>
        </w:rPr>
        <w:t>below</w:t>
      </w:r>
      <w:r w:rsidR="00FA22D4">
        <w:rPr>
          <w:rFonts w:eastAsia="MS Mincho"/>
          <w:lang w:eastAsia="ja-JP"/>
        </w:rPr>
        <w:t>)</w:t>
      </w:r>
      <w:r w:rsidRPr="00A513B2">
        <w:rPr>
          <w:rFonts w:eastAsia="MS Mincho"/>
          <w:lang w:eastAsia="ja-JP"/>
        </w:rPr>
        <w:t xml:space="preserve"> of an additional condition of registration that addresses the stability testing program to be applied should approval </w:t>
      </w:r>
      <w:r w:rsidR="00C76C47">
        <w:rPr>
          <w:rFonts w:eastAsia="MS Mincho"/>
          <w:lang w:eastAsia="ja-JP"/>
        </w:rPr>
        <w:t>of this application be granted.</w:t>
      </w:r>
    </w:p>
    <w:p w:rsidR="008E7846" w:rsidRDefault="008E7846" w:rsidP="008E7846">
      <w:pPr>
        <w:pStyle w:val="Heading3"/>
      </w:pPr>
      <w:bookmarkStart w:id="27" w:name="_Toc314842491"/>
      <w:bookmarkStart w:id="28" w:name="_Toc370985721"/>
      <w:proofErr w:type="spellStart"/>
      <w:r>
        <w:t>Biopharmaceutics</w:t>
      </w:r>
      <w:bookmarkEnd w:id="27"/>
      <w:bookmarkEnd w:id="28"/>
      <w:proofErr w:type="spellEnd"/>
    </w:p>
    <w:p w:rsidR="008E7846" w:rsidRDefault="00A513B2" w:rsidP="008E7846">
      <w:r w:rsidRPr="00A513B2">
        <w:t>Biopharmaceutic data are not required for this product.</w:t>
      </w:r>
    </w:p>
    <w:p w:rsidR="008E7846" w:rsidRDefault="008E7846" w:rsidP="008E7846">
      <w:pPr>
        <w:pStyle w:val="Heading3"/>
      </w:pPr>
      <w:bookmarkStart w:id="29" w:name="_Toc314842492"/>
      <w:bookmarkStart w:id="30" w:name="_Toc370985722"/>
      <w:r>
        <w:t>Advisory committee considerations</w:t>
      </w:r>
      <w:bookmarkEnd w:id="29"/>
      <w:bookmarkEnd w:id="30"/>
    </w:p>
    <w:p w:rsidR="00F102B4" w:rsidRPr="00F102B4" w:rsidRDefault="00F102B4" w:rsidP="00F102B4">
      <w:r w:rsidRPr="00F102B4">
        <w:t xml:space="preserve">This application was considered at </w:t>
      </w:r>
      <w:r w:rsidR="00FA22D4">
        <w:t>the 150</w:t>
      </w:r>
      <w:r w:rsidR="00FA22D4" w:rsidRPr="00FA22D4">
        <w:rPr>
          <w:vertAlign w:val="superscript"/>
        </w:rPr>
        <w:t>th</w:t>
      </w:r>
      <w:r w:rsidR="00FA22D4">
        <w:t xml:space="preserve"> m</w:t>
      </w:r>
      <w:r w:rsidRPr="00F102B4">
        <w:t xml:space="preserve">eeting of the Pharmaceutical Subcommittee (PSC) of the Advisory Committee on Prescription Medicines (ACPM). The PSC </w:t>
      </w:r>
      <w:r w:rsidR="00FA22D4">
        <w:t>recommend</w:t>
      </w:r>
      <w:r w:rsidR="00C76C47">
        <w:t>ation was as follows:</w:t>
      </w:r>
    </w:p>
    <w:p w:rsidR="00F102B4" w:rsidRPr="00F102B4" w:rsidRDefault="00F102B4" w:rsidP="009A4290">
      <w:pPr>
        <w:pStyle w:val="Numberbullet0"/>
      </w:pPr>
      <w:r w:rsidRPr="00F102B4">
        <w:t>The PSC endorsed all the questions raised by the TGA in relation to the quality and</w:t>
      </w:r>
      <w:r>
        <w:t xml:space="preserve"> </w:t>
      </w:r>
      <w:proofErr w:type="spellStart"/>
      <w:r w:rsidRPr="00F102B4">
        <w:t>pharmaceutic</w:t>
      </w:r>
      <w:proofErr w:type="spellEnd"/>
      <w:r w:rsidRPr="00F102B4">
        <w:t xml:space="preserve"> aspects of the application to register B</w:t>
      </w:r>
      <w:r>
        <w:t xml:space="preserve">exsero </w:t>
      </w:r>
      <w:r w:rsidRPr="00F102B4">
        <w:t>suspension for</w:t>
      </w:r>
      <w:r w:rsidR="00247106">
        <w:t xml:space="preserve"> injection</w:t>
      </w:r>
      <w:r w:rsidRPr="00F102B4">
        <w:t>. In particular, the PSC supported the questions in relation to the</w:t>
      </w:r>
      <w:r>
        <w:t xml:space="preserve"> </w:t>
      </w:r>
      <w:r w:rsidRPr="00F102B4">
        <w:t>introduction of a final sterilisation step prior to filling.</w:t>
      </w:r>
    </w:p>
    <w:p w:rsidR="00F102B4" w:rsidRPr="00F102B4" w:rsidRDefault="00DA3E8B" w:rsidP="009A4290">
      <w:pPr>
        <w:pStyle w:val="Numberbullet0"/>
      </w:pPr>
      <w:r>
        <w:lastRenderedPageBreak/>
        <w:t>T</w:t>
      </w:r>
      <w:r w:rsidR="009A4290">
        <w:t>he PSC advised that the s</w:t>
      </w:r>
      <w:r w:rsidR="00F102B4" w:rsidRPr="00F102B4">
        <w:t>ponsor should ensure that stability trials,</w:t>
      </w:r>
      <w:r w:rsidR="00F102B4">
        <w:t xml:space="preserve"> </w:t>
      </w:r>
      <w:r w:rsidR="00F102B4" w:rsidRPr="00F102B4">
        <w:t>including future follow‐up trials and batch analyses</w:t>
      </w:r>
      <w:r w:rsidR="006327B2">
        <w:t>,</w:t>
      </w:r>
      <w:r w:rsidR="00F102B4" w:rsidRPr="00F102B4">
        <w:t xml:space="preserve"> include batches with </w:t>
      </w:r>
      <w:r w:rsidR="00F102B4" w:rsidRPr="009A4290">
        <w:rPr>
          <w:i/>
          <w:iCs/>
        </w:rPr>
        <w:t>N</w:t>
      </w:r>
      <w:r w:rsidR="00792A92">
        <w:rPr>
          <w:i/>
          <w:iCs/>
        </w:rPr>
        <w:t xml:space="preserve">. </w:t>
      </w:r>
      <w:r w:rsidR="00F102B4" w:rsidRPr="009A4290">
        <w:rPr>
          <w:i/>
          <w:iCs/>
        </w:rPr>
        <w:t>meningitidis</w:t>
      </w:r>
      <w:r w:rsidR="00F102B4" w:rsidRPr="00F102B4">
        <w:t xml:space="preserve"> serogroup B </w:t>
      </w:r>
      <w:r w:rsidR="009A4290">
        <w:t xml:space="preserve">OMV </w:t>
      </w:r>
      <w:r w:rsidR="00F102B4" w:rsidRPr="00F102B4">
        <w:t>manufactured at the two nominated</w:t>
      </w:r>
      <w:r w:rsidR="00F102B4">
        <w:t xml:space="preserve"> </w:t>
      </w:r>
      <w:r w:rsidR="00F102B4" w:rsidRPr="00F102B4">
        <w:t>sites.</w:t>
      </w:r>
    </w:p>
    <w:p w:rsidR="00F102B4" w:rsidRPr="00F102B4" w:rsidRDefault="00F102B4" w:rsidP="009A4290">
      <w:pPr>
        <w:pStyle w:val="Numberbullet0"/>
      </w:pPr>
      <w:r w:rsidRPr="00F102B4">
        <w:t>The PSC:</w:t>
      </w:r>
    </w:p>
    <w:p w:rsidR="00F102B4" w:rsidRPr="00F102B4" w:rsidRDefault="00F102B4" w:rsidP="006D2683">
      <w:pPr>
        <w:pStyle w:val="ListBullet2"/>
      </w:pPr>
      <w:r w:rsidRPr="00F102B4">
        <w:t>Considered the retrospective use of the proposed assay for potency and endotoxin</w:t>
      </w:r>
      <w:r>
        <w:t xml:space="preserve"> </w:t>
      </w:r>
      <w:r w:rsidRPr="00F102B4">
        <w:t>unacceptable.</w:t>
      </w:r>
    </w:p>
    <w:p w:rsidR="00F102B4" w:rsidRPr="00F102B4" w:rsidRDefault="00F102B4" w:rsidP="006D2683">
      <w:pPr>
        <w:pStyle w:val="ListBullet2"/>
      </w:pPr>
      <w:r w:rsidRPr="00F102B4">
        <w:t xml:space="preserve">Was </w:t>
      </w:r>
      <w:r w:rsidR="00DA3E8B">
        <w:t xml:space="preserve">concerned </w:t>
      </w:r>
      <w:r w:rsidRPr="00F102B4">
        <w:t xml:space="preserve">that </w:t>
      </w:r>
      <w:r w:rsidRPr="009A4290">
        <w:rPr>
          <w:i/>
          <w:iCs/>
        </w:rPr>
        <w:t>N</w:t>
      </w:r>
      <w:r w:rsidR="00792A92">
        <w:rPr>
          <w:i/>
          <w:iCs/>
        </w:rPr>
        <w:t xml:space="preserve">. </w:t>
      </w:r>
      <w:r w:rsidRPr="009A4290">
        <w:rPr>
          <w:i/>
          <w:iCs/>
        </w:rPr>
        <w:t>meningitidis</w:t>
      </w:r>
      <w:r w:rsidRPr="00F102B4">
        <w:t xml:space="preserve"> serogroup B </w:t>
      </w:r>
      <w:r w:rsidR="009A4290">
        <w:t xml:space="preserve">OMV </w:t>
      </w:r>
      <w:r w:rsidRPr="00F102B4">
        <w:t xml:space="preserve">included in the formulation, which has an inherent </w:t>
      </w:r>
      <w:proofErr w:type="spellStart"/>
      <w:r w:rsidRPr="00F102B4">
        <w:t>pyrogenic</w:t>
      </w:r>
      <w:proofErr w:type="spellEnd"/>
      <w:r w:rsidRPr="00F102B4">
        <w:t xml:space="preserve"> activity</w:t>
      </w:r>
      <w:r w:rsidR="00792A92">
        <w:t>,</w:t>
      </w:r>
      <w:r w:rsidRPr="00F102B4">
        <w:t xml:space="preserve"> is expected</w:t>
      </w:r>
      <w:r>
        <w:t xml:space="preserve"> </w:t>
      </w:r>
      <w:r w:rsidRPr="00F102B4">
        <w:t>to elicit response. The PSC noted that the endotoxin antigen is adsorbed onto</w:t>
      </w:r>
      <w:r>
        <w:t xml:space="preserve"> </w:t>
      </w:r>
      <w:proofErr w:type="gramStart"/>
      <w:r w:rsidR="00792A92" w:rsidRPr="00792A92">
        <w:t>Al</w:t>
      </w:r>
      <w:r w:rsidR="006D2F6B">
        <w:t>(</w:t>
      </w:r>
      <w:proofErr w:type="gramEnd"/>
      <w:r w:rsidR="00792A92" w:rsidRPr="00792A92">
        <w:t>OH</w:t>
      </w:r>
      <w:r w:rsidR="006D2F6B">
        <w:t>)</w:t>
      </w:r>
      <w:r w:rsidR="00792A92" w:rsidRPr="00792A92">
        <w:rPr>
          <w:vertAlign w:val="subscript"/>
        </w:rPr>
        <w:t>3</w:t>
      </w:r>
      <w:r w:rsidRPr="00F102B4">
        <w:t xml:space="preserve"> used as an adjuvant in the formulation.</w:t>
      </w:r>
    </w:p>
    <w:p w:rsidR="00F102B4" w:rsidRPr="00F102B4" w:rsidRDefault="00F102B4" w:rsidP="006D2683">
      <w:pPr>
        <w:pStyle w:val="ListBullet2"/>
      </w:pPr>
      <w:r>
        <w:t>A</w:t>
      </w:r>
      <w:r w:rsidRPr="00F102B4">
        <w:t xml:space="preserve">greed that it was difficult to assess the correlation between the </w:t>
      </w:r>
      <w:r w:rsidRPr="009A4290">
        <w:rPr>
          <w:i/>
          <w:iCs/>
        </w:rPr>
        <w:t>in vitro</w:t>
      </w:r>
      <w:r w:rsidRPr="00F102B4">
        <w:t xml:space="preserve"> tests and</w:t>
      </w:r>
      <w:r>
        <w:t xml:space="preserve"> </w:t>
      </w:r>
      <w:r w:rsidRPr="00F102B4">
        <w:t>clinical efficacy of the product.</w:t>
      </w:r>
    </w:p>
    <w:p w:rsidR="00F102B4" w:rsidRPr="00F102B4" w:rsidRDefault="00F102B4" w:rsidP="009A4290">
      <w:pPr>
        <w:pStyle w:val="Numberbullet0"/>
      </w:pPr>
      <w:r w:rsidRPr="00F102B4">
        <w:t>The PSC recomme</w:t>
      </w:r>
      <w:r w:rsidR="009A4290">
        <w:t>nded that the attention of the c</w:t>
      </w:r>
      <w:r w:rsidRPr="00F102B4">
        <w:t>linical Delegate and the ACPM be drawn to these issues and that</w:t>
      </w:r>
      <w:r>
        <w:t xml:space="preserve"> </w:t>
      </w:r>
      <w:r w:rsidRPr="00F102B4">
        <w:t>acceptance of the products should be made on clinical grounds.</w:t>
      </w:r>
    </w:p>
    <w:p w:rsidR="00F102B4" w:rsidRPr="00F102B4" w:rsidRDefault="00792A92" w:rsidP="009A4290">
      <w:pPr>
        <w:ind w:left="425"/>
      </w:pPr>
      <w:r>
        <w:t>There wa</w:t>
      </w:r>
      <w:r w:rsidR="00F102B4" w:rsidRPr="00F102B4">
        <w:t>s no requirement for this submission to be revie</w:t>
      </w:r>
      <w:r w:rsidR="00DA3E8B">
        <w:t>wed again by the PSC before it wa</w:t>
      </w:r>
      <w:r w:rsidR="00F102B4" w:rsidRPr="00F102B4">
        <w:t>s</w:t>
      </w:r>
      <w:r w:rsidR="009A4290">
        <w:t xml:space="preserve"> </w:t>
      </w:r>
      <w:r w:rsidR="00F102B4" w:rsidRPr="00F102B4">
        <w:t xml:space="preserve">presented for consideration by </w:t>
      </w:r>
      <w:r w:rsidR="009A4290">
        <w:t>the ACPM</w:t>
      </w:r>
      <w:r w:rsidR="00F102B4" w:rsidRPr="00F102B4">
        <w:t>.</w:t>
      </w:r>
    </w:p>
    <w:p w:rsidR="008E7846" w:rsidRPr="008751DC" w:rsidRDefault="008E7846" w:rsidP="008E7846">
      <w:pPr>
        <w:pStyle w:val="Heading3"/>
      </w:pPr>
      <w:bookmarkStart w:id="31" w:name="_Toc247691509"/>
      <w:bookmarkStart w:id="32" w:name="_Toc314842493"/>
      <w:bookmarkStart w:id="33" w:name="_Toc370985723"/>
      <w:r>
        <w:t>Quality s</w:t>
      </w:r>
      <w:r w:rsidRPr="008751DC">
        <w:t>ummary</w:t>
      </w:r>
      <w:r>
        <w:t xml:space="preserve"> and conclu</w:t>
      </w:r>
      <w:r w:rsidRPr="00C76C47">
        <w:t>s</w:t>
      </w:r>
      <w:r>
        <w:t>ions</w:t>
      </w:r>
      <w:bookmarkEnd w:id="31"/>
      <w:bookmarkEnd w:id="32"/>
      <w:bookmarkEnd w:id="33"/>
    </w:p>
    <w:p w:rsidR="00A513B2" w:rsidRPr="00A513B2" w:rsidRDefault="009A4290" w:rsidP="00C76C47">
      <w:pPr>
        <w:pStyle w:val="Heading4"/>
      </w:pPr>
      <w:r>
        <w:t>Summary of e</w:t>
      </w:r>
      <w:r w:rsidR="00A513B2" w:rsidRPr="00A513B2">
        <w:t xml:space="preserve">valuation and </w:t>
      </w:r>
      <w:r>
        <w:t>i</w:t>
      </w:r>
      <w:r w:rsidR="00A513B2" w:rsidRPr="00A513B2">
        <w:t xml:space="preserve">ssues of </w:t>
      </w:r>
      <w:r>
        <w:t>i</w:t>
      </w:r>
      <w:r w:rsidR="00A513B2" w:rsidRPr="00A513B2">
        <w:t>mportance</w:t>
      </w:r>
    </w:p>
    <w:p w:rsidR="000F78BC" w:rsidRDefault="00A513B2" w:rsidP="00A513B2">
      <w:r w:rsidRPr="00A513B2">
        <w:t xml:space="preserve">The administrative, product usage, chemical, pharmaceutical, </w:t>
      </w:r>
      <w:r w:rsidR="009B3F9B">
        <w:t xml:space="preserve">and </w:t>
      </w:r>
      <w:r w:rsidRPr="00A513B2">
        <w:t xml:space="preserve">microbiological data submitted in support of this application have been evaluated in accordance with the Australian legislation, </w:t>
      </w:r>
      <w:proofErr w:type="spellStart"/>
      <w:r w:rsidRPr="00A513B2">
        <w:t>pharmacopoeial</w:t>
      </w:r>
      <w:proofErr w:type="spellEnd"/>
      <w:r w:rsidRPr="00A513B2">
        <w:t xml:space="preserve"> standards and relevant technical guidelines adopted by the TGA.</w:t>
      </w:r>
    </w:p>
    <w:p w:rsidR="009B3F9B" w:rsidRDefault="00A513B2" w:rsidP="009A4290">
      <w:r w:rsidRPr="009A4290">
        <w:t xml:space="preserve">This application was originally submitted in 2011. </w:t>
      </w:r>
      <w:r w:rsidR="00792A92">
        <w:t xml:space="preserve">A </w:t>
      </w:r>
      <w:r w:rsidR="00DA3E8B">
        <w:t xml:space="preserve">TGA </w:t>
      </w:r>
      <w:r w:rsidRPr="009A4290">
        <w:t xml:space="preserve">consolidated </w:t>
      </w:r>
      <w:r w:rsidR="00792A92">
        <w:t xml:space="preserve">request for further information </w:t>
      </w:r>
      <w:r w:rsidR="009B3F9B">
        <w:t xml:space="preserve">after the first round evaluation </w:t>
      </w:r>
      <w:r w:rsidR="00792A92">
        <w:t xml:space="preserve">was </w:t>
      </w:r>
      <w:r w:rsidR="009B3F9B">
        <w:t xml:space="preserve">sent to the </w:t>
      </w:r>
      <w:r w:rsidR="00792A92" w:rsidRPr="00792A92">
        <w:rPr>
          <w:lang w:val="en-US"/>
        </w:rPr>
        <w:t>sponsor</w:t>
      </w:r>
      <w:r w:rsidR="009B3F9B">
        <w:t xml:space="preserve"> on 30 </w:t>
      </w:r>
      <w:r w:rsidRPr="009A4290">
        <w:t xml:space="preserve">April 2012. Along with requests for clarifications, serious concerns were raised about two aspects of the </w:t>
      </w:r>
      <w:r w:rsidR="009A4290">
        <w:t>q</w:t>
      </w:r>
      <w:r w:rsidRPr="009A4290">
        <w:t>uality data. These two aspects of concer</w:t>
      </w:r>
      <w:r w:rsidR="006D2683">
        <w:t>n related to the monitoring of b</w:t>
      </w:r>
      <w:r w:rsidRPr="009A4290">
        <w:t xml:space="preserve">acterial </w:t>
      </w:r>
      <w:r w:rsidR="006D2683">
        <w:t>e</w:t>
      </w:r>
      <w:r w:rsidRPr="009A4290">
        <w:t>ndotoxins and the design and efficacy of the</w:t>
      </w:r>
      <w:r w:rsidR="006D2683">
        <w:t xml:space="preserve"> potency test conducted on the f</w:t>
      </w:r>
      <w:r w:rsidRPr="009A4290">
        <w:t xml:space="preserve">inal </w:t>
      </w:r>
      <w:r w:rsidR="006D2683">
        <w:t>p</w:t>
      </w:r>
      <w:r w:rsidR="00C76C47">
        <w:t>roduct.</w:t>
      </w:r>
    </w:p>
    <w:p w:rsidR="00A513B2" w:rsidRPr="009A4290" w:rsidRDefault="00A513B2" w:rsidP="009A4290">
      <w:r w:rsidRPr="009A4290">
        <w:t xml:space="preserve">As a result of representations made by the </w:t>
      </w:r>
      <w:r w:rsidR="00792A92" w:rsidRPr="00792A92">
        <w:rPr>
          <w:lang w:val="en-US"/>
        </w:rPr>
        <w:t>sponsor</w:t>
      </w:r>
      <w:r w:rsidRPr="009A4290">
        <w:t xml:space="preserve">, a </w:t>
      </w:r>
      <w:r w:rsidR="00792A92">
        <w:t>“</w:t>
      </w:r>
      <w:r w:rsidRPr="009A4290">
        <w:t>clock-stop</w:t>
      </w:r>
      <w:r w:rsidR="00792A92">
        <w:t>”</w:t>
      </w:r>
      <w:r w:rsidRPr="009A4290">
        <w:t xml:space="preserve"> was implemented to allow the </w:t>
      </w:r>
      <w:r w:rsidR="00792A92" w:rsidRPr="00792A92">
        <w:rPr>
          <w:lang w:val="en-US"/>
        </w:rPr>
        <w:t>sponsor</w:t>
      </w:r>
      <w:r w:rsidRPr="009A4290">
        <w:t xml:space="preserve"> </w:t>
      </w:r>
      <w:r w:rsidR="009A4290">
        <w:t xml:space="preserve">time to </w:t>
      </w:r>
      <w:r w:rsidRPr="009A4290">
        <w:t>develop an alternative finished product potency assay. This time was also used to</w:t>
      </w:r>
      <w:r w:rsidR="006D2683">
        <w:t xml:space="preserve"> implement improvements to the b</w:t>
      </w:r>
      <w:r w:rsidRPr="009A4290">
        <w:t xml:space="preserve">acterial </w:t>
      </w:r>
      <w:r w:rsidR="006D2683">
        <w:t>e</w:t>
      </w:r>
      <w:r w:rsidRPr="009A4290">
        <w:t xml:space="preserve">ndotoxins testing procedures. </w:t>
      </w:r>
    </w:p>
    <w:p w:rsidR="00A513B2" w:rsidRPr="00A513B2" w:rsidRDefault="009B3F9B" w:rsidP="00A513B2">
      <w:r>
        <w:t>T</w:t>
      </w:r>
      <w:r w:rsidR="00A513B2" w:rsidRPr="00A513B2">
        <w:t>he</w:t>
      </w:r>
      <w:r w:rsidR="009A4290">
        <w:t xml:space="preserve"> </w:t>
      </w:r>
      <w:r w:rsidR="00792A92" w:rsidRPr="00792A92">
        <w:rPr>
          <w:lang w:val="en-US"/>
        </w:rPr>
        <w:t>sponsor</w:t>
      </w:r>
      <w:r w:rsidR="009A4290">
        <w:t xml:space="preserve"> </w:t>
      </w:r>
      <w:r>
        <w:t xml:space="preserve">subsequently submitted </w:t>
      </w:r>
      <w:r w:rsidR="00A513B2" w:rsidRPr="00A513B2">
        <w:t xml:space="preserve">details of a completely new </w:t>
      </w:r>
      <w:r w:rsidR="006D2683">
        <w:t>f</w:t>
      </w:r>
      <w:r w:rsidR="00A513B2" w:rsidRPr="00A513B2">
        <w:t xml:space="preserve">inal </w:t>
      </w:r>
      <w:r w:rsidR="006D2683">
        <w:t>p</w:t>
      </w:r>
      <w:r w:rsidR="00A513B2" w:rsidRPr="00A513B2">
        <w:t xml:space="preserve">roduct potency test and a modified set of </w:t>
      </w:r>
      <w:r w:rsidR="006D2683">
        <w:t>b</w:t>
      </w:r>
      <w:r w:rsidR="00A513B2" w:rsidRPr="00A513B2">
        <w:t xml:space="preserve">acterial </w:t>
      </w:r>
      <w:r w:rsidR="006D2683">
        <w:t>e</w:t>
      </w:r>
      <w:r w:rsidR="00A513B2" w:rsidRPr="00A513B2">
        <w:t xml:space="preserve">ndotoxins testing procedures. Replacement of such a crucial test as the potency test at this </w:t>
      </w:r>
      <w:r w:rsidR="003F2CA4">
        <w:t xml:space="preserve">late </w:t>
      </w:r>
      <w:r w:rsidR="00A513B2" w:rsidRPr="00A513B2">
        <w:t xml:space="preserve">stage </w:t>
      </w:r>
      <w:r w:rsidR="003F2CA4">
        <w:t xml:space="preserve">in the process </w:t>
      </w:r>
      <w:r w:rsidR="00A513B2" w:rsidRPr="00A513B2">
        <w:t>of development and registration of a vaccin</w:t>
      </w:r>
      <w:r w:rsidR="009A4290">
        <w:t>e raises significant challenges</w:t>
      </w:r>
      <w:r w:rsidR="00247106">
        <w:t>.</w:t>
      </w:r>
    </w:p>
    <w:p w:rsidR="00A513B2" w:rsidRPr="00A513B2" w:rsidRDefault="00A513B2" w:rsidP="00A513B2">
      <w:r w:rsidRPr="00A513B2">
        <w:t xml:space="preserve">The issues identified </w:t>
      </w:r>
      <w:r w:rsidR="003F2CA4">
        <w:t xml:space="preserve">were </w:t>
      </w:r>
      <w:r w:rsidR="007B237F">
        <w:t xml:space="preserve">considered in a separate TGA evaluation and </w:t>
      </w:r>
      <w:r w:rsidRPr="00A513B2">
        <w:t xml:space="preserve">questions arising out of that evaluation sent to the </w:t>
      </w:r>
      <w:r w:rsidR="00792A92" w:rsidRPr="00792A92">
        <w:rPr>
          <w:lang w:val="en-US"/>
        </w:rPr>
        <w:t>sponsor</w:t>
      </w:r>
      <w:r w:rsidR="00792A92">
        <w:t xml:space="preserve">. After considering the </w:t>
      </w:r>
      <w:r w:rsidR="009B3F9B">
        <w:t>responses</w:t>
      </w:r>
      <w:r w:rsidR="00792A92">
        <w:t xml:space="preserve">, the </w:t>
      </w:r>
      <w:r w:rsidRPr="00A513B2">
        <w:t xml:space="preserve">issues identified </w:t>
      </w:r>
      <w:r w:rsidR="007B237F">
        <w:t xml:space="preserve">below </w:t>
      </w:r>
      <w:r w:rsidRPr="00A513B2">
        <w:t xml:space="preserve">remain as outstanding aspects of the </w:t>
      </w:r>
      <w:r w:rsidR="007B237F">
        <w:t>q</w:t>
      </w:r>
      <w:r w:rsidRPr="00A513B2">
        <w:t xml:space="preserve">uality data that </w:t>
      </w:r>
      <w:r w:rsidR="007B237F">
        <w:t xml:space="preserve">were </w:t>
      </w:r>
      <w:r w:rsidRPr="00A513B2">
        <w:t>brou</w:t>
      </w:r>
      <w:r w:rsidR="007B237F">
        <w:t>ght to the Delegate’s attention</w:t>
      </w:r>
      <w:r w:rsidRPr="00A513B2">
        <w:t>:</w:t>
      </w:r>
    </w:p>
    <w:p w:rsidR="00A6798F" w:rsidRDefault="00A6798F" w:rsidP="00A6798F">
      <w:pPr>
        <w:pStyle w:val="Heading5"/>
      </w:pPr>
      <w:r>
        <w:t>Issue 1: Labelling</w:t>
      </w:r>
    </w:p>
    <w:p w:rsidR="00A513B2" w:rsidRPr="00A513B2" w:rsidRDefault="00A513B2" w:rsidP="00A513B2">
      <w:r w:rsidRPr="00A513B2">
        <w:t xml:space="preserve">The </w:t>
      </w:r>
      <w:r w:rsidR="00792A92" w:rsidRPr="00792A92">
        <w:rPr>
          <w:lang w:val="en-US"/>
        </w:rPr>
        <w:t>sponsor</w:t>
      </w:r>
      <w:r w:rsidRPr="00A513B2">
        <w:t xml:space="preserve"> has requested a Section 14 exemption to </w:t>
      </w:r>
      <w:r w:rsidR="007B237F">
        <w:t>the TGA labelling order (Therapeutic Goods Order (</w:t>
      </w:r>
      <w:r w:rsidRPr="00A513B2">
        <w:t>TGO</w:t>
      </w:r>
      <w:r w:rsidR="007B237F">
        <w:t>)</w:t>
      </w:r>
      <w:r w:rsidRPr="00A513B2">
        <w:t xml:space="preserve"> 69 Clause 3(2</w:t>
      </w:r>
      <w:proofErr w:type="gramStart"/>
      <w:r w:rsidRPr="00A513B2">
        <w:t>)(</w:t>
      </w:r>
      <w:proofErr w:type="gramEnd"/>
      <w:r w:rsidRPr="00A513B2">
        <w:t>b) &amp; (c)</w:t>
      </w:r>
      <w:r w:rsidR="007B237F">
        <w:t>)</w:t>
      </w:r>
      <w:r w:rsidRPr="00A513B2">
        <w:t xml:space="preserve"> for the syringe label. This will be </w:t>
      </w:r>
      <w:proofErr w:type="spellStart"/>
      <w:r w:rsidRPr="00A513B2">
        <w:t>actioned</w:t>
      </w:r>
      <w:proofErr w:type="spellEnd"/>
      <w:r w:rsidRPr="00A513B2">
        <w:t xml:space="preserve"> by the evaluator should approval of the application be granted.</w:t>
      </w:r>
    </w:p>
    <w:p w:rsidR="00A6798F" w:rsidRDefault="00A513B2" w:rsidP="00A6798F">
      <w:pPr>
        <w:pStyle w:val="Heading5"/>
      </w:pPr>
      <w:r w:rsidRPr="00A513B2">
        <w:lastRenderedPageBreak/>
        <w:t>Issue 2</w:t>
      </w:r>
      <w:r w:rsidR="00A6798F">
        <w:t>: M</w:t>
      </w:r>
      <w:r w:rsidR="00A6798F" w:rsidRPr="00A6798F">
        <w:t>odified potency and bacterial endotoxins assays</w:t>
      </w:r>
    </w:p>
    <w:p w:rsidR="00A513B2" w:rsidRPr="00A513B2" w:rsidRDefault="00A513B2" w:rsidP="00A513B2">
      <w:r w:rsidRPr="00A513B2">
        <w:t>Retrospective application of the mo</w:t>
      </w:r>
      <w:r w:rsidR="007B237F">
        <w:t xml:space="preserve">dified potency </w:t>
      </w:r>
      <w:r w:rsidR="00044ECB">
        <w:t xml:space="preserve">assay </w:t>
      </w:r>
      <w:r w:rsidR="007B237F">
        <w:t>and b</w:t>
      </w:r>
      <w:r w:rsidRPr="00A513B2">
        <w:t xml:space="preserve">acterial </w:t>
      </w:r>
      <w:r w:rsidR="007B237F">
        <w:t>e</w:t>
      </w:r>
      <w:r w:rsidR="00044ECB">
        <w:t>ndotoxins assay</w:t>
      </w:r>
      <w:r w:rsidRPr="00A513B2">
        <w:t xml:space="preserve"> to the </w:t>
      </w:r>
      <w:r w:rsidR="007B237F">
        <w:t>q</w:t>
      </w:r>
      <w:r w:rsidRPr="00A513B2">
        <w:t xml:space="preserve">uality data package presents problems that have been identified in the evaluation process and have led to </w:t>
      </w:r>
      <w:r w:rsidR="00044ECB">
        <w:t xml:space="preserve">the </w:t>
      </w:r>
      <w:r w:rsidRPr="00A513B2">
        <w:t xml:space="preserve">absence </w:t>
      </w:r>
      <w:r w:rsidR="00044ECB">
        <w:t xml:space="preserve">of </w:t>
      </w:r>
      <w:r w:rsidRPr="00A513B2">
        <w:t>data that would, in other circumstances, be expected</w:t>
      </w:r>
      <w:r w:rsidR="00397A98">
        <w:t xml:space="preserve"> to be included in the dossier</w:t>
      </w:r>
      <w:r w:rsidR="007B237F">
        <w:t>. The package does not contain b</w:t>
      </w:r>
      <w:r w:rsidRPr="00A513B2">
        <w:t xml:space="preserve">atch </w:t>
      </w:r>
      <w:r w:rsidR="007B237F">
        <w:t>a</w:t>
      </w:r>
      <w:r w:rsidRPr="00A513B2">
        <w:t xml:space="preserve">nalysis data of lots tested to the final specifications nor does it contain real-time </w:t>
      </w:r>
      <w:r w:rsidR="007B237F">
        <w:t>s</w:t>
      </w:r>
      <w:r w:rsidRPr="00A513B2">
        <w:t xml:space="preserve">tability data showing compliance with the final specifications for even a small proportion of the proposed shelf life. The </w:t>
      </w:r>
      <w:r w:rsidR="00792A92" w:rsidRPr="00792A92">
        <w:rPr>
          <w:lang w:val="en-US"/>
        </w:rPr>
        <w:t>sponsor</w:t>
      </w:r>
      <w:r w:rsidRPr="00A513B2">
        <w:t xml:space="preserve"> has addressed some of these problems by</w:t>
      </w:r>
      <w:r w:rsidR="00397A98">
        <w:t xml:space="preserve"> making</w:t>
      </w:r>
      <w:r w:rsidRPr="00A513B2">
        <w:t xml:space="preserve"> reference to clinical data and ha</w:t>
      </w:r>
      <w:r w:rsidR="007B237F">
        <w:t xml:space="preserve">s </w:t>
      </w:r>
      <w:r w:rsidRPr="00A513B2">
        <w:t xml:space="preserve">made the following assertions, the confirmation of which will require </w:t>
      </w:r>
      <w:r w:rsidR="007B237F">
        <w:t>c</w:t>
      </w:r>
      <w:r w:rsidRPr="00A513B2">
        <w:t xml:space="preserve">linical and </w:t>
      </w:r>
      <w:r w:rsidR="007B237F">
        <w:t>t</w:t>
      </w:r>
      <w:r w:rsidRPr="00A513B2">
        <w:t>oxicological comment:</w:t>
      </w:r>
    </w:p>
    <w:p w:rsidR="00A513B2" w:rsidRPr="00A513B2" w:rsidRDefault="00A513B2" w:rsidP="00777501">
      <w:pPr>
        <w:pStyle w:val="Numberbullet0"/>
        <w:numPr>
          <w:ilvl w:val="0"/>
          <w:numId w:val="35"/>
        </w:numPr>
      </w:pPr>
      <w:r w:rsidRPr="00A513B2">
        <w:t>Vaccine lot</w:t>
      </w:r>
      <w:r w:rsidR="00044ECB">
        <w:t xml:space="preserve">s used beyond their proposed 24 </w:t>
      </w:r>
      <w:r w:rsidRPr="00A513B2">
        <w:t>month shelf-life have been s</w:t>
      </w:r>
      <w:r w:rsidR="00A6798F">
        <w:t>hown to be clinically effective</w:t>
      </w:r>
      <w:r w:rsidRPr="00A513B2">
        <w:t>:</w:t>
      </w:r>
    </w:p>
    <w:p w:rsidR="00A513B2" w:rsidRPr="00A513B2" w:rsidRDefault="00A6798F" w:rsidP="00044ECB">
      <w:pPr>
        <w:pStyle w:val="ListBullet2"/>
      </w:pPr>
      <w:r>
        <w:t>The r</w:t>
      </w:r>
      <w:r w:rsidR="00A513B2" w:rsidRPr="00A513B2">
        <w:t>eference vaccine used in the development of the potency assay was still clinically active beyond 24 months after manufacture</w:t>
      </w:r>
      <w:r>
        <w:t>:</w:t>
      </w:r>
      <w:r w:rsidR="00A513B2" w:rsidRPr="00A513B2">
        <w:t xml:space="preserve"> </w:t>
      </w:r>
      <w:r w:rsidR="001261DA">
        <w:t xml:space="preserve">this </w:t>
      </w:r>
      <w:r w:rsidR="00A513B2" w:rsidRPr="00A513B2">
        <w:t xml:space="preserve">Lot was manufactured (formulated) according to the commercial manufacturing process </w:t>
      </w:r>
      <w:r w:rsidR="001261DA">
        <w:t xml:space="preserve">in </w:t>
      </w:r>
      <w:r w:rsidR="00A513B2" w:rsidRPr="00A513B2">
        <w:t xml:space="preserve">2010 and was chosen as the reference standard for the </w:t>
      </w:r>
      <w:r w:rsidR="001261DA">
        <w:t xml:space="preserve">potency </w:t>
      </w:r>
      <w:r w:rsidR="00A513B2" w:rsidRPr="00A513B2">
        <w:t xml:space="preserve">assay. </w:t>
      </w:r>
      <w:r w:rsidR="00044ECB">
        <w:t>This lot was administered in c</w:t>
      </w:r>
      <w:r w:rsidR="00A513B2" w:rsidRPr="00A513B2">
        <w:t>linical Study V72_41 and immunogenicity data presented indicated that the lot showed an accepta</w:t>
      </w:r>
      <w:r w:rsidR="00C76C47">
        <w:t>ble protective immune response.</w:t>
      </w:r>
    </w:p>
    <w:p w:rsidR="00A513B2" w:rsidRPr="00A513B2" w:rsidRDefault="001261DA" w:rsidP="00044ECB">
      <w:pPr>
        <w:pStyle w:val="ListBullet2"/>
      </w:pPr>
      <w:r>
        <w:t xml:space="preserve">Another </w:t>
      </w:r>
      <w:r w:rsidR="00A513B2" w:rsidRPr="00A513B2">
        <w:t>Lot was used a</w:t>
      </w:r>
      <w:r w:rsidR="00A6798F">
        <w:t>t a median age of 27 months in c</w:t>
      </w:r>
      <w:r w:rsidR="00A513B2" w:rsidRPr="00A513B2">
        <w:t>linical Study V72P16 and gave an accepta</w:t>
      </w:r>
      <w:r w:rsidR="00C76C47">
        <w:t>ble protective immune response.</w:t>
      </w:r>
    </w:p>
    <w:p w:rsidR="00A513B2" w:rsidRPr="00A513B2" w:rsidRDefault="001261DA" w:rsidP="00044ECB">
      <w:pPr>
        <w:pStyle w:val="ListBullet2"/>
      </w:pPr>
      <w:r>
        <w:t xml:space="preserve">A further </w:t>
      </w:r>
      <w:r w:rsidR="00A513B2" w:rsidRPr="00A513B2">
        <w:t>Lot had a median</w:t>
      </w:r>
      <w:r w:rsidR="00044ECB">
        <w:t xml:space="preserve"> age of 29 months when used in c</w:t>
      </w:r>
      <w:r w:rsidR="00493F02">
        <w:t>linical Study V72_</w:t>
      </w:r>
      <w:r w:rsidR="00A513B2" w:rsidRPr="00A513B2">
        <w:t>41 and gave an acceptable protective immune response.</w:t>
      </w:r>
    </w:p>
    <w:p w:rsidR="00A513B2" w:rsidRPr="00A513B2" w:rsidRDefault="00A513B2" w:rsidP="00A513B2">
      <w:r w:rsidRPr="00A513B2">
        <w:t xml:space="preserve">These assertions </w:t>
      </w:r>
      <w:r w:rsidR="001261DA">
        <w:t xml:space="preserve">in relation to the clinical data </w:t>
      </w:r>
      <w:r w:rsidRPr="00A513B2">
        <w:t>are used to support the proposed 24 month shelf life for Bexsero in the absence of a stability data package that contains the results of testi</w:t>
      </w:r>
      <w:r w:rsidR="00A6798F">
        <w:t>ng vaccine lots to the current r</w:t>
      </w:r>
      <w:r w:rsidRPr="00A513B2">
        <w:t xml:space="preserve">elease and </w:t>
      </w:r>
      <w:r w:rsidR="00A6798F">
        <w:t>s</w:t>
      </w:r>
      <w:r w:rsidR="00C76C47">
        <w:t>tability specifications.</w:t>
      </w:r>
    </w:p>
    <w:p w:rsidR="00A513B2" w:rsidRPr="00A513B2" w:rsidRDefault="00A513B2" w:rsidP="00A6798F">
      <w:pPr>
        <w:pStyle w:val="Numberbullet0"/>
      </w:pPr>
      <w:r w:rsidRPr="00A513B2">
        <w:t>Clinical vaccine was potent at half-dose</w:t>
      </w:r>
      <w:r w:rsidR="00A6798F">
        <w:t>,</w:t>
      </w:r>
      <w:r w:rsidRPr="00A513B2">
        <w:t xml:space="preserve"> based on the fact that </w:t>
      </w:r>
      <w:r w:rsidR="001261DA">
        <w:t xml:space="preserve">a </w:t>
      </w:r>
      <w:r w:rsidRPr="00A513B2">
        <w:t>Lot</w:t>
      </w:r>
      <w:r w:rsidR="00A6798F">
        <w:t xml:space="preserve"> used at half-dose in c</w:t>
      </w:r>
      <w:r w:rsidRPr="00A513B2">
        <w:t xml:space="preserve">linical Study V72P16 was demonstrated to be non-inferior to a full dose. </w:t>
      </w:r>
    </w:p>
    <w:p w:rsidR="00A513B2" w:rsidRDefault="00A513B2" w:rsidP="00A513B2">
      <w:r w:rsidRPr="00A513B2">
        <w:t>This observation i</w:t>
      </w:r>
      <w:r w:rsidR="00A6798F">
        <w:t>s used to support the proposed r</w:t>
      </w:r>
      <w:r w:rsidRPr="00A513B2">
        <w:t xml:space="preserve">elease and </w:t>
      </w:r>
      <w:r w:rsidR="00A6798F">
        <w:t>s</w:t>
      </w:r>
      <w:r w:rsidRPr="00A513B2">
        <w:t xml:space="preserve">tability specifications for potency (or immunogenicity) tested by the </w:t>
      </w:r>
      <w:r w:rsidR="001261DA">
        <w:t xml:space="preserve">potency </w:t>
      </w:r>
      <w:r w:rsidRPr="00A513B2">
        <w:t>assay</w:t>
      </w:r>
      <w:r w:rsidR="00493F02">
        <w:t>.</w:t>
      </w:r>
    </w:p>
    <w:p w:rsidR="00493F02" w:rsidRPr="00A513B2" w:rsidRDefault="00493F02" w:rsidP="00A513B2">
      <w:r w:rsidRPr="00493F02">
        <w:rPr>
          <w:b/>
          <w:bCs/>
        </w:rPr>
        <w:t>Note:</w:t>
      </w:r>
      <w:r>
        <w:t xml:space="preserve"> The evaluation of Studies </w:t>
      </w:r>
      <w:r w:rsidRPr="00493F02">
        <w:t xml:space="preserve">V72P16 </w:t>
      </w:r>
      <w:r>
        <w:t xml:space="preserve">and </w:t>
      </w:r>
      <w:r w:rsidRPr="00493F02">
        <w:t>V72_41</w:t>
      </w:r>
      <w:r>
        <w:t xml:space="preserve"> in the context of these claims was evaluated in a supplementary clinical evaluation report (see </w:t>
      </w:r>
      <w:r w:rsidRPr="00493F02">
        <w:rPr>
          <w:i/>
          <w:iCs/>
        </w:rPr>
        <w:t>Supplementary Clinical Evaluation</w:t>
      </w:r>
      <w:r>
        <w:t>, below)</w:t>
      </w:r>
      <w:r w:rsidR="00C76C47">
        <w:t>.</w:t>
      </w:r>
    </w:p>
    <w:p w:rsidR="00A6798F" w:rsidRDefault="00A513B2" w:rsidP="00A6798F">
      <w:pPr>
        <w:pStyle w:val="Heading5"/>
      </w:pPr>
      <w:r w:rsidRPr="00A513B2">
        <w:t>Issue 3</w:t>
      </w:r>
      <w:r w:rsidR="00A6798F">
        <w:t>:</w:t>
      </w:r>
      <w:r w:rsidRPr="00A513B2">
        <w:t xml:space="preserve"> Bacterial </w:t>
      </w:r>
      <w:proofErr w:type="spellStart"/>
      <w:r w:rsidR="00A6798F">
        <w:t>endotoxins</w:t>
      </w:r>
      <w:proofErr w:type="spellEnd"/>
    </w:p>
    <w:p w:rsidR="004B6CCF" w:rsidRDefault="00A513B2" w:rsidP="00A513B2">
      <w:r w:rsidRPr="00A513B2">
        <w:t>Whil</w:t>
      </w:r>
      <w:r w:rsidR="003F2CA4">
        <w:t xml:space="preserve">e </w:t>
      </w:r>
      <w:r w:rsidRPr="00A513B2">
        <w:t>the methodology of</w:t>
      </w:r>
      <w:r w:rsidR="009830F5">
        <w:t xml:space="preserve"> testing the final product for b</w:t>
      </w:r>
      <w:r w:rsidRPr="00A513B2">
        <w:t xml:space="preserve">acterial </w:t>
      </w:r>
      <w:r w:rsidR="009830F5">
        <w:t>e</w:t>
      </w:r>
      <w:r w:rsidRPr="00A513B2">
        <w:t>ndotoxi</w:t>
      </w:r>
      <w:r w:rsidR="004B6CCF">
        <w:t>ns is now considered acceptable</w:t>
      </w:r>
      <w:r w:rsidRPr="00A513B2">
        <w:t xml:space="preserve"> and the data confirm consistency between clinical and commercial lots of vaccine for this test, the proposed specification </w:t>
      </w:r>
      <w:r w:rsidR="004B6CCF">
        <w:t xml:space="preserve">limit </w:t>
      </w:r>
      <w:r w:rsidRPr="00A513B2">
        <w:t xml:space="preserve">applied in conjunction with the modified </w:t>
      </w:r>
      <w:r w:rsidRPr="00A513B2">
        <w:rPr>
          <w:i/>
        </w:rPr>
        <w:t>in vivo</w:t>
      </w:r>
      <w:r w:rsidR="009830F5">
        <w:t xml:space="preserve"> rabbit </w:t>
      </w:r>
      <w:proofErr w:type="spellStart"/>
      <w:r w:rsidR="009830F5">
        <w:t>pyrogens</w:t>
      </w:r>
      <w:proofErr w:type="spellEnd"/>
      <w:r w:rsidR="009830F5">
        <w:t xml:space="preserve"> test</w:t>
      </w:r>
      <w:r w:rsidRPr="00A513B2">
        <w:t xml:space="preserve"> requires comment. This limit is orders of magnitude higher than limits applied to most paediatric vaccines, which are typically of the order of hundreds of IU/mL. The endotoxin content of Bexsero derives from the OMV component and is therefore an int</w:t>
      </w:r>
      <w:r w:rsidR="00C76C47">
        <w:t>rinsic part of the formulation.</w:t>
      </w:r>
    </w:p>
    <w:p w:rsidR="00A513B2" w:rsidRPr="00A513B2" w:rsidRDefault="00A513B2" w:rsidP="00A513B2">
      <w:r w:rsidRPr="00A513B2">
        <w:t xml:space="preserve">In response to questions during the evaluation process about the safety of batches </w:t>
      </w:r>
      <w:r w:rsidR="009830F5">
        <w:t>of vaccine with such levels of b</w:t>
      </w:r>
      <w:r w:rsidRPr="00A513B2">
        <w:t xml:space="preserve">acterial </w:t>
      </w:r>
      <w:r w:rsidR="009830F5">
        <w:t>e</w:t>
      </w:r>
      <w:r w:rsidRPr="00A513B2">
        <w:t xml:space="preserve">ndotoxins the </w:t>
      </w:r>
      <w:r w:rsidR="00792A92" w:rsidRPr="00792A92">
        <w:rPr>
          <w:lang w:val="en-US"/>
        </w:rPr>
        <w:t>sponsor</w:t>
      </w:r>
      <w:r w:rsidRPr="00A513B2">
        <w:t xml:space="preserve"> has sought to justify the proposed specification by reference to safety profiles of batches used in clinical studies. Evaluation of such safety data will require </w:t>
      </w:r>
      <w:r w:rsidR="009830F5">
        <w:t>c</w:t>
      </w:r>
      <w:r w:rsidRPr="00A513B2">
        <w:t xml:space="preserve">linical and </w:t>
      </w:r>
      <w:r w:rsidR="009830F5">
        <w:t>t</w:t>
      </w:r>
      <w:r w:rsidRPr="00A513B2">
        <w:t xml:space="preserve">oxicological </w:t>
      </w:r>
      <w:r w:rsidR="009830F5">
        <w:t xml:space="preserve">evaluation and </w:t>
      </w:r>
      <w:r w:rsidRPr="00A513B2">
        <w:t>comment.</w:t>
      </w:r>
    </w:p>
    <w:p w:rsidR="00A513B2" w:rsidRPr="00A513B2" w:rsidRDefault="000A64F6" w:rsidP="006D2F6B">
      <w:pPr>
        <w:pStyle w:val="Heading3"/>
      </w:pPr>
      <w:bookmarkStart w:id="34" w:name="_Toc370985724"/>
      <w:r>
        <w:lastRenderedPageBreak/>
        <w:t>Conclusions and r</w:t>
      </w:r>
      <w:r w:rsidR="00A513B2" w:rsidRPr="00A513B2">
        <w:t>ecommendations</w:t>
      </w:r>
      <w:bookmarkEnd w:id="34"/>
    </w:p>
    <w:p w:rsidR="009830F5" w:rsidRPr="00A513B2" w:rsidRDefault="009830F5" w:rsidP="009830F5">
      <w:r w:rsidRPr="00A513B2">
        <w:t>All issues identified by th</w:t>
      </w:r>
      <w:r>
        <w:t>e s</w:t>
      </w:r>
      <w:r w:rsidRPr="00A513B2">
        <w:t xml:space="preserve">terility, </w:t>
      </w:r>
      <w:r>
        <w:t>v</w:t>
      </w:r>
      <w:r w:rsidRPr="00A513B2">
        <w:t xml:space="preserve">iral </w:t>
      </w:r>
      <w:r>
        <w:t>s</w:t>
      </w:r>
      <w:r w:rsidRPr="00A513B2">
        <w:t xml:space="preserve">afety and </w:t>
      </w:r>
      <w:r>
        <w:t>c</w:t>
      </w:r>
      <w:r w:rsidRPr="00A513B2">
        <w:t xml:space="preserve">ontainer </w:t>
      </w:r>
      <w:r>
        <w:t>s</w:t>
      </w:r>
      <w:r w:rsidRPr="00A513B2">
        <w:t xml:space="preserve">afety evaluators </w:t>
      </w:r>
      <w:r w:rsidR="003F2CA4">
        <w:t xml:space="preserve">were </w:t>
      </w:r>
      <w:r w:rsidRPr="00A513B2">
        <w:t>satisfactorily resolved.</w:t>
      </w:r>
    </w:p>
    <w:p w:rsidR="00A513B2" w:rsidRPr="00A513B2" w:rsidRDefault="00A513B2" w:rsidP="00A513B2">
      <w:r w:rsidRPr="00A513B2">
        <w:t>The unusual history of this</w:t>
      </w:r>
      <w:r w:rsidR="00044ECB">
        <w:t xml:space="preserve"> application has resulted in a q</w:t>
      </w:r>
      <w:r w:rsidRPr="00A513B2">
        <w:t>uality data package that is not as comprehensive as should be required to justify an unqualified recommendation for approval</w:t>
      </w:r>
      <w:r w:rsidR="004B6CCF">
        <w:t>. The package does not contain b</w:t>
      </w:r>
      <w:r w:rsidRPr="00A513B2">
        <w:t xml:space="preserve">atch </w:t>
      </w:r>
      <w:r w:rsidR="004B6CCF">
        <w:t>a</w:t>
      </w:r>
      <w:r w:rsidRPr="00A513B2">
        <w:t>nalysis data of lots tes</w:t>
      </w:r>
      <w:r w:rsidR="00397A98">
        <w:t>ted to the final specifications</w:t>
      </w:r>
      <w:r w:rsidRPr="00A513B2">
        <w:t xml:space="preserve"> nor does it contain real-time </w:t>
      </w:r>
      <w:r w:rsidR="004B6CCF">
        <w:t>s</w:t>
      </w:r>
      <w:r w:rsidRPr="00A513B2">
        <w:t xml:space="preserve">tability data showing compliance with the final specifications for even a small proportion of the proposed shelf life. However, the </w:t>
      </w:r>
      <w:r w:rsidR="00792A92" w:rsidRPr="00792A92">
        <w:rPr>
          <w:lang w:val="en-US"/>
        </w:rPr>
        <w:t>sponsor</w:t>
      </w:r>
      <w:r w:rsidRPr="00A513B2">
        <w:t xml:space="preserve"> has sought to compensate for these deficiencies to some degree by reference to clinical trials da</w:t>
      </w:r>
      <w:r w:rsidR="000A64F6">
        <w:t>ta identified in Issue 2 above.</w:t>
      </w:r>
    </w:p>
    <w:p w:rsidR="00A513B2" w:rsidRPr="00A513B2" w:rsidRDefault="00A513B2" w:rsidP="00A513B2">
      <w:r w:rsidRPr="00A513B2">
        <w:t>Notwithstanding</w:t>
      </w:r>
      <w:r w:rsidR="004B6CCF">
        <w:t xml:space="preserve"> the deficiencies in the q</w:t>
      </w:r>
      <w:r w:rsidRPr="00A513B2">
        <w:t>uality data, the evaluator</w:t>
      </w:r>
      <w:r w:rsidR="0007369F">
        <w:t>s</w:t>
      </w:r>
      <w:r w:rsidRPr="00A513B2">
        <w:t xml:space="preserve"> consider</w:t>
      </w:r>
      <w:r w:rsidR="0007369F">
        <w:t>ed</w:t>
      </w:r>
      <w:r w:rsidRPr="00A513B2">
        <w:t xml:space="preserve"> that the substantial package of data that has been provided by the </w:t>
      </w:r>
      <w:r w:rsidR="00792A92" w:rsidRPr="00792A92">
        <w:rPr>
          <w:lang w:val="en-US"/>
        </w:rPr>
        <w:t>sponsor</w:t>
      </w:r>
      <w:r w:rsidRPr="00A513B2">
        <w:t xml:space="preserve"> contains no indication that commercial batches of Bexsero would not meet appropriate quality standards or not be of equivalent efficacy to batches used in clinical trials.</w:t>
      </w:r>
    </w:p>
    <w:p w:rsidR="00A513B2" w:rsidRPr="004B6CCF" w:rsidRDefault="00A513B2" w:rsidP="004B6CCF">
      <w:r w:rsidRPr="004B6CCF">
        <w:t xml:space="preserve">Subject to appropriate </w:t>
      </w:r>
      <w:r w:rsidR="004B6CCF" w:rsidRPr="004B6CCF">
        <w:t>c</w:t>
      </w:r>
      <w:r w:rsidRPr="004B6CCF">
        <w:t xml:space="preserve">linical and </w:t>
      </w:r>
      <w:r w:rsidR="004B6CCF" w:rsidRPr="004B6CCF">
        <w:t>t</w:t>
      </w:r>
      <w:r w:rsidRPr="004B6CCF">
        <w:t>oxicological comment on matters identified in Issues 2 and 3 above,</w:t>
      </w:r>
      <w:r w:rsidR="00B66DC3" w:rsidRPr="004B6CCF">
        <w:t xml:space="preserve"> </w:t>
      </w:r>
      <w:r w:rsidRPr="004B6CCF">
        <w:t xml:space="preserve">the </w:t>
      </w:r>
      <w:r w:rsidR="004B6CCF" w:rsidRPr="004B6CCF">
        <w:t xml:space="preserve">chemistry and quality </w:t>
      </w:r>
      <w:r w:rsidRPr="004B6CCF">
        <w:t xml:space="preserve">evaluators recommend that Bexsero </w:t>
      </w:r>
      <w:r w:rsidR="004B6CCF" w:rsidRPr="004B6CCF">
        <w:t>m</w:t>
      </w:r>
      <w:r w:rsidRPr="004B6CCF">
        <w:t xml:space="preserve">ulti-component </w:t>
      </w:r>
      <w:r w:rsidR="004B6CCF" w:rsidRPr="004B6CCF">
        <w:t>m</w:t>
      </w:r>
      <w:r w:rsidRPr="004B6CCF">
        <w:t>eningococcal B vaccine (recombinant, adsorbed) suspension for injection 0.5</w:t>
      </w:r>
      <w:r w:rsidR="004B6CCF" w:rsidRPr="004B6CCF">
        <w:t> </w:t>
      </w:r>
      <w:r w:rsidRPr="004B6CCF">
        <w:t xml:space="preserve">mL pre-filled syringe should be considered for approval if the additional conditions of registration </w:t>
      </w:r>
      <w:r w:rsidR="0007369F">
        <w:t xml:space="preserve">described below </w:t>
      </w:r>
      <w:r w:rsidR="000A64F6">
        <w:t>are imposed.</w:t>
      </w:r>
    </w:p>
    <w:p w:rsidR="00A513B2" w:rsidRPr="00A513B2" w:rsidRDefault="00A513B2" w:rsidP="00A513B2">
      <w:r w:rsidRPr="00A513B2">
        <w:t>Approval of this application, if granted, should be conditional on the follow</w:t>
      </w:r>
      <w:r w:rsidR="004B6CCF">
        <w:t>ing</w:t>
      </w:r>
      <w:r w:rsidRPr="00A513B2">
        <w:t>:</w:t>
      </w:r>
    </w:p>
    <w:p w:rsidR="00A513B2" w:rsidRPr="00A513B2" w:rsidRDefault="00A513B2" w:rsidP="004B6CCF">
      <w:pPr>
        <w:pStyle w:val="ListBullet"/>
      </w:pPr>
      <w:r w:rsidRPr="00A513B2">
        <w:t xml:space="preserve">An agreed timetable for </w:t>
      </w:r>
      <w:r w:rsidR="00397A98">
        <w:t xml:space="preserve">the sponsor </w:t>
      </w:r>
      <w:r w:rsidRPr="00A513B2">
        <w:t>to provide, at the earliest opportunity, finished product stability data for the 5 recently produced commercial</w:t>
      </w:r>
      <w:r w:rsidR="00B66DC3">
        <w:t xml:space="preserve"> </w:t>
      </w:r>
      <w:r w:rsidRPr="00A513B2">
        <w:t>b</w:t>
      </w:r>
      <w:r w:rsidR="004B6CCF">
        <w:t>atches of Bexsero currently on s</w:t>
      </w:r>
      <w:r w:rsidRPr="00A513B2">
        <w:t>tability testing (referred to in correspondence dated April 2013), starting with the 6 months time point followed by updates of the results at each testing time-point until the data package is considered adequate. Data on these batches of Bexsero should include identification and manufacturing dates of the drug substance lots used in their formulation.</w:t>
      </w:r>
    </w:p>
    <w:p w:rsidR="00A513B2" w:rsidRPr="00A513B2" w:rsidRDefault="00A513B2" w:rsidP="004B6CCF">
      <w:pPr>
        <w:pStyle w:val="ListBullet"/>
        <w:rPr>
          <w:iCs/>
        </w:rPr>
      </w:pPr>
      <w:r w:rsidRPr="00A513B2">
        <w:rPr>
          <w:iCs/>
        </w:rPr>
        <w:t xml:space="preserve">Before release of the first batch of Bexsero onto the Australian market, the </w:t>
      </w:r>
      <w:r w:rsidR="00792A92" w:rsidRPr="00792A92">
        <w:rPr>
          <w:iCs/>
          <w:lang w:val="en-US"/>
        </w:rPr>
        <w:t>sponsor</w:t>
      </w:r>
      <w:r w:rsidR="004B6CCF">
        <w:rPr>
          <w:iCs/>
        </w:rPr>
        <w:t xml:space="preserve"> should provide TGA with</w:t>
      </w:r>
      <w:r w:rsidR="000A64F6">
        <w:rPr>
          <w:iCs/>
        </w:rPr>
        <w:t>:</w:t>
      </w:r>
    </w:p>
    <w:p w:rsidR="00A513B2" w:rsidRPr="00A513B2" w:rsidRDefault="00A513B2" w:rsidP="004B6CCF">
      <w:pPr>
        <w:pStyle w:val="ListBullet2"/>
      </w:pPr>
      <w:proofErr w:type="gramStart"/>
      <w:r w:rsidRPr="00A513B2">
        <w:t>results</w:t>
      </w:r>
      <w:proofErr w:type="gramEnd"/>
      <w:r w:rsidRPr="00A513B2">
        <w:t xml:space="preserve"> of testing of three commercia</w:t>
      </w:r>
      <w:r w:rsidR="00573106">
        <w:t>l batches of Bexsero tested at r</w:t>
      </w:r>
      <w:r w:rsidRPr="00A513B2">
        <w:t>elease to the current finished product specifications (</w:t>
      </w:r>
      <w:r w:rsidR="00573106">
        <w:t xml:space="preserve">that is, </w:t>
      </w:r>
      <w:r w:rsidRPr="00A513B2">
        <w:t xml:space="preserve">including </w:t>
      </w:r>
      <w:r w:rsidR="00573106">
        <w:t xml:space="preserve">modified LAL, </w:t>
      </w:r>
      <w:r w:rsidR="001261DA">
        <w:t xml:space="preserve">potency </w:t>
      </w:r>
      <w:r w:rsidR="00573106">
        <w:t>and</w:t>
      </w:r>
      <w:r w:rsidRPr="00A513B2">
        <w:t xml:space="preserve"> </w:t>
      </w:r>
      <w:r w:rsidR="00573106">
        <w:t>v</w:t>
      </w:r>
      <w:r w:rsidRPr="00A513B2">
        <w:t xml:space="preserve">isible </w:t>
      </w:r>
      <w:r w:rsidR="00573106">
        <w:t>p</w:t>
      </w:r>
      <w:r w:rsidRPr="00A513B2">
        <w:t>articles) and evidence of release by the regulatory agency ac</w:t>
      </w:r>
      <w:r w:rsidR="00573106">
        <w:t>ting for the country of origin</w:t>
      </w:r>
      <w:r w:rsidRPr="00A513B2">
        <w:t>.</w:t>
      </w:r>
    </w:p>
    <w:p w:rsidR="00A513B2" w:rsidRPr="00A513B2" w:rsidRDefault="00A513B2" w:rsidP="004B6CCF">
      <w:pPr>
        <w:pStyle w:val="ListBullet2"/>
      </w:pPr>
      <w:proofErr w:type="gramStart"/>
      <w:r w:rsidRPr="00A513B2">
        <w:t>an</w:t>
      </w:r>
      <w:proofErr w:type="gramEnd"/>
      <w:r w:rsidRPr="00A513B2">
        <w:t xml:space="preserve"> assurance that </w:t>
      </w:r>
      <w:r w:rsidR="00573106">
        <w:t>the reference standard used in i</w:t>
      </w:r>
      <w:r w:rsidRPr="00A513B2">
        <w:t>mmunogenicity testing of the batch has been appropriately clinically qualified.</w:t>
      </w:r>
    </w:p>
    <w:p w:rsidR="00A513B2" w:rsidRPr="00A513B2" w:rsidRDefault="00A513B2" w:rsidP="00A513B2">
      <w:r w:rsidRPr="00A513B2">
        <w:t>Standard Lot</w:t>
      </w:r>
      <w:r w:rsidR="004B6CCF">
        <w:t>/Batch</w:t>
      </w:r>
      <w:r w:rsidR="00573106">
        <w:t xml:space="preserve"> r</w:t>
      </w:r>
      <w:r w:rsidRPr="00A513B2">
        <w:t>elease and C</w:t>
      </w:r>
      <w:r w:rsidR="004B6CCF">
        <w:t xml:space="preserve">ertified </w:t>
      </w:r>
      <w:r w:rsidRPr="00A513B2">
        <w:t>P</w:t>
      </w:r>
      <w:r w:rsidR="004B6CCF">
        <w:t xml:space="preserve">roduct </w:t>
      </w:r>
      <w:r w:rsidRPr="00A513B2">
        <w:t>D</w:t>
      </w:r>
      <w:r w:rsidR="004B6CCF">
        <w:t>etails</w:t>
      </w:r>
      <w:r w:rsidRPr="00A513B2">
        <w:t xml:space="preserve"> </w:t>
      </w:r>
      <w:r w:rsidR="004B6CCF">
        <w:t xml:space="preserve">(CPD) </w:t>
      </w:r>
      <w:r w:rsidRPr="00A513B2">
        <w:t>requirements should also be applied</w:t>
      </w:r>
      <w:r w:rsidR="006D2F6B">
        <w:t xml:space="preserve"> as conditions of registration if this application is approved</w:t>
      </w:r>
      <w:r w:rsidRPr="00A513B2">
        <w:t>.</w:t>
      </w:r>
      <w:r w:rsidR="004B6CCF">
        <w:rPr>
          <w:rStyle w:val="FootnoteReference"/>
        </w:rPr>
        <w:footnoteReference w:id="1"/>
      </w:r>
    </w:p>
    <w:p w:rsidR="008E7846" w:rsidRDefault="008E7846" w:rsidP="008E7846">
      <w:pPr>
        <w:pStyle w:val="Heading2"/>
      </w:pPr>
      <w:bookmarkStart w:id="35" w:name="_Toc196046439"/>
      <w:bookmarkStart w:id="36" w:name="_Toc247691510"/>
      <w:bookmarkStart w:id="37" w:name="_Toc314842494"/>
      <w:bookmarkStart w:id="38" w:name="_Toc370985725"/>
      <w:r>
        <w:lastRenderedPageBreak/>
        <w:t>III. Nonclinical</w:t>
      </w:r>
      <w:bookmarkEnd w:id="35"/>
      <w:r>
        <w:t xml:space="preserve"> findings</w:t>
      </w:r>
      <w:bookmarkEnd w:id="36"/>
      <w:bookmarkEnd w:id="37"/>
      <w:bookmarkEnd w:id="38"/>
    </w:p>
    <w:p w:rsidR="008E7846" w:rsidRDefault="008E7846" w:rsidP="008E7846">
      <w:pPr>
        <w:pStyle w:val="Heading3"/>
      </w:pPr>
      <w:bookmarkStart w:id="39" w:name="_Toc247691511"/>
      <w:bookmarkStart w:id="40" w:name="_Toc314842495"/>
      <w:bookmarkStart w:id="41" w:name="_Toc370985726"/>
      <w:r>
        <w:t>Introduction</w:t>
      </w:r>
      <w:bookmarkEnd w:id="39"/>
      <w:bookmarkEnd w:id="40"/>
      <w:bookmarkEnd w:id="41"/>
    </w:p>
    <w:p w:rsidR="00205929" w:rsidRPr="00205929" w:rsidRDefault="00205929" w:rsidP="002B6CC5">
      <w:pPr>
        <w:pStyle w:val="Heading4"/>
        <w:rPr>
          <w:kern w:val="22"/>
        </w:rPr>
      </w:pPr>
      <w:bookmarkStart w:id="42" w:name="_Toc294861722"/>
      <w:bookmarkStart w:id="43" w:name="_Toc318722115"/>
      <w:bookmarkStart w:id="44" w:name="_Toc333221221"/>
      <w:bookmarkStart w:id="45" w:name="_Toc333324046"/>
      <w:bookmarkStart w:id="46" w:name="_Toc351118056"/>
      <w:r w:rsidRPr="00205929">
        <w:rPr>
          <w:kern w:val="22"/>
        </w:rPr>
        <w:t>General comments</w:t>
      </w:r>
      <w:bookmarkEnd w:id="42"/>
      <w:bookmarkEnd w:id="43"/>
      <w:bookmarkEnd w:id="44"/>
      <w:bookmarkEnd w:id="45"/>
      <w:bookmarkEnd w:id="46"/>
    </w:p>
    <w:p w:rsidR="00C07CFE" w:rsidRDefault="00F07F04" w:rsidP="00205929">
      <w:pPr>
        <w:rPr>
          <w:kern w:val="22"/>
        </w:rPr>
      </w:pPr>
      <w:r>
        <w:rPr>
          <w:kern w:val="22"/>
        </w:rPr>
        <w:t>The s</w:t>
      </w:r>
      <w:r w:rsidR="00205929" w:rsidRPr="00205929">
        <w:rPr>
          <w:kern w:val="22"/>
        </w:rPr>
        <w:t xml:space="preserve">ponsor has applied to register </w:t>
      </w:r>
      <w:r w:rsidR="002B6CC5">
        <w:rPr>
          <w:kern w:val="22"/>
        </w:rPr>
        <w:t xml:space="preserve">a </w:t>
      </w:r>
      <w:proofErr w:type="spellStart"/>
      <w:r w:rsidR="00205929" w:rsidRPr="00205929">
        <w:rPr>
          <w:kern w:val="22"/>
        </w:rPr>
        <w:t>multicomponent</w:t>
      </w:r>
      <w:proofErr w:type="spellEnd"/>
      <w:r w:rsidR="00205929" w:rsidRPr="00205929">
        <w:rPr>
          <w:kern w:val="22"/>
        </w:rPr>
        <w:t xml:space="preserve"> meningococcal </w:t>
      </w:r>
      <w:proofErr w:type="spellStart"/>
      <w:r w:rsidR="00205929" w:rsidRPr="00205929">
        <w:rPr>
          <w:kern w:val="22"/>
        </w:rPr>
        <w:t>serogroup</w:t>
      </w:r>
      <w:proofErr w:type="spellEnd"/>
      <w:r w:rsidR="00205929" w:rsidRPr="00205929">
        <w:rPr>
          <w:kern w:val="22"/>
        </w:rPr>
        <w:t xml:space="preserve"> B vaccine (Bexsero). No other vaccines are </w:t>
      </w:r>
      <w:r>
        <w:rPr>
          <w:kern w:val="22"/>
        </w:rPr>
        <w:t xml:space="preserve">currently </w:t>
      </w:r>
      <w:r w:rsidR="00205929" w:rsidRPr="00205929">
        <w:rPr>
          <w:kern w:val="22"/>
        </w:rPr>
        <w:t>registered for protection against serogroup B</w:t>
      </w:r>
      <w:r w:rsidR="00C07CFE">
        <w:rPr>
          <w:kern w:val="22"/>
        </w:rPr>
        <w:t xml:space="preserve"> </w:t>
      </w:r>
      <w:r w:rsidR="00C07CFE" w:rsidRPr="00C07CFE">
        <w:rPr>
          <w:kern w:val="22"/>
        </w:rPr>
        <w:t xml:space="preserve">strains of </w:t>
      </w:r>
      <w:r w:rsidR="00C07CFE" w:rsidRPr="00C07CFE">
        <w:rPr>
          <w:i/>
          <w:kern w:val="22"/>
        </w:rPr>
        <w:t xml:space="preserve">N. </w:t>
      </w:r>
      <w:proofErr w:type="spellStart"/>
      <w:r w:rsidR="00C07CFE" w:rsidRPr="00C07CFE">
        <w:rPr>
          <w:i/>
          <w:iCs/>
          <w:kern w:val="22"/>
        </w:rPr>
        <w:t>meningitidis</w:t>
      </w:r>
      <w:proofErr w:type="spellEnd"/>
      <w:r w:rsidR="000A64F6">
        <w:rPr>
          <w:kern w:val="22"/>
        </w:rPr>
        <w:t>.</w:t>
      </w:r>
    </w:p>
    <w:p w:rsidR="00C07CFE" w:rsidRPr="00C07CFE" w:rsidRDefault="00C07CFE" w:rsidP="00C07CFE">
      <w:r w:rsidRPr="00C07CFE">
        <w:t xml:space="preserve">The vaccine (0.5 mL dose) contains 50 µg each of 3 recombinant protein antigens, 2 of which are fused to accessory proteins (287-953 and 936-741). The protein antigen sequences were derived from 3 </w:t>
      </w:r>
      <w:r w:rsidRPr="00C07CFE">
        <w:rPr>
          <w:i/>
          <w:iCs/>
        </w:rPr>
        <w:t xml:space="preserve">N. meningitidis </w:t>
      </w:r>
      <w:r w:rsidRPr="00397A98">
        <w:t>strains</w:t>
      </w:r>
      <w:r w:rsidRPr="00C07CFE">
        <w:t xml:space="preserve">, NZ98/254 (antigen 287), strain 2996 (antigens 953, 936 and 961c) and strain MC58 (antigen 741). In addition, the vaccine contains OMVs from </w:t>
      </w:r>
      <w:r w:rsidRPr="00C07CFE">
        <w:rPr>
          <w:i/>
          <w:iCs/>
        </w:rPr>
        <w:t>N. meningitidis</w:t>
      </w:r>
      <w:r w:rsidRPr="00C07CFE">
        <w:t xml:space="preserve"> serogroup B strain NZ98/254 (B</w:t>
      </w:r>
      <w:proofErr w:type="gramStart"/>
      <w:r w:rsidRPr="00C07CFE">
        <w:t>:4:P1.7</w:t>
      </w:r>
      <w:proofErr w:type="gramEnd"/>
      <w:r w:rsidRPr="00C07CFE">
        <w:t xml:space="preserve">-2,4), designated OMV/NZ, containing 25 µg of </w:t>
      </w:r>
      <w:r w:rsidR="00A92A7D">
        <w:t xml:space="preserve">OMV </w:t>
      </w:r>
      <w:r w:rsidR="001D7C7D">
        <w:t>(</w:t>
      </w:r>
      <w:r w:rsidR="001D7C7D" w:rsidRPr="001D7C7D">
        <w:t>PorA1.4</w:t>
      </w:r>
      <w:r w:rsidR="001D7C7D">
        <w:t xml:space="preserve">) </w:t>
      </w:r>
      <w:r w:rsidRPr="00C07CFE">
        <w:t xml:space="preserve">protein, the </w:t>
      </w:r>
      <w:proofErr w:type="spellStart"/>
      <w:r w:rsidRPr="00C07CFE">
        <w:t>immunodominant</w:t>
      </w:r>
      <w:proofErr w:type="spellEnd"/>
      <w:r w:rsidRPr="00C07CFE">
        <w:t xml:space="preserve"> protein, and other minor proteins. This strain was responsible for a recent outbreak in NZ. The OMVs preserve the native complex antigen composition of the </w:t>
      </w:r>
      <w:proofErr w:type="spellStart"/>
      <w:r w:rsidRPr="00C07CFE">
        <w:t>subcapsular</w:t>
      </w:r>
      <w:proofErr w:type="spellEnd"/>
      <w:r w:rsidRPr="00C07CFE">
        <w:t xml:space="preserve"> cell surface of </w:t>
      </w:r>
      <w:r w:rsidRPr="00397A98">
        <w:rPr>
          <w:i/>
          <w:iCs/>
        </w:rPr>
        <w:t>N. meningitidis</w:t>
      </w:r>
      <w:r w:rsidRPr="00C07CFE">
        <w:t xml:space="preserve">. The vaccine is adjuvanted with </w:t>
      </w:r>
      <w:proofErr w:type="gramStart"/>
      <w:r w:rsidRPr="00C07CFE">
        <w:t>A</w:t>
      </w:r>
      <w:r>
        <w:t>l</w:t>
      </w:r>
      <w:r w:rsidRPr="00C07CFE">
        <w:t>(</w:t>
      </w:r>
      <w:proofErr w:type="gramEnd"/>
      <w:r w:rsidRPr="00C07CFE">
        <w:t>OH)</w:t>
      </w:r>
      <w:r w:rsidRPr="00C07CFE">
        <w:rPr>
          <w:vertAlign w:val="subscript"/>
        </w:rPr>
        <w:t>3</w:t>
      </w:r>
      <w:r w:rsidRPr="00C07CFE">
        <w:t>.</w:t>
      </w:r>
    </w:p>
    <w:p w:rsidR="00205929" w:rsidRPr="00205929" w:rsidRDefault="00205929" w:rsidP="00205929">
      <w:pPr>
        <w:rPr>
          <w:kern w:val="22"/>
        </w:rPr>
      </w:pPr>
      <w:r w:rsidRPr="00205929">
        <w:rPr>
          <w:kern w:val="22"/>
        </w:rPr>
        <w:t>The proposed dose of 50 µg for each of the 3 protein antigens in Bexsero</w:t>
      </w:r>
      <w:r w:rsidR="00397A98">
        <w:rPr>
          <w:kern w:val="22"/>
        </w:rPr>
        <w:t xml:space="preserve"> </w:t>
      </w:r>
      <w:r w:rsidRPr="00205929">
        <w:rPr>
          <w:kern w:val="22"/>
        </w:rPr>
        <w:t xml:space="preserve">and 25 µg for the </w:t>
      </w:r>
      <w:r w:rsidR="00A92A7D">
        <w:rPr>
          <w:kern w:val="22"/>
        </w:rPr>
        <w:t xml:space="preserve">OMV </w:t>
      </w:r>
      <w:r w:rsidRPr="00205929">
        <w:rPr>
          <w:kern w:val="22"/>
        </w:rPr>
        <w:t xml:space="preserve">component (total protein 175 µg) is relatively high. The elemental </w:t>
      </w:r>
      <w:r w:rsidR="00397A98">
        <w:rPr>
          <w:kern w:val="22"/>
        </w:rPr>
        <w:t xml:space="preserve">aluminium </w:t>
      </w:r>
      <w:r w:rsidRPr="00205929">
        <w:rPr>
          <w:kern w:val="22"/>
        </w:rPr>
        <w:t>content of Bexsero of 0.5 mg per 0.5 mL dose is also relatively high, although within FDA</w:t>
      </w:r>
      <w:r w:rsidRPr="00205929">
        <w:rPr>
          <w:kern w:val="22"/>
          <w:vertAlign w:val="superscript"/>
        </w:rPr>
        <w:footnoteReference w:id="2"/>
      </w:r>
      <w:r w:rsidRPr="00205929">
        <w:rPr>
          <w:kern w:val="22"/>
        </w:rPr>
        <w:t xml:space="preserve"> and WHO</w:t>
      </w:r>
      <w:r w:rsidRPr="00205929">
        <w:rPr>
          <w:kern w:val="22"/>
          <w:vertAlign w:val="superscript"/>
        </w:rPr>
        <w:footnoteReference w:id="3"/>
      </w:r>
      <w:r w:rsidR="000A64F6">
        <w:rPr>
          <w:kern w:val="22"/>
        </w:rPr>
        <w:t xml:space="preserve"> regulatory limits.</w:t>
      </w:r>
    </w:p>
    <w:p w:rsidR="00205929" w:rsidRPr="00205929" w:rsidRDefault="00205929" w:rsidP="00205929">
      <w:pPr>
        <w:rPr>
          <w:kern w:val="22"/>
        </w:rPr>
      </w:pPr>
      <w:r w:rsidRPr="00205929">
        <w:rPr>
          <w:kern w:val="22"/>
        </w:rPr>
        <w:t xml:space="preserve">In support of this application, the sponsor submitted </w:t>
      </w:r>
      <w:r w:rsidR="000A68E9">
        <w:rPr>
          <w:kern w:val="22"/>
        </w:rPr>
        <w:t xml:space="preserve">the following </w:t>
      </w:r>
      <w:r w:rsidR="00334375">
        <w:rPr>
          <w:kern w:val="22"/>
        </w:rPr>
        <w:t xml:space="preserve">nonclinical </w:t>
      </w:r>
      <w:r w:rsidR="000A68E9">
        <w:rPr>
          <w:kern w:val="22"/>
        </w:rPr>
        <w:t>data</w:t>
      </w:r>
      <w:r w:rsidRPr="00205929">
        <w:rPr>
          <w:kern w:val="22"/>
        </w:rPr>
        <w:t>:</w:t>
      </w:r>
    </w:p>
    <w:p w:rsidR="00205929" w:rsidRPr="00334375" w:rsidRDefault="00205929" w:rsidP="00334375">
      <w:pPr>
        <w:pStyle w:val="ListBullet"/>
      </w:pPr>
      <w:r w:rsidRPr="00334375">
        <w:t>Primary pharmacology studies</w:t>
      </w:r>
      <w:r w:rsidR="00334375">
        <w:t>:</w:t>
      </w:r>
      <w:r w:rsidRPr="00334375">
        <w:t xml:space="preserve"> 3 studies (2 in non-human primates) and 5 published papers (4 reviewed)</w:t>
      </w:r>
      <w:r w:rsidR="00334375">
        <w:t>;</w:t>
      </w:r>
    </w:p>
    <w:p w:rsidR="00205929" w:rsidRPr="00334375" w:rsidRDefault="00205929" w:rsidP="00334375">
      <w:pPr>
        <w:pStyle w:val="ListBullet"/>
      </w:pPr>
      <w:r w:rsidRPr="00334375">
        <w:t>Single and repeat</w:t>
      </w:r>
      <w:r w:rsidR="003779A1">
        <w:t xml:space="preserve">ed </w:t>
      </w:r>
      <w:r w:rsidRPr="00334375">
        <w:t>dose toxicity</w:t>
      </w:r>
      <w:r w:rsidR="00334375">
        <w:t>:</w:t>
      </w:r>
      <w:r w:rsidRPr="00334375">
        <w:t xml:space="preserve"> 3 studies</w:t>
      </w:r>
      <w:r w:rsidR="00334375">
        <w:t>;</w:t>
      </w:r>
    </w:p>
    <w:p w:rsidR="00205929" w:rsidRPr="00334375" w:rsidRDefault="00205929" w:rsidP="00334375">
      <w:pPr>
        <w:pStyle w:val="ListBullet"/>
      </w:pPr>
      <w:r w:rsidRPr="00334375">
        <w:t>Reproductive and developmental toxicity</w:t>
      </w:r>
      <w:r w:rsidR="00334375">
        <w:t>:</w:t>
      </w:r>
      <w:r w:rsidRPr="00334375">
        <w:t xml:space="preserve"> 3 studies</w:t>
      </w:r>
      <w:r w:rsidR="00334375">
        <w:t>;</w:t>
      </w:r>
    </w:p>
    <w:p w:rsidR="00205929" w:rsidRPr="00334375" w:rsidRDefault="00205929" w:rsidP="00334375">
      <w:pPr>
        <w:pStyle w:val="ListBullet"/>
      </w:pPr>
      <w:r w:rsidRPr="00334375">
        <w:rPr>
          <w:i/>
          <w:iCs/>
        </w:rPr>
        <w:t>In vitro</w:t>
      </w:r>
      <w:r w:rsidR="00334375">
        <w:t xml:space="preserve"> toxicity: </w:t>
      </w:r>
      <w:r w:rsidRPr="00334375">
        <w:t>1 study</w:t>
      </w:r>
      <w:r w:rsidR="00334375">
        <w:t>.</w:t>
      </w:r>
    </w:p>
    <w:p w:rsidR="00205929" w:rsidRDefault="00205929" w:rsidP="00205929">
      <w:pPr>
        <w:rPr>
          <w:kern w:val="22"/>
        </w:rPr>
      </w:pPr>
      <w:r w:rsidRPr="00205929">
        <w:rPr>
          <w:kern w:val="22"/>
        </w:rPr>
        <w:t xml:space="preserve">The nonclinical studies were in general accordance with the relevant </w:t>
      </w:r>
      <w:r w:rsidR="006D2F6B">
        <w:rPr>
          <w:kern w:val="22"/>
        </w:rPr>
        <w:t>European</w:t>
      </w:r>
      <w:r w:rsidRPr="00205929">
        <w:rPr>
          <w:kern w:val="22"/>
          <w:vertAlign w:val="superscript"/>
        </w:rPr>
        <w:footnoteReference w:id="4"/>
      </w:r>
      <w:r w:rsidRPr="00205929">
        <w:rPr>
          <w:kern w:val="22"/>
        </w:rPr>
        <w:t xml:space="preserve"> and W</w:t>
      </w:r>
      <w:r w:rsidR="006D2F6B">
        <w:rPr>
          <w:kern w:val="22"/>
        </w:rPr>
        <w:t xml:space="preserve">orld </w:t>
      </w:r>
      <w:r w:rsidRPr="00205929">
        <w:rPr>
          <w:kern w:val="22"/>
        </w:rPr>
        <w:t>H</w:t>
      </w:r>
      <w:r w:rsidR="006D2F6B">
        <w:rPr>
          <w:kern w:val="22"/>
        </w:rPr>
        <w:t xml:space="preserve">ealth </w:t>
      </w:r>
      <w:r w:rsidRPr="00205929">
        <w:rPr>
          <w:kern w:val="22"/>
        </w:rPr>
        <w:t>O</w:t>
      </w:r>
      <w:r w:rsidR="006D2F6B">
        <w:rPr>
          <w:kern w:val="22"/>
        </w:rPr>
        <w:t>rganization</w:t>
      </w:r>
      <w:r w:rsidR="000A68E9">
        <w:rPr>
          <w:kern w:val="22"/>
        </w:rPr>
        <w:t xml:space="preserve"> (WHO)</w:t>
      </w:r>
      <w:r w:rsidRPr="00205929">
        <w:rPr>
          <w:kern w:val="22"/>
          <w:vertAlign w:val="superscript"/>
        </w:rPr>
        <w:footnoteReference w:id="5"/>
      </w:r>
      <w:r w:rsidRPr="00205929">
        <w:rPr>
          <w:kern w:val="22"/>
        </w:rPr>
        <w:t xml:space="preserve"> vaccine guidelines. The clinical formulation of the vaccine (Bexsero) was tested in the pivotal toxicity and reproductive and developmental toxicity studies, which included related</w:t>
      </w:r>
      <w:r w:rsidR="00397A98">
        <w:rPr>
          <w:kern w:val="22"/>
        </w:rPr>
        <w:t>,</w:t>
      </w:r>
      <w:r w:rsidRPr="00205929">
        <w:rPr>
          <w:kern w:val="22"/>
        </w:rPr>
        <w:t xml:space="preserve"> developmental vaccines, including an early candidate vaccine containing antigen 287 and OMV derived from Norwegian serogroup B strain H44/76 (denoted OMV-NW), and an OMV-NZ vaccine (</w:t>
      </w:r>
      <w:proofErr w:type="spellStart"/>
      <w:r w:rsidRPr="00205929">
        <w:rPr>
          <w:kern w:val="22"/>
        </w:rPr>
        <w:t>MeNZB</w:t>
      </w:r>
      <w:proofErr w:type="spellEnd"/>
      <w:r w:rsidRPr="00205929">
        <w:rPr>
          <w:kern w:val="22"/>
        </w:rPr>
        <w:t>).</w:t>
      </w:r>
    </w:p>
    <w:p w:rsidR="008E7846" w:rsidRDefault="008E7846" w:rsidP="008E7846">
      <w:pPr>
        <w:pStyle w:val="Heading3"/>
      </w:pPr>
      <w:bookmarkStart w:id="47" w:name="_Toc247691512"/>
      <w:bookmarkStart w:id="48" w:name="_Toc314842496"/>
      <w:bookmarkStart w:id="49" w:name="_Toc370985727"/>
      <w:r w:rsidRPr="00020030">
        <w:t>Pharmacology</w:t>
      </w:r>
      <w:bookmarkEnd w:id="47"/>
      <w:bookmarkEnd w:id="48"/>
      <w:bookmarkEnd w:id="49"/>
    </w:p>
    <w:p w:rsidR="00205929" w:rsidRPr="00205929" w:rsidRDefault="00205929" w:rsidP="002A074B">
      <w:pPr>
        <w:pStyle w:val="Heading4"/>
        <w:rPr>
          <w:kern w:val="22"/>
        </w:rPr>
      </w:pPr>
      <w:bookmarkStart w:id="50" w:name="_Toc351118058"/>
      <w:bookmarkStart w:id="51" w:name="_Toc333324048"/>
      <w:bookmarkStart w:id="52" w:name="_Toc333221223"/>
      <w:r w:rsidRPr="00205929">
        <w:rPr>
          <w:kern w:val="22"/>
        </w:rPr>
        <w:t>Primary pharmacology</w:t>
      </w:r>
      <w:bookmarkEnd w:id="50"/>
      <w:bookmarkEnd w:id="51"/>
      <w:bookmarkEnd w:id="52"/>
    </w:p>
    <w:p w:rsidR="00205929" w:rsidRPr="00205929" w:rsidRDefault="00205929" w:rsidP="00205929">
      <w:pPr>
        <w:rPr>
          <w:kern w:val="22"/>
        </w:rPr>
      </w:pPr>
      <w:r w:rsidRPr="00205929">
        <w:rPr>
          <w:kern w:val="22"/>
        </w:rPr>
        <w:t xml:space="preserve">The immunogenicity of individual antigenic components and the full clinical formulation was assessed in mice, guinea pigs, juvenile baboons and infant rhesus macaques. Immunogenicity was also assessed in the toxicology studies in rabbits. The studies measured antibody formation by </w:t>
      </w:r>
      <w:r w:rsidR="00334375">
        <w:rPr>
          <w:kern w:val="22"/>
        </w:rPr>
        <w:t>e</w:t>
      </w:r>
      <w:r w:rsidR="00334375" w:rsidRPr="00334375">
        <w:rPr>
          <w:kern w:val="22"/>
        </w:rPr>
        <w:t xml:space="preserve">nzyme‐linked </w:t>
      </w:r>
      <w:proofErr w:type="spellStart"/>
      <w:r w:rsidR="00334375" w:rsidRPr="00334375">
        <w:rPr>
          <w:kern w:val="22"/>
        </w:rPr>
        <w:t>immunosorbent</w:t>
      </w:r>
      <w:proofErr w:type="spellEnd"/>
      <w:r w:rsidR="00334375" w:rsidRPr="00334375">
        <w:rPr>
          <w:kern w:val="22"/>
        </w:rPr>
        <w:t xml:space="preserve"> assay </w:t>
      </w:r>
      <w:r w:rsidR="00334375">
        <w:rPr>
          <w:kern w:val="22"/>
        </w:rPr>
        <w:t>(</w:t>
      </w:r>
      <w:r w:rsidRPr="00205929">
        <w:rPr>
          <w:kern w:val="22"/>
        </w:rPr>
        <w:t>ELISA</w:t>
      </w:r>
      <w:r w:rsidR="00334375">
        <w:rPr>
          <w:kern w:val="22"/>
        </w:rPr>
        <w:t>)</w:t>
      </w:r>
      <w:r w:rsidRPr="00205929">
        <w:rPr>
          <w:kern w:val="22"/>
        </w:rPr>
        <w:t xml:space="preserve"> and </w:t>
      </w:r>
      <w:r w:rsidR="00334375">
        <w:rPr>
          <w:kern w:val="22"/>
        </w:rPr>
        <w:t>s</w:t>
      </w:r>
      <w:r w:rsidR="00334375" w:rsidRPr="00334375">
        <w:rPr>
          <w:kern w:val="22"/>
        </w:rPr>
        <w:t xml:space="preserve">erum bactericidal activity </w:t>
      </w:r>
      <w:r w:rsidR="00334375">
        <w:rPr>
          <w:kern w:val="22"/>
        </w:rPr>
        <w:t>(</w:t>
      </w:r>
      <w:r w:rsidRPr="00205929">
        <w:rPr>
          <w:kern w:val="22"/>
        </w:rPr>
        <w:t>SBA</w:t>
      </w:r>
      <w:r w:rsidR="00334375">
        <w:rPr>
          <w:kern w:val="22"/>
        </w:rPr>
        <w:t>)</w:t>
      </w:r>
      <w:r w:rsidR="00604651">
        <w:rPr>
          <w:kern w:val="22"/>
        </w:rPr>
        <w:t xml:space="preserve"> following single and repeated </w:t>
      </w:r>
      <w:r w:rsidRPr="00205929">
        <w:rPr>
          <w:kern w:val="22"/>
        </w:rPr>
        <w:t xml:space="preserve">doses. A naturally occurring SBA </w:t>
      </w:r>
      <w:r w:rsidRPr="00205929">
        <w:rPr>
          <w:kern w:val="22"/>
        </w:rPr>
        <w:lastRenderedPageBreak/>
        <w:t>≥</w:t>
      </w:r>
      <w:r w:rsidR="008E6053">
        <w:rPr>
          <w:kern w:val="22"/>
        </w:rPr>
        <w:t xml:space="preserve"> </w:t>
      </w:r>
      <w:r w:rsidRPr="00205929">
        <w:rPr>
          <w:kern w:val="22"/>
        </w:rPr>
        <w:t xml:space="preserve">1:4 has been correlated with protection against </w:t>
      </w:r>
      <w:proofErr w:type="spellStart"/>
      <w:r w:rsidRPr="00205929">
        <w:rPr>
          <w:kern w:val="22"/>
        </w:rPr>
        <w:t>serogroup</w:t>
      </w:r>
      <w:proofErr w:type="spellEnd"/>
      <w:r w:rsidRPr="00205929">
        <w:rPr>
          <w:kern w:val="22"/>
        </w:rPr>
        <w:t xml:space="preserve"> B and </w:t>
      </w:r>
      <w:proofErr w:type="spellStart"/>
      <w:r w:rsidRPr="00205929">
        <w:rPr>
          <w:kern w:val="22"/>
        </w:rPr>
        <w:t>serogroups</w:t>
      </w:r>
      <w:proofErr w:type="spellEnd"/>
      <w:r w:rsidRPr="00205929">
        <w:rPr>
          <w:kern w:val="22"/>
        </w:rPr>
        <w:t xml:space="preserve"> A/C in humans (WHO 1999</w:t>
      </w:r>
      <w:r w:rsidR="00604651">
        <w:rPr>
          <w:rStyle w:val="FootnoteReference"/>
          <w:kern w:val="22"/>
        </w:rPr>
        <w:footnoteReference w:id="6"/>
      </w:r>
      <w:r w:rsidRPr="00205929">
        <w:rPr>
          <w:kern w:val="22"/>
        </w:rPr>
        <w:t>, 2011</w:t>
      </w:r>
      <w:r w:rsidR="00604651">
        <w:rPr>
          <w:rStyle w:val="FootnoteReference"/>
          <w:kern w:val="22"/>
        </w:rPr>
        <w:footnoteReference w:id="7"/>
      </w:r>
      <w:r w:rsidRPr="00205929">
        <w:rPr>
          <w:kern w:val="22"/>
        </w:rPr>
        <w:t>). In addition, published studies in infant rats assessed the ability of antigenic components of Bexsero to confer passive protection against bacter</w:t>
      </w:r>
      <w:r w:rsidR="00F81735">
        <w:rPr>
          <w:kern w:val="22"/>
        </w:rPr>
        <w:t>a</w:t>
      </w:r>
      <w:r w:rsidRPr="00205929">
        <w:rPr>
          <w:kern w:val="22"/>
        </w:rPr>
        <w:t xml:space="preserve">emia caused by various serogroup B strains of </w:t>
      </w:r>
      <w:r w:rsidRPr="00205929">
        <w:rPr>
          <w:i/>
          <w:kern w:val="22"/>
        </w:rPr>
        <w:t xml:space="preserve">N. </w:t>
      </w:r>
      <w:r w:rsidRPr="00205929">
        <w:rPr>
          <w:i/>
          <w:iCs/>
          <w:kern w:val="22"/>
        </w:rPr>
        <w:t>meningitidis</w:t>
      </w:r>
      <w:r w:rsidRPr="00205929">
        <w:rPr>
          <w:kern w:val="22"/>
        </w:rPr>
        <w:t>.</w:t>
      </w:r>
    </w:p>
    <w:p w:rsidR="00205929" w:rsidRPr="00205929" w:rsidRDefault="00205929" w:rsidP="000A64F6">
      <w:pPr>
        <w:pStyle w:val="TableTitle"/>
        <w:rPr>
          <w:kern w:val="22"/>
        </w:rPr>
      </w:pPr>
      <w:proofErr w:type="gramStart"/>
      <w:r w:rsidRPr="00205929">
        <w:rPr>
          <w:kern w:val="22"/>
        </w:rPr>
        <w:t>Ta</w:t>
      </w:r>
      <w:r w:rsidR="001D7C7D">
        <w:rPr>
          <w:kern w:val="22"/>
        </w:rPr>
        <w:t>ble 2</w:t>
      </w:r>
      <w:r w:rsidRPr="00205929">
        <w:rPr>
          <w:kern w:val="22"/>
        </w:rPr>
        <w:t>.</w:t>
      </w:r>
      <w:proofErr w:type="gramEnd"/>
      <w:r w:rsidRPr="00205929">
        <w:rPr>
          <w:kern w:val="22"/>
        </w:rPr>
        <w:t xml:space="preserve"> Bexsero doses in immunogenicity studies</w:t>
      </w:r>
    </w:p>
    <w:tbl>
      <w:tblPr>
        <w:tblStyle w:val="TableTGAblue"/>
        <w:tblW w:w="8647" w:type="dxa"/>
        <w:tblInd w:w="108" w:type="dxa"/>
        <w:tblLayout w:type="fixed"/>
        <w:tblLook w:val="01E0"/>
      </w:tblPr>
      <w:tblGrid>
        <w:gridCol w:w="1560"/>
        <w:gridCol w:w="1701"/>
        <w:gridCol w:w="1417"/>
        <w:gridCol w:w="851"/>
        <w:gridCol w:w="992"/>
        <w:gridCol w:w="992"/>
        <w:gridCol w:w="1134"/>
      </w:tblGrid>
      <w:tr w:rsidR="00205929" w:rsidRPr="00DE3EE4" w:rsidTr="000A64F6">
        <w:trPr>
          <w:cnfStyle w:val="100000000000"/>
          <w:trHeight w:val="680"/>
          <w:tblHeader/>
        </w:trPr>
        <w:tc>
          <w:tcPr>
            <w:tcW w:w="1560" w:type="dxa"/>
            <w:hideMark/>
          </w:tcPr>
          <w:p w:rsidR="002A074B" w:rsidRPr="00DE3EE4" w:rsidRDefault="00205929" w:rsidP="00DE3EE4">
            <w:pPr>
              <w:spacing w:before="0" w:after="0" w:line="240" w:lineRule="auto"/>
              <w:ind w:left="0" w:right="0"/>
              <w:rPr>
                <w:bCs/>
                <w:kern w:val="22"/>
                <w:sz w:val="18"/>
                <w:szCs w:val="18"/>
              </w:rPr>
            </w:pPr>
            <w:r w:rsidRPr="00DE3EE4">
              <w:rPr>
                <w:bCs/>
                <w:kern w:val="22"/>
                <w:sz w:val="18"/>
                <w:szCs w:val="18"/>
              </w:rPr>
              <w:t>Species</w:t>
            </w:r>
          </w:p>
        </w:tc>
        <w:tc>
          <w:tcPr>
            <w:tcW w:w="1701" w:type="dxa"/>
            <w:hideMark/>
          </w:tcPr>
          <w:p w:rsidR="00205929" w:rsidRPr="00DE3EE4" w:rsidRDefault="00205929" w:rsidP="00DE3EE4">
            <w:pPr>
              <w:spacing w:before="0" w:after="0" w:line="240" w:lineRule="auto"/>
              <w:ind w:left="0" w:right="0"/>
              <w:rPr>
                <w:bCs/>
                <w:kern w:val="22"/>
                <w:sz w:val="18"/>
                <w:szCs w:val="18"/>
              </w:rPr>
            </w:pPr>
            <w:r w:rsidRPr="00DE3EE4">
              <w:rPr>
                <w:bCs/>
                <w:kern w:val="22"/>
                <w:sz w:val="18"/>
                <w:szCs w:val="18"/>
              </w:rPr>
              <w:t xml:space="preserve">Treatment </w:t>
            </w:r>
          </w:p>
          <w:p w:rsidR="00205929" w:rsidRPr="00DE3EE4" w:rsidRDefault="00205929" w:rsidP="00DE3EE4">
            <w:pPr>
              <w:spacing w:before="0" w:after="0" w:line="240" w:lineRule="auto"/>
              <w:ind w:left="0" w:right="0"/>
              <w:rPr>
                <w:bCs/>
                <w:kern w:val="22"/>
                <w:sz w:val="18"/>
                <w:szCs w:val="18"/>
              </w:rPr>
            </w:pPr>
            <w:r w:rsidRPr="00DE3EE4">
              <w:rPr>
                <w:bCs/>
                <w:kern w:val="22"/>
                <w:sz w:val="18"/>
                <w:szCs w:val="18"/>
              </w:rPr>
              <w:t>(dose route)</w:t>
            </w:r>
          </w:p>
        </w:tc>
        <w:tc>
          <w:tcPr>
            <w:tcW w:w="1417" w:type="dxa"/>
            <w:hideMark/>
          </w:tcPr>
          <w:p w:rsidR="00205929" w:rsidRPr="00DE3EE4" w:rsidRDefault="00205929" w:rsidP="00DE3EE4">
            <w:pPr>
              <w:spacing w:before="0" w:after="0" w:line="240" w:lineRule="auto"/>
              <w:ind w:left="0" w:right="0"/>
              <w:rPr>
                <w:bCs/>
                <w:kern w:val="22"/>
                <w:sz w:val="18"/>
                <w:szCs w:val="18"/>
              </w:rPr>
            </w:pPr>
            <w:r w:rsidRPr="00DE3EE4">
              <w:rPr>
                <w:bCs/>
                <w:kern w:val="22"/>
                <w:sz w:val="18"/>
                <w:szCs w:val="18"/>
              </w:rPr>
              <w:t>Dose of 287-953, 936-741, and 961c each</w:t>
            </w:r>
          </w:p>
        </w:tc>
        <w:tc>
          <w:tcPr>
            <w:tcW w:w="851" w:type="dxa"/>
            <w:hideMark/>
          </w:tcPr>
          <w:p w:rsidR="00205929" w:rsidRPr="00DE3EE4" w:rsidRDefault="00205929" w:rsidP="00DE3EE4">
            <w:pPr>
              <w:spacing w:before="0" w:after="0" w:line="240" w:lineRule="auto"/>
              <w:ind w:left="0" w:right="0"/>
              <w:rPr>
                <w:bCs/>
                <w:kern w:val="22"/>
                <w:sz w:val="18"/>
                <w:szCs w:val="18"/>
              </w:rPr>
            </w:pPr>
            <w:r w:rsidRPr="00DE3EE4">
              <w:rPr>
                <w:bCs/>
                <w:kern w:val="22"/>
                <w:sz w:val="18"/>
                <w:szCs w:val="18"/>
              </w:rPr>
              <w:t>Dose of OMV</w:t>
            </w:r>
          </w:p>
        </w:tc>
        <w:tc>
          <w:tcPr>
            <w:tcW w:w="992" w:type="dxa"/>
            <w:hideMark/>
          </w:tcPr>
          <w:p w:rsidR="00205929" w:rsidRPr="00DE3EE4" w:rsidRDefault="00205929" w:rsidP="00DE3EE4">
            <w:pPr>
              <w:spacing w:before="0" w:after="0" w:line="240" w:lineRule="auto"/>
              <w:ind w:left="0" w:right="0"/>
              <w:rPr>
                <w:bCs/>
                <w:kern w:val="22"/>
                <w:sz w:val="18"/>
                <w:szCs w:val="18"/>
              </w:rPr>
            </w:pPr>
            <w:r w:rsidRPr="00DE3EE4">
              <w:rPr>
                <w:bCs/>
                <w:kern w:val="22"/>
                <w:sz w:val="18"/>
                <w:szCs w:val="18"/>
              </w:rPr>
              <w:t>Dose of Al(OH)</w:t>
            </w:r>
            <w:r w:rsidRPr="00DE3EE4">
              <w:rPr>
                <w:bCs/>
                <w:kern w:val="22"/>
                <w:sz w:val="18"/>
                <w:szCs w:val="18"/>
                <w:vertAlign w:val="subscript"/>
              </w:rPr>
              <w:t>3</w:t>
            </w:r>
          </w:p>
        </w:tc>
        <w:tc>
          <w:tcPr>
            <w:tcW w:w="992" w:type="dxa"/>
            <w:hideMark/>
          </w:tcPr>
          <w:p w:rsidR="00205929" w:rsidRPr="00DE3EE4" w:rsidRDefault="00205929" w:rsidP="00DE3EE4">
            <w:pPr>
              <w:spacing w:before="0" w:after="0" w:line="240" w:lineRule="auto"/>
              <w:ind w:left="0" w:right="0"/>
              <w:rPr>
                <w:bCs/>
                <w:kern w:val="22"/>
                <w:sz w:val="18"/>
                <w:szCs w:val="18"/>
              </w:rPr>
            </w:pPr>
            <w:r w:rsidRPr="00DE3EE4">
              <w:rPr>
                <w:bCs/>
                <w:kern w:val="22"/>
                <w:sz w:val="18"/>
                <w:szCs w:val="18"/>
              </w:rPr>
              <w:t>Dose volume</w:t>
            </w:r>
          </w:p>
        </w:tc>
        <w:tc>
          <w:tcPr>
            <w:tcW w:w="1134" w:type="dxa"/>
            <w:hideMark/>
          </w:tcPr>
          <w:p w:rsidR="00205929" w:rsidRPr="00DE3EE4" w:rsidRDefault="00205929" w:rsidP="00DE3EE4">
            <w:pPr>
              <w:spacing w:before="0" w:after="0" w:line="240" w:lineRule="auto"/>
              <w:ind w:left="0" w:right="0"/>
              <w:rPr>
                <w:bCs/>
                <w:kern w:val="22"/>
                <w:sz w:val="18"/>
                <w:szCs w:val="18"/>
              </w:rPr>
            </w:pPr>
            <w:r w:rsidRPr="00DE3EE4">
              <w:rPr>
                <w:bCs/>
                <w:kern w:val="22"/>
                <w:sz w:val="18"/>
                <w:szCs w:val="18"/>
              </w:rPr>
              <w:t>Study no.</w:t>
            </w:r>
          </w:p>
        </w:tc>
      </w:tr>
      <w:tr w:rsidR="00205929" w:rsidRPr="00DE3EE4" w:rsidTr="00482DA0">
        <w:trPr>
          <w:trHeight w:val="680"/>
        </w:trPr>
        <w:tc>
          <w:tcPr>
            <w:tcW w:w="1560" w:type="dxa"/>
            <w:hideMark/>
          </w:tcPr>
          <w:p w:rsidR="002A074B" w:rsidRPr="00DE3EE4" w:rsidRDefault="00205929" w:rsidP="00DE3EE4">
            <w:pPr>
              <w:spacing w:before="0" w:after="0" w:line="240" w:lineRule="auto"/>
              <w:ind w:left="0" w:right="0"/>
              <w:rPr>
                <w:kern w:val="22"/>
                <w:sz w:val="18"/>
                <w:szCs w:val="18"/>
              </w:rPr>
            </w:pPr>
            <w:r w:rsidRPr="00DE3EE4">
              <w:rPr>
                <w:kern w:val="22"/>
                <w:sz w:val="18"/>
                <w:szCs w:val="18"/>
              </w:rPr>
              <w:t>Mouse</w:t>
            </w:r>
          </w:p>
        </w:tc>
        <w:tc>
          <w:tcPr>
            <w:tcW w:w="1701" w:type="dxa"/>
            <w:hideMark/>
          </w:tcPr>
          <w:p w:rsidR="002A074B" w:rsidRPr="00DE3EE4" w:rsidRDefault="00205929" w:rsidP="00DE3EE4">
            <w:pPr>
              <w:spacing w:before="0" w:after="0" w:line="240" w:lineRule="auto"/>
              <w:ind w:left="0" w:right="0"/>
              <w:rPr>
                <w:kern w:val="22"/>
                <w:sz w:val="18"/>
                <w:szCs w:val="18"/>
              </w:rPr>
            </w:pPr>
            <w:r w:rsidRPr="00DE3EE4">
              <w:rPr>
                <w:kern w:val="22"/>
                <w:sz w:val="18"/>
                <w:szCs w:val="18"/>
              </w:rPr>
              <w:t>Days 0, 21, 35 (IP)</w:t>
            </w:r>
          </w:p>
        </w:tc>
        <w:tc>
          <w:tcPr>
            <w:tcW w:w="1417" w:type="dxa"/>
            <w:hideMark/>
          </w:tcPr>
          <w:p w:rsidR="002A074B" w:rsidRPr="00DE3EE4" w:rsidRDefault="00205929" w:rsidP="00DE3EE4">
            <w:pPr>
              <w:spacing w:before="0" w:after="0" w:line="240" w:lineRule="auto"/>
              <w:ind w:left="0" w:right="0"/>
              <w:rPr>
                <w:kern w:val="22"/>
                <w:sz w:val="18"/>
                <w:szCs w:val="18"/>
              </w:rPr>
            </w:pPr>
            <w:r w:rsidRPr="00DE3EE4">
              <w:rPr>
                <w:kern w:val="22"/>
                <w:sz w:val="18"/>
                <w:szCs w:val="18"/>
              </w:rPr>
              <w:t>20 µg</w:t>
            </w:r>
          </w:p>
        </w:tc>
        <w:tc>
          <w:tcPr>
            <w:tcW w:w="851" w:type="dxa"/>
            <w:hideMark/>
          </w:tcPr>
          <w:p w:rsidR="002A074B" w:rsidRPr="00DE3EE4" w:rsidRDefault="00205929" w:rsidP="00DE3EE4">
            <w:pPr>
              <w:spacing w:before="0" w:after="0" w:line="240" w:lineRule="auto"/>
              <w:ind w:left="0" w:right="0"/>
              <w:rPr>
                <w:kern w:val="22"/>
                <w:sz w:val="18"/>
                <w:szCs w:val="18"/>
              </w:rPr>
            </w:pPr>
            <w:r w:rsidRPr="00DE3EE4">
              <w:rPr>
                <w:kern w:val="22"/>
                <w:sz w:val="18"/>
                <w:szCs w:val="18"/>
              </w:rPr>
              <w:t>10 µg</w:t>
            </w:r>
          </w:p>
        </w:tc>
        <w:tc>
          <w:tcPr>
            <w:tcW w:w="992" w:type="dxa"/>
            <w:hideMark/>
          </w:tcPr>
          <w:p w:rsidR="002A074B" w:rsidRPr="00DE3EE4" w:rsidRDefault="00205929" w:rsidP="00DE3EE4">
            <w:pPr>
              <w:spacing w:before="0" w:after="0" w:line="240" w:lineRule="auto"/>
              <w:ind w:left="0" w:right="0"/>
              <w:rPr>
                <w:kern w:val="22"/>
                <w:sz w:val="18"/>
                <w:szCs w:val="18"/>
              </w:rPr>
            </w:pPr>
            <w:r w:rsidRPr="00DE3EE4">
              <w:rPr>
                <w:kern w:val="22"/>
                <w:sz w:val="18"/>
                <w:szCs w:val="18"/>
              </w:rPr>
              <w:t>600 µg</w:t>
            </w:r>
          </w:p>
        </w:tc>
        <w:tc>
          <w:tcPr>
            <w:tcW w:w="992" w:type="dxa"/>
            <w:hideMark/>
          </w:tcPr>
          <w:p w:rsidR="002A074B" w:rsidRPr="00DE3EE4" w:rsidRDefault="00205929" w:rsidP="00DE3EE4">
            <w:pPr>
              <w:spacing w:before="0" w:after="0" w:line="240" w:lineRule="auto"/>
              <w:ind w:left="0" w:right="0"/>
              <w:rPr>
                <w:kern w:val="22"/>
                <w:sz w:val="18"/>
                <w:szCs w:val="18"/>
              </w:rPr>
            </w:pPr>
            <w:r w:rsidRPr="00DE3EE4">
              <w:rPr>
                <w:kern w:val="22"/>
                <w:sz w:val="18"/>
                <w:szCs w:val="18"/>
              </w:rPr>
              <w:t>200 µL</w:t>
            </w:r>
          </w:p>
        </w:tc>
        <w:tc>
          <w:tcPr>
            <w:tcW w:w="1134" w:type="dxa"/>
            <w:vMerge w:val="restart"/>
          </w:tcPr>
          <w:p w:rsidR="00205929" w:rsidRPr="00DE3EE4" w:rsidRDefault="00205929" w:rsidP="00DE3EE4">
            <w:pPr>
              <w:spacing w:before="0" w:after="0" w:line="240" w:lineRule="auto"/>
              <w:ind w:left="0" w:right="0"/>
              <w:rPr>
                <w:kern w:val="22"/>
                <w:sz w:val="18"/>
                <w:szCs w:val="18"/>
              </w:rPr>
            </w:pPr>
            <w:r w:rsidRPr="00DE3EE4">
              <w:rPr>
                <w:kern w:val="22"/>
                <w:sz w:val="18"/>
                <w:szCs w:val="18"/>
              </w:rPr>
              <w:t>263903-01</w:t>
            </w:r>
          </w:p>
          <w:p w:rsidR="002A074B" w:rsidRPr="00DE3EE4" w:rsidRDefault="002A074B" w:rsidP="00DE3EE4">
            <w:pPr>
              <w:spacing w:before="0" w:after="0" w:line="240" w:lineRule="auto"/>
              <w:ind w:left="0" w:right="0"/>
              <w:rPr>
                <w:kern w:val="22"/>
                <w:sz w:val="18"/>
                <w:szCs w:val="18"/>
              </w:rPr>
            </w:pPr>
          </w:p>
        </w:tc>
      </w:tr>
      <w:tr w:rsidR="00205929" w:rsidRPr="00DE3EE4" w:rsidTr="00482DA0">
        <w:trPr>
          <w:trHeight w:val="680"/>
        </w:trPr>
        <w:tc>
          <w:tcPr>
            <w:tcW w:w="1560" w:type="dxa"/>
            <w:hideMark/>
          </w:tcPr>
          <w:p w:rsidR="002A074B" w:rsidRPr="00DE3EE4" w:rsidRDefault="00205929" w:rsidP="00DE3EE4">
            <w:pPr>
              <w:spacing w:before="0" w:after="0" w:line="240" w:lineRule="auto"/>
              <w:ind w:left="0" w:right="0"/>
              <w:rPr>
                <w:kern w:val="22"/>
                <w:sz w:val="18"/>
                <w:szCs w:val="18"/>
              </w:rPr>
            </w:pPr>
            <w:r w:rsidRPr="00DE3EE4">
              <w:rPr>
                <w:kern w:val="22"/>
                <w:sz w:val="18"/>
                <w:szCs w:val="18"/>
              </w:rPr>
              <w:t>Guinea pig</w:t>
            </w:r>
          </w:p>
        </w:tc>
        <w:tc>
          <w:tcPr>
            <w:tcW w:w="1701" w:type="dxa"/>
            <w:hideMark/>
          </w:tcPr>
          <w:p w:rsidR="002A074B" w:rsidRPr="00DE3EE4" w:rsidRDefault="00205929" w:rsidP="00DE3EE4">
            <w:pPr>
              <w:spacing w:before="0" w:after="0" w:line="240" w:lineRule="auto"/>
              <w:ind w:left="0" w:right="0"/>
              <w:rPr>
                <w:kern w:val="22"/>
                <w:sz w:val="18"/>
                <w:szCs w:val="18"/>
              </w:rPr>
            </w:pPr>
            <w:r w:rsidRPr="00DE3EE4">
              <w:rPr>
                <w:kern w:val="22"/>
                <w:sz w:val="18"/>
                <w:szCs w:val="18"/>
              </w:rPr>
              <w:t>Days 0, 21, 35, 48 (SC)</w:t>
            </w:r>
          </w:p>
        </w:tc>
        <w:tc>
          <w:tcPr>
            <w:tcW w:w="1417" w:type="dxa"/>
            <w:hideMark/>
          </w:tcPr>
          <w:p w:rsidR="002A074B" w:rsidRPr="00DE3EE4" w:rsidRDefault="00205929" w:rsidP="00DE3EE4">
            <w:pPr>
              <w:spacing w:before="0" w:after="0" w:line="240" w:lineRule="auto"/>
              <w:ind w:left="0" w:right="0"/>
              <w:rPr>
                <w:kern w:val="22"/>
                <w:sz w:val="18"/>
                <w:szCs w:val="18"/>
              </w:rPr>
            </w:pPr>
            <w:r w:rsidRPr="00DE3EE4">
              <w:rPr>
                <w:kern w:val="22"/>
                <w:sz w:val="18"/>
                <w:szCs w:val="18"/>
              </w:rPr>
              <w:t>25 µg</w:t>
            </w:r>
          </w:p>
        </w:tc>
        <w:tc>
          <w:tcPr>
            <w:tcW w:w="851" w:type="dxa"/>
            <w:hideMark/>
          </w:tcPr>
          <w:p w:rsidR="002A074B" w:rsidRPr="00DE3EE4" w:rsidRDefault="00205929" w:rsidP="00DE3EE4">
            <w:pPr>
              <w:spacing w:before="0" w:after="0" w:line="240" w:lineRule="auto"/>
              <w:ind w:left="0" w:right="0"/>
              <w:rPr>
                <w:kern w:val="22"/>
                <w:sz w:val="18"/>
                <w:szCs w:val="18"/>
              </w:rPr>
            </w:pPr>
            <w:r w:rsidRPr="00DE3EE4">
              <w:rPr>
                <w:kern w:val="22"/>
                <w:sz w:val="18"/>
                <w:szCs w:val="18"/>
              </w:rPr>
              <w:t>12.5 µg</w:t>
            </w:r>
          </w:p>
        </w:tc>
        <w:tc>
          <w:tcPr>
            <w:tcW w:w="992" w:type="dxa"/>
            <w:hideMark/>
          </w:tcPr>
          <w:p w:rsidR="002A074B" w:rsidRPr="00DE3EE4" w:rsidRDefault="00205929" w:rsidP="00DE3EE4">
            <w:pPr>
              <w:spacing w:before="0" w:after="0" w:line="240" w:lineRule="auto"/>
              <w:ind w:left="0" w:right="0"/>
              <w:rPr>
                <w:kern w:val="22"/>
                <w:sz w:val="18"/>
                <w:szCs w:val="18"/>
              </w:rPr>
            </w:pPr>
            <w:r w:rsidRPr="00DE3EE4">
              <w:rPr>
                <w:kern w:val="22"/>
                <w:sz w:val="18"/>
                <w:szCs w:val="18"/>
              </w:rPr>
              <w:t>750 µg</w:t>
            </w:r>
          </w:p>
        </w:tc>
        <w:tc>
          <w:tcPr>
            <w:tcW w:w="992" w:type="dxa"/>
            <w:hideMark/>
          </w:tcPr>
          <w:p w:rsidR="002A074B" w:rsidRPr="00DE3EE4" w:rsidRDefault="00205929" w:rsidP="00DE3EE4">
            <w:pPr>
              <w:spacing w:before="0" w:after="0" w:line="240" w:lineRule="auto"/>
              <w:ind w:left="0" w:right="0"/>
              <w:rPr>
                <w:kern w:val="22"/>
                <w:sz w:val="18"/>
                <w:szCs w:val="18"/>
              </w:rPr>
            </w:pPr>
            <w:r w:rsidRPr="00DE3EE4">
              <w:rPr>
                <w:kern w:val="22"/>
                <w:sz w:val="18"/>
                <w:szCs w:val="18"/>
              </w:rPr>
              <w:t>250 µL</w:t>
            </w:r>
          </w:p>
        </w:tc>
        <w:tc>
          <w:tcPr>
            <w:tcW w:w="1134" w:type="dxa"/>
            <w:vMerge/>
            <w:hideMark/>
          </w:tcPr>
          <w:p w:rsidR="00205929" w:rsidRPr="00DE3EE4" w:rsidRDefault="00205929" w:rsidP="00DE3EE4">
            <w:pPr>
              <w:spacing w:before="0" w:after="0" w:line="240" w:lineRule="auto"/>
              <w:ind w:left="0" w:right="0"/>
              <w:rPr>
                <w:kern w:val="22"/>
                <w:sz w:val="18"/>
                <w:szCs w:val="18"/>
              </w:rPr>
            </w:pPr>
          </w:p>
        </w:tc>
      </w:tr>
      <w:tr w:rsidR="00205929" w:rsidRPr="00DE3EE4" w:rsidTr="00482DA0">
        <w:trPr>
          <w:trHeight w:val="680"/>
        </w:trPr>
        <w:tc>
          <w:tcPr>
            <w:tcW w:w="1560" w:type="dxa"/>
            <w:hideMark/>
          </w:tcPr>
          <w:p w:rsidR="002A074B" w:rsidRPr="00DE3EE4" w:rsidRDefault="00205929" w:rsidP="00DE3EE4">
            <w:pPr>
              <w:spacing w:before="0" w:after="0" w:line="240" w:lineRule="auto"/>
              <w:ind w:left="0" w:right="0"/>
              <w:rPr>
                <w:kern w:val="22"/>
                <w:sz w:val="18"/>
                <w:szCs w:val="18"/>
              </w:rPr>
            </w:pPr>
            <w:r w:rsidRPr="00DE3EE4">
              <w:rPr>
                <w:kern w:val="22"/>
                <w:sz w:val="18"/>
                <w:szCs w:val="18"/>
              </w:rPr>
              <w:t>Juvenile (9-20 months) baboon</w:t>
            </w:r>
          </w:p>
        </w:tc>
        <w:tc>
          <w:tcPr>
            <w:tcW w:w="1701" w:type="dxa"/>
            <w:hideMark/>
          </w:tcPr>
          <w:p w:rsidR="002A074B" w:rsidRPr="00DE3EE4" w:rsidRDefault="00205929" w:rsidP="00DE3EE4">
            <w:pPr>
              <w:spacing w:before="0" w:after="0" w:line="240" w:lineRule="auto"/>
              <w:ind w:left="0" w:right="0"/>
              <w:rPr>
                <w:kern w:val="22"/>
                <w:sz w:val="18"/>
                <w:szCs w:val="18"/>
              </w:rPr>
            </w:pPr>
            <w:r w:rsidRPr="00DE3EE4">
              <w:rPr>
                <w:kern w:val="22"/>
                <w:sz w:val="18"/>
                <w:szCs w:val="18"/>
              </w:rPr>
              <w:t>Day 0, months 1 + 2 (IM)</w:t>
            </w:r>
          </w:p>
        </w:tc>
        <w:tc>
          <w:tcPr>
            <w:tcW w:w="1417" w:type="dxa"/>
            <w:hideMark/>
          </w:tcPr>
          <w:p w:rsidR="002A074B" w:rsidRPr="00DE3EE4" w:rsidRDefault="00205929" w:rsidP="00DE3EE4">
            <w:pPr>
              <w:spacing w:before="0" w:after="0" w:line="240" w:lineRule="auto"/>
              <w:ind w:left="0" w:right="0"/>
              <w:rPr>
                <w:kern w:val="22"/>
                <w:sz w:val="18"/>
                <w:szCs w:val="18"/>
              </w:rPr>
            </w:pPr>
            <w:r w:rsidRPr="00DE3EE4">
              <w:rPr>
                <w:kern w:val="22"/>
                <w:sz w:val="18"/>
                <w:szCs w:val="18"/>
              </w:rPr>
              <w:t>50 µg</w:t>
            </w:r>
          </w:p>
        </w:tc>
        <w:tc>
          <w:tcPr>
            <w:tcW w:w="851" w:type="dxa"/>
            <w:hideMark/>
          </w:tcPr>
          <w:p w:rsidR="002A074B" w:rsidRPr="00DE3EE4" w:rsidRDefault="00205929" w:rsidP="00DE3EE4">
            <w:pPr>
              <w:spacing w:before="0" w:after="0" w:line="240" w:lineRule="auto"/>
              <w:ind w:left="0" w:right="0"/>
              <w:rPr>
                <w:kern w:val="22"/>
                <w:sz w:val="18"/>
                <w:szCs w:val="18"/>
              </w:rPr>
            </w:pPr>
            <w:r w:rsidRPr="00DE3EE4">
              <w:rPr>
                <w:kern w:val="22"/>
                <w:sz w:val="18"/>
                <w:szCs w:val="18"/>
              </w:rPr>
              <w:t>25 µg (NW)</w:t>
            </w:r>
          </w:p>
        </w:tc>
        <w:tc>
          <w:tcPr>
            <w:tcW w:w="992" w:type="dxa"/>
            <w:hideMark/>
          </w:tcPr>
          <w:p w:rsidR="002A074B" w:rsidRPr="00DE3EE4" w:rsidRDefault="00205929" w:rsidP="00DE3EE4">
            <w:pPr>
              <w:spacing w:before="0" w:after="0" w:line="240" w:lineRule="auto"/>
              <w:ind w:left="0" w:right="0"/>
              <w:rPr>
                <w:kern w:val="22"/>
                <w:sz w:val="18"/>
                <w:szCs w:val="18"/>
              </w:rPr>
            </w:pPr>
            <w:r w:rsidRPr="00DE3EE4">
              <w:rPr>
                <w:kern w:val="22"/>
                <w:sz w:val="18"/>
                <w:szCs w:val="18"/>
              </w:rPr>
              <w:t>1.5 mg</w:t>
            </w:r>
          </w:p>
        </w:tc>
        <w:tc>
          <w:tcPr>
            <w:tcW w:w="992" w:type="dxa"/>
            <w:hideMark/>
          </w:tcPr>
          <w:p w:rsidR="002A074B" w:rsidRPr="00DE3EE4" w:rsidRDefault="00205929" w:rsidP="00DE3EE4">
            <w:pPr>
              <w:spacing w:before="0" w:after="0" w:line="240" w:lineRule="auto"/>
              <w:ind w:left="0" w:right="0"/>
              <w:rPr>
                <w:kern w:val="22"/>
                <w:sz w:val="18"/>
                <w:szCs w:val="18"/>
              </w:rPr>
            </w:pPr>
            <w:r w:rsidRPr="00DE3EE4">
              <w:rPr>
                <w:kern w:val="22"/>
                <w:sz w:val="18"/>
                <w:szCs w:val="18"/>
              </w:rPr>
              <w:t>0.5 mL</w:t>
            </w:r>
          </w:p>
        </w:tc>
        <w:tc>
          <w:tcPr>
            <w:tcW w:w="1134" w:type="dxa"/>
            <w:hideMark/>
          </w:tcPr>
          <w:p w:rsidR="002A074B" w:rsidRPr="00DE3EE4" w:rsidRDefault="00205929" w:rsidP="00DE3EE4">
            <w:pPr>
              <w:spacing w:before="0" w:after="0" w:line="240" w:lineRule="auto"/>
              <w:ind w:left="0" w:right="0"/>
              <w:rPr>
                <w:kern w:val="22"/>
                <w:sz w:val="18"/>
                <w:szCs w:val="18"/>
              </w:rPr>
            </w:pPr>
            <w:r w:rsidRPr="00DE3EE4">
              <w:rPr>
                <w:kern w:val="22"/>
                <w:sz w:val="18"/>
                <w:szCs w:val="18"/>
              </w:rPr>
              <w:t>283886-01</w:t>
            </w:r>
          </w:p>
        </w:tc>
      </w:tr>
      <w:tr w:rsidR="00205929" w:rsidRPr="00DE3EE4" w:rsidTr="00482DA0">
        <w:trPr>
          <w:trHeight w:val="680"/>
        </w:trPr>
        <w:tc>
          <w:tcPr>
            <w:tcW w:w="1560" w:type="dxa"/>
            <w:hideMark/>
          </w:tcPr>
          <w:p w:rsidR="002A074B" w:rsidRPr="00DE3EE4" w:rsidRDefault="00205929" w:rsidP="00DE3EE4">
            <w:pPr>
              <w:spacing w:before="0" w:after="0" w:line="240" w:lineRule="auto"/>
              <w:ind w:left="0" w:right="0"/>
              <w:rPr>
                <w:kern w:val="22"/>
                <w:sz w:val="18"/>
                <w:szCs w:val="18"/>
              </w:rPr>
            </w:pPr>
            <w:r w:rsidRPr="00DE3EE4">
              <w:rPr>
                <w:kern w:val="22"/>
                <w:sz w:val="18"/>
                <w:szCs w:val="18"/>
              </w:rPr>
              <w:t xml:space="preserve">Infant (2-3 months) rhesus macaque </w:t>
            </w:r>
          </w:p>
        </w:tc>
        <w:tc>
          <w:tcPr>
            <w:tcW w:w="1701" w:type="dxa"/>
            <w:hideMark/>
          </w:tcPr>
          <w:p w:rsidR="002A074B" w:rsidRPr="00DE3EE4" w:rsidRDefault="00205929" w:rsidP="00DE3EE4">
            <w:pPr>
              <w:spacing w:before="0" w:after="0" w:line="240" w:lineRule="auto"/>
              <w:ind w:left="0" w:right="0"/>
              <w:rPr>
                <w:kern w:val="22"/>
                <w:sz w:val="18"/>
                <w:szCs w:val="18"/>
              </w:rPr>
            </w:pPr>
            <w:r w:rsidRPr="00DE3EE4">
              <w:rPr>
                <w:kern w:val="22"/>
                <w:sz w:val="18"/>
                <w:szCs w:val="18"/>
              </w:rPr>
              <w:t>Day 0, weeks 4 and 18 (IM)</w:t>
            </w:r>
          </w:p>
        </w:tc>
        <w:tc>
          <w:tcPr>
            <w:tcW w:w="1417" w:type="dxa"/>
            <w:hideMark/>
          </w:tcPr>
          <w:p w:rsidR="002A074B" w:rsidRPr="00DE3EE4" w:rsidRDefault="00205929" w:rsidP="00DE3EE4">
            <w:pPr>
              <w:spacing w:before="0" w:after="0" w:line="240" w:lineRule="auto"/>
              <w:ind w:left="0" w:right="0"/>
              <w:rPr>
                <w:kern w:val="22"/>
                <w:sz w:val="18"/>
                <w:szCs w:val="18"/>
              </w:rPr>
            </w:pPr>
            <w:r w:rsidRPr="00DE3EE4">
              <w:rPr>
                <w:kern w:val="22"/>
                <w:sz w:val="18"/>
                <w:szCs w:val="18"/>
              </w:rPr>
              <w:t>50 µg</w:t>
            </w:r>
          </w:p>
        </w:tc>
        <w:tc>
          <w:tcPr>
            <w:tcW w:w="851" w:type="dxa"/>
            <w:hideMark/>
          </w:tcPr>
          <w:p w:rsidR="002A074B" w:rsidRPr="00DE3EE4" w:rsidRDefault="00205929" w:rsidP="00DE3EE4">
            <w:pPr>
              <w:spacing w:before="0" w:after="0" w:line="240" w:lineRule="auto"/>
              <w:ind w:left="0" w:right="0"/>
              <w:rPr>
                <w:kern w:val="22"/>
                <w:sz w:val="18"/>
                <w:szCs w:val="18"/>
              </w:rPr>
            </w:pPr>
            <w:r w:rsidRPr="00DE3EE4">
              <w:rPr>
                <w:kern w:val="22"/>
                <w:sz w:val="18"/>
                <w:szCs w:val="18"/>
              </w:rPr>
              <w:t>25 µg</w:t>
            </w:r>
          </w:p>
        </w:tc>
        <w:tc>
          <w:tcPr>
            <w:tcW w:w="992" w:type="dxa"/>
            <w:hideMark/>
          </w:tcPr>
          <w:p w:rsidR="002A074B" w:rsidRPr="00DE3EE4" w:rsidRDefault="00205929" w:rsidP="00DE3EE4">
            <w:pPr>
              <w:spacing w:before="0" w:after="0" w:line="240" w:lineRule="auto"/>
              <w:ind w:left="0" w:right="0"/>
              <w:rPr>
                <w:kern w:val="22"/>
                <w:sz w:val="18"/>
                <w:szCs w:val="18"/>
              </w:rPr>
            </w:pPr>
            <w:r w:rsidRPr="00DE3EE4">
              <w:rPr>
                <w:kern w:val="22"/>
                <w:sz w:val="18"/>
                <w:szCs w:val="18"/>
              </w:rPr>
              <w:t>1.5 mg</w:t>
            </w:r>
          </w:p>
        </w:tc>
        <w:tc>
          <w:tcPr>
            <w:tcW w:w="992" w:type="dxa"/>
            <w:hideMark/>
          </w:tcPr>
          <w:p w:rsidR="002A074B" w:rsidRPr="00DE3EE4" w:rsidRDefault="00205929" w:rsidP="00DE3EE4">
            <w:pPr>
              <w:spacing w:before="0" w:after="0" w:line="240" w:lineRule="auto"/>
              <w:ind w:left="0" w:right="0"/>
              <w:rPr>
                <w:kern w:val="22"/>
                <w:sz w:val="18"/>
                <w:szCs w:val="18"/>
              </w:rPr>
            </w:pPr>
            <w:r w:rsidRPr="00DE3EE4">
              <w:rPr>
                <w:kern w:val="22"/>
                <w:sz w:val="18"/>
                <w:szCs w:val="18"/>
              </w:rPr>
              <w:t>0.5 mL</w:t>
            </w:r>
          </w:p>
        </w:tc>
        <w:tc>
          <w:tcPr>
            <w:tcW w:w="1134" w:type="dxa"/>
            <w:hideMark/>
          </w:tcPr>
          <w:p w:rsidR="002A074B" w:rsidRPr="00DE3EE4" w:rsidRDefault="00205929" w:rsidP="00DE3EE4">
            <w:pPr>
              <w:spacing w:before="0" w:after="0" w:line="240" w:lineRule="auto"/>
              <w:ind w:left="0" w:right="0"/>
              <w:rPr>
                <w:kern w:val="22"/>
                <w:sz w:val="18"/>
                <w:szCs w:val="18"/>
              </w:rPr>
            </w:pPr>
            <w:r w:rsidRPr="00DE3EE4">
              <w:rPr>
                <w:kern w:val="22"/>
                <w:sz w:val="18"/>
                <w:szCs w:val="18"/>
              </w:rPr>
              <w:t>283887-01</w:t>
            </w:r>
          </w:p>
        </w:tc>
      </w:tr>
      <w:tr w:rsidR="00205929" w:rsidRPr="00DE3EE4" w:rsidTr="00482DA0">
        <w:trPr>
          <w:trHeight w:val="680"/>
        </w:trPr>
        <w:tc>
          <w:tcPr>
            <w:tcW w:w="1560" w:type="dxa"/>
            <w:hideMark/>
          </w:tcPr>
          <w:p w:rsidR="002A074B" w:rsidRPr="00DE3EE4" w:rsidRDefault="00205929" w:rsidP="00DE3EE4">
            <w:pPr>
              <w:spacing w:before="0" w:after="0" w:line="240" w:lineRule="auto"/>
              <w:ind w:left="0" w:right="0"/>
              <w:rPr>
                <w:kern w:val="22"/>
                <w:sz w:val="18"/>
                <w:szCs w:val="18"/>
              </w:rPr>
            </w:pPr>
            <w:r w:rsidRPr="00DE3EE4">
              <w:rPr>
                <w:kern w:val="22"/>
                <w:sz w:val="18"/>
                <w:szCs w:val="18"/>
              </w:rPr>
              <w:t>Human</w:t>
            </w:r>
          </w:p>
        </w:tc>
        <w:tc>
          <w:tcPr>
            <w:tcW w:w="1701" w:type="dxa"/>
            <w:hideMark/>
          </w:tcPr>
          <w:p w:rsidR="002A074B" w:rsidRPr="00DE3EE4" w:rsidRDefault="00205929" w:rsidP="00DE3EE4">
            <w:pPr>
              <w:spacing w:before="0" w:after="0" w:line="240" w:lineRule="auto"/>
              <w:ind w:left="0" w:right="0"/>
              <w:rPr>
                <w:kern w:val="22"/>
                <w:sz w:val="18"/>
                <w:szCs w:val="18"/>
              </w:rPr>
            </w:pPr>
            <w:r w:rsidRPr="00DE3EE4">
              <w:rPr>
                <w:kern w:val="22"/>
                <w:sz w:val="18"/>
                <w:szCs w:val="18"/>
              </w:rPr>
              <w:t>2-4 doses at monthly or greater intervals (IM)</w:t>
            </w:r>
          </w:p>
        </w:tc>
        <w:tc>
          <w:tcPr>
            <w:tcW w:w="1417" w:type="dxa"/>
            <w:hideMark/>
          </w:tcPr>
          <w:p w:rsidR="002A074B" w:rsidRPr="00DE3EE4" w:rsidRDefault="00205929" w:rsidP="00DE3EE4">
            <w:pPr>
              <w:spacing w:before="0" w:after="0" w:line="240" w:lineRule="auto"/>
              <w:ind w:left="0" w:right="0"/>
              <w:rPr>
                <w:kern w:val="22"/>
                <w:sz w:val="18"/>
                <w:szCs w:val="18"/>
              </w:rPr>
            </w:pPr>
            <w:r w:rsidRPr="00DE3EE4">
              <w:rPr>
                <w:kern w:val="22"/>
                <w:sz w:val="18"/>
                <w:szCs w:val="18"/>
              </w:rPr>
              <w:t>50 µg</w:t>
            </w:r>
          </w:p>
        </w:tc>
        <w:tc>
          <w:tcPr>
            <w:tcW w:w="851" w:type="dxa"/>
            <w:hideMark/>
          </w:tcPr>
          <w:p w:rsidR="002A074B" w:rsidRPr="00DE3EE4" w:rsidRDefault="00205929" w:rsidP="00DE3EE4">
            <w:pPr>
              <w:spacing w:before="0" w:after="0" w:line="240" w:lineRule="auto"/>
              <w:ind w:left="0" w:right="0"/>
              <w:rPr>
                <w:kern w:val="22"/>
                <w:sz w:val="18"/>
                <w:szCs w:val="18"/>
              </w:rPr>
            </w:pPr>
            <w:r w:rsidRPr="00DE3EE4">
              <w:rPr>
                <w:kern w:val="22"/>
                <w:sz w:val="18"/>
                <w:szCs w:val="18"/>
              </w:rPr>
              <w:t>25 µg</w:t>
            </w:r>
          </w:p>
        </w:tc>
        <w:tc>
          <w:tcPr>
            <w:tcW w:w="992" w:type="dxa"/>
            <w:hideMark/>
          </w:tcPr>
          <w:p w:rsidR="002A074B" w:rsidRPr="00DE3EE4" w:rsidRDefault="00205929" w:rsidP="00DE3EE4">
            <w:pPr>
              <w:spacing w:before="0" w:after="0" w:line="240" w:lineRule="auto"/>
              <w:ind w:left="0" w:right="0"/>
              <w:rPr>
                <w:kern w:val="22"/>
                <w:sz w:val="18"/>
                <w:szCs w:val="18"/>
              </w:rPr>
            </w:pPr>
            <w:r w:rsidRPr="00DE3EE4">
              <w:rPr>
                <w:kern w:val="22"/>
                <w:sz w:val="18"/>
                <w:szCs w:val="18"/>
              </w:rPr>
              <w:t>1.5 mg</w:t>
            </w:r>
          </w:p>
        </w:tc>
        <w:tc>
          <w:tcPr>
            <w:tcW w:w="992" w:type="dxa"/>
            <w:hideMark/>
          </w:tcPr>
          <w:p w:rsidR="002A074B" w:rsidRPr="00DE3EE4" w:rsidRDefault="00205929" w:rsidP="00DE3EE4">
            <w:pPr>
              <w:spacing w:before="0" w:after="0" w:line="240" w:lineRule="auto"/>
              <w:ind w:left="0" w:right="0"/>
              <w:rPr>
                <w:kern w:val="22"/>
                <w:sz w:val="18"/>
                <w:szCs w:val="18"/>
              </w:rPr>
            </w:pPr>
            <w:r w:rsidRPr="00DE3EE4">
              <w:rPr>
                <w:kern w:val="22"/>
                <w:sz w:val="18"/>
                <w:szCs w:val="18"/>
              </w:rPr>
              <w:t>0.5 mL</w:t>
            </w:r>
          </w:p>
        </w:tc>
        <w:tc>
          <w:tcPr>
            <w:tcW w:w="1134" w:type="dxa"/>
            <w:hideMark/>
          </w:tcPr>
          <w:p w:rsidR="002A074B" w:rsidRPr="00DE3EE4" w:rsidRDefault="00205929" w:rsidP="00DE3EE4">
            <w:pPr>
              <w:spacing w:before="0" w:after="0" w:line="240" w:lineRule="auto"/>
              <w:ind w:left="0" w:right="0"/>
              <w:rPr>
                <w:kern w:val="22"/>
                <w:sz w:val="18"/>
                <w:szCs w:val="18"/>
              </w:rPr>
            </w:pPr>
            <w:r w:rsidRPr="00DE3EE4">
              <w:rPr>
                <w:kern w:val="22"/>
                <w:sz w:val="18"/>
                <w:szCs w:val="18"/>
              </w:rPr>
              <w:t>---</w:t>
            </w:r>
          </w:p>
        </w:tc>
      </w:tr>
    </w:tbl>
    <w:p w:rsidR="006D2F6B" w:rsidRDefault="00205929" w:rsidP="00205929">
      <w:pPr>
        <w:rPr>
          <w:kern w:val="22"/>
        </w:rPr>
      </w:pPr>
      <w:r w:rsidRPr="00205929">
        <w:rPr>
          <w:kern w:val="22"/>
        </w:rPr>
        <w:t xml:space="preserve">The studies in mice demonstrated that </w:t>
      </w:r>
      <w:r w:rsidR="00605E32">
        <w:rPr>
          <w:kern w:val="22"/>
        </w:rPr>
        <w:t>3</w:t>
      </w:r>
      <w:r w:rsidRPr="00205929">
        <w:rPr>
          <w:kern w:val="22"/>
        </w:rPr>
        <w:t xml:space="preserve"> </w:t>
      </w:r>
      <w:proofErr w:type="spellStart"/>
      <w:r w:rsidR="00334375">
        <w:rPr>
          <w:kern w:val="22"/>
        </w:rPr>
        <w:t>intraperitoneal</w:t>
      </w:r>
      <w:proofErr w:type="spellEnd"/>
      <w:r w:rsidR="00334375">
        <w:rPr>
          <w:kern w:val="22"/>
        </w:rPr>
        <w:t xml:space="preserve"> (</w:t>
      </w:r>
      <w:r w:rsidRPr="00205929">
        <w:rPr>
          <w:kern w:val="22"/>
        </w:rPr>
        <w:t>IP</w:t>
      </w:r>
      <w:r w:rsidR="00334375">
        <w:rPr>
          <w:kern w:val="22"/>
        </w:rPr>
        <w:t>)</w:t>
      </w:r>
      <w:r w:rsidRPr="00205929">
        <w:rPr>
          <w:kern w:val="22"/>
        </w:rPr>
        <w:t xml:space="preserve"> injections of the individual antigenic components of Bexsero, adjuvanted with </w:t>
      </w:r>
      <w:proofErr w:type="gramStart"/>
      <w:r w:rsidRPr="00205929">
        <w:rPr>
          <w:kern w:val="22"/>
        </w:rPr>
        <w:t>Al(</w:t>
      </w:r>
      <w:proofErr w:type="gramEnd"/>
      <w:r w:rsidRPr="00205929">
        <w:rPr>
          <w:kern w:val="22"/>
        </w:rPr>
        <w:t>OH)</w:t>
      </w:r>
      <w:r w:rsidRPr="00205929">
        <w:rPr>
          <w:kern w:val="22"/>
          <w:vertAlign w:val="subscript"/>
        </w:rPr>
        <w:t>3</w:t>
      </w:r>
      <w:r w:rsidRPr="00205929">
        <w:rPr>
          <w:kern w:val="22"/>
        </w:rPr>
        <w:t xml:space="preserve">, resulted in SBA titres against the 4 diverse </w:t>
      </w:r>
      <w:r w:rsidRPr="00205929">
        <w:rPr>
          <w:i/>
          <w:kern w:val="22"/>
        </w:rPr>
        <w:t>N.</w:t>
      </w:r>
      <w:r w:rsidRPr="00205929">
        <w:rPr>
          <w:i/>
          <w:iCs/>
          <w:kern w:val="22"/>
        </w:rPr>
        <w:t xml:space="preserve"> meningitidis </w:t>
      </w:r>
      <w:r w:rsidRPr="00205929">
        <w:rPr>
          <w:kern w:val="22"/>
        </w:rPr>
        <w:t xml:space="preserve">serogroup B strains 2996, MC58, NZ98/254, and H44/76. The </w:t>
      </w:r>
      <w:r w:rsidR="00BD582F">
        <w:rPr>
          <w:kern w:val="22"/>
        </w:rPr>
        <w:t>aluminium</w:t>
      </w:r>
      <w:r w:rsidRPr="00205929">
        <w:rPr>
          <w:kern w:val="22"/>
        </w:rPr>
        <w:t xml:space="preserve">-adjuvanted fusion proteins were found to cause greater and broader SBA against the tested serogroup B strains than the individual antigens. The clinical formulation of Bexsero was also tested and found to induce significant SBA titres against all four of the </w:t>
      </w:r>
      <w:proofErr w:type="spellStart"/>
      <w:r w:rsidRPr="00205929">
        <w:rPr>
          <w:kern w:val="22"/>
        </w:rPr>
        <w:t>serogroup</w:t>
      </w:r>
      <w:proofErr w:type="spellEnd"/>
      <w:r w:rsidRPr="00205929">
        <w:rPr>
          <w:kern w:val="22"/>
        </w:rPr>
        <w:t xml:space="preserve"> B strains tested.</w:t>
      </w:r>
    </w:p>
    <w:p w:rsidR="006D2F6B" w:rsidRDefault="00205929" w:rsidP="00205929">
      <w:pPr>
        <w:rPr>
          <w:kern w:val="22"/>
        </w:rPr>
      </w:pPr>
      <w:r w:rsidRPr="00205929">
        <w:rPr>
          <w:kern w:val="22"/>
        </w:rPr>
        <w:t xml:space="preserve">The immunogenicity of the clinical formulation was investigated in guinea </w:t>
      </w:r>
      <w:r w:rsidR="00163F1F">
        <w:rPr>
          <w:kern w:val="22"/>
        </w:rPr>
        <w:t>pigs administered a total of 4 subcutaneous</w:t>
      </w:r>
      <w:r w:rsidRPr="00205929">
        <w:rPr>
          <w:kern w:val="22"/>
        </w:rPr>
        <w:t xml:space="preserve"> </w:t>
      </w:r>
      <w:r w:rsidR="00163F1F">
        <w:rPr>
          <w:kern w:val="22"/>
        </w:rPr>
        <w:t>(</w:t>
      </w:r>
      <w:r w:rsidRPr="00205929">
        <w:rPr>
          <w:kern w:val="22"/>
        </w:rPr>
        <w:t>SC</w:t>
      </w:r>
      <w:r w:rsidR="00163F1F">
        <w:rPr>
          <w:kern w:val="22"/>
        </w:rPr>
        <w:t>)</w:t>
      </w:r>
      <w:r w:rsidRPr="00205929">
        <w:rPr>
          <w:kern w:val="22"/>
        </w:rPr>
        <w:t xml:space="preserve"> injections of the clinical formulation. </w:t>
      </w:r>
      <w:r w:rsidR="000A68E9">
        <w:rPr>
          <w:kern w:val="22"/>
        </w:rPr>
        <w:t>S</w:t>
      </w:r>
      <w:r w:rsidR="000A68E9" w:rsidRPr="000A68E9">
        <w:rPr>
          <w:kern w:val="22"/>
        </w:rPr>
        <w:t xml:space="preserve">erum bactericidal activity </w:t>
      </w:r>
      <w:r w:rsidRPr="00205929">
        <w:rPr>
          <w:kern w:val="22"/>
        </w:rPr>
        <w:t>titres against the serogroup B strains 2996, MC58, and H44/7</w:t>
      </w:r>
      <w:r w:rsidR="000A64F6">
        <w:rPr>
          <w:kern w:val="22"/>
        </w:rPr>
        <w:t>6 were observed in all animals.</w:t>
      </w:r>
    </w:p>
    <w:p w:rsidR="00205929" w:rsidRPr="00205929" w:rsidRDefault="00205929" w:rsidP="00205929">
      <w:pPr>
        <w:rPr>
          <w:kern w:val="22"/>
        </w:rPr>
      </w:pPr>
      <w:r w:rsidRPr="00205929">
        <w:rPr>
          <w:kern w:val="22"/>
        </w:rPr>
        <w:t>Overall, th</w:t>
      </w:r>
      <w:r w:rsidR="00334375">
        <w:rPr>
          <w:kern w:val="22"/>
        </w:rPr>
        <w:t>e studies indicated that immunis</w:t>
      </w:r>
      <w:r w:rsidRPr="00205929">
        <w:rPr>
          <w:kern w:val="22"/>
        </w:rPr>
        <w:t>ation, whether with individual protein antigens, protein-protein fusions or the Bexsero</w:t>
      </w:r>
      <w:r w:rsidRPr="00205929">
        <w:rPr>
          <w:kern w:val="22"/>
          <w:vertAlign w:val="superscript"/>
        </w:rPr>
        <w:t xml:space="preserve"> </w:t>
      </w:r>
      <w:r w:rsidRPr="00205929">
        <w:rPr>
          <w:kern w:val="22"/>
        </w:rPr>
        <w:t xml:space="preserve">vaccine formulation </w:t>
      </w:r>
      <w:r w:rsidR="00334375">
        <w:rPr>
          <w:kern w:val="22"/>
        </w:rPr>
        <w:t xml:space="preserve">with and without </w:t>
      </w:r>
      <w:r w:rsidRPr="00205929">
        <w:rPr>
          <w:kern w:val="22"/>
        </w:rPr>
        <w:t>OMV/NZ</w:t>
      </w:r>
      <w:r w:rsidR="00FD1EB1">
        <w:rPr>
          <w:kern w:val="22"/>
        </w:rPr>
        <w:t>,</w:t>
      </w:r>
      <w:r w:rsidRPr="00205929">
        <w:rPr>
          <w:kern w:val="22"/>
        </w:rPr>
        <w:t xml:space="preserve"> w</w:t>
      </w:r>
      <w:r w:rsidR="00FD1EB1">
        <w:rPr>
          <w:kern w:val="22"/>
        </w:rPr>
        <w:t>as</w:t>
      </w:r>
      <w:r w:rsidRPr="00205929">
        <w:rPr>
          <w:kern w:val="22"/>
        </w:rPr>
        <w:t xml:space="preserve"> immunogenic in mice and guinea pig models.</w:t>
      </w:r>
    </w:p>
    <w:p w:rsidR="00205929" w:rsidRPr="00205929" w:rsidRDefault="00205929" w:rsidP="000A64F6">
      <w:pPr>
        <w:rPr>
          <w:kern w:val="22"/>
        </w:rPr>
      </w:pPr>
      <w:r w:rsidRPr="00205929">
        <w:rPr>
          <w:kern w:val="22"/>
        </w:rPr>
        <w:t xml:space="preserve">The study in juvenile baboons evaluated the immunogenicity of two recombinant </w:t>
      </w:r>
      <w:r w:rsidRPr="00205929">
        <w:rPr>
          <w:i/>
          <w:kern w:val="22"/>
        </w:rPr>
        <w:t xml:space="preserve">N. meningitidis </w:t>
      </w:r>
      <w:r w:rsidRPr="00205929">
        <w:rPr>
          <w:kern w:val="22"/>
        </w:rPr>
        <w:t xml:space="preserve">group B vaccines consisting of 3 </w:t>
      </w:r>
      <w:proofErr w:type="spellStart"/>
      <w:r w:rsidRPr="00205929">
        <w:rPr>
          <w:kern w:val="22"/>
        </w:rPr>
        <w:t>MenB</w:t>
      </w:r>
      <w:proofErr w:type="spellEnd"/>
      <w:r w:rsidRPr="00205929">
        <w:rPr>
          <w:kern w:val="22"/>
        </w:rPr>
        <w:t xml:space="preserve"> recombi</w:t>
      </w:r>
      <w:r w:rsidR="00BD582F">
        <w:rPr>
          <w:kern w:val="22"/>
        </w:rPr>
        <w:t xml:space="preserve">nant antigens formulated with </w:t>
      </w:r>
      <w:proofErr w:type="gramStart"/>
      <w:r w:rsidR="00BD582F">
        <w:rPr>
          <w:kern w:val="22"/>
        </w:rPr>
        <w:t>Al</w:t>
      </w:r>
      <w:r w:rsidRPr="00205929">
        <w:rPr>
          <w:kern w:val="22"/>
        </w:rPr>
        <w:t>(</w:t>
      </w:r>
      <w:proofErr w:type="gramEnd"/>
      <w:r w:rsidRPr="00205929">
        <w:rPr>
          <w:kern w:val="22"/>
        </w:rPr>
        <w:t>OH)</w:t>
      </w:r>
      <w:r w:rsidRPr="00205929">
        <w:rPr>
          <w:kern w:val="22"/>
          <w:vertAlign w:val="subscript"/>
        </w:rPr>
        <w:t>3</w:t>
      </w:r>
      <w:r w:rsidRPr="00205929">
        <w:rPr>
          <w:kern w:val="22"/>
        </w:rPr>
        <w:t xml:space="preserve">, or the 3 </w:t>
      </w:r>
      <w:proofErr w:type="spellStart"/>
      <w:r w:rsidRPr="00205929">
        <w:rPr>
          <w:kern w:val="22"/>
        </w:rPr>
        <w:t>MenB</w:t>
      </w:r>
      <w:proofErr w:type="spellEnd"/>
      <w:r w:rsidRPr="00205929">
        <w:rPr>
          <w:kern w:val="22"/>
        </w:rPr>
        <w:t xml:space="preserve"> antigens formulated with OMVs from the</w:t>
      </w:r>
      <w:r w:rsidR="00BD582F">
        <w:rPr>
          <w:kern w:val="22"/>
        </w:rPr>
        <w:t xml:space="preserve"> Norwegian strain H44/76, and Al</w:t>
      </w:r>
      <w:r w:rsidRPr="00205929">
        <w:rPr>
          <w:kern w:val="22"/>
        </w:rPr>
        <w:t>(OH)</w:t>
      </w:r>
      <w:r w:rsidRPr="00205929">
        <w:rPr>
          <w:kern w:val="22"/>
          <w:vertAlign w:val="subscript"/>
        </w:rPr>
        <w:t>3</w:t>
      </w:r>
      <w:r w:rsidRPr="00205929">
        <w:rPr>
          <w:kern w:val="22"/>
        </w:rPr>
        <w:t xml:space="preserve">. Three consecutive doses of the two formulations containing </w:t>
      </w:r>
      <w:r w:rsidR="00163F1F">
        <w:rPr>
          <w:kern w:val="22"/>
        </w:rPr>
        <w:t>r</w:t>
      </w:r>
      <w:r w:rsidR="00163F1F" w:rsidRPr="00163F1F">
        <w:rPr>
          <w:kern w:val="22"/>
        </w:rPr>
        <w:t xml:space="preserve">ecombinant meningococcal serotype B </w:t>
      </w:r>
      <w:r w:rsidR="00163F1F">
        <w:rPr>
          <w:kern w:val="22"/>
        </w:rPr>
        <w:t>(</w:t>
      </w:r>
      <w:proofErr w:type="spellStart"/>
      <w:r w:rsidRPr="00205929">
        <w:rPr>
          <w:kern w:val="22"/>
        </w:rPr>
        <w:t>rMenB</w:t>
      </w:r>
      <w:proofErr w:type="spellEnd"/>
      <w:r w:rsidR="00163F1F">
        <w:rPr>
          <w:kern w:val="22"/>
        </w:rPr>
        <w:t>)</w:t>
      </w:r>
      <w:r w:rsidRPr="00205929">
        <w:rPr>
          <w:kern w:val="22"/>
        </w:rPr>
        <w:t xml:space="preserve"> proteins (50 µg per dose) elicited bactericidal antibodies against a panel of 15 diverse </w:t>
      </w:r>
      <w:proofErr w:type="spellStart"/>
      <w:r w:rsidRPr="00205929">
        <w:rPr>
          <w:kern w:val="22"/>
        </w:rPr>
        <w:t>MenB</w:t>
      </w:r>
      <w:proofErr w:type="spellEnd"/>
      <w:r w:rsidRPr="00205929">
        <w:rPr>
          <w:kern w:val="22"/>
        </w:rPr>
        <w:t xml:space="preserve"> strains. Three </w:t>
      </w:r>
      <w:r w:rsidR="00163F1F">
        <w:rPr>
          <w:kern w:val="22"/>
        </w:rPr>
        <w:t>intramuscular (</w:t>
      </w:r>
      <w:r w:rsidRPr="00205929">
        <w:rPr>
          <w:kern w:val="22"/>
        </w:rPr>
        <w:t>IM</w:t>
      </w:r>
      <w:r w:rsidR="00163F1F">
        <w:rPr>
          <w:kern w:val="22"/>
        </w:rPr>
        <w:t>)</w:t>
      </w:r>
      <w:r w:rsidRPr="00205929">
        <w:rPr>
          <w:kern w:val="22"/>
        </w:rPr>
        <w:t xml:space="preserve"> doses with either </w:t>
      </w:r>
      <w:proofErr w:type="spellStart"/>
      <w:r w:rsidRPr="00205929">
        <w:rPr>
          <w:kern w:val="22"/>
        </w:rPr>
        <w:t>rMenB</w:t>
      </w:r>
      <w:proofErr w:type="spellEnd"/>
      <w:r w:rsidRPr="00205929">
        <w:rPr>
          <w:kern w:val="22"/>
        </w:rPr>
        <w:t xml:space="preserve"> or </w:t>
      </w:r>
      <w:proofErr w:type="spellStart"/>
      <w:r w:rsidRPr="00205929">
        <w:rPr>
          <w:kern w:val="22"/>
        </w:rPr>
        <w:t>rMenB+OMV</w:t>
      </w:r>
      <w:proofErr w:type="spellEnd"/>
      <w:r w:rsidRPr="00205929">
        <w:rPr>
          <w:kern w:val="22"/>
        </w:rPr>
        <w:t xml:space="preserve">/NW vaccine were immunogenic, inducing high </w:t>
      </w:r>
      <w:r w:rsidR="00163F1F">
        <w:rPr>
          <w:kern w:val="22"/>
        </w:rPr>
        <w:t>g</w:t>
      </w:r>
      <w:r w:rsidR="00163F1F" w:rsidRPr="00163F1F">
        <w:rPr>
          <w:kern w:val="22"/>
        </w:rPr>
        <w:t xml:space="preserve">eometric mean bactericidal titres </w:t>
      </w:r>
      <w:r w:rsidR="00163F1F">
        <w:rPr>
          <w:kern w:val="22"/>
        </w:rPr>
        <w:t>(</w:t>
      </w:r>
      <w:r w:rsidRPr="00205929">
        <w:rPr>
          <w:kern w:val="22"/>
        </w:rPr>
        <w:t>GMTs</w:t>
      </w:r>
      <w:r w:rsidR="00163F1F">
        <w:rPr>
          <w:kern w:val="22"/>
        </w:rPr>
        <w:t>)</w:t>
      </w:r>
      <w:r w:rsidRPr="00205929">
        <w:rPr>
          <w:kern w:val="22"/>
        </w:rPr>
        <w:t xml:space="preserve"> and percentages of positive SBA. A second primate study was conducted in infant rhesus macaques immunised </w:t>
      </w:r>
      <w:r w:rsidR="006D2F6B" w:rsidRPr="00205929">
        <w:rPr>
          <w:kern w:val="22"/>
        </w:rPr>
        <w:t xml:space="preserve">IM </w:t>
      </w:r>
      <w:r w:rsidRPr="00205929">
        <w:rPr>
          <w:kern w:val="22"/>
        </w:rPr>
        <w:t>(x</w:t>
      </w:r>
      <w:r w:rsidR="00BD582F">
        <w:rPr>
          <w:kern w:val="22"/>
        </w:rPr>
        <w:t xml:space="preserve"> </w:t>
      </w:r>
      <w:r w:rsidRPr="00205929">
        <w:rPr>
          <w:kern w:val="22"/>
        </w:rPr>
        <w:t>3</w:t>
      </w:r>
      <w:r w:rsidR="006D2F6B">
        <w:rPr>
          <w:kern w:val="22"/>
        </w:rPr>
        <w:t xml:space="preserve">, </w:t>
      </w:r>
      <w:r w:rsidRPr="00205929">
        <w:rPr>
          <w:kern w:val="22"/>
        </w:rPr>
        <w:t>0.5 mL per dose) with the clinical dose of Bexsero. The study demonstra</w:t>
      </w:r>
      <w:r w:rsidR="00F72597">
        <w:rPr>
          <w:kern w:val="22"/>
        </w:rPr>
        <w:t>ted that Bexsero (3 x IM immunis</w:t>
      </w:r>
      <w:r w:rsidRPr="00205929">
        <w:rPr>
          <w:kern w:val="22"/>
        </w:rPr>
        <w:t xml:space="preserve">ations) elicited bacterial antibodies against genetically diverse </w:t>
      </w:r>
      <w:proofErr w:type="spellStart"/>
      <w:r w:rsidRPr="00205929">
        <w:rPr>
          <w:kern w:val="22"/>
        </w:rPr>
        <w:t>MenB</w:t>
      </w:r>
      <w:proofErr w:type="spellEnd"/>
      <w:r w:rsidRPr="00205929">
        <w:rPr>
          <w:kern w:val="22"/>
        </w:rPr>
        <w:t xml:space="preserve"> strains.</w:t>
      </w:r>
    </w:p>
    <w:p w:rsidR="00205929" w:rsidRPr="00205929" w:rsidRDefault="00205929" w:rsidP="00205929">
      <w:pPr>
        <w:rPr>
          <w:kern w:val="22"/>
        </w:rPr>
      </w:pPr>
      <w:r w:rsidRPr="00205929">
        <w:rPr>
          <w:kern w:val="22"/>
        </w:rPr>
        <w:lastRenderedPageBreak/>
        <w:t xml:space="preserve">Overall, treatment with </w:t>
      </w:r>
      <w:r w:rsidR="00163F1F">
        <w:rPr>
          <w:kern w:val="22"/>
        </w:rPr>
        <w:t xml:space="preserve">one quarter </w:t>
      </w:r>
      <w:r w:rsidRPr="00205929">
        <w:rPr>
          <w:kern w:val="22"/>
        </w:rPr>
        <w:t>of the clinical Bexs</w:t>
      </w:r>
      <w:r w:rsidR="00BD582F">
        <w:rPr>
          <w:kern w:val="22"/>
        </w:rPr>
        <w:t>ero dose in mice or guinea pigs</w:t>
      </w:r>
      <w:r w:rsidRPr="00205929">
        <w:rPr>
          <w:kern w:val="22"/>
        </w:rPr>
        <w:t xml:space="preserve"> or </w:t>
      </w:r>
      <w:r w:rsidR="00BD582F">
        <w:rPr>
          <w:kern w:val="22"/>
        </w:rPr>
        <w:t xml:space="preserve">with </w:t>
      </w:r>
      <w:r w:rsidRPr="00205929">
        <w:rPr>
          <w:kern w:val="22"/>
        </w:rPr>
        <w:t>the clinical dose in</w:t>
      </w:r>
      <w:r w:rsidR="00BD582F">
        <w:rPr>
          <w:kern w:val="22"/>
        </w:rPr>
        <w:t xml:space="preserve"> rabbits and non-human primates</w:t>
      </w:r>
      <w:r w:rsidRPr="00205929">
        <w:rPr>
          <w:kern w:val="22"/>
        </w:rPr>
        <w:t xml:space="preserve"> was found to be immunogenic. Active protection was not assessed due to the lack of animal models of infection for </w:t>
      </w:r>
      <w:r w:rsidRPr="00205929">
        <w:rPr>
          <w:i/>
          <w:kern w:val="22"/>
        </w:rPr>
        <w:t>N</w:t>
      </w:r>
      <w:r w:rsidR="002B0C11">
        <w:rPr>
          <w:i/>
          <w:kern w:val="22"/>
        </w:rPr>
        <w:t xml:space="preserve">. </w:t>
      </w:r>
      <w:proofErr w:type="spellStart"/>
      <w:r w:rsidRPr="00205929">
        <w:rPr>
          <w:i/>
          <w:kern w:val="22"/>
        </w:rPr>
        <w:t>meningitidis</w:t>
      </w:r>
      <w:proofErr w:type="spellEnd"/>
      <w:r w:rsidR="000A64F6">
        <w:rPr>
          <w:kern w:val="22"/>
        </w:rPr>
        <w:t>, a human-specific pathogen.</w:t>
      </w:r>
    </w:p>
    <w:p w:rsidR="00205929" w:rsidRPr="00205929" w:rsidRDefault="00205929" w:rsidP="00205929">
      <w:pPr>
        <w:rPr>
          <w:kern w:val="22"/>
        </w:rPr>
      </w:pPr>
      <w:r w:rsidRPr="00205929">
        <w:rPr>
          <w:kern w:val="22"/>
        </w:rPr>
        <w:t xml:space="preserve">A number of publications reported that passive protection against </w:t>
      </w:r>
      <w:r w:rsidRPr="00205929">
        <w:rPr>
          <w:i/>
          <w:kern w:val="22"/>
        </w:rPr>
        <w:t>N. meningitidis</w:t>
      </w:r>
      <w:r w:rsidRPr="00205929">
        <w:rPr>
          <w:kern w:val="22"/>
        </w:rPr>
        <w:t xml:space="preserve"> bacter</w:t>
      </w:r>
      <w:r w:rsidR="00F81735">
        <w:rPr>
          <w:kern w:val="22"/>
        </w:rPr>
        <w:t>a</w:t>
      </w:r>
      <w:r w:rsidRPr="00205929">
        <w:rPr>
          <w:kern w:val="22"/>
        </w:rPr>
        <w:t xml:space="preserve">emia was conferred in infant rats by IP treatment with </w:t>
      </w:r>
      <w:proofErr w:type="spellStart"/>
      <w:r w:rsidRPr="00205929">
        <w:rPr>
          <w:kern w:val="22"/>
        </w:rPr>
        <w:t>antisera</w:t>
      </w:r>
      <w:proofErr w:type="spellEnd"/>
      <w:r w:rsidRPr="00205929">
        <w:rPr>
          <w:kern w:val="22"/>
        </w:rPr>
        <w:t xml:space="preserve"> from mice or guinea pigs vaccinated with individual or combined antigens from the vaccine (</w:t>
      </w:r>
      <w:proofErr w:type="spellStart"/>
      <w:r w:rsidRPr="00205929">
        <w:rPr>
          <w:kern w:val="22"/>
        </w:rPr>
        <w:t>Comanducci</w:t>
      </w:r>
      <w:proofErr w:type="spellEnd"/>
      <w:r w:rsidRPr="00205929">
        <w:rPr>
          <w:kern w:val="22"/>
        </w:rPr>
        <w:t xml:space="preserve"> </w:t>
      </w:r>
      <w:r w:rsidRPr="00205929">
        <w:rPr>
          <w:i/>
          <w:kern w:val="22"/>
        </w:rPr>
        <w:t>et al</w:t>
      </w:r>
      <w:r w:rsidR="00163F1F">
        <w:rPr>
          <w:i/>
          <w:kern w:val="22"/>
        </w:rPr>
        <w:t>.,</w:t>
      </w:r>
      <w:r w:rsidRPr="00205929">
        <w:rPr>
          <w:kern w:val="22"/>
        </w:rPr>
        <w:t xml:space="preserve"> 2002</w:t>
      </w:r>
      <w:r w:rsidR="00163F1F">
        <w:rPr>
          <w:rStyle w:val="FootnoteReference"/>
          <w:i/>
          <w:kern w:val="22"/>
        </w:rPr>
        <w:footnoteReference w:id="8"/>
      </w:r>
      <w:r w:rsidR="00163F1F" w:rsidRPr="00205929">
        <w:rPr>
          <w:kern w:val="22"/>
        </w:rPr>
        <w:t>,</w:t>
      </w:r>
      <w:r w:rsidRPr="00205929">
        <w:rPr>
          <w:kern w:val="22"/>
        </w:rPr>
        <w:t xml:space="preserve"> </w:t>
      </w:r>
      <w:proofErr w:type="spellStart"/>
      <w:r w:rsidRPr="00205929">
        <w:rPr>
          <w:kern w:val="22"/>
        </w:rPr>
        <w:t>Masignani</w:t>
      </w:r>
      <w:proofErr w:type="spellEnd"/>
      <w:r w:rsidRPr="00205929">
        <w:rPr>
          <w:kern w:val="22"/>
        </w:rPr>
        <w:t xml:space="preserve"> </w:t>
      </w:r>
      <w:r w:rsidRPr="00205929">
        <w:rPr>
          <w:i/>
          <w:kern w:val="22"/>
        </w:rPr>
        <w:t>et al</w:t>
      </w:r>
      <w:r w:rsidR="00163F1F">
        <w:rPr>
          <w:i/>
          <w:kern w:val="22"/>
        </w:rPr>
        <w:t>.</w:t>
      </w:r>
      <w:r w:rsidRPr="00205929">
        <w:rPr>
          <w:kern w:val="22"/>
        </w:rPr>
        <w:t>, 2003</w:t>
      </w:r>
      <w:r w:rsidR="00163F1F">
        <w:rPr>
          <w:rStyle w:val="FootnoteReference"/>
          <w:kern w:val="22"/>
        </w:rPr>
        <w:footnoteReference w:id="9"/>
      </w:r>
      <w:r w:rsidRPr="00205929">
        <w:rPr>
          <w:kern w:val="22"/>
        </w:rPr>
        <w:t xml:space="preserve">, Giuliani </w:t>
      </w:r>
      <w:r w:rsidRPr="00205929">
        <w:rPr>
          <w:i/>
          <w:kern w:val="22"/>
        </w:rPr>
        <w:t>et al</w:t>
      </w:r>
      <w:r w:rsidR="00163F1F">
        <w:rPr>
          <w:i/>
          <w:kern w:val="22"/>
        </w:rPr>
        <w:t>.</w:t>
      </w:r>
      <w:r w:rsidRPr="00205929">
        <w:rPr>
          <w:kern w:val="22"/>
        </w:rPr>
        <w:t>, 2006</w:t>
      </w:r>
      <w:r w:rsidR="00163F1F">
        <w:rPr>
          <w:rStyle w:val="FootnoteReference"/>
          <w:kern w:val="22"/>
        </w:rPr>
        <w:footnoteReference w:id="10"/>
      </w:r>
      <w:r w:rsidRPr="00205929">
        <w:rPr>
          <w:kern w:val="22"/>
        </w:rPr>
        <w:t>).</w:t>
      </w:r>
    </w:p>
    <w:p w:rsidR="00205929" w:rsidRPr="00205929" w:rsidRDefault="00205929" w:rsidP="00205929">
      <w:pPr>
        <w:rPr>
          <w:kern w:val="22"/>
        </w:rPr>
      </w:pPr>
      <w:r w:rsidRPr="00205929">
        <w:rPr>
          <w:kern w:val="22"/>
        </w:rPr>
        <w:t>No dose range-finding</w:t>
      </w:r>
      <w:r w:rsidR="00B66DC3">
        <w:rPr>
          <w:kern w:val="22"/>
        </w:rPr>
        <w:t xml:space="preserve"> </w:t>
      </w:r>
      <w:r w:rsidRPr="00205929">
        <w:rPr>
          <w:kern w:val="22"/>
        </w:rPr>
        <w:t>immunogenicity studies were s</w:t>
      </w:r>
      <w:r w:rsidR="00FD1EB1">
        <w:rPr>
          <w:kern w:val="22"/>
        </w:rPr>
        <w:t>ubmitted.</w:t>
      </w:r>
      <w:r w:rsidRPr="00205929">
        <w:rPr>
          <w:kern w:val="22"/>
        </w:rPr>
        <w:t xml:space="preserve"> </w:t>
      </w:r>
      <w:r w:rsidR="00FD1EB1">
        <w:rPr>
          <w:kern w:val="22"/>
        </w:rPr>
        <w:t>I</w:t>
      </w:r>
      <w:r w:rsidRPr="00205929">
        <w:rPr>
          <w:kern w:val="22"/>
        </w:rPr>
        <w:t>t was stated that the clinical doses of the 3 protein antigens were selected on the basis of studies in mice</w:t>
      </w:r>
      <w:r w:rsidR="00FD1EB1">
        <w:rPr>
          <w:kern w:val="22"/>
        </w:rPr>
        <w:t>,</w:t>
      </w:r>
      <w:r w:rsidRPr="00205929">
        <w:rPr>
          <w:kern w:val="22"/>
        </w:rPr>
        <w:t xml:space="preserve"> which showed that a dose of 1-10 µg of each antigen was required for a robust and persistent immune resp</w:t>
      </w:r>
      <w:r w:rsidR="00163F1F">
        <w:rPr>
          <w:kern w:val="22"/>
        </w:rPr>
        <w:t xml:space="preserve">onse, </w:t>
      </w:r>
      <w:r w:rsidR="00C07CFE">
        <w:rPr>
          <w:kern w:val="22"/>
        </w:rPr>
        <w:t xml:space="preserve">together with </w:t>
      </w:r>
      <w:r w:rsidR="00163F1F">
        <w:rPr>
          <w:kern w:val="22"/>
        </w:rPr>
        <w:t xml:space="preserve">a scale-up factor of approximately </w:t>
      </w:r>
      <w:r w:rsidRPr="00205929">
        <w:rPr>
          <w:kern w:val="22"/>
        </w:rPr>
        <w:t>10.</w:t>
      </w:r>
    </w:p>
    <w:p w:rsidR="00205929" w:rsidRPr="00205929" w:rsidRDefault="000A64F6" w:rsidP="002B0C11">
      <w:pPr>
        <w:pStyle w:val="Heading4"/>
        <w:rPr>
          <w:kern w:val="22"/>
        </w:rPr>
      </w:pPr>
      <w:r>
        <w:rPr>
          <w:kern w:val="22"/>
        </w:rPr>
        <w:t>Safety pharmacology</w:t>
      </w:r>
    </w:p>
    <w:p w:rsidR="00205929" w:rsidRPr="00205929" w:rsidRDefault="00205929" w:rsidP="00205929">
      <w:pPr>
        <w:rPr>
          <w:kern w:val="22"/>
        </w:rPr>
      </w:pPr>
      <w:r w:rsidRPr="00205929">
        <w:rPr>
          <w:kern w:val="22"/>
        </w:rPr>
        <w:t xml:space="preserve">No dedicated safety pharmacology studies were submitted. Some safety pharmacology parameters, </w:t>
      </w:r>
      <w:r w:rsidR="00163F1F">
        <w:rPr>
          <w:kern w:val="22"/>
        </w:rPr>
        <w:t xml:space="preserve">such as </w:t>
      </w:r>
      <w:r w:rsidRPr="00205929">
        <w:rPr>
          <w:kern w:val="22"/>
        </w:rPr>
        <w:t>body temperature, respiration and heart rates, were investigated in the toxicity studies (</w:t>
      </w:r>
      <w:r w:rsidR="00163F1F">
        <w:rPr>
          <w:kern w:val="22"/>
        </w:rPr>
        <w:t xml:space="preserve">see </w:t>
      </w:r>
      <w:r w:rsidR="00163F1F" w:rsidRPr="00FD1EB1">
        <w:rPr>
          <w:i/>
          <w:iCs/>
          <w:kern w:val="22"/>
        </w:rPr>
        <w:t>Toxic</w:t>
      </w:r>
      <w:r w:rsidR="00FD1EB1" w:rsidRPr="00FD1EB1">
        <w:rPr>
          <w:i/>
          <w:iCs/>
          <w:kern w:val="22"/>
        </w:rPr>
        <w:t>ology</w:t>
      </w:r>
      <w:r w:rsidR="00163F1F">
        <w:rPr>
          <w:kern w:val="22"/>
        </w:rPr>
        <w:t>).</w:t>
      </w:r>
    </w:p>
    <w:p w:rsidR="002B0C11" w:rsidRDefault="002B0C11" w:rsidP="002B0C11">
      <w:pPr>
        <w:pStyle w:val="Heading3"/>
      </w:pPr>
      <w:bookmarkStart w:id="53" w:name="_Toc247691514"/>
      <w:bookmarkStart w:id="54" w:name="_Toc314842498"/>
      <w:bookmarkStart w:id="55" w:name="_Toc370985728"/>
      <w:r>
        <w:t>Toxicology</w:t>
      </w:r>
      <w:bookmarkEnd w:id="53"/>
      <w:bookmarkEnd w:id="54"/>
      <w:bookmarkEnd w:id="55"/>
    </w:p>
    <w:p w:rsidR="00205929" w:rsidRPr="00205929" w:rsidRDefault="00205929" w:rsidP="000A64F6">
      <w:pPr>
        <w:pStyle w:val="TableTitle"/>
        <w:rPr>
          <w:kern w:val="22"/>
        </w:rPr>
      </w:pPr>
      <w:proofErr w:type="gramStart"/>
      <w:r w:rsidRPr="00205929">
        <w:rPr>
          <w:kern w:val="22"/>
        </w:rPr>
        <w:t xml:space="preserve">Table </w:t>
      </w:r>
      <w:r w:rsidR="001D7C7D">
        <w:rPr>
          <w:kern w:val="22"/>
        </w:rPr>
        <w:t>3</w:t>
      </w:r>
      <w:r w:rsidRPr="00205929">
        <w:rPr>
          <w:kern w:val="22"/>
        </w:rPr>
        <w:t>.</w:t>
      </w:r>
      <w:proofErr w:type="gramEnd"/>
      <w:r w:rsidRPr="00205929">
        <w:rPr>
          <w:kern w:val="22"/>
        </w:rPr>
        <w:t xml:space="preserve"> Bexsero doses in toxicity studies</w:t>
      </w:r>
    </w:p>
    <w:tbl>
      <w:tblPr>
        <w:tblStyle w:val="TableTGAblue"/>
        <w:tblW w:w="8748" w:type="dxa"/>
        <w:tblInd w:w="108" w:type="dxa"/>
        <w:tblLayout w:type="fixed"/>
        <w:tblLook w:val="01E0"/>
      </w:tblPr>
      <w:tblGrid>
        <w:gridCol w:w="1843"/>
        <w:gridCol w:w="1559"/>
        <w:gridCol w:w="1560"/>
        <w:gridCol w:w="1237"/>
        <w:gridCol w:w="1324"/>
        <w:gridCol w:w="1225"/>
      </w:tblGrid>
      <w:tr w:rsidR="00205929" w:rsidRPr="00DE3EE4" w:rsidTr="00FD1EB1">
        <w:trPr>
          <w:cnfStyle w:val="100000000000"/>
          <w:trHeight w:val="680"/>
          <w:tblHeader/>
        </w:trPr>
        <w:tc>
          <w:tcPr>
            <w:tcW w:w="1843" w:type="dxa"/>
            <w:hideMark/>
          </w:tcPr>
          <w:p w:rsidR="002A074B" w:rsidRPr="00DE3EE4" w:rsidRDefault="00205929" w:rsidP="00C07CFE">
            <w:pPr>
              <w:keepNext/>
              <w:spacing w:before="0" w:after="0" w:line="240" w:lineRule="auto"/>
              <w:ind w:left="0" w:right="0"/>
              <w:rPr>
                <w:bCs/>
                <w:kern w:val="22"/>
                <w:sz w:val="18"/>
                <w:szCs w:val="18"/>
              </w:rPr>
            </w:pPr>
            <w:r w:rsidRPr="00DE3EE4">
              <w:rPr>
                <w:bCs/>
                <w:kern w:val="22"/>
                <w:sz w:val="18"/>
                <w:szCs w:val="18"/>
              </w:rPr>
              <w:t xml:space="preserve">Study </w:t>
            </w:r>
          </w:p>
        </w:tc>
        <w:tc>
          <w:tcPr>
            <w:tcW w:w="1559" w:type="dxa"/>
            <w:hideMark/>
          </w:tcPr>
          <w:p w:rsidR="00205929" w:rsidRPr="00DE3EE4" w:rsidRDefault="00205929" w:rsidP="00C07CFE">
            <w:pPr>
              <w:keepNext/>
              <w:spacing w:before="0" w:after="0" w:line="240" w:lineRule="auto"/>
              <w:ind w:left="0" w:right="0"/>
              <w:rPr>
                <w:bCs/>
                <w:kern w:val="22"/>
                <w:sz w:val="18"/>
                <w:szCs w:val="18"/>
              </w:rPr>
            </w:pPr>
            <w:r w:rsidRPr="00DE3EE4">
              <w:rPr>
                <w:bCs/>
                <w:kern w:val="22"/>
                <w:sz w:val="18"/>
                <w:szCs w:val="18"/>
              </w:rPr>
              <w:t>Treatment days</w:t>
            </w:r>
          </w:p>
        </w:tc>
        <w:tc>
          <w:tcPr>
            <w:tcW w:w="1560" w:type="dxa"/>
            <w:hideMark/>
          </w:tcPr>
          <w:p w:rsidR="00205929" w:rsidRPr="00DE3EE4" w:rsidRDefault="00205929" w:rsidP="00C07CFE">
            <w:pPr>
              <w:keepNext/>
              <w:spacing w:before="0" w:after="0" w:line="240" w:lineRule="auto"/>
              <w:ind w:left="0" w:right="0"/>
              <w:rPr>
                <w:bCs/>
                <w:kern w:val="22"/>
                <w:sz w:val="18"/>
                <w:szCs w:val="18"/>
              </w:rPr>
            </w:pPr>
            <w:r w:rsidRPr="00DE3EE4">
              <w:rPr>
                <w:bCs/>
                <w:kern w:val="22"/>
                <w:sz w:val="18"/>
                <w:szCs w:val="18"/>
              </w:rPr>
              <w:t>Dose of 287-953, 936-741, and 961c each</w:t>
            </w:r>
          </w:p>
        </w:tc>
        <w:tc>
          <w:tcPr>
            <w:tcW w:w="1237" w:type="dxa"/>
            <w:hideMark/>
          </w:tcPr>
          <w:p w:rsidR="00205929" w:rsidRPr="00DE3EE4" w:rsidRDefault="00205929" w:rsidP="00C07CFE">
            <w:pPr>
              <w:keepNext/>
              <w:spacing w:before="0" w:after="0" w:line="240" w:lineRule="auto"/>
              <w:ind w:left="0" w:right="0"/>
              <w:rPr>
                <w:bCs/>
                <w:kern w:val="22"/>
                <w:sz w:val="18"/>
                <w:szCs w:val="18"/>
              </w:rPr>
            </w:pPr>
            <w:r w:rsidRPr="00DE3EE4">
              <w:rPr>
                <w:bCs/>
                <w:kern w:val="22"/>
                <w:sz w:val="18"/>
                <w:szCs w:val="18"/>
              </w:rPr>
              <w:t>Dose of OMV</w:t>
            </w:r>
          </w:p>
        </w:tc>
        <w:tc>
          <w:tcPr>
            <w:tcW w:w="1324" w:type="dxa"/>
            <w:hideMark/>
          </w:tcPr>
          <w:p w:rsidR="00205929" w:rsidRPr="00DE3EE4" w:rsidRDefault="00205929" w:rsidP="00C07CFE">
            <w:pPr>
              <w:keepNext/>
              <w:spacing w:before="0" w:after="0" w:line="240" w:lineRule="auto"/>
              <w:ind w:left="0" w:right="0"/>
              <w:rPr>
                <w:bCs/>
                <w:kern w:val="22"/>
                <w:sz w:val="18"/>
                <w:szCs w:val="18"/>
              </w:rPr>
            </w:pPr>
            <w:r w:rsidRPr="00DE3EE4">
              <w:rPr>
                <w:bCs/>
                <w:kern w:val="22"/>
                <w:sz w:val="18"/>
                <w:szCs w:val="18"/>
              </w:rPr>
              <w:t>Dose of Al(OH)</w:t>
            </w:r>
            <w:r w:rsidRPr="00DE3EE4">
              <w:rPr>
                <w:bCs/>
                <w:kern w:val="22"/>
                <w:sz w:val="18"/>
                <w:szCs w:val="18"/>
                <w:vertAlign w:val="subscript"/>
              </w:rPr>
              <w:t>3</w:t>
            </w:r>
          </w:p>
        </w:tc>
        <w:tc>
          <w:tcPr>
            <w:tcW w:w="1225" w:type="dxa"/>
            <w:hideMark/>
          </w:tcPr>
          <w:p w:rsidR="00205929" w:rsidRPr="00DE3EE4" w:rsidRDefault="00205929" w:rsidP="00C07CFE">
            <w:pPr>
              <w:keepNext/>
              <w:spacing w:before="0" w:after="0" w:line="240" w:lineRule="auto"/>
              <w:ind w:left="0" w:right="0"/>
              <w:rPr>
                <w:bCs/>
                <w:kern w:val="22"/>
                <w:sz w:val="18"/>
                <w:szCs w:val="18"/>
              </w:rPr>
            </w:pPr>
            <w:r w:rsidRPr="00DE3EE4">
              <w:rPr>
                <w:bCs/>
                <w:kern w:val="22"/>
                <w:sz w:val="18"/>
                <w:szCs w:val="18"/>
              </w:rPr>
              <w:t>Study no. (date)</w:t>
            </w:r>
          </w:p>
        </w:tc>
      </w:tr>
      <w:tr w:rsidR="00205929" w:rsidRPr="00DE3EE4" w:rsidTr="00163F1F">
        <w:trPr>
          <w:trHeight w:val="680"/>
        </w:trPr>
        <w:tc>
          <w:tcPr>
            <w:tcW w:w="1843" w:type="dxa"/>
            <w:hideMark/>
          </w:tcPr>
          <w:p w:rsidR="002A074B" w:rsidRPr="00DE3EE4" w:rsidRDefault="00205929" w:rsidP="00DE3EE4">
            <w:pPr>
              <w:spacing w:before="0" w:after="0" w:line="240" w:lineRule="auto"/>
              <w:ind w:left="0" w:right="0"/>
              <w:rPr>
                <w:kern w:val="22"/>
                <w:sz w:val="18"/>
                <w:szCs w:val="18"/>
              </w:rPr>
            </w:pPr>
            <w:r w:rsidRPr="00DE3EE4">
              <w:rPr>
                <w:kern w:val="22"/>
                <w:sz w:val="18"/>
                <w:szCs w:val="18"/>
              </w:rPr>
              <w:t xml:space="preserve">Rabbit single and repeat-dose toxicity study </w:t>
            </w:r>
          </w:p>
        </w:tc>
        <w:tc>
          <w:tcPr>
            <w:tcW w:w="1559" w:type="dxa"/>
            <w:hideMark/>
          </w:tcPr>
          <w:p w:rsidR="002A074B" w:rsidRPr="00DE3EE4" w:rsidRDefault="00205929" w:rsidP="00DE3EE4">
            <w:pPr>
              <w:spacing w:before="0" w:after="0" w:line="240" w:lineRule="auto"/>
              <w:ind w:left="0" w:right="0"/>
              <w:rPr>
                <w:kern w:val="22"/>
                <w:sz w:val="18"/>
                <w:szCs w:val="18"/>
              </w:rPr>
            </w:pPr>
            <w:r w:rsidRPr="00DE3EE4">
              <w:rPr>
                <w:kern w:val="22"/>
                <w:sz w:val="18"/>
                <w:szCs w:val="18"/>
              </w:rPr>
              <w:t>1, 15, 29, 43, 57</w:t>
            </w:r>
          </w:p>
        </w:tc>
        <w:tc>
          <w:tcPr>
            <w:tcW w:w="1560" w:type="dxa"/>
            <w:hideMark/>
          </w:tcPr>
          <w:p w:rsidR="00205929" w:rsidRPr="00DE3EE4" w:rsidRDefault="00205929" w:rsidP="00DE3EE4">
            <w:pPr>
              <w:spacing w:before="0" w:after="0" w:line="240" w:lineRule="auto"/>
              <w:ind w:left="0" w:right="0"/>
              <w:rPr>
                <w:kern w:val="22"/>
                <w:sz w:val="18"/>
                <w:szCs w:val="18"/>
              </w:rPr>
            </w:pPr>
            <w:r w:rsidRPr="00DE3EE4">
              <w:rPr>
                <w:kern w:val="22"/>
                <w:sz w:val="18"/>
                <w:szCs w:val="18"/>
              </w:rPr>
              <w:t>50 µg</w:t>
            </w:r>
          </w:p>
          <w:p w:rsidR="002A074B" w:rsidRPr="00DE3EE4" w:rsidRDefault="00205929" w:rsidP="00DE3EE4">
            <w:pPr>
              <w:spacing w:before="0" w:after="0" w:line="240" w:lineRule="auto"/>
              <w:ind w:left="0" w:right="0"/>
              <w:rPr>
                <w:kern w:val="22"/>
                <w:sz w:val="18"/>
                <w:szCs w:val="18"/>
              </w:rPr>
            </w:pPr>
            <w:r w:rsidRPr="00DE3EE4">
              <w:rPr>
                <w:kern w:val="22"/>
                <w:sz w:val="18"/>
                <w:szCs w:val="18"/>
              </w:rPr>
              <w:t>100 µg</w:t>
            </w:r>
          </w:p>
        </w:tc>
        <w:tc>
          <w:tcPr>
            <w:tcW w:w="1237" w:type="dxa"/>
            <w:hideMark/>
          </w:tcPr>
          <w:p w:rsidR="00205929" w:rsidRPr="00DE3EE4" w:rsidRDefault="00205929" w:rsidP="00DE3EE4">
            <w:pPr>
              <w:spacing w:before="0" w:after="0" w:line="240" w:lineRule="auto"/>
              <w:ind w:left="0" w:right="0"/>
              <w:rPr>
                <w:kern w:val="22"/>
                <w:sz w:val="18"/>
                <w:szCs w:val="18"/>
              </w:rPr>
            </w:pPr>
            <w:r w:rsidRPr="00DE3EE4">
              <w:rPr>
                <w:kern w:val="22"/>
                <w:sz w:val="18"/>
                <w:szCs w:val="18"/>
              </w:rPr>
              <w:t>25 µg (NW/NZ)</w:t>
            </w:r>
          </w:p>
          <w:p w:rsidR="002A074B" w:rsidRPr="00DE3EE4" w:rsidRDefault="00205929" w:rsidP="00DE3EE4">
            <w:pPr>
              <w:spacing w:before="0" w:after="0" w:line="240" w:lineRule="auto"/>
              <w:ind w:left="0" w:right="0"/>
              <w:rPr>
                <w:kern w:val="22"/>
                <w:sz w:val="18"/>
                <w:szCs w:val="18"/>
              </w:rPr>
            </w:pPr>
            <w:r w:rsidRPr="00DE3EE4">
              <w:rPr>
                <w:kern w:val="22"/>
                <w:sz w:val="18"/>
                <w:szCs w:val="18"/>
              </w:rPr>
              <w:t>25 µg (NW)</w:t>
            </w:r>
          </w:p>
        </w:tc>
        <w:tc>
          <w:tcPr>
            <w:tcW w:w="1324" w:type="dxa"/>
            <w:hideMark/>
          </w:tcPr>
          <w:p w:rsidR="00205929" w:rsidRPr="00DE3EE4" w:rsidRDefault="00205929" w:rsidP="00DE3EE4">
            <w:pPr>
              <w:spacing w:before="0" w:after="0" w:line="240" w:lineRule="auto"/>
              <w:ind w:left="0" w:right="0"/>
              <w:rPr>
                <w:kern w:val="22"/>
                <w:sz w:val="18"/>
                <w:szCs w:val="18"/>
              </w:rPr>
            </w:pPr>
            <w:r w:rsidRPr="00DE3EE4">
              <w:rPr>
                <w:kern w:val="22"/>
                <w:sz w:val="18"/>
                <w:szCs w:val="18"/>
              </w:rPr>
              <w:t>1.5 mg</w:t>
            </w:r>
          </w:p>
          <w:p w:rsidR="002A074B" w:rsidRPr="00DE3EE4" w:rsidRDefault="00205929" w:rsidP="00DE3EE4">
            <w:pPr>
              <w:spacing w:before="0" w:after="0" w:line="240" w:lineRule="auto"/>
              <w:ind w:left="0" w:right="0"/>
              <w:rPr>
                <w:kern w:val="22"/>
                <w:sz w:val="18"/>
                <w:szCs w:val="18"/>
              </w:rPr>
            </w:pPr>
            <w:r w:rsidRPr="00DE3EE4">
              <w:rPr>
                <w:kern w:val="22"/>
                <w:sz w:val="18"/>
                <w:szCs w:val="18"/>
              </w:rPr>
              <w:t>3 mg</w:t>
            </w:r>
          </w:p>
        </w:tc>
        <w:tc>
          <w:tcPr>
            <w:tcW w:w="1225" w:type="dxa"/>
            <w:hideMark/>
          </w:tcPr>
          <w:p w:rsidR="002A074B" w:rsidRPr="00DE3EE4" w:rsidRDefault="00205929" w:rsidP="00DE3EE4">
            <w:pPr>
              <w:spacing w:before="0" w:after="0" w:line="240" w:lineRule="auto"/>
              <w:ind w:left="0" w:right="0"/>
              <w:rPr>
                <w:kern w:val="22"/>
                <w:sz w:val="18"/>
                <w:szCs w:val="18"/>
              </w:rPr>
            </w:pPr>
            <w:r w:rsidRPr="00DE3EE4">
              <w:rPr>
                <w:kern w:val="22"/>
                <w:sz w:val="18"/>
                <w:szCs w:val="18"/>
              </w:rPr>
              <w:t>1228-102 (2005)</w:t>
            </w:r>
          </w:p>
        </w:tc>
      </w:tr>
      <w:tr w:rsidR="00205929" w:rsidRPr="00DE3EE4" w:rsidTr="00163F1F">
        <w:trPr>
          <w:trHeight w:val="680"/>
        </w:trPr>
        <w:tc>
          <w:tcPr>
            <w:tcW w:w="1843" w:type="dxa"/>
            <w:hideMark/>
          </w:tcPr>
          <w:p w:rsidR="002A074B" w:rsidRPr="00DE3EE4" w:rsidRDefault="00205929" w:rsidP="00DE3EE4">
            <w:pPr>
              <w:spacing w:before="0" w:after="0" w:line="240" w:lineRule="auto"/>
              <w:ind w:left="0" w:right="0"/>
              <w:rPr>
                <w:kern w:val="22"/>
                <w:sz w:val="18"/>
                <w:szCs w:val="18"/>
              </w:rPr>
            </w:pPr>
            <w:r w:rsidRPr="00DE3EE4">
              <w:rPr>
                <w:kern w:val="22"/>
                <w:sz w:val="18"/>
                <w:szCs w:val="18"/>
              </w:rPr>
              <w:t>Rabbit reproductive + developmental toxicity (dose-finding)</w:t>
            </w:r>
          </w:p>
        </w:tc>
        <w:tc>
          <w:tcPr>
            <w:tcW w:w="1559" w:type="dxa"/>
            <w:hideMark/>
          </w:tcPr>
          <w:p w:rsidR="002A074B" w:rsidRPr="00DE3EE4" w:rsidRDefault="00205929" w:rsidP="00DE3EE4">
            <w:pPr>
              <w:spacing w:before="0" w:after="0" w:line="240" w:lineRule="auto"/>
              <w:ind w:left="0" w:right="0"/>
              <w:rPr>
                <w:kern w:val="22"/>
                <w:sz w:val="18"/>
                <w:szCs w:val="18"/>
              </w:rPr>
            </w:pPr>
            <w:proofErr w:type="spellStart"/>
            <w:r w:rsidRPr="00DE3EE4">
              <w:rPr>
                <w:kern w:val="22"/>
                <w:sz w:val="18"/>
                <w:szCs w:val="18"/>
              </w:rPr>
              <w:t>Premating</w:t>
            </w:r>
            <w:proofErr w:type="spellEnd"/>
            <w:r w:rsidRPr="00DE3EE4">
              <w:rPr>
                <w:kern w:val="22"/>
                <w:sz w:val="18"/>
                <w:szCs w:val="18"/>
              </w:rPr>
              <w:t xml:space="preserve"> 1, 15, 29, GD 7, 20</w:t>
            </w:r>
          </w:p>
        </w:tc>
        <w:tc>
          <w:tcPr>
            <w:tcW w:w="1560" w:type="dxa"/>
            <w:hideMark/>
          </w:tcPr>
          <w:p w:rsidR="00205929" w:rsidRPr="00DE3EE4" w:rsidRDefault="00205929" w:rsidP="00DE3EE4">
            <w:pPr>
              <w:spacing w:before="0" w:after="0" w:line="240" w:lineRule="auto"/>
              <w:ind w:left="0" w:right="0"/>
              <w:rPr>
                <w:kern w:val="22"/>
                <w:sz w:val="18"/>
                <w:szCs w:val="18"/>
              </w:rPr>
            </w:pPr>
            <w:r w:rsidRPr="00DE3EE4">
              <w:rPr>
                <w:kern w:val="22"/>
                <w:sz w:val="18"/>
                <w:szCs w:val="18"/>
              </w:rPr>
              <w:t>50 µg</w:t>
            </w:r>
          </w:p>
          <w:p w:rsidR="002A074B" w:rsidRPr="00DE3EE4" w:rsidRDefault="00205929" w:rsidP="00DE3EE4">
            <w:pPr>
              <w:spacing w:before="0" w:after="0" w:line="240" w:lineRule="auto"/>
              <w:ind w:left="0" w:right="0"/>
              <w:rPr>
                <w:kern w:val="22"/>
                <w:sz w:val="18"/>
                <w:szCs w:val="18"/>
              </w:rPr>
            </w:pPr>
            <w:r w:rsidRPr="00DE3EE4">
              <w:rPr>
                <w:kern w:val="22"/>
                <w:sz w:val="18"/>
                <w:szCs w:val="18"/>
              </w:rPr>
              <w:t>100 µg</w:t>
            </w:r>
          </w:p>
        </w:tc>
        <w:tc>
          <w:tcPr>
            <w:tcW w:w="1237" w:type="dxa"/>
            <w:hideMark/>
          </w:tcPr>
          <w:p w:rsidR="00205929" w:rsidRPr="00DE3EE4" w:rsidRDefault="00205929" w:rsidP="00DE3EE4">
            <w:pPr>
              <w:spacing w:before="0" w:after="0" w:line="240" w:lineRule="auto"/>
              <w:ind w:left="0" w:right="0"/>
              <w:rPr>
                <w:kern w:val="22"/>
                <w:sz w:val="18"/>
                <w:szCs w:val="18"/>
              </w:rPr>
            </w:pPr>
            <w:r w:rsidRPr="00DE3EE4">
              <w:rPr>
                <w:kern w:val="22"/>
                <w:sz w:val="18"/>
                <w:szCs w:val="18"/>
              </w:rPr>
              <w:t>25 µg (NZ)</w:t>
            </w:r>
          </w:p>
          <w:p w:rsidR="002A074B" w:rsidRPr="00DE3EE4" w:rsidRDefault="00205929" w:rsidP="00DE3EE4">
            <w:pPr>
              <w:spacing w:before="0" w:after="0" w:line="240" w:lineRule="auto"/>
              <w:ind w:left="0" w:right="0"/>
              <w:rPr>
                <w:kern w:val="22"/>
                <w:sz w:val="18"/>
                <w:szCs w:val="18"/>
              </w:rPr>
            </w:pPr>
            <w:r w:rsidRPr="00DE3EE4">
              <w:rPr>
                <w:kern w:val="22"/>
                <w:sz w:val="18"/>
                <w:szCs w:val="18"/>
              </w:rPr>
              <w:t>50 µg (NZ)</w:t>
            </w:r>
          </w:p>
        </w:tc>
        <w:tc>
          <w:tcPr>
            <w:tcW w:w="1324" w:type="dxa"/>
            <w:hideMark/>
          </w:tcPr>
          <w:p w:rsidR="00205929" w:rsidRPr="00DE3EE4" w:rsidRDefault="00205929" w:rsidP="00DE3EE4">
            <w:pPr>
              <w:spacing w:before="0" w:after="0" w:line="240" w:lineRule="auto"/>
              <w:ind w:left="0" w:right="0"/>
              <w:rPr>
                <w:kern w:val="22"/>
                <w:sz w:val="18"/>
                <w:szCs w:val="18"/>
              </w:rPr>
            </w:pPr>
            <w:r w:rsidRPr="00DE3EE4">
              <w:rPr>
                <w:kern w:val="22"/>
                <w:sz w:val="18"/>
                <w:szCs w:val="18"/>
              </w:rPr>
              <w:t>1.5 mg</w:t>
            </w:r>
          </w:p>
          <w:p w:rsidR="002A074B" w:rsidRPr="00DE3EE4" w:rsidRDefault="00205929" w:rsidP="00DE3EE4">
            <w:pPr>
              <w:spacing w:before="0" w:after="0" w:line="240" w:lineRule="auto"/>
              <w:ind w:left="0" w:right="0"/>
              <w:rPr>
                <w:kern w:val="22"/>
                <w:sz w:val="18"/>
                <w:szCs w:val="18"/>
              </w:rPr>
            </w:pPr>
            <w:r w:rsidRPr="00DE3EE4">
              <w:rPr>
                <w:kern w:val="22"/>
                <w:sz w:val="18"/>
                <w:szCs w:val="18"/>
              </w:rPr>
              <w:t>3 mg</w:t>
            </w:r>
          </w:p>
        </w:tc>
        <w:tc>
          <w:tcPr>
            <w:tcW w:w="1225" w:type="dxa"/>
            <w:hideMark/>
          </w:tcPr>
          <w:p w:rsidR="002A074B" w:rsidRPr="00DE3EE4" w:rsidRDefault="00205929" w:rsidP="00DE3EE4">
            <w:pPr>
              <w:spacing w:before="0" w:after="0" w:line="240" w:lineRule="auto"/>
              <w:ind w:left="0" w:right="0"/>
              <w:rPr>
                <w:kern w:val="22"/>
                <w:sz w:val="18"/>
                <w:szCs w:val="18"/>
              </w:rPr>
            </w:pPr>
            <w:r w:rsidRPr="00DE3EE4">
              <w:rPr>
                <w:kern w:val="22"/>
                <w:sz w:val="18"/>
                <w:szCs w:val="18"/>
              </w:rPr>
              <w:t>UBA00041 (2008)</w:t>
            </w:r>
          </w:p>
        </w:tc>
      </w:tr>
      <w:tr w:rsidR="00205929" w:rsidRPr="00DE3EE4" w:rsidTr="00163F1F">
        <w:trPr>
          <w:trHeight w:val="680"/>
        </w:trPr>
        <w:tc>
          <w:tcPr>
            <w:tcW w:w="1843" w:type="dxa"/>
            <w:hideMark/>
          </w:tcPr>
          <w:p w:rsidR="002A074B" w:rsidRPr="00DE3EE4" w:rsidRDefault="00205929" w:rsidP="00DE3EE4">
            <w:pPr>
              <w:spacing w:before="0" w:after="0" w:line="240" w:lineRule="auto"/>
              <w:ind w:left="0" w:right="0"/>
              <w:rPr>
                <w:kern w:val="22"/>
                <w:sz w:val="18"/>
                <w:szCs w:val="18"/>
              </w:rPr>
            </w:pPr>
            <w:r w:rsidRPr="00DE3EE4">
              <w:rPr>
                <w:kern w:val="22"/>
                <w:sz w:val="18"/>
                <w:szCs w:val="18"/>
              </w:rPr>
              <w:t>Rabbit reproductive + developmental toxicity (pivotal)</w:t>
            </w:r>
          </w:p>
        </w:tc>
        <w:tc>
          <w:tcPr>
            <w:tcW w:w="1559" w:type="dxa"/>
            <w:hideMark/>
          </w:tcPr>
          <w:p w:rsidR="002A074B" w:rsidRPr="00DE3EE4" w:rsidRDefault="00205929" w:rsidP="00DE3EE4">
            <w:pPr>
              <w:spacing w:before="0" w:after="0" w:line="240" w:lineRule="auto"/>
              <w:ind w:left="0" w:right="0"/>
              <w:rPr>
                <w:kern w:val="22"/>
                <w:sz w:val="18"/>
                <w:szCs w:val="18"/>
              </w:rPr>
            </w:pPr>
            <w:proofErr w:type="spellStart"/>
            <w:r w:rsidRPr="00DE3EE4">
              <w:rPr>
                <w:kern w:val="22"/>
                <w:sz w:val="18"/>
                <w:szCs w:val="18"/>
              </w:rPr>
              <w:t>Premating</w:t>
            </w:r>
            <w:proofErr w:type="spellEnd"/>
            <w:r w:rsidRPr="00DE3EE4">
              <w:rPr>
                <w:kern w:val="22"/>
                <w:sz w:val="18"/>
                <w:szCs w:val="18"/>
              </w:rPr>
              <w:t xml:space="preserve"> 1, 15, 29, GD 7, 20</w:t>
            </w:r>
          </w:p>
        </w:tc>
        <w:tc>
          <w:tcPr>
            <w:tcW w:w="1560" w:type="dxa"/>
            <w:hideMark/>
          </w:tcPr>
          <w:p w:rsidR="002A074B" w:rsidRPr="00DE3EE4" w:rsidRDefault="00205929" w:rsidP="00DE3EE4">
            <w:pPr>
              <w:spacing w:before="0" w:after="0" w:line="240" w:lineRule="auto"/>
              <w:ind w:left="0" w:right="0"/>
              <w:rPr>
                <w:kern w:val="22"/>
                <w:sz w:val="18"/>
                <w:szCs w:val="18"/>
              </w:rPr>
            </w:pPr>
            <w:r w:rsidRPr="00DE3EE4">
              <w:rPr>
                <w:kern w:val="22"/>
                <w:sz w:val="18"/>
                <w:szCs w:val="18"/>
              </w:rPr>
              <w:t xml:space="preserve">50 µg </w:t>
            </w:r>
          </w:p>
        </w:tc>
        <w:tc>
          <w:tcPr>
            <w:tcW w:w="1237" w:type="dxa"/>
            <w:hideMark/>
          </w:tcPr>
          <w:p w:rsidR="002A074B" w:rsidRPr="00DE3EE4" w:rsidRDefault="00205929" w:rsidP="00DE3EE4">
            <w:pPr>
              <w:spacing w:before="0" w:after="0" w:line="240" w:lineRule="auto"/>
              <w:ind w:left="0" w:right="0"/>
              <w:rPr>
                <w:kern w:val="22"/>
                <w:sz w:val="18"/>
                <w:szCs w:val="18"/>
              </w:rPr>
            </w:pPr>
            <w:r w:rsidRPr="00DE3EE4">
              <w:rPr>
                <w:kern w:val="22"/>
                <w:sz w:val="18"/>
                <w:szCs w:val="18"/>
              </w:rPr>
              <w:t>25 µg (NZ)</w:t>
            </w:r>
          </w:p>
        </w:tc>
        <w:tc>
          <w:tcPr>
            <w:tcW w:w="1324" w:type="dxa"/>
          </w:tcPr>
          <w:p w:rsidR="00205929" w:rsidRPr="00DE3EE4" w:rsidRDefault="00205929" w:rsidP="00DE3EE4">
            <w:pPr>
              <w:spacing w:before="0" w:after="0" w:line="240" w:lineRule="auto"/>
              <w:ind w:left="0" w:right="0"/>
              <w:rPr>
                <w:kern w:val="22"/>
                <w:sz w:val="18"/>
                <w:szCs w:val="18"/>
              </w:rPr>
            </w:pPr>
            <w:r w:rsidRPr="00DE3EE4">
              <w:rPr>
                <w:kern w:val="22"/>
                <w:sz w:val="18"/>
                <w:szCs w:val="18"/>
              </w:rPr>
              <w:t>1.5 mg</w:t>
            </w:r>
          </w:p>
          <w:p w:rsidR="002A074B" w:rsidRPr="00DE3EE4" w:rsidRDefault="002A074B" w:rsidP="00DE3EE4">
            <w:pPr>
              <w:spacing w:before="0" w:after="0" w:line="240" w:lineRule="auto"/>
              <w:ind w:left="0" w:right="0"/>
              <w:rPr>
                <w:kern w:val="22"/>
                <w:sz w:val="18"/>
                <w:szCs w:val="18"/>
              </w:rPr>
            </w:pPr>
          </w:p>
        </w:tc>
        <w:tc>
          <w:tcPr>
            <w:tcW w:w="1225" w:type="dxa"/>
            <w:hideMark/>
          </w:tcPr>
          <w:p w:rsidR="002A074B" w:rsidRPr="00DE3EE4" w:rsidRDefault="00205929" w:rsidP="00DE3EE4">
            <w:pPr>
              <w:spacing w:before="0" w:after="0" w:line="240" w:lineRule="auto"/>
              <w:ind w:left="0" w:right="0"/>
              <w:rPr>
                <w:kern w:val="22"/>
                <w:sz w:val="18"/>
                <w:szCs w:val="18"/>
              </w:rPr>
            </w:pPr>
            <w:r w:rsidRPr="00DE3EE4">
              <w:rPr>
                <w:kern w:val="22"/>
                <w:sz w:val="18"/>
                <w:szCs w:val="18"/>
              </w:rPr>
              <w:t>UBA00044 (2009)</w:t>
            </w:r>
          </w:p>
        </w:tc>
      </w:tr>
      <w:tr w:rsidR="00205929" w:rsidRPr="00DE3EE4" w:rsidTr="00163F1F">
        <w:trPr>
          <w:trHeight w:val="680"/>
        </w:trPr>
        <w:tc>
          <w:tcPr>
            <w:tcW w:w="1843" w:type="dxa"/>
            <w:hideMark/>
          </w:tcPr>
          <w:p w:rsidR="002A074B" w:rsidRPr="00DE3EE4" w:rsidRDefault="00205929" w:rsidP="00DE3EE4">
            <w:pPr>
              <w:spacing w:before="0" w:after="0" w:line="240" w:lineRule="auto"/>
              <w:ind w:left="0" w:right="0"/>
              <w:rPr>
                <w:kern w:val="22"/>
                <w:sz w:val="18"/>
                <w:szCs w:val="18"/>
              </w:rPr>
            </w:pPr>
            <w:r w:rsidRPr="00DE3EE4">
              <w:rPr>
                <w:kern w:val="22"/>
                <w:sz w:val="18"/>
                <w:szCs w:val="18"/>
              </w:rPr>
              <w:t>Human</w:t>
            </w:r>
          </w:p>
        </w:tc>
        <w:tc>
          <w:tcPr>
            <w:tcW w:w="1559" w:type="dxa"/>
            <w:hideMark/>
          </w:tcPr>
          <w:p w:rsidR="002A074B" w:rsidRPr="00DE3EE4" w:rsidRDefault="00205929" w:rsidP="00DE3EE4">
            <w:pPr>
              <w:spacing w:before="0" w:after="0" w:line="240" w:lineRule="auto"/>
              <w:ind w:left="0" w:right="0"/>
              <w:rPr>
                <w:kern w:val="22"/>
                <w:sz w:val="18"/>
                <w:szCs w:val="18"/>
              </w:rPr>
            </w:pPr>
            <w:r w:rsidRPr="00DE3EE4">
              <w:rPr>
                <w:kern w:val="22"/>
                <w:sz w:val="18"/>
                <w:szCs w:val="18"/>
              </w:rPr>
              <w:t>2-4 doses at monthly or greater intervals</w:t>
            </w:r>
          </w:p>
        </w:tc>
        <w:tc>
          <w:tcPr>
            <w:tcW w:w="1560" w:type="dxa"/>
            <w:hideMark/>
          </w:tcPr>
          <w:p w:rsidR="002A074B" w:rsidRPr="00DE3EE4" w:rsidRDefault="00205929" w:rsidP="00DE3EE4">
            <w:pPr>
              <w:spacing w:before="0" w:after="0" w:line="240" w:lineRule="auto"/>
              <w:ind w:left="0" w:right="0"/>
              <w:rPr>
                <w:kern w:val="22"/>
                <w:sz w:val="18"/>
                <w:szCs w:val="18"/>
              </w:rPr>
            </w:pPr>
            <w:r w:rsidRPr="00DE3EE4">
              <w:rPr>
                <w:kern w:val="22"/>
                <w:sz w:val="18"/>
                <w:szCs w:val="18"/>
              </w:rPr>
              <w:t>50 µg</w:t>
            </w:r>
          </w:p>
        </w:tc>
        <w:tc>
          <w:tcPr>
            <w:tcW w:w="1237" w:type="dxa"/>
            <w:hideMark/>
          </w:tcPr>
          <w:p w:rsidR="002A074B" w:rsidRPr="00DE3EE4" w:rsidRDefault="00205929" w:rsidP="00DE3EE4">
            <w:pPr>
              <w:spacing w:before="0" w:after="0" w:line="240" w:lineRule="auto"/>
              <w:ind w:left="0" w:right="0"/>
              <w:rPr>
                <w:kern w:val="22"/>
                <w:sz w:val="18"/>
                <w:szCs w:val="18"/>
              </w:rPr>
            </w:pPr>
            <w:r w:rsidRPr="00DE3EE4">
              <w:rPr>
                <w:kern w:val="22"/>
                <w:sz w:val="18"/>
                <w:szCs w:val="18"/>
              </w:rPr>
              <w:t>25 µg (NZ)</w:t>
            </w:r>
          </w:p>
        </w:tc>
        <w:tc>
          <w:tcPr>
            <w:tcW w:w="1324" w:type="dxa"/>
            <w:hideMark/>
          </w:tcPr>
          <w:p w:rsidR="002A074B" w:rsidRPr="00DE3EE4" w:rsidRDefault="00205929" w:rsidP="00DE3EE4">
            <w:pPr>
              <w:spacing w:before="0" w:after="0" w:line="240" w:lineRule="auto"/>
              <w:ind w:left="0" w:right="0"/>
              <w:rPr>
                <w:kern w:val="22"/>
                <w:sz w:val="18"/>
                <w:szCs w:val="18"/>
              </w:rPr>
            </w:pPr>
            <w:r w:rsidRPr="00DE3EE4">
              <w:rPr>
                <w:kern w:val="22"/>
                <w:sz w:val="18"/>
                <w:szCs w:val="18"/>
              </w:rPr>
              <w:t>1.5 mg</w:t>
            </w:r>
          </w:p>
        </w:tc>
        <w:tc>
          <w:tcPr>
            <w:tcW w:w="1225" w:type="dxa"/>
            <w:hideMark/>
          </w:tcPr>
          <w:p w:rsidR="002A074B" w:rsidRPr="00DE3EE4" w:rsidRDefault="00205929" w:rsidP="00DE3EE4">
            <w:pPr>
              <w:spacing w:before="0" w:after="0" w:line="240" w:lineRule="auto"/>
              <w:ind w:left="0" w:right="0"/>
              <w:rPr>
                <w:kern w:val="22"/>
                <w:sz w:val="18"/>
                <w:szCs w:val="18"/>
              </w:rPr>
            </w:pPr>
            <w:r w:rsidRPr="00DE3EE4">
              <w:rPr>
                <w:kern w:val="22"/>
                <w:sz w:val="18"/>
                <w:szCs w:val="18"/>
              </w:rPr>
              <w:t>---</w:t>
            </w:r>
          </w:p>
        </w:tc>
      </w:tr>
    </w:tbl>
    <w:p w:rsidR="00205929" w:rsidRPr="00205929" w:rsidRDefault="00FC5C3A" w:rsidP="000A64F6">
      <w:pPr>
        <w:pStyle w:val="Heading4"/>
      </w:pPr>
      <w:bookmarkStart w:id="56" w:name="_Toc294861728"/>
      <w:bookmarkStart w:id="57" w:name="_Toc333221225"/>
      <w:bookmarkStart w:id="58" w:name="_Toc333324050"/>
      <w:bookmarkStart w:id="59" w:name="_Toc351118060"/>
      <w:r>
        <w:t xml:space="preserve">Single and repeat </w:t>
      </w:r>
      <w:r w:rsidR="00205929" w:rsidRPr="00205929">
        <w:t>dose toxicity</w:t>
      </w:r>
      <w:bookmarkEnd w:id="56"/>
      <w:bookmarkEnd w:id="57"/>
      <w:bookmarkEnd w:id="58"/>
      <w:bookmarkEnd w:id="59"/>
    </w:p>
    <w:p w:rsidR="00205929" w:rsidRPr="00205929" w:rsidRDefault="00205929" w:rsidP="00205929">
      <w:r w:rsidRPr="00205929">
        <w:t>The potential toxicity of the clinical formulation (Bexsero) and related vaccine formulations was assessed in a combined single a</w:t>
      </w:r>
      <w:r w:rsidR="00163F1F">
        <w:t xml:space="preserve">nd repeat </w:t>
      </w:r>
      <w:r w:rsidRPr="00205929">
        <w:t>dose toxicity study (1228-102) in rabbits. Two studies (CIQ/007 and CIQ/006) were conducted with an earlier version of Bexsero. Local tolerance was assessed in the repeat-d</w:t>
      </w:r>
      <w:r w:rsidR="004D7DAA">
        <w:t xml:space="preserve">ose toxicity studies (refer to </w:t>
      </w:r>
      <w:r w:rsidRPr="00163F1F">
        <w:rPr>
          <w:i/>
          <w:iCs/>
        </w:rPr>
        <w:t>Local Tolerance</w:t>
      </w:r>
      <w:r w:rsidR="000A64F6">
        <w:t xml:space="preserve"> below).</w:t>
      </w:r>
    </w:p>
    <w:p w:rsidR="00205929" w:rsidRPr="00FD1EB1" w:rsidRDefault="00205929" w:rsidP="00FD1EB1">
      <w:r w:rsidRPr="00FD1EB1">
        <w:t>No adverse e</w:t>
      </w:r>
      <w:r w:rsidR="00C07CFE" w:rsidRPr="00FD1EB1">
        <w:t xml:space="preserve">ffects </w:t>
      </w:r>
      <w:r w:rsidRPr="00FD1EB1">
        <w:t xml:space="preserve">were observed in any of the studies when either </w:t>
      </w:r>
      <w:proofErr w:type="spellStart"/>
      <w:r w:rsidRPr="00FD1EB1">
        <w:t>rMenB</w:t>
      </w:r>
      <w:proofErr w:type="spellEnd"/>
      <w:r w:rsidRPr="00FD1EB1">
        <w:t xml:space="preserve"> protein antigens or the</w:t>
      </w:r>
      <w:r w:rsidR="00B66DC3" w:rsidRPr="00FD1EB1">
        <w:t xml:space="preserve"> </w:t>
      </w:r>
      <w:r w:rsidRPr="00FD1EB1">
        <w:t>clinical formulation</w:t>
      </w:r>
      <w:r w:rsidR="00C07CFE" w:rsidRPr="00FD1EB1">
        <w:t xml:space="preserve"> was administered IM</w:t>
      </w:r>
      <w:r w:rsidRPr="00FD1EB1">
        <w:t xml:space="preserve">, </w:t>
      </w:r>
      <w:r w:rsidR="00C07CFE" w:rsidRPr="00FD1EB1">
        <w:t xml:space="preserve">including in </w:t>
      </w:r>
      <w:r w:rsidRPr="00FD1EB1">
        <w:t xml:space="preserve">two studies </w:t>
      </w:r>
      <w:r w:rsidR="00C07CFE" w:rsidRPr="00FD1EB1">
        <w:t xml:space="preserve">where </w:t>
      </w:r>
      <w:r w:rsidRPr="00FD1EB1">
        <w:t>double the protein antigen dose intended for clinical use in humans</w:t>
      </w:r>
      <w:r w:rsidR="00C07CFE" w:rsidRPr="00FD1EB1">
        <w:t xml:space="preserve"> was used</w:t>
      </w:r>
      <w:r w:rsidR="000A64F6">
        <w:t>.</w:t>
      </w:r>
    </w:p>
    <w:p w:rsidR="007262C0" w:rsidRPr="00FD1EB1" w:rsidRDefault="004D7DAA" w:rsidP="00FD1EB1">
      <w:r w:rsidRPr="00FD1EB1">
        <w:lastRenderedPageBreak/>
        <w:t xml:space="preserve">The repeat </w:t>
      </w:r>
      <w:r w:rsidR="00205929" w:rsidRPr="00FD1EB1">
        <w:t xml:space="preserve">dose study </w:t>
      </w:r>
      <w:r w:rsidR="007262C0" w:rsidRPr="00FD1EB1">
        <w:t xml:space="preserve">involved administration of </w:t>
      </w:r>
      <w:r w:rsidR="002B0C11" w:rsidRPr="00FD1EB1">
        <w:t>5</w:t>
      </w:r>
      <w:r w:rsidR="00205929" w:rsidRPr="00FD1EB1">
        <w:t xml:space="preserve"> IM doses of the Bexsero</w:t>
      </w:r>
      <w:r w:rsidR="00FD1EB1" w:rsidRPr="00FD1EB1">
        <w:t xml:space="preserve"> </w:t>
      </w:r>
      <w:r w:rsidR="00205929" w:rsidRPr="00FD1EB1">
        <w:t xml:space="preserve">clinical formulation and other </w:t>
      </w:r>
      <w:proofErr w:type="spellStart"/>
      <w:r w:rsidR="00205929" w:rsidRPr="00FD1EB1">
        <w:t>rMenB</w:t>
      </w:r>
      <w:proofErr w:type="spellEnd"/>
      <w:r w:rsidR="00205929" w:rsidRPr="00FD1EB1">
        <w:t xml:space="preserve"> vaccine formulations to male</w:t>
      </w:r>
      <w:r w:rsidR="00163F1F" w:rsidRPr="00FD1EB1">
        <w:t xml:space="preserve"> and female rabbits. The single </w:t>
      </w:r>
      <w:r w:rsidR="00205929" w:rsidRPr="00FD1EB1">
        <w:t>dose toxicity study illustrated that the vaccine formulation was immunogenic 14 days after a single dose administration. The</w:t>
      </w:r>
      <w:r w:rsidR="00163F1F" w:rsidRPr="00FD1EB1">
        <w:t xml:space="preserve"> repeat </w:t>
      </w:r>
      <w:r w:rsidR="00205929" w:rsidRPr="00FD1EB1">
        <w:t xml:space="preserve">dose study dosing schedule exceeded the clinical schedule in humans by at least </w:t>
      </w:r>
      <w:r w:rsidR="003805DF">
        <w:t>1</w:t>
      </w:r>
      <w:r w:rsidR="00205929" w:rsidRPr="00FD1EB1">
        <w:t xml:space="preserve"> dose and each dose was 2 weeks apart</w:t>
      </w:r>
      <w:r w:rsidR="007262C0" w:rsidRPr="00FD1EB1">
        <w:t>,</w:t>
      </w:r>
      <w:r w:rsidR="00205929" w:rsidRPr="00FD1EB1">
        <w:t xml:space="preserve"> compared to the intended clinical dosing sche</w:t>
      </w:r>
      <w:r w:rsidR="000A64F6">
        <w:t>dule of at least 1 month apart.</w:t>
      </w:r>
    </w:p>
    <w:p w:rsidR="00205929" w:rsidRPr="00205929" w:rsidRDefault="00205929" w:rsidP="00205929">
      <w:r w:rsidRPr="00205929">
        <w:t xml:space="preserve">In some studies at various time points and across treated groups, there were small, statistically significant elevations in mean fibrinogen (&lt;2-fold above the control value) and globulin values and </w:t>
      </w:r>
      <w:r w:rsidR="002B0C11">
        <w:t xml:space="preserve">in </w:t>
      </w:r>
      <w:r w:rsidRPr="00205929">
        <w:t xml:space="preserve">leukocyte and neutrophil counts, which were consistent with an immune and/or inflammatory response. Small increases in creatinine </w:t>
      </w:r>
      <w:proofErr w:type="spellStart"/>
      <w:r w:rsidRPr="00205929">
        <w:t>kinase</w:t>
      </w:r>
      <w:proofErr w:type="spellEnd"/>
      <w:r w:rsidRPr="00205929">
        <w:t xml:space="preserve"> and lactate </w:t>
      </w:r>
      <w:proofErr w:type="spellStart"/>
      <w:r w:rsidRPr="00205929">
        <w:t>dehydrogenase</w:t>
      </w:r>
      <w:proofErr w:type="spellEnd"/>
      <w:r w:rsidRPr="00205929">
        <w:t xml:space="preserve"> were reflective of mechanical injury at the injection site. The haematological changes normalised within 14 days post-dose. There were no in</w:t>
      </w:r>
      <w:r w:rsidR="000A64F6">
        <w:t>dications of systemic toxicity.</w:t>
      </w:r>
    </w:p>
    <w:p w:rsidR="00205929" w:rsidRPr="00205929" w:rsidRDefault="00205929" w:rsidP="00205929">
      <w:r w:rsidRPr="00205929">
        <w:t>Each clinical dose of Bexsero</w:t>
      </w:r>
      <w:r w:rsidRPr="00205929">
        <w:rPr>
          <w:vertAlign w:val="superscript"/>
        </w:rPr>
        <w:t xml:space="preserve"> </w:t>
      </w:r>
      <w:r w:rsidRPr="00205929">
        <w:t xml:space="preserve">administered </w:t>
      </w:r>
      <w:r w:rsidR="00FD1EB1" w:rsidRPr="00205929">
        <w:t xml:space="preserve">IM </w:t>
      </w:r>
      <w:r w:rsidRPr="00205929">
        <w:t xml:space="preserve">to rabbits (males 2.3-3.8 kg </w:t>
      </w:r>
      <w:r w:rsidR="00163F1F">
        <w:t xml:space="preserve">body weight </w:t>
      </w:r>
      <w:r w:rsidRPr="00205929">
        <w:t>and females 2.6-3.8 kg</w:t>
      </w:r>
      <w:r w:rsidR="00163F1F">
        <w:t xml:space="preserve"> </w:t>
      </w:r>
      <w:r w:rsidR="00163F1F" w:rsidRPr="00163F1F">
        <w:t>body weight</w:t>
      </w:r>
      <w:r w:rsidRPr="00205929">
        <w:t>) represented approximately 10 times the dos</w:t>
      </w:r>
      <w:r w:rsidR="007262C0">
        <w:t>e proposed in 40 kg adolescents</w:t>
      </w:r>
      <w:r w:rsidRPr="00205929">
        <w:t xml:space="preserve"> and 1.3-2.1 times the dose proposed in infants (5-10 kg </w:t>
      </w:r>
      <w:r w:rsidR="00163F1F" w:rsidRPr="00163F1F">
        <w:t>body weight</w:t>
      </w:r>
      <w:r w:rsidR="000A64F6">
        <w:t>).</w:t>
      </w:r>
    </w:p>
    <w:p w:rsidR="00205929" w:rsidRPr="00205929" w:rsidRDefault="000A64F6" w:rsidP="00FC5C3A">
      <w:pPr>
        <w:pStyle w:val="Heading5"/>
      </w:pPr>
      <w:proofErr w:type="spellStart"/>
      <w:r>
        <w:t>Endotoxin</w:t>
      </w:r>
      <w:proofErr w:type="spellEnd"/>
    </w:p>
    <w:p w:rsidR="00205929" w:rsidRPr="00205929" w:rsidRDefault="00205929" w:rsidP="00205929">
      <w:r w:rsidRPr="00205929">
        <w:t>An end</w:t>
      </w:r>
      <w:r w:rsidR="002B0C11">
        <w:t xml:space="preserve">otoxin release specification </w:t>
      </w:r>
      <w:r w:rsidRPr="00205929">
        <w:t>has been proposed for</w:t>
      </w:r>
      <w:r w:rsidR="00B66DC3">
        <w:t xml:space="preserve"> </w:t>
      </w:r>
      <w:r w:rsidRPr="00205929">
        <w:t>Bexsero</w:t>
      </w:r>
      <w:r w:rsidRPr="00205929">
        <w:rPr>
          <w:vertAlign w:val="superscript"/>
        </w:rPr>
        <w:t xml:space="preserve"> </w:t>
      </w:r>
      <w:r w:rsidRPr="00205929">
        <w:t xml:space="preserve">vaccine. Most endotoxin is removed by extraction during vaccine manufacture, however some LPS is required to maintain protein antigen stability in the OMVs and it also serves as an adjuvant. Meningococcal </w:t>
      </w:r>
      <w:proofErr w:type="spellStart"/>
      <w:r w:rsidRPr="00205929">
        <w:t>endotoxin</w:t>
      </w:r>
      <w:proofErr w:type="spellEnd"/>
      <w:r w:rsidRPr="00205929">
        <w:t xml:space="preserve"> (or </w:t>
      </w:r>
      <w:proofErr w:type="spellStart"/>
      <w:r w:rsidRPr="00205929">
        <w:t>lipooligosaccharide</w:t>
      </w:r>
      <w:proofErr w:type="spellEnd"/>
      <w:r w:rsidRPr="00205929">
        <w:t xml:space="preserve"> </w:t>
      </w:r>
      <w:r w:rsidR="00163F1F">
        <w:t>(</w:t>
      </w:r>
      <w:r w:rsidRPr="00205929">
        <w:t>LOS</w:t>
      </w:r>
      <w:r w:rsidR="00163F1F">
        <w:t>)</w:t>
      </w:r>
      <w:r w:rsidRPr="00205929">
        <w:t xml:space="preserve">, here referred to as LPS) is a major virulence factor in </w:t>
      </w:r>
      <w:r w:rsidRPr="00205929">
        <w:rPr>
          <w:i/>
        </w:rPr>
        <w:t>N. meningitidis</w:t>
      </w:r>
      <w:r w:rsidR="00DF61FB">
        <w:t xml:space="preserve"> infections</w:t>
      </w:r>
      <w:r w:rsidRPr="00205929">
        <w:t xml:space="preserve"> and high levels can be toxic and contribute to septic shock. Purified meningococcal LPS at a dose of 10 </w:t>
      </w:r>
      <w:proofErr w:type="spellStart"/>
      <w:r w:rsidRPr="00205929">
        <w:t>ng</w:t>
      </w:r>
      <w:proofErr w:type="spellEnd"/>
      <w:r w:rsidRPr="00205929">
        <w:t xml:space="preserve"> has been reported to cause a significant body temperature increase (&lt;1</w:t>
      </w:r>
      <w:r w:rsidR="004D7DAA">
        <w:t>°</w:t>
      </w:r>
      <w:r w:rsidRPr="00205929">
        <w:t>C) in rabbits when injected IV (</w:t>
      </w:r>
      <w:proofErr w:type="spellStart"/>
      <w:r w:rsidRPr="00205929">
        <w:t>Gotschlich</w:t>
      </w:r>
      <w:proofErr w:type="spellEnd"/>
      <w:r w:rsidRPr="00205929">
        <w:t xml:space="preserve"> </w:t>
      </w:r>
      <w:r w:rsidRPr="00205929">
        <w:rPr>
          <w:i/>
        </w:rPr>
        <w:t>et al</w:t>
      </w:r>
      <w:r w:rsidR="005D3CC0">
        <w:rPr>
          <w:i/>
        </w:rPr>
        <w:t>.</w:t>
      </w:r>
      <w:r w:rsidRPr="00205929">
        <w:t>, 1969</w:t>
      </w:r>
      <w:r w:rsidR="00163F1F">
        <w:rPr>
          <w:rStyle w:val="FootnoteReference"/>
        </w:rPr>
        <w:footnoteReference w:id="11"/>
      </w:r>
      <w:r w:rsidRPr="00205929">
        <w:t xml:space="preserve">). </w:t>
      </w:r>
      <w:proofErr w:type="spellStart"/>
      <w:r w:rsidRPr="00205929">
        <w:t>Rosenqvist</w:t>
      </w:r>
      <w:proofErr w:type="spellEnd"/>
      <w:r w:rsidRPr="00205929">
        <w:t xml:space="preserve"> </w:t>
      </w:r>
      <w:r w:rsidRPr="00205929">
        <w:rPr>
          <w:i/>
        </w:rPr>
        <w:t>et al</w:t>
      </w:r>
      <w:r w:rsidR="005D3CC0">
        <w:rPr>
          <w:i/>
        </w:rPr>
        <w:t>.</w:t>
      </w:r>
      <w:r w:rsidRPr="00205929">
        <w:t xml:space="preserve"> (1998</w:t>
      </w:r>
      <w:r w:rsidR="002E190E">
        <w:rPr>
          <w:rStyle w:val="FootnoteReference"/>
        </w:rPr>
        <w:footnoteReference w:id="12"/>
      </w:r>
      <w:r w:rsidRPr="00205929">
        <w:t xml:space="preserve">) reported an approximately 50-fold reduction in </w:t>
      </w:r>
      <w:proofErr w:type="spellStart"/>
      <w:r w:rsidRPr="00205929">
        <w:t>pyrogenicity</w:t>
      </w:r>
      <w:proofErr w:type="spellEnd"/>
      <w:r w:rsidRPr="00205929">
        <w:t xml:space="preserve"> in rabbits wh</w:t>
      </w:r>
      <w:r w:rsidR="00DF61FB">
        <w:t>en LPS was incorporated in OMVs</w:t>
      </w:r>
      <w:r w:rsidRPr="00205929">
        <w:t xml:space="preserve"> and a further 4-fold reduction when the OMVs were adsorbed to </w:t>
      </w:r>
      <w:proofErr w:type="gramStart"/>
      <w:r w:rsidRPr="00205929">
        <w:t>Al(</w:t>
      </w:r>
      <w:proofErr w:type="gramEnd"/>
      <w:r w:rsidRPr="00205929">
        <w:t>OH)</w:t>
      </w:r>
      <w:r w:rsidRPr="00205929">
        <w:rPr>
          <w:vertAlign w:val="subscript"/>
        </w:rPr>
        <w:t>3</w:t>
      </w:r>
      <w:r w:rsidRPr="00205929">
        <w:t xml:space="preserve">. Shi </w:t>
      </w:r>
      <w:r w:rsidRPr="00205929">
        <w:rPr>
          <w:i/>
        </w:rPr>
        <w:t>et al</w:t>
      </w:r>
      <w:r w:rsidR="004A5745">
        <w:rPr>
          <w:i/>
        </w:rPr>
        <w:t>.</w:t>
      </w:r>
      <w:r w:rsidRPr="00205929">
        <w:t xml:space="preserve"> (2000</w:t>
      </w:r>
      <w:r w:rsidR="002E190E">
        <w:rPr>
          <w:rStyle w:val="FootnoteReference"/>
        </w:rPr>
        <w:footnoteReference w:id="13"/>
      </w:r>
      <w:r w:rsidRPr="00205929">
        <w:t>) reporte</w:t>
      </w:r>
      <w:r w:rsidR="002E190E">
        <w:t>d that systemic effects of a 15 </w:t>
      </w:r>
      <w:r w:rsidRPr="00205929">
        <w:t xml:space="preserve">µg/kg SC dose of </w:t>
      </w:r>
      <w:r w:rsidR="002E190E" w:rsidRPr="00205929">
        <w:rPr>
          <w:i/>
        </w:rPr>
        <w:t>E</w:t>
      </w:r>
      <w:r w:rsidR="002B0C11">
        <w:rPr>
          <w:i/>
        </w:rPr>
        <w:t xml:space="preserve">. </w:t>
      </w:r>
      <w:r w:rsidRPr="00205929">
        <w:rPr>
          <w:i/>
        </w:rPr>
        <w:t>coli</w:t>
      </w:r>
      <w:r w:rsidRPr="00205929">
        <w:t xml:space="preserve"> endotoxin in rats, measured as increases in serum </w:t>
      </w:r>
      <w:r w:rsidR="002E190E">
        <w:t>tumour necrosis factor alpha (</w:t>
      </w:r>
      <w:proofErr w:type="spellStart"/>
      <w:r w:rsidRPr="00205929">
        <w:t>TNFα</w:t>
      </w:r>
      <w:proofErr w:type="spellEnd"/>
      <w:r w:rsidR="002E190E">
        <w:t>)</w:t>
      </w:r>
      <w:r w:rsidRPr="00205929">
        <w:t xml:space="preserve"> and </w:t>
      </w:r>
      <w:r w:rsidR="002E190E">
        <w:t xml:space="preserve">interleukin </w:t>
      </w:r>
      <w:r w:rsidR="0018506D">
        <w:t xml:space="preserve">(IL) </w:t>
      </w:r>
      <w:r w:rsidR="002E190E">
        <w:t>6 (</w:t>
      </w:r>
      <w:r w:rsidRPr="00205929">
        <w:t>IL-6</w:t>
      </w:r>
      <w:r w:rsidR="002E190E">
        <w:t>)</w:t>
      </w:r>
      <w:r w:rsidRPr="00205929">
        <w:t>, were abolished by adsorption to Al(OH)</w:t>
      </w:r>
      <w:r w:rsidRPr="00205929">
        <w:rPr>
          <w:vertAlign w:val="subscript"/>
        </w:rPr>
        <w:t>3</w:t>
      </w:r>
      <w:r w:rsidR="000A64F6">
        <w:t xml:space="preserve"> adjuvant.</w:t>
      </w:r>
    </w:p>
    <w:p w:rsidR="002B0C11" w:rsidRDefault="00205929" w:rsidP="00205929">
      <w:r w:rsidRPr="00205929">
        <w:t>In the pivotal single and repeat-dose toxicity study (no. 1228-102), N</w:t>
      </w:r>
      <w:r w:rsidR="004D7DAA">
        <w:t xml:space="preserve">ew </w:t>
      </w:r>
      <w:r w:rsidRPr="00205929">
        <w:t>Z</w:t>
      </w:r>
      <w:r w:rsidR="004D7DAA">
        <w:t xml:space="preserve">ealand </w:t>
      </w:r>
      <w:r w:rsidRPr="00205929">
        <w:t>W</w:t>
      </w:r>
      <w:r w:rsidR="004D7DAA">
        <w:t>hite (NZW)</w:t>
      </w:r>
      <w:r w:rsidRPr="00205929">
        <w:t xml:space="preserve"> rabbits were administered </w:t>
      </w:r>
      <w:r w:rsidR="004A5745">
        <w:t xml:space="preserve">(by </w:t>
      </w:r>
      <w:r w:rsidR="004A5745" w:rsidRPr="00205929">
        <w:t>IM</w:t>
      </w:r>
      <w:r w:rsidR="004A5745">
        <w:t xml:space="preserve"> injection)</w:t>
      </w:r>
      <w:r w:rsidR="004A5745" w:rsidRPr="00205929">
        <w:t xml:space="preserve"> </w:t>
      </w:r>
      <w:r w:rsidRPr="00205929">
        <w:t>the clinical dose of Bexse</w:t>
      </w:r>
      <w:r w:rsidR="00DF61FB">
        <w:t>ro vaccine (lot no. MB3OMZ/03V)</w:t>
      </w:r>
      <w:r w:rsidRPr="00205929">
        <w:t xml:space="preserve"> or 2 clinical doses of </w:t>
      </w:r>
      <w:proofErr w:type="spellStart"/>
      <w:r w:rsidRPr="00205929">
        <w:t>MenB+OMV</w:t>
      </w:r>
      <w:proofErr w:type="spellEnd"/>
      <w:r w:rsidRPr="00205929">
        <w:t xml:space="preserve"> </w:t>
      </w:r>
      <w:r w:rsidR="00DF61FB">
        <w:t>NW vaccine (lot no. MB3OMW/03V)</w:t>
      </w:r>
      <w:r w:rsidR="008E6053">
        <w:t>,</w:t>
      </w:r>
      <w:r w:rsidRPr="00205929">
        <w:t xml:space="preserve"> </w:t>
      </w:r>
      <w:r w:rsidR="008E6053">
        <w:t xml:space="preserve">providing </w:t>
      </w:r>
      <w:r w:rsidRPr="00205929">
        <w:t xml:space="preserve">respective endotoxin levels </w:t>
      </w:r>
      <w:r w:rsidR="008E6053">
        <w:t xml:space="preserve">of </w:t>
      </w:r>
      <w:r w:rsidRPr="00205929">
        <w:t xml:space="preserve">3593 and 3972 IU/mL. The vaccine clinical dose was administered to rabbits weighing 2.3-3.8 kg in this study, </w:t>
      </w:r>
      <w:r w:rsidR="00DF61FB">
        <w:t>which is 1.3-2.1 times the dose</w:t>
      </w:r>
      <w:r w:rsidRPr="00205929">
        <w:t xml:space="preserve"> in a 5 kg human infant</w:t>
      </w:r>
      <w:r w:rsidR="004A5745" w:rsidRPr="004A5745">
        <w:t xml:space="preserve"> </w:t>
      </w:r>
      <w:r w:rsidR="004A5745" w:rsidRPr="00205929">
        <w:t>on the basis of bodyweight</w:t>
      </w:r>
      <w:r w:rsidRPr="00205929">
        <w:t xml:space="preserve">. There were no treatment-related effects on rabbit rectal </w:t>
      </w:r>
      <w:r w:rsidR="004D7DAA" w:rsidRPr="00205929">
        <w:t>temperatures;</w:t>
      </w:r>
      <w:r w:rsidRPr="00205929">
        <w:t xml:space="preserve"> h</w:t>
      </w:r>
      <w:r w:rsidR="004D7DAA">
        <w:t xml:space="preserve">owever the measurement time at approximately </w:t>
      </w:r>
      <w:r w:rsidR="00DF61FB">
        <w:t>48 </w:t>
      </w:r>
      <w:r w:rsidRPr="00205929">
        <w:t xml:space="preserve">h post-dose was not optimal. A published study with another </w:t>
      </w:r>
      <w:r w:rsidRPr="00205929">
        <w:rPr>
          <w:i/>
        </w:rPr>
        <w:t>N. meningitidis</w:t>
      </w:r>
      <w:r w:rsidRPr="00205929">
        <w:t xml:space="preserve"> serogroup B OMV vaccine, in which rabbit body temperatures were recorded continuously, reported that body temperature peaked about 4 h post-dose (</w:t>
      </w:r>
      <w:proofErr w:type="spellStart"/>
      <w:r w:rsidRPr="00205929">
        <w:t>Kaaijk</w:t>
      </w:r>
      <w:proofErr w:type="spellEnd"/>
      <w:r w:rsidRPr="00205929">
        <w:t xml:space="preserve"> </w:t>
      </w:r>
      <w:r w:rsidRPr="00205929">
        <w:rPr>
          <w:i/>
        </w:rPr>
        <w:t>et al</w:t>
      </w:r>
      <w:r w:rsidR="004A5745">
        <w:rPr>
          <w:i/>
        </w:rPr>
        <w:t>.</w:t>
      </w:r>
      <w:r w:rsidRPr="00205929">
        <w:t>, 2011</w:t>
      </w:r>
      <w:r w:rsidR="004D7DAA">
        <w:rPr>
          <w:rStyle w:val="FootnoteReference"/>
        </w:rPr>
        <w:footnoteReference w:id="14"/>
      </w:r>
      <w:r w:rsidRPr="00205929">
        <w:t>).</w:t>
      </w:r>
      <w:r w:rsidR="00B66DC3">
        <w:t xml:space="preserve"> </w:t>
      </w:r>
      <w:r w:rsidRPr="00205929">
        <w:t>In response</w:t>
      </w:r>
      <w:r w:rsidR="004D7DAA">
        <w:t xml:space="preserve"> to a TGA request for information</w:t>
      </w:r>
      <w:r w:rsidRPr="00205929">
        <w:t xml:space="preserve">, the </w:t>
      </w:r>
      <w:r w:rsidR="004D7DAA">
        <w:t>s</w:t>
      </w:r>
      <w:r w:rsidRPr="00205929">
        <w:t>ponsor stated that in more recent toxicity studies, body temperatures were measure</w:t>
      </w:r>
      <w:r w:rsidR="000A64F6">
        <w:t>d closer to the time of dosing.</w:t>
      </w:r>
    </w:p>
    <w:p w:rsidR="000F78BC" w:rsidRDefault="00205929" w:rsidP="00205929">
      <w:r w:rsidRPr="00205929">
        <w:lastRenderedPageBreak/>
        <w:t xml:space="preserve">The nonclinical data suggest that the endotoxin in Bexsero may have some residual </w:t>
      </w:r>
      <w:proofErr w:type="spellStart"/>
      <w:r w:rsidRPr="00205929">
        <w:t>pyrogenicity</w:t>
      </w:r>
      <w:proofErr w:type="spellEnd"/>
      <w:r w:rsidRPr="00205929">
        <w:t xml:space="preserve"> and vaccine </w:t>
      </w:r>
      <w:proofErr w:type="spellStart"/>
      <w:r w:rsidRPr="00205929">
        <w:t>pyrogenicity</w:t>
      </w:r>
      <w:proofErr w:type="spellEnd"/>
      <w:r w:rsidRPr="00205929">
        <w:t xml:space="preserve"> will require detailed clinical evaluation, particularly in infants.</w:t>
      </w:r>
    </w:p>
    <w:p w:rsidR="000F78BC" w:rsidRDefault="00205929" w:rsidP="000A64F6">
      <w:pPr>
        <w:pStyle w:val="Heading4"/>
      </w:pPr>
      <w:r w:rsidRPr="00205929">
        <w:t>Local tolerance</w:t>
      </w:r>
    </w:p>
    <w:p w:rsidR="000F78BC" w:rsidRDefault="00205929" w:rsidP="00205929">
      <w:r w:rsidRPr="00205929">
        <w:t xml:space="preserve">Local tolerance was assessed in the repeat-dose toxicity studies by macroscopic and microscopic examinations and </w:t>
      </w:r>
      <w:proofErr w:type="spellStart"/>
      <w:r w:rsidRPr="00205929">
        <w:t>Draize</w:t>
      </w:r>
      <w:proofErr w:type="spellEnd"/>
      <w:r w:rsidRPr="00205929">
        <w:t xml:space="preserve"> scores of skin reactions. It was also assessed by skin observations in the reproduction and developmental toxicity study. Injection site reactions</w:t>
      </w:r>
      <w:r w:rsidR="00EE0B67">
        <w:t>,</w:t>
      </w:r>
      <w:r w:rsidRPr="00205929">
        <w:t xml:space="preserve"> observed in both control and treated rabbits</w:t>
      </w:r>
      <w:r w:rsidR="00EE0B67">
        <w:t>,</w:t>
      </w:r>
      <w:r w:rsidRPr="00205929">
        <w:t xml:space="preserve"> were marginally increased in incidence and severity in treated rabbits and were characteristic of an </w:t>
      </w:r>
      <w:r w:rsidR="00EE0B67">
        <w:t>aluminium</w:t>
      </w:r>
      <w:r w:rsidRPr="00205929">
        <w:t>-adjuvanted vaccine</w:t>
      </w:r>
      <w:r w:rsidR="00FC5C3A">
        <w:t xml:space="preserve"> </w:t>
      </w:r>
      <w:r w:rsidR="00EE0B67">
        <w:t>(</w:t>
      </w:r>
      <w:r w:rsidR="00FC5C3A">
        <w:t xml:space="preserve">for example, </w:t>
      </w:r>
      <w:proofErr w:type="spellStart"/>
      <w:r w:rsidRPr="00205929">
        <w:t>granulomata</w:t>
      </w:r>
      <w:proofErr w:type="spellEnd"/>
      <w:r w:rsidR="00EE0B67">
        <w:t>)</w:t>
      </w:r>
      <w:r w:rsidRPr="00205929">
        <w:t xml:space="preserve">. Injection site histopathology showed partial recovery 14 days post-dose. All </w:t>
      </w:r>
      <w:proofErr w:type="spellStart"/>
      <w:r w:rsidRPr="00205929">
        <w:t>Draize</w:t>
      </w:r>
      <w:proofErr w:type="spellEnd"/>
      <w:r w:rsidRPr="00205929">
        <w:t xml:space="preserve"> scores were low and within acceptable limits.</w:t>
      </w:r>
    </w:p>
    <w:p w:rsidR="000F78BC" w:rsidRDefault="00205929" w:rsidP="000A64F6">
      <w:pPr>
        <w:pStyle w:val="Heading4"/>
      </w:pPr>
      <w:r w:rsidRPr="00FC5C3A">
        <w:rPr>
          <w:i/>
          <w:iCs/>
        </w:rPr>
        <w:t>In vitro</w:t>
      </w:r>
      <w:r w:rsidRPr="00205929">
        <w:t xml:space="preserve"> toxicity studies</w:t>
      </w:r>
    </w:p>
    <w:p w:rsidR="000F78BC" w:rsidRPr="00050ADC" w:rsidRDefault="00205929" w:rsidP="00050ADC">
      <w:r w:rsidRPr="00050ADC">
        <w:t xml:space="preserve">A number of </w:t>
      </w:r>
      <w:r w:rsidRPr="0018506D">
        <w:rPr>
          <w:i/>
          <w:iCs/>
        </w:rPr>
        <w:t>in vitro</w:t>
      </w:r>
      <w:r w:rsidRPr="00050ADC">
        <w:t xml:space="preserve"> studies, combined into a single report (RT 10/281), investigated potential effects of the vaccine proteins and OMVs that might be related to the </w:t>
      </w:r>
      <w:proofErr w:type="spellStart"/>
      <w:r w:rsidRPr="00050ADC">
        <w:t>pathogenicity</w:t>
      </w:r>
      <w:proofErr w:type="spellEnd"/>
      <w:r w:rsidRPr="00050ADC">
        <w:t xml:space="preserve"> of </w:t>
      </w:r>
      <w:r w:rsidRPr="00050ADC">
        <w:rPr>
          <w:i/>
          <w:iCs/>
        </w:rPr>
        <w:t>N. meningitidis</w:t>
      </w:r>
      <w:r w:rsidRPr="00050ADC">
        <w:t>. The studies tested potential effects on (Part A) binding and cytotoxicity to primary human endothelial cells (human umbilical vein endothelial cells</w:t>
      </w:r>
      <w:r w:rsidR="00235A67">
        <w:t>,</w:t>
      </w:r>
      <w:r w:rsidRPr="00050ADC">
        <w:t xml:space="preserve"> HUVECs), cell monolayer permeability, cytokine production by HUVECs, (Part B) prothrombin time (PT) and activated partial </w:t>
      </w:r>
      <w:proofErr w:type="spellStart"/>
      <w:r w:rsidRPr="00050ADC">
        <w:t>thromboplastin</w:t>
      </w:r>
      <w:proofErr w:type="spellEnd"/>
      <w:r w:rsidRPr="00050ADC">
        <w:t xml:space="preserve"> time (</w:t>
      </w:r>
      <w:proofErr w:type="spellStart"/>
      <w:r w:rsidRPr="00050ADC">
        <w:t>aPTT</w:t>
      </w:r>
      <w:proofErr w:type="spellEnd"/>
      <w:r w:rsidRPr="00050ADC">
        <w:t>) in human plasma, cytokine induction in human whole blood, enzymatic (</w:t>
      </w:r>
      <w:proofErr w:type="spellStart"/>
      <w:r w:rsidRPr="00050ADC">
        <w:t>procoagulant</w:t>
      </w:r>
      <w:proofErr w:type="spellEnd"/>
      <w:r w:rsidRPr="00050ADC">
        <w:t xml:space="preserve">) activity of activated protein C, and platelet activation and platelet-leukocyte aggregation. In some studies the potential effects of the vaccine recombinant proteins were also investigated using knock-out mutant strains of </w:t>
      </w:r>
      <w:r w:rsidRPr="00712B56">
        <w:rPr>
          <w:i/>
          <w:iCs/>
        </w:rPr>
        <w:t xml:space="preserve">N. </w:t>
      </w:r>
      <w:proofErr w:type="spellStart"/>
      <w:r w:rsidRPr="00712B56">
        <w:rPr>
          <w:i/>
          <w:iCs/>
        </w:rPr>
        <w:t>meningitidis</w:t>
      </w:r>
      <w:proofErr w:type="spellEnd"/>
      <w:r w:rsidR="000A64F6">
        <w:t>.</w:t>
      </w:r>
    </w:p>
    <w:p w:rsidR="000F78BC" w:rsidRPr="00050ADC" w:rsidRDefault="00205929" w:rsidP="00050ADC">
      <w:r w:rsidRPr="00050ADC">
        <w:t xml:space="preserve">Small, significant binding of vaccine proteins to HUVECs </w:t>
      </w:r>
      <w:r w:rsidRPr="00050ADC">
        <w:rPr>
          <w:i/>
          <w:iCs/>
        </w:rPr>
        <w:t>in vitro</w:t>
      </w:r>
      <w:r w:rsidRPr="00050ADC">
        <w:t xml:space="preserve"> was observed, and OMV NZ binding occurred at 10-20 µg, however no cytotoxicity was evident</w:t>
      </w:r>
      <w:r w:rsidR="00235A67">
        <w:t>.</w:t>
      </w:r>
      <w:r w:rsidRPr="00050ADC">
        <w:t xml:space="preserve"> </w:t>
      </w:r>
      <w:r w:rsidR="00235A67">
        <w:t>T</w:t>
      </w:r>
      <w:r w:rsidRPr="00050ADC">
        <w:t xml:space="preserve">hese findings are unlikely to have </w:t>
      </w:r>
      <w:r w:rsidR="000A64F6">
        <w:t>any toxicological significance.</w:t>
      </w:r>
    </w:p>
    <w:p w:rsidR="000F78BC" w:rsidRDefault="00205929" w:rsidP="00205929">
      <w:r w:rsidRPr="00205929">
        <w:t>The vaccine recombinant proteins did not increase expres</w:t>
      </w:r>
      <w:r w:rsidR="00EE0B67">
        <w:t xml:space="preserve">sion of </w:t>
      </w:r>
      <w:proofErr w:type="spellStart"/>
      <w:r w:rsidR="00EE0B67">
        <w:t>TNFα</w:t>
      </w:r>
      <w:proofErr w:type="spellEnd"/>
      <w:r w:rsidR="00EE0B67">
        <w:t xml:space="preserve"> or IL-1β in HUVECs</w:t>
      </w:r>
      <w:r w:rsidRPr="00205929">
        <w:t xml:space="preserve"> but did increase expression of IL-6 and IL-8 when adsorbed to aluminium, although the increases were comparab</w:t>
      </w:r>
      <w:r w:rsidR="00EE0B67">
        <w:t>le to those with the registered</w:t>
      </w:r>
      <w:r w:rsidRPr="00205929">
        <w:t xml:space="preserve"> </w:t>
      </w:r>
      <w:r w:rsidR="00EE0B67">
        <w:t>aluminium-</w:t>
      </w:r>
      <w:proofErr w:type="spellStart"/>
      <w:r w:rsidR="00EE0B67">
        <w:t>adjuvanted</w:t>
      </w:r>
      <w:proofErr w:type="spellEnd"/>
      <w:r w:rsidR="00EE0B67">
        <w:t xml:space="preserve"> vaccines</w:t>
      </w:r>
      <w:r w:rsidRPr="00205929">
        <w:t xml:space="preserve"> </w:t>
      </w:r>
      <w:proofErr w:type="spellStart"/>
      <w:r w:rsidRPr="00205929">
        <w:t>Prevnar</w:t>
      </w:r>
      <w:proofErr w:type="spellEnd"/>
      <w:r w:rsidRPr="00205929">
        <w:t xml:space="preserve"> and </w:t>
      </w:r>
      <w:proofErr w:type="spellStart"/>
      <w:r w:rsidRPr="00205929">
        <w:t>Infanrix</w:t>
      </w:r>
      <w:proofErr w:type="spellEnd"/>
      <w:r w:rsidRPr="00205929">
        <w:t xml:space="preserve">. </w:t>
      </w:r>
      <w:r w:rsidR="00712B56">
        <w:t xml:space="preserve">The vaccines </w:t>
      </w:r>
      <w:r w:rsidRPr="00205929">
        <w:t>Act</w:t>
      </w:r>
      <w:r w:rsidR="00EE0B67">
        <w:t>-</w:t>
      </w:r>
      <w:r w:rsidRPr="00205929">
        <w:t xml:space="preserve">HIB and </w:t>
      </w:r>
      <w:proofErr w:type="spellStart"/>
      <w:r w:rsidRPr="00205929">
        <w:t>Pneumovax</w:t>
      </w:r>
      <w:proofErr w:type="spellEnd"/>
      <w:r w:rsidRPr="00205929">
        <w:t xml:space="preserve"> 23</w:t>
      </w:r>
      <w:r w:rsidR="00376348">
        <w:t xml:space="preserve">, </w:t>
      </w:r>
      <w:r w:rsidRPr="00205929">
        <w:t xml:space="preserve">which lack </w:t>
      </w:r>
      <w:r w:rsidR="00EE0B67" w:rsidRPr="00EE0B67">
        <w:t>aluminium</w:t>
      </w:r>
      <w:r w:rsidRPr="00205929">
        <w:t>, had no effect. Expression of IL-6 and IL-8 by HUVECs w</w:t>
      </w:r>
      <w:r w:rsidR="0018506D">
        <w:t xml:space="preserve">as </w:t>
      </w:r>
      <w:r w:rsidRPr="00205929">
        <w:t xml:space="preserve">also increased by culture with wild-type </w:t>
      </w:r>
      <w:r w:rsidRPr="00205929">
        <w:rPr>
          <w:i/>
        </w:rPr>
        <w:t xml:space="preserve">N. </w:t>
      </w:r>
      <w:r w:rsidR="008E6053" w:rsidRPr="00205929">
        <w:rPr>
          <w:i/>
        </w:rPr>
        <w:t>meningitidis</w:t>
      </w:r>
      <w:r w:rsidR="008E6053" w:rsidRPr="00205929">
        <w:t>;</w:t>
      </w:r>
      <w:r w:rsidRPr="00205929">
        <w:t xml:space="preserve"> however</w:t>
      </w:r>
      <w:r w:rsidR="008E6053">
        <w:t>,</w:t>
      </w:r>
      <w:r w:rsidRPr="00205929">
        <w:t xml:space="preserve"> expression was unaffected in knock-out mutants. </w:t>
      </w:r>
      <w:r w:rsidR="00235A67" w:rsidRPr="00235A67">
        <w:t xml:space="preserve">Outer membrane vesicles </w:t>
      </w:r>
      <w:r w:rsidRPr="00205929">
        <w:t xml:space="preserve">NZ greatly increased expression of IL-6 and IL-8, and the addition of the vaccine proteins had little extra effect. Vaccine recombinant proteins modestly increased expression of IL-1β, IL-6, IL-8, </w:t>
      </w:r>
      <w:r w:rsidR="0018506D">
        <w:t>interferon gamma (</w:t>
      </w:r>
      <w:r w:rsidRPr="00205929">
        <w:t>IFN-</w:t>
      </w:r>
      <w:r w:rsidR="0018506D">
        <w:t>γ)</w:t>
      </w:r>
      <w:r w:rsidRPr="00205929">
        <w:t xml:space="preserve"> and TNF-α in cultured human whole blood, and the increases were similar to those observed with the </w:t>
      </w:r>
      <w:r w:rsidR="0018506D">
        <w:t xml:space="preserve">registered </w:t>
      </w:r>
      <w:r w:rsidRPr="00205929">
        <w:t xml:space="preserve">vaccines </w:t>
      </w:r>
      <w:proofErr w:type="spellStart"/>
      <w:r w:rsidRPr="00205929">
        <w:t>Prevnar</w:t>
      </w:r>
      <w:proofErr w:type="spellEnd"/>
      <w:r w:rsidRPr="00205929">
        <w:t xml:space="preserve">, </w:t>
      </w:r>
      <w:proofErr w:type="spellStart"/>
      <w:r w:rsidRPr="00205929">
        <w:t>Infanrix</w:t>
      </w:r>
      <w:proofErr w:type="spellEnd"/>
      <w:r w:rsidRPr="00205929">
        <w:t>,</w:t>
      </w:r>
      <w:r w:rsidRPr="00205929">
        <w:rPr>
          <w:vertAlign w:val="superscript"/>
        </w:rPr>
        <w:t xml:space="preserve"> </w:t>
      </w:r>
      <w:r w:rsidRPr="00205929">
        <w:t>Act</w:t>
      </w:r>
      <w:r w:rsidR="0018506D">
        <w:t>-</w:t>
      </w:r>
      <w:r w:rsidRPr="00205929">
        <w:t xml:space="preserve">HIB and </w:t>
      </w:r>
      <w:proofErr w:type="spellStart"/>
      <w:r w:rsidRPr="00205929">
        <w:t>Pneumovax</w:t>
      </w:r>
      <w:proofErr w:type="spellEnd"/>
      <w:r w:rsidRPr="00205929">
        <w:t xml:space="preserve"> 23. Substantial increases in these c</w:t>
      </w:r>
      <w:r w:rsidR="00235A67">
        <w:t>ytokines were induced by OMV NZ;</w:t>
      </w:r>
      <w:r w:rsidRPr="00205929">
        <w:t xml:space="preserve"> in fact the increases were significantly higher than those induced by the positive control, </w:t>
      </w:r>
      <w:r w:rsidRPr="00205929">
        <w:rPr>
          <w:i/>
        </w:rPr>
        <w:t>E</w:t>
      </w:r>
      <w:r w:rsidR="0018506D">
        <w:rPr>
          <w:i/>
        </w:rPr>
        <w:t xml:space="preserve">. </w:t>
      </w:r>
      <w:r w:rsidRPr="00205929">
        <w:rPr>
          <w:i/>
        </w:rPr>
        <w:t>coli</w:t>
      </w:r>
      <w:r w:rsidRPr="00205929">
        <w:t xml:space="preserve"> LPS. Similar increases in cytokine expression were observed when the vaccine proteins and OMVs were co-cultured, implicating the OMVs as the major cause.</w:t>
      </w:r>
    </w:p>
    <w:p w:rsidR="000F78BC" w:rsidRPr="0018506D" w:rsidRDefault="00205929" w:rsidP="0018506D">
      <w:r w:rsidRPr="0018506D">
        <w:t xml:space="preserve">There were no significant effects of any vaccine components on activity of activated protein C, platelet activation and platelet-leukocyte aggregation </w:t>
      </w:r>
      <w:r w:rsidRPr="0018506D">
        <w:rPr>
          <w:i/>
          <w:iCs/>
        </w:rPr>
        <w:t>in vitro</w:t>
      </w:r>
      <w:r w:rsidRPr="0018506D">
        <w:t>.</w:t>
      </w:r>
    </w:p>
    <w:p w:rsidR="00205929" w:rsidRPr="0018506D" w:rsidRDefault="00205929" w:rsidP="0018506D">
      <w:pPr>
        <w:pStyle w:val="Heading5"/>
      </w:pPr>
      <w:bookmarkStart w:id="60" w:name="_Toc333221226"/>
      <w:bookmarkStart w:id="61" w:name="_Toc333324051"/>
      <w:bookmarkStart w:id="62" w:name="_Toc351118061"/>
      <w:r w:rsidRPr="0018506D">
        <w:t>Reproductive and developmental toxicity</w:t>
      </w:r>
      <w:bookmarkEnd w:id="60"/>
      <w:bookmarkEnd w:id="61"/>
      <w:bookmarkEnd w:id="62"/>
    </w:p>
    <w:p w:rsidR="000F78BC" w:rsidRPr="0018506D" w:rsidRDefault="00205929" w:rsidP="0018506D">
      <w:r w:rsidRPr="0018506D">
        <w:t>Fertility, early</w:t>
      </w:r>
      <w:r w:rsidR="0018506D">
        <w:t xml:space="preserve"> embryonic development, and pre- and </w:t>
      </w:r>
      <w:r w:rsidRPr="0018506D">
        <w:t>post</w:t>
      </w:r>
      <w:r w:rsidR="0018506D">
        <w:t>-</w:t>
      </w:r>
      <w:r w:rsidRPr="0018506D">
        <w:t>natal development, including maternal function</w:t>
      </w:r>
      <w:r w:rsidR="00235A67">
        <w:t>,</w:t>
      </w:r>
      <w:r w:rsidRPr="0018506D">
        <w:t xml:space="preserve"> were assessed in reproductive and developmental toxicity studies in female rabbits. Bexsero vaccine was administered at the clinical or higher dose levels. Female rabbits were </w:t>
      </w:r>
      <w:r w:rsidR="007723AA">
        <w:t xml:space="preserve">administered </w:t>
      </w:r>
      <w:r w:rsidRPr="0018506D">
        <w:t>5</w:t>
      </w:r>
      <w:r w:rsidR="007723AA">
        <w:t xml:space="preserve"> doses of </w:t>
      </w:r>
      <w:proofErr w:type="spellStart"/>
      <w:r w:rsidRPr="0018506D">
        <w:t>rMenB</w:t>
      </w:r>
      <w:proofErr w:type="spellEnd"/>
      <w:r w:rsidRPr="0018506D">
        <w:t xml:space="preserve"> protein antigens in the presence or </w:t>
      </w:r>
      <w:r w:rsidRPr="0018506D">
        <w:lastRenderedPageBreak/>
        <w:t xml:space="preserve">absence of OMV/NZ, with 3 doses administered </w:t>
      </w:r>
      <w:r w:rsidR="00235A67" w:rsidRPr="0018506D">
        <w:t xml:space="preserve">IM </w:t>
      </w:r>
      <w:r w:rsidRPr="0018506D">
        <w:t xml:space="preserve">pre-mating and 2 administered </w:t>
      </w:r>
      <w:r w:rsidR="00235A67">
        <w:t xml:space="preserve">IM </w:t>
      </w:r>
      <w:r w:rsidR="000A64F6">
        <w:t>during gestation.</w:t>
      </w:r>
    </w:p>
    <w:p w:rsidR="000F78BC" w:rsidRPr="0018506D" w:rsidRDefault="00235A67" w:rsidP="0018506D">
      <w:r>
        <w:t xml:space="preserve">In the </w:t>
      </w:r>
      <w:r w:rsidR="00205929" w:rsidRPr="0018506D">
        <w:t xml:space="preserve">pilot study </w:t>
      </w:r>
      <w:r>
        <w:t xml:space="preserve">with </w:t>
      </w:r>
      <w:r w:rsidR="00205929" w:rsidRPr="0018506D">
        <w:t xml:space="preserve">up to double the human dose of Bexsero </w:t>
      </w:r>
      <w:r w:rsidR="003C76D4" w:rsidRPr="0018506D">
        <w:t>administered</w:t>
      </w:r>
      <w:r>
        <w:t>,</w:t>
      </w:r>
      <w:r w:rsidR="003C76D4" w:rsidRPr="0018506D">
        <w:t xml:space="preserve"> </w:t>
      </w:r>
      <w:r>
        <w:t>the results suggested</w:t>
      </w:r>
      <w:r w:rsidR="00205929" w:rsidRPr="0018506D">
        <w:t xml:space="preserve"> no overt hazard of vaccination to maternal animals or their developing fetuses through to gestation day </w:t>
      </w:r>
      <w:r w:rsidR="0018506D">
        <w:t xml:space="preserve">(GD) </w:t>
      </w:r>
      <w:r w:rsidR="00205929" w:rsidRPr="0018506D">
        <w:t xml:space="preserve">29. Similarly, the administration of </w:t>
      </w:r>
      <w:proofErr w:type="spellStart"/>
      <w:r w:rsidR="00205929" w:rsidRPr="0018506D">
        <w:t>rMenB</w:t>
      </w:r>
      <w:proofErr w:type="spellEnd"/>
      <w:r w:rsidR="00205929" w:rsidRPr="0018506D">
        <w:t xml:space="preserve"> proteins without OMV/NZ (up to double the clinical dose) had no toxic effects to maternal animals or their fetuses. Immunogenicity of all of the tested vaccine formulations was demonstrated in maternal animals by antibody titres to the antigen components of the vaccine and SBA titres to serogroup B strains of </w:t>
      </w:r>
      <w:r w:rsidR="00205929" w:rsidRPr="0018506D">
        <w:rPr>
          <w:i/>
          <w:iCs/>
        </w:rPr>
        <w:t>N. meningitidis</w:t>
      </w:r>
      <w:r w:rsidR="00205929" w:rsidRPr="0018506D">
        <w:t xml:space="preserve">, with antibodies also detected in pooled </w:t>
      </w:r>
      <w:proofErr w:type="spellStart"/>
      <w:r w:rsidR="00205929" w:rsidRPr="0018506D">
        <w:t>fetal</w:t>
      </w:r>
      <w:proofErr w:type="spellEnd"/>
      <w:r w:rsidR="00205929" w:rsidRPr="0018506D">
        <w:t xml:space="preserve"> sera.</w:t>
      </w:r>
    </w:p>
    <w:p w:rsidR="000F78BC" w:rsidRDefault="00205929" w:rsidP="00205929">
      <w:r w:rsidRPr="00205929">
        <w:t xml:space="preserve">In the pivotal study </w:t>
      </w:r>
      <w:r w:rsidR="00B070F9">
        <w:t xml:space="preserve">5 </w:t>
      </w:r>
      <w:r w:rsidRPr="00205929">
        <w:t>consecutive IM doses of the Bexsero</w:t>
      </w:r>
      <w:r w:rsidRPr="00205929">
        <w:rPr>
          <w:vertAlign w:val="superscript"/>
        </w:rPr>
        <w:t xml:space="preserve"> </w:t>
      </w:r>
      <w:r w:rsidRPr="00205929">
        <w:t xml:space="preserve">clinical dose were administered to female rabbits assigned to either Caesarean section at </w:t>
      </w:r>
      <w:r w:rsidR="0018506D">
        <w:t>GD</w:t>
      </w:r>
      <w:r w:rsidR="00B070F9">
        <w:t xml:space="preserve"> 29</w:t>
      </w:r>
      <w:r w:rsidRPr="00205929">
        <w:t xml:space="preserve"> or natural delivery</w:t>
      </w:r>
      <w:r w:rsidR="00B070F9">
        <w:t>,</w:t>
      </w:r>
      <w:r w:rsidRPr="00205929">
        <w:t xml:space="preserve"> and assessment </w:t>
      </w:r>
      <w:r w:rsidR="003C76D4">
        <w:t xml:space="preserve">was </w:t>
      </w:r>
      <w:r w:rsidRPr="00205929">
        <w:t>at lactation day 29. There were no overt hazards identified due to vaccination in maternal animals, developing fetuses or offspring. An immune response was elicited in maternal animals with serum antibodies and SBA titres detected in fetuses and offspring 4 weeks after birth. Bexsero</w:t>
      </w:r>
      <w:r w:rsidRPr="00205929">
        <w:rPr>
          <w:vertAlign w:val="superscript"/>
        </w:rPr>
        <w:t xml:space="preserve"> </w:t>
      </w:r>
      <w:r w:rsidRPr="00205929">
        <w:t>formulation was immunogenic in rabbits and was not a female reproductive or develo</w:t>
      </w:r>
      <w:r w:rsidR="000A64F6">
        <w:t>pmental toxicant in this study.</w:t>
      </w:r>
    </w:p>
    <w:p w:rsidR="000F78BC" w:rsidRDefault="00205929" w:rsidP="00205929">
      <w:r w:rsidRPr="00205929">
        <w:t xml:space="preserve">Three supportive reproductive and developmental toxicity studies conducted in rabbits were also submitted, investigating the effects of different </w:t>
      </w:r>
      <w:proofErr w:type="spellStart"/>
      <w:r w:rsidRPr="00205929">
        <w:t>rMenB</w:t>
      </w:r>
      <w:proofErr w:type="spellEnd"/>
      <w:r w:rsidRPr="00205929">
        <w:t xml:space="preserve"> formulations. A </w:t>
      </w:r>
      <w:proofErr w:type="spellStart"/>
      <w:r w:rsidRPr="00205929">
        <w:t>MenB</w:t>
      </w:r>
      <w:proofErr w:type="spellEnd"/>
      <w:r w:rsidRPr="00205929">
        <w:t xml:space="preserve"> NZ OMV vaccine with no recombinant proteins, licensed in New Zealand</w:t>
      </w:r>
      <w:r w:rsidR="000A64F6">
        <w:t>, was tested in study UBA00002.</w:t>
      </w:r>
    </w:p>
    <w:p w:rsidR="000F78BC" w:rsidRDefault="00205929" w:rsidP="00205929">
      <w:r w:rsidRPr="00205929">
        <w:t xml:space="preserve">There are some published reports of </w:t>
      </w:r>
      <w:proofErr w:type="spellStart"/>
      <w:r w:rsidRPr="00205929">
        <w:t>teratogenicity</w:t>
      </w:r>
      <w:proofErr w:type="spellEnd"/>
      <w:r w:rsidRPr="00205929">
        <w:t xml:space="preserve"> of LPS in animals. Significan</w:t>
      </w:r>
      <w:r w:rsidR="0018506D">
        <w:t>t increases in the numbers of f</w:t>
      </w:r>
      <w:r w:rsidRPr="00205929">
        <w:t>etuses with external abnormalities were observed in mice given a single SC injection of 0.5 µg/g b</w:t>
      </w:r>
      <w:r w:rsidR="0018506D">
        <w:t xml:space="preserve">ody </w:t>
      </w:r>
      <w:r w:rsidRPr="00205929">
        <w:t>w</w:t>
      </w:r>
      <w:r w:rsidR="0018506D">
        <w:t>eight</w:t>
      </w:r>
      <w:r w:rsidRPr="00205929">
        <w:t xml:space="preserve"> of </w:t>
      </w:r>
      <w:r w:rsidRPr="00205929">
        <w:rPr>
          <w:i/>
        </w:rPr>
        <w:t>E. coli</w:t>
      </w:r>
      <w:r w:rsidRPr="00205929">
        <w:t xml:space="preserve"> LPS on GD 8 and examined on GD 18 (Carey </w:t>
      </w:r>
      <w:r w:rsidRPr="00205929">
        <w:rPr>
          <w:i/>
        </w:rPr>
        <w:t>et al</w:t>
      </w:r>
      <w:r w:rsidR="007E4CFC">
        <w:rPr>
          <w:i/>
        </w:rPr>
        <w:t>.</w:t>
      </w:r>
      <w:r w:rsidRPr="00205929">
        <w:t>, 2003</w:t>
      </w:r>
      <w:r w:rsidR="0018506D">
        <w:rPr>
          <w:rStyle w:val="FootnoteReference"/>
        </w:rPr>
        <w:footnoteReference w:id="15"/>
      </w:r>
      <w:r w:rsidRPr="00205929">
        <w:t xml:space="preserve">). Hamsters given a single </w:t>
      </w:r>
      <w:r w:rsidR="0018506D">
        <w:t>intravenous (</w:t>
      </w:r>
      <w:r w:rsidRPr="00205929">
        <w:t>IV</w:t>
      </w:r>
      <w:r w:rsidR="0018506D">
        <w:t>)</w:t>
      </w:r>
      <w:r w:rsidRPr="00205929">
        <w:t xml:space="preserve"> dose of </w:t>
      </w:r>
      <w:r w:rsidR="007E4CFC">
        <w:t xml:space="preserve">LPS </w:t>
      </w:r>
      <w:r w:rsidRPr="00205929">
        <w:t>0.1, 025, 0.5, 0.75, 5 or 25 µg/100 g b</w:t>
      </w:r>
      <w:r w:rsidR="0018506D">
        <w:t xml:space="preserve">ody </w:t>
      </w:r>
      <w:r w:rsidRPr="00205929">
        <w:t>w</w:t>
      </w:r>
      <w:r w:rsidR="0018506D">
        <w:t>eight</w:t>
      </w:r>
      <w:r w:rsidRPr="00205929">
        <w:t xml:space="preserve"> showed significant increases in </w:t>
      </w:r>
      <w:proofErr w:type="spellStart"/>
      <w:r w:rsidRPr="00205929">
        <w:t>fetal</w:t>
      </w:r>
      <w:proofErr w:type="spellEnd"/>
      <w:r w:rsidRPr="00205929">
        <w:t xml:space="preserve"> abnormalities at 0.25 µg/100 g </w:t>
      </w:r>
      <w:r w:rsidR="00954C2F">
        <w:t xml:space="preserve">body weight </w:t>
      </w:r>
      <w:r w:rsidRPr="00205929">
        <w:t xml:space="preserve">and above (Lanning </w:t>
      </w:r>
      <w:r w:rsidRPr="00205929">
        <w:rPr>
          <w:i/>
        </w:rPr>
        <w:t>et al</w:t>
      </w:r>
      <w:r w:rsidRPr="00205929">
        <w:t>, 1983</w:t>
      </w:r>
      <w:r w:rsidR="0018506D">
        <w:rPr>
          <w:rStyle w:val="FootnoteReference"/>
        </w:rPr>
        <w:footnoteReference w:id="16"/>
      </w:r>
      <w:r w:rsidRPr="00205929">
        <w:t xml:space="preserve">), with a </w:t>
      </w:r>
      <w:r w:rsidR="0018506D">
        <w:t>no observed effect level (</w:t>
      </w:r>
      <w:r w:rsidRPr="00205929">
        <w:t>NOEL</w:t>
      </w:r>
      <w:r w:rsidR="0018506D">
        <w:t>)</w:t>
      </w:r>
      <w:r w:rsidRPr="00205929">
        <w:t xml:space="preserve"> of 0.1 µg/100 g</w:t>
      </w:r>
      <w:r w:rsidR="00954C2F">
        <w:t xml:space="preserve"> </w:t>
      </w:r>
      <w:r w:rsidR="00954C2F" w:rsidRPr="00954C2F">
        <w:t>body weight</w:t>
      </w:r>
      <w:r w:rsidRPr="00205929">
        <w:t xml:space="preserve">. However, the doses of LPS in mice and hamsters greatly exceed the potential maximum amount of LPS in Bexsero in a 50 kg woman. There was no evidence of </w:t>
      </w:r>
      <w:proofErr w:type="spellStart"/>
      <w:r w:rsidRPr="00205929">
        <w:t>teratogenicity</w:t>
      </w:r>
      <w:proofErr w:type="spellEnd"/>
      <w:r w:rsidRPr="00205929">
        <w:t xml:space="preserve"> in the reproductive and developmental study in which rabbits weighing 2.7-4.1 kg were administered the full human dose of </w:t>
      </w:r>
      <w:r w:rsidRPr="00954C2F">
        <w:t>Bexsero</w:t>
      </w:r>
      <w:r w:rsidR="00954C2F" w:rsidRPr="00954C2F">
        <w:t xml:space="preserve"> </w:t>
      </w:r>
      <w:r w:rsidRPr="00954C2F">
        <w:t>vaccine</w:t>
      </w:r>
      <w:r w:rsidRPr="00205929">
        <w:t>, containing 849 IU</w:t>
      </w:r>
      <w:r w:rsidR="000A64F6">
        <w:t>/</w:t>
      </w:r>
      <w:proofErr w:type="spellStart"/>
      <w:r w:rsidR="000A64F6">
        <w:t>mL</w:t>
      </w:r>
      <w:proofErr w:type="spellEnd"/>
      <w:r w:rsidR="000A64F6">
        <w:t xml:space="preserve"> </w:t>
      </w:r>
      <w:proofErr w:type="spellStart"/>
      <w:r w:rsidR="000A64F6">
        <w:t>endotoxin</w:t>
      </w:r>
      <w:proofErr w:type="spellEnd"/>
      <w:r w:rsidR="000A64F6">
        <w:t xml:space="preserve"> (batch X38D27N1).</w:t>
      </w:r>
    </w:p>
    <w:p w:rsidR="00205929" w:rsidRPr="00954C2F" w:rsidRDefault="00205929" w:rsidP="00954C2F">
      <w:r w:rsidRPr="00954C2F">
        <w:t xml:space="preserve">Overall, the </w:t>
      </w:r>
      <w:r w:rsidR="007E4CFC">
        <w:t xml:space="preserve">studies of </w:t>
      </w:r>
      <w:r w:rsidRPr="00954C2F">
        <w:t xml:space="preserve">Bexsero vaccine formulation and its </w:t>
      </w:r>
      <w:r w:rsidR="003C76D4" w:rsidRPr="00954C2F">
        <w:t xml:space="preserve">investigated </w:t>
      </w:r>
      <w:r w:rsidRPr="00954C2F">
        <w:t>components raised no reproductive and developmental toxicological concerns in studies in female rabbits. The proposed Australian pregnancy category of B1</w:t>
      </w:r>
      <w:r w:rsidR="00954C2F">
        <w:rPr>
          <w:rStyle w:val="FootnoteReference"/>
        </w:rPr>
        <w:footnoteReference w:id="17"/>
      </w:r>
      <w:r w:rsidRPr="00954C2F">
        <w:t xml:space="preserve"> is acceptable.</w:t>
      </w:r>
    </w:p>
    <w:p w:rsidR="00205929" w:rsidRPr="00205929" w:rsidRDefault="00205929" w:rsidP="00954C2F">
      <w:pPr>
        <w:pStyle w:val="Heading5"/>
      </w:pPr>
      <w:r w:rsidRPr="00205929">
        <w:t>Residuals</w:t>
      </w:r>
    </w:p>
    <w:p w:rsidR="000F78BC" w:rsidRDefault="00205929" w:rsidP="00205929">
      <w:r w:rsidRPr="00205929">
        <w:t>Potential vaccine residuals are endogenous compounds (DNA,</w:t>
      </w:r>
      <w:r w:rsidR="003C76D4">
        <w:t xml:space="preserve"> host cell proteins, endotoxin)</w:t>
      </w:r>
      <w:r w:rsidRPr="00205929">
        <w:t xml:space="preserve"> and exogenous residual chemicals. Endotoxin is also an </w:t>
      </w:r>
      <w:r w:rsidR="003C76D4">
        <w:t>essential component of the OMVs</w:t>
      </w:r>
      <w:r w:rsidRPr="00205929">
        <w:t xml:space="preserve"> and is assessed in the </w:t>
      </w:r>
      <w:r w:rsidRPr="0044249C">
        <w:rPr>
          <w:i/>
          <w:iCs/>
        </w:rPr>
        <w:t>Toxicity</w:t>
      </w:r>
      <w:r w:rsidRPr="00205929">
        <w:t xml:space="preserve"> section above.</w:t>
      </w:r>
    </w:p>
    <w:p w:rsidR="00205929" w:rsidRPr="0044249C" w:rsidRDefault="0044249C" w:rsidP="0044249C">
      <w:r w:rsidRPr="0044249C">
        <w:t>For other r</w:t>
      </w:r>
      <w:r w:rsidR="00205929" w:rsidRPr="0044249C">
        <w:t>esidual chemicals</w:t>
      </w:r>
      <w:r w:rsidRPr="0044249C">
        <w:t>, t</w:t>
      </w:r>
      <w:r w:rsidR="003C76D4">
        <w:t>he s</w:t>
      </w:r>
      <w:r w:rsidR="00205929" w:rsidRPr="0044249C">
        <w:t xml:space="preserve">ponsor provided a literature-based toxicological risk assessment. Although there were limitations in the toxicological data for the residuals, appropriate safety factors to account for differences in species, dose route and uncertainty </w:t>
      </w:r>
      <w:r w:rsidR="00205929" w:rsidRPr="0044249C">
        <w:lastRenderedPageBreak/>
        <w:t>were applied</w:t>
      </w:r>
      <w:r w:rsidR="003C76D4">
        <w:t>.</w:t>
      </w:r>
      <w:r w:rsidR="00205929" w:rsidRPr="0044249C">
        <w:t xml:space="preserve"> </w:t>
      </w:r>
      <w:r w:rsidR="003C76D4">
        <w:t>T</w:t>
      </w:r>
      <w:r w:rsidR="00205929" w:rsidRPr="0044249C">
        <w:t>he data limitations are not considered critical in view of the large estimated safety multiples and the limited use of the vaccin</w:t>
      </w:r>
      <w:r w:rsidR="007E4CFC">
        <w:t>e (maximum of 4 doses</w:t>
      </w:r>
      <w:r w:rsidR="00205929" w:rsidRPr="0044249C">
        <w:t xml:space="preserve"> with at least 1 month between doses).</w:t>
      </w:r>
    </w:p>
    <w:p w:rsidR="00205929" w:rsidRPr="00205929" w:rsidRDefault="00205929" w:rsidP="0044249C">
      <w:pPr>
        <w:pStyle w:val="Heading4"/>
      </w:pPr>
      <w:r w:rsidRPr="00205929">
        <w:t>Paediatric use</w:t>
      </w:r>
    </w:p>
    <w:p w:rsidR="00205929" w:rsidRPr="00205929" w:rsidRDefault="00205929" w:rsidP="00205929">
      <w:r w:rsidRPr="00205929">
        <w:t>Bexsero is proposed for use in infants as young as 2 months of age. No toxicity studies were conducted in infant animals, however the immunogenicity studies in juvenile baboons (</w:t>
      </w:r>
      <w:r w:rsidR="0044249C">
        <w:t xml:space="preserve">study </w:t>
      </w:r>
      <w:r w:rsidRPr="00205929">
        <w:t>283886-01) and infant rhesus macaques (283887-01) included complete blood counts at each of the 3 sample times, with no adverse findings. In the pivotal toxicity study the full clinical dose was administered to rabbits weighing 4 kg, which is about 1.25-2.5 times the dose (on a bodyweight basis) in a 5-10 kg human infant.</w:t>
      </w:r>
    </w:p>
    <w:p w:rsidR="008E7846" w:rsidRDefault="008E7846" w:rsidP="008E7846">
      <w:pPr>
        <w:pStyle w:val="Heading3"/>
      </w:pPr>
      <w:bookmarkStart w:id="63" w:name="PIstart"/>
      <w:bookmarkStart w:id="64" w:name="_Toc247691515"/>
      <w:bookmarkStart w:id="65" w:name="_Toc314842499"/>
      <w:bookmarkStart w:id="66" w:name="_Toc370985729"/>
      <w:bookmarkEnd w:id="63"/>
      <w:r>
        <w:t>Nonclinical summary and conclusions</w:t>
      </w:r>
      <w:bookmarkEnd w:id="64"/>
      <w:bookmarkEnd w:id="65"/>
      <w:bookmarkEnd w:id="66"/>
    </w:p>
    <w:p w:rsidR="00205929" w:rsidRPr="00F81735" w:rsidRDefault="00205929" w:rsidP="00A45A3F">
      <w:pPr>
        <w:pStyle w:val="ListBullet"/>
      </w:pPr>
      <w:r w:rsidRPr="00F81735">
        <w:t xml:space="preserve">The immunogenicity of the </w:t>
      </w:r>
      <w:r w:rsidR="00F81735">
        <w:t xml:space="preserve">proposed vaccine </w:t>
      </w:r>
      <w:r w:rsidRPr="00F81735">
        <w:t>individual antigens and the clinical formulation (Bexsero) w</w:t>
      </w:r>
      <w:r w:rsidR="00F81735" w:rsidRPr="00F81735">
        <w:t xml:space="preserve">as </w:t>
      </w:r>
      <w:r w:rsidRPr="00F81735">
        <w:t xml:space="preserve">assessed in mice, guinea pigs, rabbits, juvenile baboons and infant rhesus macaques. Bexsero was immunogenic in all test species, in terms of serum antibody (ELISA) and/or SBA titres. Passive protection of infant rats against bacteraemia by serogroup B strains was reported for mouse or guinea pig </w:t>
      </w:r>
      <w:proofErr w:type="spellStart"/>
      <w:r w:rsidRPr="00F81735">
        <w:t>antisera</w:t>
      </w:r>
      <w:proofErr w:type="spellEnd"/>
      <w:r w:rsidRPr="00F81735">
        <w:t xml:space="preserve"> to the vaccine antigens. Active protection was not tested due to the lack of animal models of infection </w:t>
      </w:r>
      <w:r w:rsidR="003C76D4">
        <w:t xml:space="preserve">with </w:t>
      </w:r>
      <w:r w:rsidRPr="003C76D4">
        <w:rPr>
          <w:i/>
          <w:iCs/>
        </w:rPr>
        <w:t>N. meningitidis</w:t>
      </w:r>
      <w:r w:rsidRPr="00F81735">
        <w:t>, a human-specific pathogen.</w:t>
      </w:r>
    </w:p>
    <w:p w:rsidR="00205929" w:rsidRPr="00F81735" w:rsidRDefault="00205929" w:rsidP="00A45A3F">
      <w:pPr>
        <w:pStyle w:val="ListBullet"/>
      </w:pPr>
      <w:r w:rsidRPr="00F81735">
        <w:t>No dedicated safety pharmacology studies were submitted. Some safety pharmacology parameters were investigated in the toxicity studies.</w:t>
      </w:r>
    </w:p>
    <w:p w:rsidR="00205929" w:rsidRPr="00A45A3F" w:rsidRDefault="00205929" w:rsidP="00A45A3F">
      <w:pPr>
        <w:pStyle w:val="ListBullet"/>
      </w:pPr>
      <w:r w:rsidRPr="00A45A3F">
        <w:t xml:space="preserve">GLP-compliant single and repeat-dose toxicity studies in rabbits tested the clinical formulation (Bexsero) and related vaccines in rabbits. In the pivotal study, rabbits were </w:t>
      </w:r>
      <w:r w:rsidR="00357974">
        <w:t xml:space="preserve">injected IM with </w:t>
      </w:r>
      <w:r w:rsidRPr="00A45A3F">
        <w:t>5 consecutive doses of the clinical dose of Bexsero, or twice the clinical dose of antigens and the clinical dose of OMV-NW. In some studies, small, significant elevations i</w:t>
      </w:r>
      <w:r w:rsidR="00A45A3F" w:rsidRPr="00A45A3F">
        <w:t>n fibrinogen, globulin, and leuk</w:t>
      </w:r>
      <w:r w:rsidRPr="00A45A3F">
        <w:t xml:space="preserve">ocyte and neutrophil counts were observed, consistent with an inflammatory/immune response to the vaccine. There was no evidence of systemic toxicity. Injection site reactions, characteristic of an </w:t>
      </w:r>
      <w:r w:rsidR="00357974">
        <w:t>aluminium</w:t>
      </w:r>
      <w:r w:rsidRPr="00A45A3F">
        <w:t>-adjuvanted vacci</w:t>
      </w:r>
      <w:r w:rsidR="00A45A3F">
        <w:t xml:space="preserve">ne, were slightly more frequent or </w:t>
      </w:r>
      <w:r w:rsidRPr="00A45A3F">
        <w:t>severe in vaccine-treated rabbits compared to controls, bu</w:t>
      </w:r>
      <w:r w:rsidR="00357974">
        <w:t>t were within acceptable levels</w:t>
      </w:r>
      <w:r w:rsidRPr="00A45A3F">
        <w:t xml:space="preserve"> and partially resolved within 14 days. The vaccine protein antigens, with or without OMVs, were immunogenic in rabbits.</w:t>
      </w:r>
    </w:p>
    <w:p w:rsidR="00205929" w:rsidRPr="00205929" w:rsidRDefault="00205929" w:rsidP="00A45A3F">
      <w:pPr>
        <w:pStyle w:val="ListBullet"/>
      </w:pPr>
      <w:r w:rsidRPr="00205929">
        <w:t xml:space="preserve">The vaccine contains a relatively large amount of </w:t>
      </w:r>
      <w:r w:rsidR="00A45A3F">
        <w:t>LPS</w:t>
      </w:r>
      <w:r w:rsidR="00942D8E">
        <w:t>.</w:t>
      </w:r>
      <w:r w:rsidRPr="00205929">
        <w:t xml:space="preserve"> </w:t>
      </w:r>
      <w:r w:rsidR="00942D8E">
        <w:t>I</w:t>
      </w:r>
      <w:r w:rsidRPr="00205929">
        <w:t xml:space="preserve">ts bioavailability is substantially reduced by association with proteins in the OMVs and adsorption to </w:t>
      </w:r>
      <w:proofErr w:type="gramStart"/>
      <w:r w:rsidRPr="00205929">
        <w:t>Al(</w:t>
      </w:r>
      <w:proofErr w:type="gramEnd"/>
      <w:r w:rsidRPr="00205929">
        <w:t>OH)</w:t>
      </w:r>
      <w:r w:rsidRPr="00205929">
        <w:rPr>
          <w:vertAlign w:val="subscript"/>
        </w:rPr>
        <w:t>3</w:t>
      </w:r>
      <w:r w:rsidRPr="00205929">
        <w:t xml:space="preserve">. However, a toxicity study with a related OMV vaccine reported transient elevations in rectal temperature in rabbits, indicative of residual </w:t>
      </w:r>
      <w:proofErr w:type="spellStart"/>
      <w:r w:rsidRPr="00205929">
        <w:t>pyrogenicity</w:t>
      </w:r>
      <w:proofErr w:type="spellEnd"/>
      <w:r w:rsidRPr="00205929">
        <w:t>.</w:t>
      </w:r>
    </w:p>
    <w:p w:rsidR="00205929" w:rsidRPr="00205929" w:rsidRDefault="00205929" w:rsidP="00A45A3F">
      <w:pPr>
        <w:pStyle w:val="ListBullet"/>
      </w:pPr>
      <w:r w:rsidRPr="00205929">
        <w:rPr>
          <w:iCs/>
        </w:rPr>
        <w:t xml:space="preserve">A range of </w:t>
      </w:r>
      <w:r w:rsidRPr="00205929">
        <w:rPr>
          <w:i/>
          <w:iCs/>
        </w:rPr>
        <w:t>in vitro</w:t>
      </w:r>
      <w:r w:rsidRPr="00205929">
        <w:rPr>
          <w:iCs/>
        </w:rPr>
        <w:t xml:space="preserve"> studies </w:t>
      </w:r>
      <w:r w:rsidRPr="00205929">
        <w:t xml:space="preserve">investigated potential effects of the vaccine proteins and OMVs that might be related to the </w:t>
      </w:r>
      <w:proofErr w:type="spellStart"/>
      <w:r w:rsidRPr="00205929">
        <w:t>pathogenicity</w:t>
      </w:r>
      <w:proofErr w:type="spellEnd"/>
      <w:r w:rsidRPr="00205929">
        <w:t xml:space="preserve"> of </w:t>
      </w:r>
      <w:r w:rsidRPr="00205929">
        <w:rPr>
          <w:i/>
        </w:rPr>
        <w:t>N. meningitidis</w:t>
      </w:r>
      <w:r w:rsidRPr="00205929">
        <w:t>.</w:t>
      </w:r>
      <w:r w:rsidRPr="00205929">
        <w:rPr>
          <w:iCs/>
        </w:rPr>
        <w:t xml:space="preserve"> The </w:t>
      </w:r>
      <w:r w:rsidRPr="00205929">
        <w:t xml:space="preserve">protein antigens alone or combined with OMVs and </w:t>
      </w:r>
      <w:proofErr w:type="gramStart"/>
      <w:r w:rsidRPr="00205929">
        <w:t>Al(</w:t>
      </w:r>
      <w:proofErr w:type="gramEnd"/>
      <w:r w:rsidRPr="00205929">
        <w:t>OH</w:t>
      </w:r>
      <w:r w:rsidRPr="00A45A3F">
        <w:t>)</w:t>
      </w:r>
      <w:r w:rsidRPr="00205929">
        <w:rPr>
          <w:vertAlign w:val="subscript"/>
        </w:rPr>
        <w:t>3</w:t>
      </w:r>
      <w:r w:rsidRPr="00205929">
        <w:t xml:space="preserve"> were not cytotoxic to primary </w:t>
      </w:r>
      <w:r w:rsidR="00A45A3F">
        <w:t>HUVECs</w:t>
      </w:r>
      <w:r w:rsidRPr="00205929">
        <w:t xml:space="preserve">, although some binding occurred at high concentrations. The vaccine protein antigens did not affect cell monolayer permeability, </w:t>
      </w:r>
      <w:r w:rsidR="00942D8E">
        <w:t xml:space="preserve">PT </w:t>
      </w:r>
      <w:r w:rsidRPr="00205929">
        <w:t xml:space="preserve">and </w:t>
      </w:r>
      <w:proofErr w:type="spellStart"/>
      <w:r w:rsidRPr="00205929">
        <w:t>a</w:t>
      </w:r>
      <w:r w:rsidR="00942D8E">
        <w:t>PTT</w:t>
      </w:r>
      <w:proofErr w:type="spellEnd"/>
      <w:r w:rsidR="00942D8E">
        <w:t xml:space="preserve"> </w:t>
      </w:r>
      <w:r w:rsidRPr="00205929">
        <w:t>in human plasma, nor activated protein C activity, platelet activation or platelet-leukocyte aggregation. The protein antigens induced some cytokines in HUVEC</w:t>
      </w:r>
      <w:r w:rsidR="00357974">
        <w:t>s</w:t>
      </w:r>
      <w:r w:rsidRPr="00205929">
        <w:t xml:space="preserve"> and human whole </w:t>
      </w:r>
      <w:proofErr w:type="gramStart"/>
      <w:r w:rsidRPr="00205929">
        <w:t>blood</w:t>
      </w:r>
      <w:r w:rsidR="00942D8E">
        <w:t>,</w:t>
      </w:r>
      <w:proofErr w:type="gramEnd"/>
      <w:r w:rsidRPr="00205929">
        <w:t xml:space="preserve"> however the increases were similar to those induced by some </w:t>
      </w:r>
      <w:r w:rsidR="00357974">
        <w:t xml:space="preserve">of the </w:t>
      </w:r>
      <w:r w:rsidRPr="00205929">
        <w:t xml:space="preserve">other registered vaccines. </w:t>
      </w:r>
      <w:r w:rsidR="00942D8E" w:rsidRPr="00942D8E">
        <w:t xml:space="preserve">Outer membrane vesicles </w:t>
      </w:r>
      <w:r w:rsidRPr="00205929">
        <w:t xml:space="preserve">substantially increased levels of the pro-inflammatory cytokines IL-1, IL-6, </w:t>
      </w:r>
      <w:r w:rsidR="00942D8E">
        <w:t>TNF-α, IL-8</w:t>
      </w:r>
      <w:r w:rsidRPr="00205929">
        <w:t xml:space="preserve"> and IFN-γ in human whole blo</w:t>
      </w:r>
      <w:r w:rsidRPr="00205929">
        <w:rPr>
          <w:iCs/>
        </w:rPr>
        <w:t xml:space="preserve">od </w:t>
      </w:r>
      <w:r w:rsidRPr="00205929">
        <w:rPr>
          <w:i/>
          <w:iCs/>
        </w:rPr>
        <w:t>in vitro</w:t>
      </w:r>
      <w:r w:rsidRPr="00205929">
        <w:rPr>
          <w:iCs/>
        </w:rPr>
        <w:t>.</w:t>
      </w:r>
    </w:p>
    <w:p w:rsidR="00205929" w:rsidRPr="00A45A3F" w:rsidRDefault="00205929" w:rsidP="00A45A3F">
      <w:pPr>
        <w:pStyle w:val="ListBullet"/>
      </w:pPr>
      <w:r w:rsidRPr="00A45A3F">
        <w:lastRenderedPageBreak/>
        <w:t xml:space="preserve">Reproductive and developmental toxicity studies in female rabbits </w:t>
      </w:r>
      <w:r w:rsidR="00357974">
        <w:t xml:space="preserve">injected with </w:t>
      </w:r>
      <w:r w:rsidRPr="00A45A3F">
        <w:t>the clinical dose of Bexsero or related vaccines showed no overt hazard of vac</w:t>
      </w:r>
      <w:r w:rsidR="00A45A3F">
        <w:t>cination to maternal animals, f</w:t>
      </w:r>
      <w:r w:rsidRPr="00A45A3F">
        <w:t>etuses o</w:t>
      </w:r>
      <w:r w:rsidR="00A45A3F">
        <w:t xml:space="preserve">r 4 </w:t>
      </w:r>
      <w:r w:rsidRPr="00A45A3F">
        <w:t>week old pups. Vaccine-specific antibodies were detec</w:t>
      </w:r>
      <w:r w:rsidR="00357974">
        <w:t>ted by ELISA and SBA in dams, f</w:t>
      </w:r>
      <w:r w:rsidRPr="00A45A3F">
        <w:t>e</w:t>
      </w:r>
      <w:r w:rsidR="000A64F6">
        <w:t>tuses and 4-week old offspring.</w:t>
      </w:r>
    </w:p>
    <w:p w:rsidR="00205929" w:rsidRPr="00205929" w:rsidRDefault="0062633D" w:rsidP="000A64F6">
      <w:pPr>
        <w:pStyle w:val="Heading3"/>
      </w:pPr>
      <w:bookmarkStart w:id="67" w:name="_Toc294861479"/>
      <w:bookmarkStart w:id="68" w:name="_Toc318722113"/>
      <w:bookmarkStart w:id="69" w:name="_Toc351118054"/>
      <w:bookmarkStart w:id="70" w:name="_Toc370985730"/>
      <w:r>
        <w:t>C</w:t>
      </w:r>
      <w:r w:rsidRPr="00205929">
        <w:t>onclusions and recommendation</w:t>
      </w:r>
      <w:bookmarkEnd w:id="67"/>
      <w:bookmarkEnd w:id="68"/>
      <w:bookmarkEnd w:id="69"/>
      <w:bookmarkEnd w:id="70"/>
    </w:p>
    <w:p w:rsidR="00205929" w:rsidRPr="00A45A3F" w:rsidRDefault="00205929" w:rsidP="00A45A3F">
      <w:pPr>
        <w:pStyle w:val="ListBullet"/>
      </w:pPr>
      <w:r w:rsidRPr="00A45A3F">
        <w:t>Vaccine immunogenicity was shown in terms of serum antibody and/or SBA titres in mice, guinea pigs,</w:t>
      </w:r>
      <w:r w:rsidR="00357974">
        <w:t xml:space="preserve"> rabbits and non-human primates</w:t>
      </w:r>
      <w:r w:rsidRPr="00A45A3F">
        <w:t xml:space="preserve"> at doses </w:t>
      </w:r>
      <w:r w:rsidR="003805DF">
        <w:t>one</w:t>
      </w:r>
      <w:r w:rsidR="00A45A3F">
        <w:t xml:space="preserve"> quarter to </w:t>
      </w:r>
      <w:r w:rsidRPr="00A45A3F">
        <w:t xml:space="preserve">double the clinical dose in humans. Passive protection against bacteraemia was shown in infant rats administered </w:t>
      </w:r>
      <w:proofErr w:type="spellStart"/>
      <w:r w:rsidRPr="00A45A3F">
        <w:t>antisera</w:t>
      </w:r>
      <w:proofErr w:type="spellEnd"/>
      <w:r w:rsidRPr="00A45A3F">
        <w:t xml:space="preserve"> from vaccinated mice or guinea pigs. Active protection was not investigated due to the lack of animal models of infection </w:t>
      </w:r>
      <w:r w:rsidR="00357974">
        <w:t xml:space="preserve">with </w:t>
      </w:r>
      <w:r w:rsidRPr="00A45A3F">
        <w:rPr>
          <w:i/>
          <w:iCs/>
        </w:rPr>
        <w:t>N</w:t>
      </w:r>
      <w:r w:rsidR="00A45A3F" w:rsidRPr="00A45A3F">
        <w:rPr>
          <w:i/>
          <w:iCs/>
        </w:rPr>
        <w:t xml:space="preserve">. </w:t>
      </w:r>
      <w:r w:rsidRPr="00A45A3F">
        <w:rPr>
          <w:i/>
          <w:iCs/>
        </w:rPr>
        <w:t>meningitidis</w:t>
      </w:r>
      <w:r w:rsidRPr="00A45A3F">
        <w:t>, a human-specific pathogen.</w:t>
      </w:r>
    </w:p>
    <w:p w:rsidR="00205929" w:rsidRPr="00A45A3F" w:rsidRDefault="00205929" w:rsidP="00A45A3F">
      <w:pPr>
        <w:pStyle w:val="ListBullet"/>
      </w:pPr>
      <w:r w:rsidRPr="00A45A3F">
        <w:t>No dedicated safety phar</w:t>
      </w:r>
      <w:r w:rsidR="00357974">
        <w:t>macology studies were conducted</w:t>
      </w:r>
      <w:r w:rsidRPr="00A45A3F">
        <w:t xml:space="preserve"> but some safety pharmacology parameters were investigated in the toxicity studies.</w:t>
      </w:r>
    </w:p>
    <w:p w:rsidR="00205929" w:rsidRPr="00205929" w:rsidRDefault="00205929" w:rsidP="000F78BC">
      <w:pPr>
        <w:pStyle w:val="ListBullet"/>
      </w:pPr>
      <w:r w:rsidRPr="00205929">
        <w:t>GLP-compliant acute and repeat-dose toxicity studies with the clinical and related vaccine formulations showed small, significant increases in</w:t>
      </w:r>
      <w:r w:rsidR="00942D8E">
        <w:t xml:space="preserve"> fibrinogen and globulin levels</w:t>
      </w:r>
      <w:r w:rsidRPr="00205929">
        <w:t xml:space="preserve"> and </w:t>
      </w:r>
      <w:r w:rsidR="00357974">
        <w:t xml:space="preserve">in </w:t>
      </w:r>
      <w:r w:rsidRPr="00205929">
        <w:t>leukocyte and neutrophil counts, indicative of a transient immune/inflammatory response, but no systemic toxicity. Injection site reactions were slightly more frequent and severe in vaccinated rabbits in comparison with controls, but were within acceptable levels. The clinical dose of Bexsero (0.5 mL) administered in 2.3-3.8 kg rabbits was 1.3-2.1 times the dose proposed for a 5 kg infa</w:t>
      </w:r>
      <w:r w:rsidR="000A64F6">
        <w:t>nt, on the basis of bodyweight.</w:t>
      </w:r>
    </w:p>
    <w:p w:rsidR="00205929" w:rsidRPr="00205929" w:rsidRDefault="00205929" w:rsidP="000F78BC">
      <w:pPr>
        <w:pStyle w:val="ListBullet"/>
      </w:pPr>
      <w:r w:rsidRPr="00205929">
        <w:t xml:space="preserve">The vaccine contains a relative large amount of </w:t>
      </w:r>
      <w:r w:rsidR="00C475AD">
        <w:t>LPS</w:t>
      </w:r>
      <w:r w:rsidR="00357974">
        <w:t xml:space="preserve">. LPS </w:t>
      </w:r>
      <w:r w:rsidRPr="00205929">
        <w:t>is hi</w:t>
      </w:r>
      <w:r w:rsidR="00357974">
        <w:t xml:space="preserve">ghly </w:t>
      </w:r>
      <w:proofErr w:type="spellStart"/>
      <w:r w:rsidR="00357974">
        <w:t>pyrogenic</w:t>
      </w:r>
      <w:proofErr w:type="spellEnd"/>
      <w:r w:rsidR="00357974">
        <w:t xml:space="preserve"> in its free form</w:t>
      </w:r>
      <w:r w:rsidRPr="00205929">
        <w:t xml:space="preserve"> but its </w:t>
      </w:r>
      <w:proofErr w:type="spellStart"/>
      <w:r w:rsidRPr="00205929">
        <w:t>pyrogenicity</w:t>
      </w:r>
      <w:proofErr w:type="spellEnd"/>
      <w:r w:rsidRPr="00205929">
        <w:t xml:space="preserve"> is substantially reduced when associated with proteins in OMVs, and is further reduced by adsorption of the OMVs to </w:t>
      </w:r>
      <w:proofErr w:type="gramStart"/>
      <w:r w:rsidRPr="00205929">
        <w:t>Al(</w:t>
      </w:r>
      <w:proofErr w:type="gramEnd"/>
      <w:r w:rsidRPr="00205929">
        <w:t>OH)</w:t>
      </w:r>
      <w:r w:rsidRPr="00205929">
        <w:rPr>
          <w:vertAlign w:val="subscript"/>
        </w:rPr>
        <w:t>3</w:t>
      </w:r>
      <w:r w:rsidRPr="00205929">
        <w:t xml:space="preserve"> adjuvant. However, a toxicity study with a related OMV vaccine reported elevated rectal temperatures in rabbits, indicative of residual </w:t>
      </w:r>
      <w:proofErr w:type="spellStart"/>
      <w:r w:rsidRPr="00205929">
        <w:t>pyrogenicity</w:t>
      </w:r>
      <w:proofErr w:type="spellEnd"/>
      <w:r w:rsidRPr="00205929">
        <w:t xml:space="preserve">. Registration should be subject to satisfactory clinical investigation of vaccine </w:t>
      </w:r>
      <w:proofErr w:type="spellStart"/>
      <w:r w:rsidRPr="00205929">
        <w:t>pyrogenic</w:t>
      </w:r>
      <w:proofErr w:type="spellEnd"/>
      <w:r w:rsidRPr="00205929">
        <w:t xml:space="preserve"> potential, particularly in infants.</w:t>
      </w:r>
    </w:p>
    <w:p w:rsidR="00205929" w:rsidRPr="00205929" w:rsidRDefault="00205929" w:rsidP="000F78BC">
      <w:pPr>
        <w:pStyle w:val="ListBullet"/>
      </w:pPr>
      <w:r w:rsidRPr="00205929">
        <w:t xml:space="preserve">GLP-compliant reproduction and developmental toxicity studies in which female rabbits were administered the clinical dose of Bexsero indicated no significant toxicity to dams, </w:t>
      </w:r>
      <w:r w:rsidR="00A45A3F">
        <w:t xml:space="preserve">fetuses or pups. The proposed </w:t>
      </w:r>
      <w:r w:rsidR="00C475AD">
        <w:t>u</w:t>
      </w:r>
      <w:r w:rsidR="00A45A3F">
        <w:t xml:space="preserve">se in </w:t>
      </w:r>
      <w:r w:rsidR="00C475AD">
        <w:t>p</w:t>
      </w:r>
      <w:r w:rsidR="00A45A3F">
        <w:t>regnancy Category B1</w:t>
      </w:r>
      <w:r w:rsidRPr="00205929">
        <w:t xml:space="preserve"> is considered appropriate.</w:t>
      </w:r>
    </w:p>
    <w:p w:rsidR="008E7846" w:rsidRDefault="000358CD" w:rsidP="0062633D">
      <w:pPr>
        <w:pStyle w:val="ListBullet"/>
        <w:numPr>
          <w:ilvl w:val="0"/>
          <w:numId w:val="0"/>
        </w:numPr>
      </w:pPr>
      <w:r>
        <w:t xml:space="preserve">The nonclinical evaluator raised no objections to the registration of Bexsero. </w:t>
      </w:r>
      <w:r w:rsidR="00A45A3F" w:rsidRPr="00A45A3F">
        <w:t xml:space="preserve">Revisions were </w:t>
      </w:r>
      <w:r w:rsidR="00205929" w:rsidRPr="00A45A3F">
        <w:t>recommended</w:t>
      </w:r>
      <w:r w:rsidR="00A45A3F">
        <w:t xml:space="preserve"> to the nonclinical statements in the draft PI; details of these are beyond the scope of the </w:t>
      </w:r>
      <w:proofErr w:type="spellStart"/>
      <w:r w:rsidR="00A45A3F">
        <w:t>AusPAR</w:t>
      </w:r>
      <w:proofErr w:type="spellEnd"/>
      <w:r w:rsidR="00205929" w:rsidRPr="00A45A3F">
        <w:t>.</w:t>
      </w:r>
    </w:p>
    <w:p w:rsidR="008E7846" w:rsidRPr="00254787" w:rsidRDefault="008E7846" w:rsidP="000A64F6">
      <w:pPr>
        <w:pStyle w:val="Heading2"/>
      </w:pPr>
      <w:bookmarkStart w:id="71" w:name="_Toc196046462"/>
      <w:bookmarkStart w:id="72" w:name="_Toc247691516"/>
      <w:bookmarkStart w:id="73" w:name="_Toc314842500"/>
      <w:bookmarkStart w:id="74" w:name="_Toc370985731"/>
      <w:bookmarkStart w:id="75" w:name="_Toc163441353"/>
      <w:bookmarkStart w:id="76" w:name="_Toc163441348"/>
      <w:r>
        <w:t xml:space="preserve">IV. </w:t>
      </w:r>
      <w:r w:rsidRPr="00254787">
        <w:t>Clinical</w:t>
      </w:r>
      <w:bookmarkEnd w:id="71"/>
      <w:r>
        <w:t xml:space="preserve"> </w:t>
      </w:r>
      <w:r w:rsidR="003A7F6C">
        <w:t>f</w:t>
      </w:r>
      <w:r>
        <w:t>indings</w:t>
      </w:r>
      <w:bookmarkEnd w:id="72"/>
      <w:bookmarkEnd w:id="73"/>
      <w:bookmarkEnd w:id="74"/>
    </w:p>
    <w:p w:rsidR="00C80137" w:rsidRPr="00AE6E76" w:rsidRDefault="00C80137" w:rsidP="008E7846">
      <w:pPr>
        <w:rPr>
          <w:iCs/>
        </w:rPr>
      </w:pPr>
      <w:bookmarkStart w:id="77" w:name="_Toc196046463"/>
      <w:r w:rsidRPr="00AE6E76">
        <w:rPr>
          <w:iCs/>
        </w:rPr>
        <w:t>A summary of the clinical findings is presented in this section. Further details of these clinical findings can be found in Attachment 2.</w:t>
      </w:r>
    </w:p>
    <w:p w:rsidR="008E7846" w:rsidRDefault="008E7846" w:rsidP="000A64F6">
      <w:pPr>
        <w:pStyle w:val="Heading3"/>
      </w:pPr>
      <w:bookmarkStart w:id="78" w:name="_Toc247691517"/>
      <w:bookmarkStart w:id="79" w:name="_Toc314842501"/>
      <w:bookmarkStart w:id="80" w:name="_Toc370985732"/>
      <w:r w:rsidRPr="00254787">
        <w:t>Introduction</w:t>
      </w:r>
      <w:bookmarkEnd w:id="77"/>
      <w:bookmarkEnd w:id="78"/>
      <w:bookmarkEnd w:id="79"/>
      <w:bookmarkEnd w:id="80"/>
    </w:p>
    <w:p w:rsidR="00B83D88" w:rsidRPr="00B83D88" w:rsidRDefault="00B83D88" w:rsidP="000A64F6">
      <w:pPr>
        <w:pStyle w:val="Heading4"/>
      </w:pPr>
      <w:bookmarkStart w:id="81" w:name="_Toc367950339"/>
      <w:bookmarkStart w:id="82" w:name="_Toc272414601"/>
      <w:bookmarkStart w:id="83" w:name="_Toc290846223"/>
      <w:bookmarkStart w:id="84" w:name="_Toc347406455"/>
      <w:r w:rsidRPr="00B83D88">
        <w:t>Clinical rationale</w:t>
      </w:r>
      <w:bookmarkEnd w:id="81"/>
      <w:bookmarkEnd w:id="82"/>
      <w:bookmarkEnd w:id="83"/>
      <w:bookmarkEnd w:id="84"/>
    </w:p>
    <w:p w:rsidR="00B83D88" w:rsidRPr="00B83D88" w:rsidRDefault="00477684" w:rsidP="00B83D88">
      <w:r>
        <w:t>The development of this m</w:t>
      </w:r>
      <w:r w:rsidR="00B83D88" w:rsidRPr="00B83D88">
        <w:t>eningococcal group B vaccine is based on two main areas of information relevant to meningococcal disease:</w:t>
      </w:r>
    </w:p>
    <w:p w:rsidR="00B83D88" w:rsidRPr="00B83D88" w:rsidRDefault="00B83D88" w:rsidP="00477684">
      <w:pPr>
        <w:pStyle w:val="Numberbullet0"/>
        <w:numPr>
          <w:ilvl w:val="0"/>
          <w:numId w:val="38"/>
        </w:numPr>
      </w:pPr>
      <w:r w:rsidRPr="00B83D88">
        <w:lastRenderedPageBreak/>
        <w:t>The epidemiology of meningococcal disease;</w:t>
      </w:r>
    </w:p>
    <w:p w:rsidR="00B83D88" w:rsidRPr="00B83D88" w:rsidRDefault="00B83D88" w:rsidP="00B83D88">
      <w:pPr>
        <w:numPr>
          <w:ilvl w:val="0"/>
          <w:numId w:val="37"/>
        </w:numPr>
      </w:pPr>
      <w:r w:rsidRPr="00B83D88">
        <w:t>The chronology of development of previous meningococcal B vaccines used in response to</w:t>
      </w:r>
      <w:r w:rsidR="00410DAE">
        <w:t xml:space="preserve"> epidemics in various countries</w:t>
      </w:r>
      <w:r w:rsidRPr="00B83D88">
        <w:t xml:space="preserve"> then developed further with knowledge gained from identification of the genomic structure of the outer me</w:t>
      </w:r>
      <w:r w:rsidR="000A64F6">
        <w:t xml:space="preserve">mbrane proteins of </w:t>
      </w:r>
      <w:proofErr w:type="spellStart"/>
      <w:r w:rsidR="000A64F6">
        <w:t>serogroup</w:t>
      </w:r>
      <w:proofErr w:type="spellEnd"/>
      <w:r w:rsidR="000A64F6">
        <w:t xml:space="preserve"> B.</w:t>
      </w:r>
    </w:p>
    <w:p w:rsidR="00B83D88" w:rsidRPr="00B83D88" w:rsidRDefault="00B83D88" w:rsidP="00B83D88">
      <w:r w:rsidRPr="00B83D88">
        <w:t>Invasive meningococcal disease occurs worldwide. Incidence varies in different regions of the world</w:t>
      </w:r>
      <w:r w:rsidR="000358CD">
        <w:t>.</w:t>
      </w:r>
      <w:r w:rsidRPr="00B83D88">
        <w:t xml:space="preserve"> </w:t>
      </w:r>
      <w:r w:rsidR="000358CD">
        <w:t>I</w:t>
      </w:r>
      <w:r w:rsidRPr="00B83D88">
        <w:t>nfants, children, and adolescents are the most vulnerable to developing invasive disease.</w:t>
      </w:r>
    </w:p>
    <w:p w:rsidR="00B83D88" w:rsidRPr="00B83D88" w:rsidRDefault="00B83D88" w:rsidP="00B83D88">
      <w:r w:rsidRPr="00B83D88">
        <w:t>Symptoms of the disease occur rapidly and often result in severe outcomes. Despite the availability of medical treatment and effective antibiotics, 8-9% of IMD patients in developed countries die, increasing with age</w:t>
      </w:r>
      <w:bookmarkStart w:id="85" w:name="_Ref313957798"/>
      <w:r w:rsidRPr="00B83D88">
        <w:rPr>
          <w:vertAlign w:val="superscript"/>
        </w:rPr>
        <w:footnoteReference w:id="18"/>
      </w:r>
      <w:bookmarkEnd w:id="85"/>
      <w:r w:rsidRPr="00B83D88">
        <w:t>, and up to 11-19% of survivors have lifelong sequelae</w:t>
      </w:r>
      <w:r w:rsidR="000358CD">
        <w:t>.</w:t>
      </w:r>
      <w:r w:rsidRPr="00B83D88">
        <w:rPr>
          <w:vertAlign w:val="superscript"/>
        </w:rPr>
        <w:footnoteReference w:id="19"/>
      </w:r>
      <w:r w:rsidRPr="00B83D88">
        <w:t xml:space="preserve"> Each year approximately 1.2 million cases of IMD are recorded worldwide, of which 7,000 occur in Europe</w:t>
      </w:r>
      <w:r w:rsidR="000358CD">
        <w:t>.</w:t>
      </w:r>
      <w:r w:rsidRPr="00B83D88">
        <w:rPr>
          <w:vertAlign w:val="superscript"/>
        </w:rPr>
        <w:footnoteReference w:id="20"/>
      </w:r>
      <w:r w:rsidRPr="00B83D88">
        <w:t xml:space="preserve"> The overall incidence in European countries ranges from approximately </w:t>
      </w:r>
      <w:r w:rsidR="003805DF">
        <w:t>1-4</w:t>
      </w:r>
      <w:r w:rsidRPr="00B83D88">
        <w:t xml:space="preserve"> cases per 100,000 </w:t>
      </w:r>
      <w:proofErr w:type="gramStart"/>
      <w:r w:rsidRPr="00B83D88">
        <w:t>population</w:t>
      </w:r>
      <w:proofErr w:type="gramEnd"/>
      <w:r w:rsidRPr="00B83D88">
        <w:t xml:space="preserve">. However, during epidemics this may increase to 800 cases or more per 100,000 </w:t>
      </w:r>
      <w:proofErr w:type="gramStart"/>
      <w:r w:rsidRPr="00B83D88">
        <w:t>population</w:t>
      </w:r>
      <w:proofErr w:type="gramEnd"/>
      <w:r w:rsidRPr="00B83D88">
        <w:t>.</w:t>
      </w:r>
    </w:p>
    <w:p w:rsidR="00B83D88" w:rsidRPr="00B83D88" w:rsidRDefault="00B83D88" w:rsidP="00B83D88">
      <w:r w:rsidRPr="00B83D88">
        <w:t xml:space="preserve">Over 90% of meningococcal meningitis and septicaemia </w:t>
      </w:r>
      <w:r w:rsidR="00410DAE">
        <w:t>is</w:t>
      </w:r>
      <w:r w:rsidRPr="00B83D88">
        <w:t xml:space="preserve"> caused by five of the 13 meningococcal </w:t>
      </w:r>
      <w:proofErr w:type="spellStart"/>
      <w:r w:rsidRPr="00B83D88">
        <w:t>serogroups</w:t>
      </w:r>
      <w:proofErr w:type="spellEnd"/>
      <w:r w:rsidRPr="00B83D88">
        <w:t xml:space="preserve">, </w:t>
      </w:r>
      <w:r w:rsidR="00F069E6">
        <w:t>that is</w:t>
      </w:r>
      <w:r w:rsidRPr="00B83D88">
        <w:t xml:space="preserve">, </w:t>
      </w:r>
      <w:proofErr w:type="spellStart"/>
      <w:r w:rsidRPr="00B83D88">
        <w:t>serogroups</w:t>
      </w:r>
      <w:proofErr w:type="spellEnd"/>
      <w:r w:rsidRPr="00B83D88">
        <w:t xml:space="preserve"> A, B, C, W-135 and Y</w:t>
      </w:r>
      <w:bookmarkStart w:id="86" w:name="_Ref313967561"/>
      <w:r w:rsidR="00F069E6">
        <w:t>.</w:t>
      </w:r>
      <w:r w:rsidRPr="00B83D88">
        <w:rPr>
          <w:vertAlign w:val="superscript"/>
        </w:rPr>
        <w:footnoteReference w:id="21"/>
      </w:r>
      <w:bookmarkEnd w:id="86"/>
      <w:r w:rsidRPr="00B83D88">
        <w:t xml:space="preserve"> The introduction of the conjugate serogroup C meningococcal vaccine changed the epidemiology of the disease in developed countries dramatically, leaving serogroup B as the predominant cause of disease. It is thought that the development of vaccines for prevention of serogroup B disease in industriali</w:t>
      </w:r>
      <w:r w:rsidR="00477684">
        <w:t>s</w:t>
      </w:r>
      <w:r w:rsidRPr="00B83D88">
        <w:t>ed nations and serogroup A conjugate vaccines for Africa could lead to global control of meningococcal disease</w:t>
      </w:r>
      <w:r w:rsidR="00F069E6">
        <w:t>.</w:t>
      </w:r>
      <w:r w:rsidRPr="00B83D88">
        <w:rPr>
          <w:vertAlign w:val="superscript"/>
        </w:rPr>
        <w:footnoteReference w:id="22"/>
      </w:r>
    </w:p>
    <w:p w:rsidR="00F069E6" w:rsidRDefault="00B83D88" w:rsidP="00B83D88">
      <w:r w:rsidRPr="00B83D88">
        <w:t>Serogroup B accounts for a high proportion of meningococcal disease cases in the Americas, Japan</w:t>
      </w:r>
      <w:r w:rsidR="002F6E62">
        <w:t>,</w:t>
      </w:r>
      <w:r w:rsidRPr="00B83D88">
        <w:t xml:space="preserve"> Europe, Australia (&gt; 80%) and New Zealand (87%). The global incidence of serogroup B has been estimated between 20,000 and 80,000 cases per year, accounting f</w:t>
      </w:r>
      <w:r w:rsidR="000A64F6">
        <w:t>or 2,000-8,000 deaths annually.</w:t>
      </w:r>
    </w:p>
    <w:p w:rsidR="002D4E2E" w:rsidRDefault="002D4E2E" w:rsidP="00B83D88">
      <w:r>
        <w:t xml:space="preserve">Further details on the epidemiology of </w:t>
      </w:r>
      <w:r w:rsidRPr="002D4E2E">
        <w:t>meningococcal disease</w:t>
      </w:r>
      <w:r>
        <w:t xml:space="preserve"> are found in the CER (see Attachment 2of this </w:t>
      </w:r>
      <w:proofErr w:type="spellStart"/>
      <w:r>
        <w:t>AusPAR</w:t>
      </w:r>
      <w:proofErr w:type="spellEnd"/>
      <w:r>
        <w:t>)</w:t>
      </w:r>
      <w:r w:rsidR="000A64F6">
        <w:t>.</w:t>
      </w:r>
    </w:p>
    <w:p w:rsidR="00B83D88" w:rsidRPr="00B83D88" w:rsidRDefault="00C37C82" w:rsidP="00477684">
      <w:pPr>
        <w:pStyle w:val="Heading5"/>
      </w:pPr>
      <w:r>
        <w:t>Vaccine c</w:t>
      </w:r>
      <w:r w:rsidR="00B83D88" w:rsidRPr="00B83D88">
        <w:t xml:space="preserve">linical </w:t>
      </w:r>
      <w:r>
        <w:t>d</w:t>
      </w:r>
      <w:r w:rsidR="00B83D88" w:rsidRPr="00B83D88">
        <w:t xml:space="preserve">evelopment </w:t>
      </w:r>
      <w:r>
        <w:t>p</w:t>
      </w:r>
      <w:r w:rsidR="00B83D88" w:rsidRPr="00B83D88">
        <w:t>rogram</w:t>
      </w:r>
    </w:p>
    <w:p w:rsidR="002D4E2E" w:rsidRDefault="00B83D88" w:rsidP="00B83D88">
      <w:r w:rsidRPr="00B83D88">
        <w:t xml:space="preserve">To date, no broadly effective serogroup B meningococcal vaccines are available. Capsular polysaccharide vaccines have been used for the other meningococcal </w:t>
      </w:r>
      <w:proofErr w:type="spellStart"/>
      <w:r w:rsidRPr="00B83D88">
        <w:t>serogroups</w:t>
      </w:r>
      <w:proofErr w:type="spellEnd"/>
      <w:r w:rsidRPr="00B83D88">
        <w:t xml:space="preserve"> but the capsular polysaccharide of meningococcal serogroup B is poorly immunogenic in humans. This prompted research to focus on proteins in the outer membrane of </w:t>
      </w:r>
      <w:proofErr w:type="spellStart"/>
      <w:r w:rsidRPr="00B83D88">
        <w:t>meningococci</w:t>
      </w:r>
      <w:proofErr w:type="spellEnd"/>
      <w:r w:rsidRPr="00B83D88">
        <w:t xml:space="preserve"> as potential antigens for candidate vaccines. Serogroup B vaccines based on protein-containing OMV have been safe and effective in controlling epidemic disease caused by strains homologous to the vaccine strain in Cuba, Brazil, Chile, Norway, and New Zealand. The use of these OMV vaccines to combat serogroup B meningococcal disease has been limited, however, due to the strain-specific nature of the protection and the lack of consist</w:t>
      </w:r>
      <w:r w:rsidR="000A64F6">
        <w:t>ent efficacy in young children.</w:t>
      </w:r>
    </w:p>
    <w:p w:rsidR="00B83D88" w:rsidRPr="00B83D88" w:rsidRDefault="00B83D88" w:rsidP="00B83D88">
      <w:r w:rsidRPr="00B83D88">
        <w:t>This serogroup B meningococcal vaccine (</w:t>
      </w:r>
      <w:r w:rsidR="00583B2C">
        <w:t xml:space="preserve">Bexsero, also called </w:t>
      </w:r>
      <w:r w:rsidRPr="00B83D88">
        <w:t>rMenB+OMV NZ) was developed based on knowledge gained during vaccine development for the Norwegian (</w:t>
      </w:r>
      <w:proofErr w:type="spellStart"/>
      <w:r w:rsidRPr="00B83D88">
        <w:t>MenBvac</w:t>
      </w:r>
      <w:proofErr w:type="spellEnd"/>
      <w:r w:rsidR="00583B2C">
        <w:t xml:space="preserve"> vaccine</w:t>
      </w:r>
      <w:r w:rsidRPr="00B83D88">
        <w:t>) and New Zealand (</w:t>
      </w:r>
      <w:proofErr w:type="spellStart"/>
      <w:r w:rsidRPr="00B83D88">
        <w:t>MeNZB</w:t>
      </w:r>
      <w:proofErr w:type="spellEnd"/>
      <w:r w:rsidR="00583B2C">
        <w:t xml:space="preserve"> vaccine</w:t>
      </w:r>
      <w:r w:rsidRPr="00B83D88">
        <w:t xml:space="preserve">) epidemics, in conjunction with the </w:t>
      </w:r>
      <w:proofErr w:type="gramStart"/>
      <w:r w:rsidRPr="00B83D88">
        <w:lastRenderedPageBreak/>
        <w:t>identification</w:t>
      </w:r>
      <w:proofErr w:type="gramEnd"/>
      <w:r w:rsidRPr="00B83D88">
        <w:t xml:space="preserve"> of the </w:t>
      </w:r>
      <w:r w:rsidRPr="00B83D88">
        <w:rPr>
          <w:i/>
          <w:iCs/>
        </w:rPr>
        <w:t xml:space="preserve">N. meningitidis </w:t>
      </w:r>
      <w:r w:rsidRPr="00B83D88">
        <w:t>serogroup B genome sequence. The availability of the bacterial genome sequence allowed identification of conserved surface-exposed outer membrane proteins of serogroup B strains that were targets for bactericidal antibodies</w:t>
      </w:r>
      <w:r w:rsidR="002D4E2E">
        <w:t>.</w:t>
      </w:r>
      <w:r w:rsidRPr="00B83D88">
        <w:rPr>
          <w:vertAlign w:val="superscript"/>
        </w:rPr>
        <w:footnoteReference w:id="23"/>
      </w:r>
    </w:p>
    <w:p w:rsidR="00B83D88" w:rsidRPr="00B83D88" w:rsidRDefault="00B83D88" w:rsidP="00477684">
      <w:pPr>
        <w:pStyle w:val="Heading4"/>
      </w:pPr>
      <w:bookmarkStart w:id="87" w:name="_Toc367950340"/>
      <w:bookmarkStart w:id="88" w:name="_Toc272414609"/>
      <w:bookmarkStart w:id="89" w:name="_Toc290846231"/>
      <w:bookmarkStart w:id="90" w:name="_Toc347406460"/>
      <w:r w:rsidRPr="00B83D88">
        <w:t>Guidance</w:t>
      </w:r>
      <w:bookmarkEnd w:id="87"/>
      <w:bookmarkEnd w:id="88"/>
      <w:bookmarkEnd w:id="89"/>
      <w:bookmarkEnd w:id="90"/>
    </w:p>
    <w:p w:rsidR="00B83D88" w:rsidRPr="00B83D88" w:rsidRDefault="00B83D88" w:rsidP="00B83D88">
      <w:r w:rsidRPr="00B83D88">
        <w:t>The process for the selection of the final formulation, dose and timing of vaccinatio</w:t>
      </w:r>
      <w:r w:rsidR="00090ABA">
        <w:t>ns</w:t>
      </w:r>
      <w:r w:rsidR="002F6E62">
        <w:t xml:space="preserve"> conformed to the Committee f</w:t>
      </w:r>
      <w:r w:rsidRPr="00B83D88">
        <w:t xml:space="preserve">or Medicinal Products </w:t>
      </w:r>
      <w:r w:rsidR="002F6E62">
        <w:t>f</w:t>
      </w:r>
      <w:r w:rsidRPr="00B83D88">
        <w:t xml:space="preserve">or Human Use </w:t>
      </w:r>
      <w:r w:rsidR="002F6E62">
        <w:t xml:space="preserve">(CHMP) </w:t>
      </w:r>
      <w:r w:rsidRPr="002F6E62">
        <w:rPr>
          <w:i/>
          <w:iCs/>
        </w:rPr>
        <w:t xml:space="preserve">Guideline </w:t>
      </w:r>
      <w:r w:rsidR="002F6E62">
        <w:rPr>
          <w:i/>
          <w:iCs/>
        </w:rPr>
        <w:t>o</w:t>
      </w:r>
      <w:r w:rsidRPr="002F6E62">
        <w:rPr>
          <w:i/>
          <w:iCs/>
        </w:rPr>
        <w:t xml:space="preserve">n </w:t>
      </w:r>
      <w:r w:rsidR="002F6E62">
        <w:rPr>
          <w:i/>
          <w:iCs/>
        </w:rPr>
        <w:t>c</w:t>
      </w:r>
      <w:r w:rsidRPr="002F6E62">
        <w:rPr>
          <w:i/>
          <w:iCs/>
        </w:rPr>
        <w:t xml:space="preserve">linical </w:t>
      </w:r>
      <w:r w:rsidR="002F6E62">
        <w:rPr>
          <w:i/>
          <w:iCs/>
        </w:rPr>
        <w:t>e</w:t>
      </w:r>
      <w:r w:rsidRPr="002F6E62">
        <w:rPr>
          <w:i/>
          <w:iCs/>
        </w:rPr>
        <w:t xml:space="preserve">valuation of </w:t>
      </w:r>
      <w:r w:rsidR="002F6E62">
        <w:rPr>
          <w:i/>
          <w:iCs/>
        </w:rPr>
        <w:t>n</w:t>
      </w:r>
      <w:r w:rsidRPr="002F6E62">
        <w:rPr>
          <w:i/>
          <w:iCs/>
        </w:rPr>
        <w:t xml:space="preserve">ew </w:t>
      </w:r>
      <w:r w:rsidR="002F6E62">
        <w:rPr>
          <w:i/>
          <w:iCs/>
        </w:rPr>
        <w:t>v</w:t>
      </w:r>
      <w:r w:rsidRPr="002F6E62">
        <w:rPr>
          <w:i/>
          <w:iCs/>
        </w:rPr>
        <w:t>accines</w:t>
      </w:r>
      <w:r w:rsidRPr="00B83D88">
        <w:t xml:space="preserve"> (EMEA/CHMP/VWP/164653/2005)</w:t>
      </w:r>
      <w:r w:rsidR="002F6E62">
        <w:t>.</w:t>
      </w:r>
      <w:r w:rsidRPr="00B83D88">
        <w:rPr>
          <w:vertAlign w:val="superscript"/>
        </w:rPr>
        <w:footnoteReference w:id="24"/>
      </w:r>
    </w:p>
    <w:p w:rsidR="00B83D88" w:rsidRPr="00B83D88" w:rsidRDefault="00B83D88" w:rsidP="000A64F6">
      <w:pPr>
        <w:pStyle w:val="Heading4"/>
      </w:pPr>
      <w:bookmarkStart w:id="91" w:name="_Toc367950341"/>
      <w:r w:rsidRPr="00B83D88">
        <w:t>Contents of the clinical dossier</w:t>
      </w:r>
      <w:bookmarkEnd w:id="91"/>
    </w:p>
    <w:p w:rsidR="00B83D88" w:rsidRPr="00B83D88" w:rsidRDefault="00B83D88" w:rsidP="00477684">
      <w:pPr>
        <w:pStyle w:val="Heading5"/>
      </w:pPr>
      <w:bookmarkStart w:id="92" w:name="_Toc367950342"/>
      <w:r w:rsidRPr="00B83D88">
        <w:t>Scope of the clinical dossier</w:t>
      </w:r>
      <w:bookmarkEnd w:id="92"/>
    </w:p>
    <w:p w:rsidR="00761C6C" w:rsidRDefault="00761C6C" w:rsidP="00B83D88">
      <w:r w:rsidRPr="00761C6C">
        <w:t xml:space="preserve">The clinical studies providing data for this submission are summarised in </w:t>
      </w:r>
      <w:r w:rsidR="001D7C7D">
        <w:t>Table 4</w:t>
      </w:r>
      <w:r w:rsidR="000A64F6">
        <w:t>.</w:t>
      </w:r>
    </w:p>
    <w:p w:rsidR="00B83D88" w:rsidRPr="00B83D88" w:rsidRDefault="00B83D88" w:rsidP="00B83D88">
      <w:r w:rsidRPr="00B83D88">
        <w:t>The submission contained the following clinical information:</w:t>
      </w:r>
    </w:p>
    <w:p w:rsidR="00B83D88" w:rsidRPr="00B83D88" w:rsidRDefault="00B83D88" w:rsidP="000019F0">
      <w:r w:rsidRPr="00B83D88">
        <w:t>Module 5</w:t>
      </w:r>
      <w:r w:rsidR="000019F0">
        <w:t>:</w:t>
      </w:r>
    </w:p>
    <w:p w:rsidR="00B83D88" w:rsidRPr="000019F0" w:rsidRDefault="00B83D88" w:rsidP="000019F0">
      <w:r w:rsidRPr="000019F0">
        <w:t xml:space="preserve">This </w:t>
      </w:r>
      <w:r w:rsidR="002F6E62" w:rsidRPr="000019F0">
        <w:t xml:space="preserve">contains data from three </w:t>
      </w:r>
      <w:proofErr w:type="gramStart"/>
      <w:r w:rsidR="002F6E62" w:rsidRPr="000019F0">
        <w:t>Phase</w:t>
      </w:r>
      <w:proofErr w:type="gramEnd"/>
      <w:r w:rsidR="002F6E62" w:rsidRPr="000019F0">
        <w:t xml:space="preserve"> I</w:t>
      </w:r>
      <w:r w:rsidRPr="000019F0">
        <w:t xml:space="preserve"> clinical efficacy studies used in</w:t>
      </w:r>
      <w:r w:rsidR="00A97D28" w:rsidRPr="000019F0">
        <w:t xml:space="preserve"> the development of the vaccine</w:t>
      </w:r>
      <w:r w:rsidRPr="000019F0">
        <w:t xml:space="preserve"> with an earlier formulation and a number of studies using the final vaccine formulation. </w:t>
      </w:r>
      <w:r w:rsidR="00A97D28" w:rsidRPr="000019F0">
        <w:t>Studies u</w:t>
      </w:r>
      <w:r w:rsidRPr="000019F0">
        <w:t>sing the final formulation</w:t>
      </w:r>
      <w:r w:rsidR="00A97D28" w:rsidRPr="000019F0">
        <w:t xml:space="preserve"> included </w:t>
      </w:r>
      <w:r w:rsidRPr="000019F0">
        <w:t xml:space="preserve">1 </w:t>
      </w:r>
      <w:r w:rsidR="00A97D28" w:rsidRPr="000019F0">
        <w:t>P</w:t>
      </w:r>
      <w:r w:rsidRPr="000019F0">
        <w:t xml:space="preserve">hase </w:t>
      </w:r>
      <w:r w:rsidR="00A97D28" w:rsidRPr="000019F0">
        <w:t>I and</w:t>
      </w:r>
      <w:r w:rsidRPr="000019F0">
        <w:t xml:space="preserve"> 5 </w:t>
      </w:r>
      <w:r w:rsidR="00A97D28" w:rsidRPr="000019F0">
        <w:t>P</w:t>
      </w:r>
      <w:r w:rsidRPr="000019F0">
        <w:t xml:space="preserve">hase </w:t>
      </w:r>
      <w:r w:rsidR="00A97D28" w:rsidRPr="000019F0">
        <w:t>II</w:t>
      </w:r>
      <w:r w:rsidRPr="000019F0">
        <w:t xml:space="preserve"> immunogenicity and safety studies in varying age groups</w:t>
      </w:r>
      <w:r w:rsidR="00090ABA" w:rsidRPr="000019F0">
        <w:t>, 1 </w:t>
      </w:r>
      <w:r w:rsidRPr="000019F0">
        <w:t xml:space="preserve">Phase </w:t>
      </w:r>
      <w:r w:rsidR="00A97D28" w:rsidRPr="000019F0">
        <w:t>III</w:t>
      </w:r>
      <w:r w:rsidRPr="000019F0">
        <w:t xml:space="preserve"> immunogenicity and safety study in 11-17 year old population</w:t>
      </w:r>
      <w:r w:rsidR="00090ABA" w:rsidRPr="000019F0">
        <w:t>,</w:t>
      </w:r>
      <w:r w:rsidRPr="000019F0">
        <w:t xml:space="preserve"> and </w:t>
      </w:r>
      <w:proofErr w:type="gramStart"/>
      <w:r w:rsidR="00A97D28" w:rsidRPr="000019F0">
        <w:t xml:space="preserve">1 </w:t>
      </w:r>
      <w:r w:rsidRPr="000019F0">
        <w:t xml:space="preserve">Phase </w:t>
      </w:r>
      <w:r w:rsidR="00A97D28" w:rsidRPr="000019F0">
        <w:t>III</w:t>
      </w:r>
      <w:r w:rsidRPr="000019F0">
        <w:t xml:space="preserve"> immunogenicity</w:t>
      </w:r>
      <w:proofErr w:type="gramEnd"/>
      <w:r w:rsidRPr="000019F0">
        <w:t xml:space="preserve">, lot consistency and safety study </w:t>
      </w:r>
      <w:r w:rsidR="00A97D28" w:rsidRPr="000019F0">
        <w:t xml:space="preserve">in </w:t>
      </w:r>
      <w:r w:rsidRPr="000019F0">
        <w:t>infants</w:t>
      </w:r>
      <w:r w:rsidR="00090ABA" w:rsidRPr="000019F0">
        <w:t>,</w:t>
      </w:r>
      <w:r w:rsidRPr="000019F0">
        <w:t xml:space="preserve"> with </w:t>
      </w:r>
      <w:r w:rsidR="00090ABA" w:rsidRPr="000019F0">
        <w:t xml:space="preserve">a </w:t>
      </w:r>
      <w:r w:rsidRPr="000019F0">
        <w:t>separate report fo</w:t>
      </w:r>
      <w:r w:rsidR="000A64F6">
        <w:t>r booster dose after 12 months.</w:t>
      </w:r>
    </w:p>
    <w:p w:rsidR="00B83D88" w:rsidRPr="000019F0" w:rsidRDefault="00B83D88" w:rsidP="000019F0">
      <w:r w:rsidRPr="000019F0">
        <w:t>Module 2</w:t>
      </w:r>
      <w:r w:rsidR="000019F0">
        <w:t>:</w:t>
      </w:r>
    </w:p>
    <w:p w:rsidR="00B83D88" w:rsidRPr="000019F0" w:rsidRDefault="00090ABA" w:rsidP="000019F0">
      <w:r w:rsidRPr="000019F0">
        <w:t>The sponsor’s c</w:t>
      </w:r>
      <w:r w:rsidR="00B83D88" w:rsidRPr="000019F0">
        <w:t xml:space="preserve">linical </w:t>
      </w:r>
      <w:r w:rsidRPr="000019F0">
        <w:t>o</w:t>
      </w:r>
      <w:r w:rsidR="00B83D88" w:rsidRPr="000019F0">
        <w:t xml:space="preserve">verview, </w:t>
      </w:r>
      <w:r w:rsidRPr="000019F0">
        <w:t>s</w:t>
      </w:r>
      <w:r w:rsidR="00B83D88" w:rsidRPr="000019F0">
        <w:t xml:space="preserve">ummary of </w:t>
      </w:r>
      <w:r w:rsidRPr="000019F0">
        <w:t>c</w:t>
      </w:r>
      <w:r w:rsidR="00B83D88" w:rsidRPr="000019F0">
        <w:t xml:space="preserve">linical </w:t>
      </w:r>
      <w:r w:rsidRPr="000019F0">
        <w:t>e</w:t>
      </w:r>
      <w:r w:rsidR="00B83D88" w:rsidRPr="000019F0">
        <w:t xml:space="preserve">fficacy, </w:t>
      </w:r>
      <w:r w:rsidRPr="000019F0">
        <w:t>s</w:t>
      </w:r>
      <w:r w:rsidR="00B83D88" w:rsidRPr="000019F0">
        <w:t xml:space="preserve">ummary of </w:t>
      </w:r>
      <w:r w:rsidRPr="000019F0">
        <w:t>c</w:t>
      </w:r>
      <w:r w:rsidR="00B83D88" w:rsidRPr="000019F0">
        <w:t xml:space="preserve">linical </w:t>
      </w:r>
      <w:r w:rsidRPr="000019F0">
        <w:t>s</w:t>
      </w:r>
      <w:r w:rsidR="00B83D88" w:rsidRPr="000019F0">
        <w:t>afety</w:t>
      </w:r>
      <w:r w:rsidRPr="000019F0">
        <w:t>,</w:t>
      </w:r>
      <w:r w:rsidR="00B83D88" w:rsidRPr="000019F0">
        <w:t xml:space="preserve"> and literature references</w:t>
      </w:r>
      <w:r w:rsidR="00A97D28" w:rsidRPr="000019F0">
        <w:t xml:space="preserve"> were provided</w:t>
      </w:r>
      <w:r w:rsidR="00B83D88" w:rsidRPr="000019F0">
        <w:t>.</w:t>
      </w:r>
    </w:p>
    <w:p w:rsidR="00EB6517" w:rsidRDefault="00EB6517" w:rsidP="00EB6517">
      <w:r>
        <w:t xml:space="preserve">The </w:t>
      </w:r>
      <w:r w:rsidRPr="00EB6517">
        <w:t>Bexsero Day 121 – Response to Clinical Questions</w:t>
      </w:r>
      <w:r>
        <w:t xml:space="preserve"> raised by the European Medicines Agency (EMA; Day 120 questions) was also provided.</w:t>
      </w:r>
    </w:p>
    <w:p w:rsidR="00761C6C" w:rsidRPr="00761C6C" w:rsidRDefault="00761C6C" w:rsidP="000A64F6">
      <w:pPr>
        <w:pStyle w:val="TableTitle"/>
      </w:pPr>
      <w:bookmarkStart w:id="93" w:name="_Ref318464525"/>
      <w:bookmarkStart w:id="94" w:name="_Toc347406438"/>
      <w:proofErr w:type="gramStart"/>
      <w:r w:rsidRPr="00761C6C">
        <w:lastRenderedPageBreak/>
        <w:t>Table</w:t>
      </w:r>
      <w:bookmarkEnd w:id="93"/>
      <w:r w:rsidR="001D7C7D">
        <w:t xml:space="preserve"> 4.</w:t>
      </w:r>
      <w:proofErr w:type="gramEnd"/>
      <w:r w:rsidRPr="00761C6C">
        <w:t xml:space="preserve"> Overview of Clinical Studies for Australian Application</w:t>
      </w:r>
      <w:bookmarkEnd w:id="94"/>
    </w:p>
    <w:p w:rsidR="00761C6C" w:rsidRDefault="00761C6C" w:rsidP="000A64F6">
      <w:r w:rsidRPr="00761C6C">
        <w:rPr>
          <w:noProof/>
          <w:lang w:eastAsia="en-AU"/>
        </w:rPr>
        <w:drawing>
          <wp:inline distT="0" distB="0" distL="0" distR="0">
            <wp:extent cx="5619058" cy="7489371"/>
            <wp:effectExtent l="19050" t="0" r="692" b="0"/>
            <wp:docPr id="54" name="Picture 54" descr="Table 4. Overview of Clinical Studies for Australian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lum contrast="31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2910" cy="7494505"/>
                    </a:xfrm>
                    <a:prstGeom prst="rect">
                      <a:avLst/>
                    </a:prstGeom>
                    <a:noFill/>
                    <a:ln>
                      <a:noFill/>
                    </a:ln>
                  </pic:spPr>
                </pic:pic>
              </a:graphicData>
            </a:graphic>
          </wp:inline>
        </w:drawing>
      </w:r>
    </w:p>
    <w:p w:rsidR="00761C6C" w:rsidRPr="00761C6C" w:rsidRDefault="001D7C7D" w:rsidP="000A64F6">
      <w:pPr>
        <w:pStyle w:val="TableTitle"/>
      </w:pPr>
      <w:r>
        <w:lastRenderedPageBreak/>
        <w:t>Table 4</w:t>
      </w:r>
      <w:r w:rsidR="00761C6C">
        <w:t xml:space="preserve"> continued. </w:t>
      </w:r>
      <w:r w:rsidR="00761C6C" w:rsidRPr="00761C6C">
        <w:t>Overview of Clinical Studies for Australian Application</w:t>
      </w:r>
    </w:p>
    <w:p w:rsidR="00761C6C" w:rsidRDefault="00761C6C" w:rsidP="00761C6C">
      <w:r w:rsidRPr="00761C6C">
        <w:rPr>
          <w:noProof/>
          <w:lang w:eastAsia="en-AU"/>
        </w:rPr>
        <w:drawing>
          <wp:inline distT="0" distB="0" distL="0" distR="0">
            <wp:extent cx="5400040" cy="7627263"/>
            <wp:effectExtent l="19050" t="0" r="0" b="0"/>
            <wp:docPr id="55" name="Picture 55" descr="Table 4 continued. Overview of Clinical Studies for Australian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lum contrast="2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7627263"/>
                    </a:xfrm>
                    <a:prstGeom prst="rect">
                      <a:avLst/>
                    </a:prstGeom>
                    <a:noFill/>
                    <a:ln>
                      <a:noFill/>
                    </a:ln>
                  </pic:spPr>
                </pic:pic>
              </a:graphicData>
            </a:graphic>
          </wp:inline>
        </w:drawing>
      </w:r>
    </w:p>
    <w:p w:rsidR="00761C6C" w:rsidRPr="00761C6C" w:rsidRDefault="001D7C7D" w:rsidP="000A64F6">
      <w:pPr>
        <w:pStyle w:val="TableTitle"/>
      </w:pPr>
      <w:r>
        <w:lastRenderedPageBreak/>
        <w:t>Table 4</w:t>
      </w:r>
      <w:r w:rsidR="00761C6C" w:rsidRPr="00761C6C">
        <w:t xml:space="preserve"> continued. Overview of Clinical Studies for Australian Application</w:t>
      </w:r>
    </w:p>
    <w:p w:rsidR="00761C6C" w:rsidRDefault="00761C6C" w:rsidP="00761C6C">
      <w:pPr>
        <w:spacing w:after="0"/>
      </w:pPr>
      <w:r w:rsidRPr="00761C6C">
        <w:rPr>
          <w:noProof/>
          <w:lang w:eastAsia="en-AU"/>
        </w:rPr>
        <w:drawing>
          <wp:inline distT="0" distB="0" distL="0" distR="0">
            <wp:extent cx="5400040" cy="6518897"/>
            <wp:effectExtent l="19050" t="0" r="0" b="0"/>
            <wp:docPr id="56" name="Picture 56" descr="Table 4 continued. Overview of Clinical Studies for Australian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lum contrast="3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6518897"/>
                    </a:xfrm>
                    <a:prstGeom prst="rect">
                      <a:avLst/>
                    </a:prstGeom>
                    <a:noFill/>
                    <a:ln>
                      <a:noFill/>
                    </a:ln>
                  </pic:spPr>
                </pic:pic>
              </a:graphicData>
            </a:graphic>
          </wp:inline>
        </w:drawing>
      </w:r>
    </w:p>
    <w:p w:rsidR="00761C6C" w:rsidRPr="000A64F6" w:rsidRDefault="00761C6C" w:rsidP="000A64F6">
      <w:pPr>
        <w:pStyle w:val="TableDescription"/>
      </w:pPr>
      <w:proofErr w:type="gramStart"/>
      <w:r w:rsidRPr="00761C6C">
        <w:rPr>
          <w:vertAlign w:val="superscript"/>
        </w:rPr>
        <w:t>a</w:t>
      </w:r>
      <w:proofErr w:type="gramEnd"/>
      <w:r w:rsidRPr="00761C6C">
        <w:t xml:space="preserve"> </w:t>
      </w:r>
      <w:r w:rsidRPr="000A64F6">
        <w:t xml:space="preserve">Routine vaccinations: </w:t>
      </w:r>
      <w:proofErr w:type="spellStart"/>
      <w:r w:rsidRPr="000A64F6">
        <w:t>Infanrix</w:t>
      </w:r>
      <w:proofErr w:type="spellEnd"/>
      <w:r w:rsidRPr="000A64F6">
        <w:t xml:space="preserve"> </w:t>
      </w:r>
      <w:proofErr w:type="spellStart"/>
      <w:r w:rsidRPr="000A64F6">
        <w:t>Hexa</w:t>
      </w:r>
      <w:proofErr w:type="spellEnd"/>
      <w:r w:rsidRPr="000A64F6">
        <w:t xml:space="preserve"> (</w:t>
      </w:r>
      <w:proofErr w:type="spellStart"/>
      <w:r w:rsidRPr="000A64F6">
        <w:t>DTPa</w:t>
      </w:r>
      <w:proofErr w:type="spellEnd"/>
      <w:r w:rsidRPr="000A64F6">
        <w:t>-HBV-IPV/</w:t>
      </w:r>
      <w:proofErr w:type="spellStart"/>
      <w:r w:rsidRPr="000A64F6">
        <w:t>Hib</w:t>
      </w:r>
      <w:proofErr w:type="spellEnd"/>
      <w:r w:rsidRPr="000A64F6">
        <w:t xml:space="preserve">) and </w:t>
      </w:r>
      <w:proofErr w:type="spellStart"/>
      <w:r w:rsidRPr="000A64F6">
        <w:t>Prevenar</w:t>
      </w:r>
      <w:proofErr w:type="spellEnd"/>
      <w:r w:rsidRPr="000A64F6">
        <w:t xml:space="preserve"> (PCV7)</w:t>
      </w:r>
    </w:p>
    <w:p w:rsidR="00B83D88" w:rsidRPr="00B83D88" w:rsidRDefault="00B83D88" w:rsidP="00477684">
      <w:pPr>
        <w:pStyle w:val="Heading4"/>
      </w:pPr>
      <w:bookmarkStart w:id="95" w:name="_Toc367950343"/>
      <w:r w:rsidRPr="00B83D88">
        <w:t>Paediatric data</w:t>
      </w:r>
      <w:bookmarkEnd w:id="95"/>
    </w:p>
    <w:p w:rsidR="00B83D88" w:rsidRPr="00A1538B" w:rsidRDefault="00B83D88" w:rsidP="00A1538B">
      <w:r w:rsidRPr="00A1538B">
        <w:t xml:space="preserve">The submission included efficacy (immunogenicity) </w:t>
      </w:r>
      <w:r w:rsidR="00A97D28">
        <w:t>and</w:t>
      </w:r>
      <w:r w:rsidRPr="00A1538B">
        <w:t xml:space="preserve"> safety data in children. Four of the </w:t>
      </w:r>
      <w:r w:rsidR="00A97D28">
        <w:t>P</w:t>
      </w:r>
      <w:r w:rsidRPr="00A1538B">
        <w:t xml:space="preserve">hase </w:t>
      </w:r>
      <w:r w:rsidR="00A97D28">
        <w:t>II</w:t>
      </w:r>
      <w:r w:rsidRPr="00A1538B">
        <w:t xml:space="preserve"> studies were in children (from 2 mont</w:t>
      </w:r>
      <w:r w:rsidR="00A97D28">
        <w:t>hs of age). There were 3 Phase III</w:t>
      </w:r>
      <w:r w:rsidRPr="00A1538B">
        <w:t xml:space="preserve"> studies in children</w:t>
      </w:r>
      <w:r w:rsidR="00090ABA">
        <w:t>,</w:t>
      </w:r>
      <w:r w:rsidRPr="00A1538B">
        <w:t xml:space="preserve"> a </w:t>
      </w:r>
      <w:r w:rsidR="00A97D28">
        <w:t>P</w:t>
      </w:r>
      <w:r w:rsidRPr="00A1538B">
        <w:t xml:space="preserve">hase </w:t>
      </w:r>
      <w:r w:rsidR="00A97D28">
        <w:t>II</w:t>
      </w:r>
      <w:r w:rsidRPr="00A1538B">
        <w:t xml:space="preserve"> study in adolescents as well as a </w:t>
      </w:r>
      <w:r w:rsidR="00A97D28">
        <w:t xml:space="preserve">Phase </w:t>
      </w:r>
      <w:proofErr w:type="spellStart"/>
      <w:r w:rsidR="00A97D28">
        <w:t>II</w:t>
      </w:r>
      <w:r w:rsidRPr="00A1538B">
        <w:t>b</w:t>
      </w:r>
      <w:proofErr w:type="spellEnd"/>
      <w:r w:rsidRPr="00A1538B">
        <w:t>/</w:t>
      </w:r>
      <w:r w:rsidR="00A97D28">
        <w:t>III</w:t>
      </w:r>
      <w:r w:rsidRPr="00A1538B">
        <w:t xml:space="preserve"> study in adolescents.</w:t>
      </w:r>
    </w:p>
    <w:p w:rsidR="00B83D88" w:rsidRPr="00B83D88" w:rsidRDefault="00B83D88" w:rsidP="00477684">
      <w:pPr>
        <w:pStyle w:val="Heading4"/>
      </w:pPr>
      <w:bookmarkStart w:id="96" w:name="_Toc367950344"/>
      <w:r w:rsidRPr="00B83D88">
        <w:t>Good clinical practice</w:t>
      </w:r>
      <w:bookmarkEnd w:id="96"/>
    </w:p>
    <w:p w:rsidR="00B83D88" w:rsidRPr="00B83D88" w:rsidRDefault="00B83D88" w:rsidP="00B83D88">
      <w:r w:rsidRPr="00B83D88">
        <w:t>As far as can be verified (and stated explicitly in th</w:t>
      </w:r>
      <w:r w:rsidR="00AA465F">
        <w:t xml:space="preserve">e </w:t>
      </w:r>
      <w:r w:rsidRPr="00B83D88">
        <w:t>submission) all studies complied with good clinical practice</w:t>
      </w:r>
      <w:r w:rsidR="00AA465F">
        <w:t xml:space="preserve"> (GCP)</w:t>
      </w:r>
      <w:r w:rsidRPr="00B83D88">
        <w:t xml:space="preserve">. All studies were performed according to the ethical principles </w:t>
      </w:r>
      <w:r w:rsidRPr="00B83D88">
        <w:lastRenderedPageBreak/>
        <w:t>of the Declaration of Helsinki and in compliance with GCP and the applicable regulatory requirements for the country in which they were conducted.</w:t>
      </w:r>
    </w:p>
    <w:p w:rsidR="008E7846" w:rsidRPr="00254787" w:rsidRDefault="008E7846" w:rsidP="008E7846">
      <w:pPr>
        <w:pStyle w:val="Heading3"/>
      </w:pPr>
      <w:bookmarkStart w:id="97" w:name="_Toc196046464"/>
      <w:bookmarkStart w:id="98" w:name="_Toc247691518"/>
      <w:bookmarkStart w:id="99" w:name="_Toc314842502"/>
      <w:bookmarkStart w:id="100" w:name="_Toc370985733"/>
      <w:r w:rsidRPr="00254787">
        <w:t>Pharmacokinetics</w:t>
      </w:r>
      <w:bookmarkEnd w:id="75"/>
      <w:bookmarkEnd w:id="97"/>
      <w:bookmarkEnd w:id="98"/>
      <w:bookmarkEnd w:id="99"/>
      <w:bookmarkEnd w:id="100"/>
    </w:p>
    <w:p w:rsidR="008E7846" w:rsidRPr="00FB2770" w:rsidRDefault="00B83D88" w:rsidP="008E7846">
      <w:r w:rsidRPr="00B83D88">
        <w:t xml:space="preserve">Pharmacokinetic studies are generally not performed for </w:t>
      </w:r>
      <w:proofErr w:type="spellStart"/>
      <w:r w:rsidRPr="00B83D88">
        <w:t>injectable</w:t>
      </w:r>
      <w:proofErr w:type="spellEnd"/>
      <w:r w:rsidRPr="00B83D88">
        <w:t xml:space="preserve"> vaccines and kinetic properties of vaccines do not provide information useful for establishing adequate dosing recommendations (</w:t>
      </w:r>
      <w:r w:rsidR="00090ABA">
        <w:t xml:space="preserve">see Guideline </w:t>
      </w:r>
      <w:r w:rsidRPr="00B83D88">
        <w:t>EMEA/CHMP/VWP/164653/2005)</w:t>
      </w:r>
      <w:r w:rsidR="00AA465F">
        <w:t>.</w:t>
      </w:r>
    </w:p>
    <w:p w:rsidR="008E7846" w:rsidRDefault="008E7846" w:rsidP="008E7846">
      <w:pPr>
        <w:pStyle w:val="Heading3"/>
      </w:pPr>
      <w:bookmarkStart w:id="101" w:name="_Toc196046481"/>
      <w:bookmarkStart w:id="102" w:name="_Toc247691520"/>
      <w:bookmarkStart w:id="103" w:name="_Toc314842503"/>
      <w:bookmarkStart w:id="104" w:name="_Toc370985734"/>
      <w:r w:rsidRPr="00254787">
        <w:t>Pharmacodynamics</w:t>
      </w:r>
      <w:bookmarkEnd w:id="76"/>
      <w:bookmarkEnd w:id="101"/>
      <w:bookmarkEnd w:id="102"/>
      <w:bookmarkEnd w:id="103"/>
      <w:bookmarkEnd w:id="104"/>
    </w:p>
    <w:p w:rsidR="00B83D88" w:rsidRPr="00B83D88" w:rsidRDefault="00B83D88" w:rsidP="00AA465F">
      <w:pPr>
        <w:pStyle w:val="Heading4"/>
      </w:pPr>
      <w:bookmarkStart w:id="105" w:name="_Toc367950347"/>
      <w:bookmarkStart w:id="106" w:name="_Toc272414637"/>
      <w:bookmarkStart w:id="107" w:name="_Toc290846260"/>
      <w:bookmarkStart w:id="108" w:name="_Toc347406471"/>
      <w:r w:rsidRPr="00B83D88">
        <w:t>Studies providing pharmacodynamic data</w:t>
      </w:r>
      <w:bookmarkEnd w:id="105"/>
      <w:bookmarkEnd w:id="106"/>
      <w:bookmarkEnd w:id="107"/>
      <w:bookmarkEnd w:id="108"/>
    </w:p>
    <w:p w:rsidR="00B83D88" w:rsidRPr="00B83D88" w:rsidRDefault="00B83D88" w:rsidP="00B83D88">
      <w:pPr>
        <w:autoSpaceDE w:val="0"/>
        <w:autoSpaceDN w:val="0"/>
        <w:adjustRightInd w:val="0"/>
        <w:rPr>
          <w:color w:val="000000"/>
        </w:rPr>
      </w:pPr>
      <w:r w:rsidRPr="00B83D88">
        <w:rPr>
          <w:color w:val="000000"/>
        </w:rPr>
        <w:t xml:space="preserve">Study V72P5 was the first to evaluate safety and immunogenicity of the final vaccine formulation containing the three recombinant proteins with OMV purified from </w:t>
      </w:r>
      <w:r w:rsidRPr="00B83D88">
        <w:rPr>
          <w:i/>
          <w:iCs/>
          <w:color w:val="000000"/>
        </w:rPr>
        <w:t xml:space="preserve">N. meningitidis </w:t>
      </w:r>
      <w:r w:rsidRPr="00B83D88">
        <w:rPr>
          <w:color w:val="000000"/>
        </w:rPr>
        <w:t>serogroup B New Zealand strain NZ98/254 (</w:t>
      </w:r>
      <w:r w:rsidR="00AA465F">
        <w:rPr>
          <w:color w:val="000000"/>
        </w:rPr>
        <w:t xml:space="preserve">that is, </w:t>
      </w:r>
      <w:r w:rsidR="00761C6C">
        <w:rPr>
          <w:color w:val="000000"/>
        </w:rPr>
        <w:t xml:space="preserve">Bexsero or </w:t>
      </w:r>
      <w:r w:rsidRPr="00B83D88">
        <w:rPr>
          <w:color w:val="000000"/>
        </w:rPr>
        <w:t xml:space="preserve">rMenB+OMV NZ). Healthy adults 18 to 40 years of age received </w:t>
      </w:r>
      <w:r w:rsidR="00605E32">
        <w:rPr>
          <w:color w:val="000000"/>
        </w:rPr>
        <w:t>3</w:t>
      </w:r>
      <w:r w:rsidRPr="00B83D88">
        <w:rPr>
          <w:color w:val="000000"/>
        </w:rPr>
        <w:t xml:space="preserve"> doses of either </w:t>
      </w:r>
      <w:bookmarkStart w:id="109" w:name="OLE_LINK1"/>
      <w:bookmarkStart w:id="110" w:name="OLE_LINK2"/>
      <w:proofErr w:type="spellStart"/>
      <w:r w:rsidRPr="00B83D88">
        <w:rPr>
          <w:color w:val="000000"/>
        </w:rPr>
        <w:t>rMenB+OMV</w:t>
      </w:r>
      <w:proofErr w:type="spellEnd"/>
      <w:r w:rsidRPr="00B83D88">
        <w:rPr>
          <w:color w:val="000000"/>
        </w:rPr>
        <w:t xml:space="preserve"> NZ</w:t>
      </w:r>
      <w:bookmarkEnd w:id="109"/>
      <w:bookmarkEnd w:id="110"/>
      <w:r w:rsidRPr="00B83D88">
        <w:rPr>
          <w:color w:val="000000"/>
        </w:rPr>
        <w:t xml:space="preserve">, </w:t>
      </w:r>
      <w:proofErr w:type="spellStart"/>
      <w:r w:rsidRPr="00B83D88">
        <w:rPr>
          <w:color w:val="000000"/>
        </w:rPr>
        <w:t>rMenB</w:t>
      </w:r>
      <w:proofErr w:type="spellEnd"/>
      <w:r w:rsidRPr="00B83D88">
        <w:rPr>
          <w:color w:val="000000"/>
        </w:rPr>
        <w:t xml:space="preserve"> OMV NW or </w:t>
      </w:r>
      <w:proofErr w:type="spellStart"/>
      <w:r w:rsidRPr="00B83D88">
        <w:rPr>
          <w:color w:val="000000"/>
        </w:rPr>
        <w:t>rMenB</w:t>
      </w:r>
      <w:proofErr w:type="spellEnd"/>
      <w:r w:rsidRPr="00B83D88">
        <w:rPr>
          <w:color w:val="000000"/>
        </w:rPr>
        <w:t xml:space="preserve"> according to a 0, 1, 2-month schedule. Although all three vaccines were immunogenic with similar safety profiles, the immune re</w:t>
      </w:r>
      <w:r w:rsidR="00AA465F">
        <w:rPr>
          <w:color w:val="000000"/>
        </w:rPr>
        <w:t xml:space="preserve">sponse against </w:t>
      </w:r>
      <w:proofErr w:type="spellStart"/>
      <w:r w:rsidR="00AA465F">
        <w:rPr>
          <w:color w:val="000000"/>
        </w:rPr>
        <w:t>hypervirulent</w:t>
      </w:r>
      <w:proofErr w:type="spellEnd"/>
      <w:r w:rsidR="00AA465F">
        <w:rPr>
          <w:color w:val="000000"/>
        </w:rPr>
        <w:t xml:space="preserve"> ST</w:t>
      </w:r>
      <w:r w:rsidR="00AA465F">
        <w:rPr>
          <w:color w:val="000000"/>
        </w:rPr>
        <w:noBreakHyphen/>
      </w:r>
      <w:r w:rsidRPr="00B83D88">
        <w:rPr>
          <w:color w:val="000000"/>
        </w:rPr>
        <w:t>41/44 complex/lineage III strains was hi</w:t>
      </w:r>
      <w:r w:rsidR="000A64F6">
        <w:rPr>
          <w:color w:val="000000"/>
        </w:rPr>
        <w:t xml:space="preserve">gher in the </w:t>
      </w:r>
      <w:proofErr w:type="spellStart"/>
      <w:r w:rsidR="000A64F6">
        <w:rPr>
          <w:color w:val="000000"/>
        </w:rPr>
        <w:t>rMenB+OMV</w:t>
      </w:r>
      <w:proofErr w:type="spellEnd"/>
      <w:r w:rsidR="000A64F6">
        <w:rPr>
          <w:color w:val="000000"/>
        </w:rPr>
        <w:t xml:space="preserve"> NZ group.</w:t>
      </w:r>
    </w:p>
    <w:p w:rsidR="00B83D88" w:rsidRPr="00B83D88" w:rsidRDefault="00AA465F" w:rsidP="00B83D88">
      <w:pPr>
        <w:autoSpaceDE w:val="0"/>
        <w:autoSpaceDN w:val="0"/>
        <w:adjustRightInd w:val="0"/>
        <w:rPr>
          <w:color w:val="000000"/>
        </w:rPr>
      </w:pPr>
      <w:r>
        <w:rPr>
          <w:color w:val="000000"/>
        </w:rPr>
        <w:t>Two Phase II</w:t>
      </w:r>
      <w:r w:rsidR="00B83D88" w:rsidRPr="00B83D88">
        <w:rPr>
          <w:color w:val="000000"/>
        </w:rPr>
        <w:t xml:space="preserve"> studies performed in the UK explored the safety and immunogenicity of </w:t>
      </w:r>
      <w:proofErr w:type="spellStart"/>
      <w:r w:rsidR="00B83D88" w:rsidRPr="00B83D88">
        <w:rPr>
          <w:color w:val="000000"/>
        </w:rPr>
        <w:t>rMenB</w:t>
      </w:r>
      <w:proofErr w:type="spellEnd"/>
      <w:r w:rsidR="00B83D88" w:rsidRPr="00B83D88">
        <w:rPr>
          <w:color w:val="000000"/>
        </w:rPr>
        <w:t xml:space="preserve"> with or without OMV NZ in infants: one (</w:t>
      </w:r>
      <w:r>
        <w:rPr>
          <w:color w:val="000000"/>
        </w:rPr>
        <w:t xml:space="preserve">Study </w:t>
      </w:r>
      <w:r w:rsidR="00B83D88" w:rsidRPr="00B83D88">
        <w:rPr>
          <w:color w:val="000000"/>
        </w:rPr>
        <w:t>V72P6) when administered to healthy infants at 2, 4 and 6 months of age, followed by a booster at 12 months of age</w:t>
      </w:r>
      <w:r>
        <w:rPr>
          <w:color w:val="000000"/>
        </w:rPr>
        <w:t>;</w:t>
      </w:r>
      <w:r w:rsidR="00B83D88" w:rsidRPr="00B83D88">
        <w:rPr>
          <w:color w:val="000000"/>
        </w:rPr>
        <w:t xml:space="preserve"> and </w:t>
      </w:r>
      <w:r w:rsidR="00761C6C">
        <w:rPr>
          <w:color w:val="000000"/>
        </w:rPr>
        <w:t xml:space="preserve">the other </w:t>
      </w:r>
      <w:r w:rsidR="00B83D88" w:rsidRPr="00B83D88">
        <w:rPr>
          <w:color w:val="000000"/>
        </w:rPr>
        <w:t>(</w:t>
      </w:r>
      <w:r>
        <w:rPr>
          <w:color w:val="000000"/>
        </w:rPr>
        <w:t xml:space="preserve">Study </w:t>
      </w:r>
      <w:r w:rsidR="00B83D88" w:rsidRPr="00B83D88">
        <w:rPr>
          <w:color w:val="000000"/>
        </w:rPr>
        <w:t xml:space="preserve">V72P9) when administered to healthy infants aged 6-8 months at enrolment time, with </w:t>
      </w:r>
      <w:r w:rsidR="00A66014">
        <w:rPr>
          <w:color w:val="000000"/>
        </w:rPr>
        <w:t>2</w:t>
      </w:r>
      <w:r w:rsidR="00B83D88" w:rsidRPr="00B83D88">
        <w:rPr>
          <w:color w:val="000000"/>
        </w:rPr>
        <w:t xml:space="preserve"> doses separated by 2 months, followed by a booster at 12 months of age.</w:t>
      </w:r>
    </w:p>
    <w:p w:rsidR="00B83D88" w:rsidRPr="00B83D88" w:rsidRDefault="00B83D88" w:rsidP="00B83D88">
      <w:pPr>
        <w:autoSpaceDE w:val="0"/>
        <w:autoSpaceDN w:val="0"/>
        <w:adjustRightInd w:val="0"/>
        <w:rPr>
          <w:color w:val="000000"/>
        </w:rPr>
      </w:pPr>
      <w:r w:rsidRPr="00B83D88">
        <w:rPr>
          <w:color w:val="000000"/>
        </w:rPr>
        <w:t xml:space="preserve">This formulation was selected for further clinical development based on: 1) evidence of enhanced coverage against the </w:t>
      </w:r>
      <w:proofErr w:type="spellStart"/>
      <w:r w:rsidRPr="00B83D88">
        <w:rPr>
          <w:color w:val="000000"/>
        </w:rPr>
        <w:t>hypervirulent</w:t>
      </w:r>
      <w:proofErr w:type="spellEnd"/>
      <w:r w:rsidRPr="00B83D88">
        <w:rPr>
          <w:color w:val="000000"/>
        </w:rPr>
        <w:t xml:space="preserve"> ST-41/44 complex/lineage III strains; 2) </w:t>
      </w:r>
      <w:r w:rsidR="00761C6C">
        <w:rPr>
          <w:color w:val="000000"/>
        </w:rPr>
        <w:t xml:space="preserve">the </w:t>
      </w:r>
      <w:r w:rsidRPr="00B83D88">
        <w:rPr>
          <w:color w:val="000000"/>
        </w:rPr>
        <w:t xml:space="preserve">experience in the infant population with Novartis’ NZ98/254 OMV-based vaccine, </w:t>
      </w:r>
      <w:proofErr w:type="spellStart"/>
      <w:r w:rsidRPr="00B83D88">
        <w:rPr>
          <w:color w:val="000000"/>
        </w:rPr>
        <w:t>MeNZB</w:t>
      </w:r>
      <w:proofErr w:type="spellEnd"/>
      <w:r w:rsidRPr="00B83D88">
        <w:rPr>
          <w:color w:val="000000"/>
        </w:rPr>
        <w:t xml:space="preserve">, which was shown to be safe and efficacious in the control </w:t>
      </w:r>
      <w:r w:rsidR="00617B5B">
        <w:rPr>
          <w:color w:val="000000"/>
        </w:rPr>
        <w:t>of the epidemic in New Zealand.</w:t>
      </w:r>
    </w:p>
    <w:p w:rsidR="00B83D88" w:rsidRPr="00B83D88" w:rsidRDefault="00B83D88" w:rsidP="00B83D88">
      <w:pPr>
        <w:autoSpaceDE w:val="0"/>
        <w:autoSpaceDN w:val="0"/>
        <w:adjustRightInd w:val="0"/>
        <w:rPr>
          <w:color w:val="000000"/>
        </w:rPr>
      </w:pPr>
      <w:r w:rsidRPr="00B83D88">
        <w:rPr>
          <w:color w:val="000000"/>
        </w:rPr>
        <w:t xml:space="preserve">The pivotal Phase </w:t>
      </w:r>
      <w:r w:rsidR="00AA465F">
        <w:rPr>
          <w:color w:val="000000"/>
        </w:rPr>
        <w:t>III</w:t>
      </w:r>
      <w:r w:rsidRPr="00B83D88">
        <w:rPr>
          <w:color w:val="000000"/>
        </w:rPr>
        <w:t xml:space="preserve"> </w:t>
      </w:r>
      <w:r w:rsidR="00AA465F">
        <w:rPr>
          <w:color w:val="000000"/>
        </w:rPr>
        <w:t>S</w:t>
      </w:r>
      <w:r w:rsidRPr="00B83D88">
        <w:rPr>
          <w:color w:val="000000"/>
        </w:rPr>
        <w:t>tudy V72P13 a</w:t>
      </w:r>
      <w:r w:rsidR="00AA465F">
        <w:rPr>
          <w:color w:val="000000"/>
        </w:rPr>
        <w:t xml:space="preserve">nd its extension </w:t>
      </w:r>
      <w:r w:rsidR="00761C6C">
        <w:rPr>
          <w:color w:val="000000"/>
        </w:rPr>
        <w:t>S</w:t>
      </w:r>
      <w:r w:rsidR="00AA465F">
        <w:rPr>
          <w:color w:val="000000"/>
        </w:rPr>
        <w:t>tudy V72P13E1</w:t>
      </w:r>
      <w:r w:rsidRPr="00B83D88">
        <w:rPr>
          <w:color w:val="000000"/>
        </w:rPr>
        <w:t xml:space="preserve"> examined the safety and immunogenicity of rMenB+OMV NZ when administered to infants at 2, 4 and 6 months of age with a booster vaccination at 12 months alongside currently recommended routine vaccinations. This study was conducted in a large population of inf</w:t>
      </w:r>
      <w:r w:rsidR="00617B5B">
        <w:rPr>
          <w:color w:val="000000"/>
        </w:rPr>
        <w:t>ants from 5 European countries.</w:t>
      </w:r>
    </w:p>
    <w:p w:rsidR="00B83D88" w:rsidRPr="00B83D88" w:rsidRDefault="00AA465F" w:rsidP="00B83D88">
      <w:pPr>
        <w:autoSpaceDE w:val="0"/>
        <w:autoSpaceDN w:val="0"/>
        <w:adjustRightInd w:val="0"/>
        <w:rPr>
          <w:color w:val="000000"/>
        </w:rPr>
      </w:pPr>
      <w:r>
        <w:rPr>
          <w:color w:val="000000"/>
        </w:rPr>
        <w:t xml:space="preserve">V72P12, a Phase </w:t>
      </w:r>
      <w:proofErr w:type="spellStart"/>
      <w:r>
        <w:rPr>
          <w:color w:val="000000"/>
        </w:rPr>
        <w:t>II</w:t>
      </w:r>
      <w:r w:rsidR="00B83D88" w:rsidRPr="00B83D88">
        <w:rPr>
          <w:color w:val="000000"/>
        </w:rPr>
        <w:t>b</w:t>
      </w:r>
      <w:proofErr w:type="spellEnd"/>
      <w:r w:rsidR="00B83D88" w:rsidRPr="00B83D88">
        <w:rPr>
          <w:color w:val="000000"/>
        </w:rPr>
        <w:t xml:space="preserve"> study conducted in infants</w:t>
      </w:r>
      <w:r>
        <w:rPr>
          <w:color w:val="000000"/>
        </w:rPr>
        <w:t xml:space="preserve"> </w:t>
      </w:r>
      <w:r w:rsidR="00A66014">
        <w:rPr>
          <w:color w:val="000000"/>
        </w:rPr>
        <w:t>2</w:t>
      </w:r>
      <w:r>
        <w:rPr>
          <w:color w:val="000000"/>
        </w:rPr>
        <w:t xml:space="preserve"> months of age on enrolment</w:t>
      </w:r>
      <w:r w:rsidR="00761C6C">
        <w:rPr>
          <w:color w:val="000000"/>
        </w:rPr>
        <w:t>,</w:t>
      </w:r>
      <w:r w:rsidR="00B83D88" w:rsidRPr="00B83D88">
        <w:rPr>
          <w:color w:val="000000"/>
        </w:rPr>
        <w:t xml:space="preserve"> was performed in 6 European countries. This study evaluated two differing schedules for rMenB+OMV NZ (a 2, 4, 6- or 2, 3, 4-month schedule) with concomitant or intercalated routine vaccination and showed that antibody responses to rMenB+OMV NZ were simi</w:t>
      </w:r>
      <w:r w:rsidR="00617B5B">
        <w:rPr>
          <w:color w:val="000000"/>
        </w:rPr>
        <w:t>lar regardless of the schedule.</w:t>
      </w:r>
    </w:p>
    <w:p w:rsidR="00B83D88" w:rsidRPr="00B83D88" w:rsidRDefault="00B83D88" w:rsidP="00B83D88">
      <w:pPr>
        <w:autoSpaceDE w:val="0"/>
        <w:autoSpaceDN w:val="0"/>
        <w:adjustRightInd w:val="0"/>
        <w:rPr>
          <w:color w:val="000000"/>
        </w:rPr>
      </w:pPr>
      <w:r w:rsidRPr="00B83D88">
        <w:rPr>
          <w:color w:val="000000"/>
        </w:rPr>
        <w:t>V72P10</w:t>
      </w:r>
      <w:r w:rsidRPr="00B83D88">
        <w:rPr>
          <w:b/>
          <w:bCs/>
          <w:color w:val="000000"/>
        </w:rPr>
        <w:t xml:space="preserve">, </w:t>
      </w:r>
      <w:r w:rsidR="00AA465F">
        <w:rPr>
          <w:color w:val="000000"/>
        </w:rPr>
        <w:t xml:space="preserve">a Phase </w:t>
      </w:r>
      <w:proofErr w:type="spellStart"/>
      <w:r w:rsidR="00AA465F">
        <w:rPr>
          <w:color w:val="000000"/>
        </w:rPr>
        <w:t>II</w:t>
      </w:r>
      <w:r w:rsidRPr="00B83D88">
        <w:rPr>
          <w:color w:val="000000"/>
        </w:rPr>
        <w:t>b</w:t>
      </w:r>
      <w:proofErr w:type="spellEnd"/>
      <w:r w:rsidRPr="00B83D88">
        <w:rPr>
          <w:color w:val="000000"/>
        </w:rPr>
        <w:t>/</w:t>
      </w:r>
      <w:r w:rsidR="00AA465F">
        <w:rPr>
          <w:color w:val="000000"/>
        </w:rPr>
        <w:t>III</w:t>
      </w:r>
      <w:r w:rsidRPr="00B83D88">
        <w:rPr>
          <w:color w:val="000000"/>
        </w:rPr>
        <w:t xml:space="preserve"> study of </w:t>
      </w:r>
      <w:r w:rsidR="00A66014">
        <w:rPr>
          <w:color w:val="000000"/>
        </w:rPr>
        <w:t>1</w:t>
      </w:r>
      <w:r w:rsidRPr="00B83D88">
        <w:rPr>
          <w:color w:val="000000"/>
        </w:rPr>
        <w:t xml:space="preserve">, </w:t>
      </w:r>
      <w:r w:rsidR="00A66014">
        <w:rPr>
          <w:color w:val="000000"/>
        </w:rPr>
        <w:t xml:space="preserve">2 </w:t>
      </w:r>
      <w:r w:rsidRPr="00B83D88">
        <w:rPr>
          <w:color w:val="000000"/>
        </w:rPr>
        <w:t xml:space="preserve">or </w:t>
      </w:r>
      <w:r w:rsidR="00A66014">
        <w:rPr>
          <w:color w:val="000000"/>
        </w:rPr>
        <w:t xml:space="preserve">3 </w:t>
      </w:r>
      <w:r w:rsidRPr="00B83D88">
        <w:rPr>
          <w:color w:val="000000"/>
        </w:rPr>
        <w:t xml:space="preserve">rMenB+OMV NZ </w:t>
      </w:r>
      <w:r w:rsidR="00761C6C">
        <w:rPr>
          <w:color w:val="000000"/>
        </w:rPr>
        <w:t xml:space="preserve">vaccinations in 11-17 </w:t>
      </w:r>
      <w:r w:rsidR="00AA465F">
        <w:rPr>
          <w:color w:val="000000"/>
        </w:rPr>
        <w:t xml:space="preserve">year </w:t>
      </w:r>
      <w:r w:rsidRPr="00B83D88">
        <w:rPr>
          <w:color w:val="000000"/>
        </w:rPr>
        <w:t>old adolescents in Chile</w:t>
      </w:r>
      <w:r w:rsidR="00761C6C">
        <w:rPr>
          <w:color w:val="000000"/>
        </w:rPr>
        <w:t>,</w:t>
      </w:r>
      <w:r w:rsidRPr="00B83D88">
        <w:rPr>
          <w:color w:val="000000"/>
        </w:rPr>
        <w:t xml:space="preserve"> was performed in order to evaluate safety and immunogenicity of the vaccines in adolescents and select the proper vaccination schedule.</w:t>
      </w:r>
    </w:p>
    <w:p w:rsidR="00427BA7" w:rsidRPr="00427BA7" w:rsidRDefault="00427BA7" w:rsidP="00427BA7">
      <w:pPr>
        <w:pStyle w:val="Heading5"/>
      </w:pPr>
      <w:bookmarkStart w:id="111" w:name="_Toc241374299"/>
      <w:bookmarkStart w:id="112" w:name="_Toc272414640"/>
      <w:bookmarkStart w:id="113" w:name="_Toc290846262"/>
      <w:bookmarkStart w:id="114" w:name="_Toc347406473"/>
      <w:r w:rsidRPr="00427BA7">
        <w:t>Mechanism of action</w:t>
      </w:r>
      <w:bookmarkEnd w:id="111"/>
      <w:bookmarkEnd w:id="112"/>
      <w:bookmarkEnd w:id="113"/>
      <w:bookmarkEnd w:id="114"/>
      <w:r w:rsidR="00DD1145">
        <w:t xml:space="preserve"> and measures of efficacy</w:t>
      </w:r>
    </w:p>
    <w:p w:rsidR="00427BA7" w:rsidRPr="00427BA7" w:rsidRDefault="00427BA7" w:rsidP="00427BA7">
      <w:pPr>
        <w:autoSpaceDE w:val="0"/>
        <w:autoSpaceDN w:val="0"/>
        <w:adjustRightInd w:val="0"/>
        <w:rPr>
          <w:color w:val="000000"/>
        </w:rPr>
      </w:pPr>
      <w:r w:rsidRPr="00427BA7">
        <w:rPr>
          <w:color w:val="000000"/>
        </w:rPr>
        <w:t xml:space="preserve">The mechanism of action of this vaccine is the induction of protective antibodies. Although the best evidence for its efficacy would be epidemiological data, the standard surrogate marker for the efficacy of vaccines is the induction of specifically related antibodies. So, in terms of measuring immunogenicity, the production of </w:t>
      </w:r>
      <w:r w:rsidR="00DD1145">
        <w:rPr>
          <w:color w:val="000000"/>
        </w:rPr>
        <w:t xml:space="preserve">SBA </w:t>
      </w:r>
      <w:r w:rsidRPr="00427BA7">
        <w:rPr>
          <w:color w:val="000000"/>
        </w:rPr>
        <w:t>against the meningococcal B antigens included in this vaccine is used as the correlate of protection.</w:t>
      </w:r>
    </w:p>
    <w:p w:rsidR="00B83D88" w:rsidRPr="00B83D88" w:rsidRDefault="00B83D88" w:rsidP="00B83D88">
      <w:pPr>
        <w:autoSpaceDE w:val="0"/>
        <w:autoSpaceDN w:val="0"/>
        <w:adjustRightInd w:val="0"/>
        <w:rPr>
          <w:color w:val="000000"/>
        </w:rPr>
      </w:pPr>
      <w:r w:rsidRPr="00B83D88">
        <w:rPr>
          <w:color w:val="000000"/>
        </w:rPr>
        <w:lastRenderedPageBreak/>
        <w:t>The selection of the SBA using human complement as the main method for assessing immunogenicity was based on generally accepted scientific method</w:t>
      </w:r>
      <w:r w:rsidR="00AA465F">
        <w:rPr>
          <w:color w:val="000000"/>
        </w:rPr>
        <w:t>s</w:t>
      </w:r>
      <w:r w:rsidRPr="00B83D88">
        <w:rPr>
          <w:color w:val="000000"/>
        </w:rPr>
        <w:t xml:space="preserve"> for assessment of human immunity to the </w:t>
      </w:r>
      <w:proofErr w:type="spellStart"/>
      <w:r w:rsidRPr="00B83D88">
        <w:rPr>
          <w:color w:val="000000"/>
        </w:rPr>
        <w:t>meningococcus</w:t>
      </w:r>
      <w:bookmarkStart w:id="115" w:name="_Ref318454040"/>
      <w:proofErr w:type="spellEnd"/>
      <w:r w:rsidR="00AA465F">
        <w:rPr>
          <w:color w:val="000000"/>
        </w:rPr>
        <w:t>.</w:t>
      </w:r>
      <w:r w:rsidRPr="00B83D88">
        <w:rPr>
          <w:color w:val="000000"/>
          <w:vertAlign w:val="superscript"/>
        </w:rPr>
        <w:footnoteReference w:id="25"/>
      </w:r>
      <w:bookmarkEnd w:id="115"/>
      <w:r w:rsidRPr="00B83D88">
        <w:rPr>
          <w:color w:val="000000"/>
        </w:rPr>
        <w:t xml:space="preserve"> The SBA measures the l</w:t>
      </w:r>
      <w:r w:rsidR="00AA465F">
        <w:rPr>
          <w:color w:val="000000"/>
        </w:rPr>
        <w:t>evel of antibodies that recognis</w:t>
      </w:r>
      <w:r w:rsidRPr="00B83D88">
        <w:rPr>
          <w:color w:val="000000"/>
        </w:rPr>
        <w:t xml:space="preserve">e bacterial surface antigens and are capable of directing complement-mediated bacterial </w:t>
      </w:r>
      <w:proofErr w:type="spellStart"/>
      <w:r w:rsidRPr="00B83D88">
        <w:rPr>
          <w:color w:val="000000"/>
        </w:rPr>
        <w:t>lysis</w:t>
      </w:r>
      <w:proofErr w:type="spellEnd"/>
      <w:r w:rsidRPr="00B83D88">
        <w:rPr>
          <w:color w:val="000000"/>
        </w:rPr>
        <w:t xml:space="preserve">, the main mechanism by which </w:t>
      </w:r>
      <w:r w:rsidRPr="00B83D88">
        <w:rPr>
          <w:i/>
          <w:color w:val="000000"/>
        </w:rPr>
        <w:t>N. meningitidis</w:t>
      </w:r>
      <w:r w:rsidRPr="00B83D88">
        <w:rPr>
          <w:color w:val="000000"/>
        </w:rPr>
        <w:t xml:space="preserve"> serogroup B strains are </w:t>
      </w:r>
      <w:r w:rsidR="00617B5B">
        <w:rPr>
          <w:color w:val="000000"/>
        </w:rPr>
        <w:t>killed after natural infection.</w:t>
      </w:r>
    </w:p>
    <w:p w:rsidR="00B83D88" w:rsidRPr="00B83D88" w:rsidRDefault="00B83D88" w:rsidP="00B83D88">
      <w:pPr>
        <w:tabs>
          <w:tab w:val="num" w:pos="1135"/>
        </w:tabs>
        <w:autoSpaceDE w:val="0"/>
        <w:autoSpaceDN w:val="0"/>
        <w:adjustRightInd w:val="0"/>
        <w:rPr>
          <w:b/>
          <w:bCs/>
          <w:color w:val="000000"/>
        </w:rPr>
      </w:pPr>
      <w:bookmarkStart w:id="116" w:name="_Toc367950349"/>
      <w:bookmarkStart w:id="117" w:name="_Ref269983272"/>
      <w:bookmarkStart w:id="118" w:name="_Toc272414648"/>
      <w:bookmarkStart w:id="119" w:name="_Toc290846270"/>
      <w:bookmarkStart w:id="120" w:name="_Toc347406475"/>
      <w:r w:rsidRPr="00B83D88">
        <w:rPr>
          <w:b/>
          <w:bCs/>
          <w:color w:val="000000"/>
        </w:rPr>
        <w:t>Evaluator’s overall conclusions on pharmacodynamics</w:t>
      </w:r>
      <w:bookmarkEnd w:id="116"/>
      <w:bookmarkEnd w:id="117"/>
      <w:bookmarkEnd w:id="118"/>
      <w:bookmarkEnd w:id="119"/>
      <w:bookmarkEnd w:id="120"/>
    </w:p>
    <w:p w:rsidR="00427BA7" w:rsidRDefault="00B83D88" w:rsidP="00B83D88">
      <w:pPr>
        <w:autoSpaceDE w:val="0"/>
        <w:autoSpaceDN w:val="0"/>
        <w:adjustRightInd w:val="0"/>
        <w:rPr>
          <w:color w:val="000000"/>
        </w:rPr>
      </w:pPr>
      <w:r w:rsidRPr="00B83D88">
        <w:rPr>
          <w:color w:val="000000"/>
        </w:rPr>
        <w:t>The selection of antigens, dose and vaccine composition is based on both clinical experience and data collected prior to the studies included in this application. The studies d</w:t>
      </w:r>
      <w:r w:rsidR="00427BA7">
        <w:rPr>
          <w:color w:val="000000"/>
        </w:rPr>
        <w:t xml:space="preserve">escribed </w:t>
      </w:r>
      <w:r w:rsidRPr="00B83D88">
        <w:rPr>
          <w:color w:val="000000"/>
        </w:rPr>
        <w:t xml:space="preserve">briefly above are discussed more fully in </w:t>
      </w:r>
      <w:r w:rsidR="00427BA7">
        <w:rPr>
          <w:color w:val="000000"/>
        </w:rPr>
        <w:t xml:space="preserve">the section on </w:t>
      </w:r>
      <w:r w:rsidR="00427BA7" w:rsidRPr="00427BA7">
        <w:rPr>
          <w:i/>
          <w:iCs/>
          <w:color w:val="000000"/>
        </w:rPr>
        <w:t>Efficacy</w:t>
      </w:r>
      <w:r w:rsidR="00427BA7">
        <w:rPr>
          <w:color w:val="000000"/>
        </w:rPr>
        <w:t xml:space="preserve">. </w:t>
      </w:r>
      <w:r w:rsidRPr="00B83D88">
        <w:rPr>
          <w:color w:val="000000"/>
        </w:rPr>
        <w:t>In this section, they are discussed in relation to the c</w:t>
      </w:r>
      <w:r w:rsidR="00617B5B">
        <w:rPr>
          <w:color w:val="000000"/>
        </w:rPr>
        <w:t>hoice of vaccination schedules.</w:t>
      </w:r>
    </w:p>
    <w:p w:rsidR="00B83D88" w:rsidRPr="00B83D88" w:rsidRDefault="00B83D88" w:rsidP="00B83D88">
      <w:pPr>
        <w:autoSpaceDE w:val="0"/>
        <w:autoSpaceDN w:val="0"/>
        <w:adjustRightInd w:val="0"/>
        <w:rPr>
          <w:color w:val="000000"/>
        </w:rPr>
      </w:pPr>
      <w:r w:rsidRPr="00B83D88">
        <w:rPr>
          <w:color w:val="000000"/>
        </w:rPr>
        <w:t>As well as showing efficacy in all studies, the st</w:t>
      </w:r>
      <w:r w:rsidR="00427BA7">
        <w:rPr>
          <w:color w:val="000000"/>
        </w:rPr>
        <w:t>udies in infants under 6 months</w:t>
      </w:r>
      <w:r w:rsidRPr="00B83D88">
        <w:rPr>
          <w:color w:val="000000"/>
        </w:rPr>
        <w:t xml:space="preserve"> had best results after 3 vaccinations</w:t>
      </w:r>
      <w:r w:rsidR="00427BA7">
        <w:rPr>
          <w:color w:val="000000"/>
        </w:rPr>
        <w:t>. There was no e</w:t>
      </w:r>
      <w:r w:rsidRPr="00B83D88">
        <w:rPr>
          <w:color w:val="000000"/>
        </w:rPr>
        <w:t xml:space="preserve">ffect </w:t>
      </w:r>
      <w:r w:rsidR="00427BA7">
        <w:rPr>
          <w:color w:val="000000"/>
        </w:rPr>
        <w:t xml:space="preserve">on </w:t>
      </w:r>
      <w:r w:rsidRPr="00B83D88">
        <w:rPr>
          <w:color w:val="000000"/>
        </w:rPr>
        <w:t>efficacy</w:t>
      </w:r>
      <w:r w:rsidR="00427BA7">
        <w:rPr>
          <w:color w:val="000000"/>
        </w:rPr>
        <w:t xml:space="preserve"> when </w:t>
      </w:r>
      <w:r w:rsidRPr="00B83D88">
        <w:rPr>
          <w:color w:val="000000"/>
        </w:rPr>
        <w:t>the schedule was 2, 3, 4 months or 2, 4, 6 months and also</w:t>
      </w:r>
      <w:r w:rsidR="00427BA7">
        <w:rPr>
          <w:color w:val="000000"/>
        </w:rPr>
        <w:t xml:space="preserve"> when the vaccine was given </w:t>
      </w:r>
      <w:r w:rsidRPr="00B83D88">
        <w:rPr>
          <w:color w:val="000000"/>
        </w:rPr>
        <w:t>separately or concomitantly with other childhood vaccines. This data is very helpful in that it provides flexibility in terms of recommendations. The easiest way to administer this vaccine will probably be concomitantly with other vaccines. Th</w:t>
      </w:r>
      <w:r w:rsidR="00427BA7">
        <w:rPr>
          <w:color w:val="000000"/>
        </w:rPr>
        <w:t>e responses waned over 6 months</w:t>
      </w:r>
      <w:r w:rsidRPr="00B83D88">
        <w:rPr>
          <w:color w:val="000000"/>
        </w:rPr>
        <w:t xml:space="preserve"> and then greatly benefited from a booster at 12 months. The studies in infants over 6 months show that a </w:t>
      </w:r>
      <w:r w:rsidR="00A66014">
        <w:rPr>
          <w:color w:val="000000"/>
        </w:rPr>
        <w:t>2</w:t>
      </w:r>
      <w:r w:rsidRPr="00B83D88">
        <w:rPr>
          <w:color w:val="000000"/>
        </w:rPr>
        <w:t xml:space="preserve">-dose regimen (2 months apart) is sufficient, with little benefit from a third primary dose, although there was benefit from a booster in the second year of life. In the older groups (11 years and on), </w:t>
      </w:r>
      <w:r w:rsidR="005B2A9D">
        <w:rPr>
          <w:color w:val="000000"/>
        </w:rPr>
        <w:t>2</w:t>
      </w:r>
      <w:r w:rsidRPr="00B83D88">
        <w:rPr>
          <w:color w:val="000000"/>
        </w:rPr>
        <w:t xml:space="preserve"> doses (2 months apart) were sufficient (and better than </w:t>
      </w:r>
      <w:r w:rsidR="003805DF">
        <w:rPr>
          <w:color w:val="000000"/>
        </w:rPr>
        <w:t>1</w:t>
      </w:r>
      <w:r w:rsidRPr="00B83D88">
        <w:rPr>
          <w:color w:val="000000"/>
        </w:rPr>
        <w:t xml:space="preserve"> dose) and there was no added benefit from a third dose. In adolescents, it did</w:t>
      </w:r>
      <w:r w:rsidR="000019F0">
        <w:rPr>
          <w:color w:val="000000"/>
        </w:rPr>
        <w:t xml:space="preserve"> </w:t>
      </w:r>
      <w:r w:rsidRPr="00B83D88">
        <w:rPr>
          <w:color w:val="000000"/>
        </w:rPr>
        <w:t>n</w:t>
      </w:r>
      <w:r w:rsidR="000019F0">
        <w:rPr>
          <w:color w:val="000000"/>
        </w:rPr>
        <w:t>o</w:t>
      </w:r>
      <w:r w:rsidRPr="00B83D88">
        <w:rPr>
          <w:color w:val="000000"/>
        </w:rPr>
        <w:t xml:space="preserve">t matter whether these </w:t>
      </w:r>
      <w:r w:rsidR="005B2A9D">
        <w:rPr>
          <w:color w:val="000000"/>
        </w:rPr>
        <w:t>2</w:t>
      </w:r>
      <w:r w:rsidRPr="00B83D88">
        <w:rPr>
          <w:color w:val="000000"/>
        </w:rPr>
        <w:t xml:space="preserve"> vaccinations were given 1 month apart, 2 months apart or 6 months apart. It is important to note that there is no data in children 2-10 years (but a clinical study in this age group </w:t>
      </w:r>
      <w:r w:rsidR="000019F0">
        <w:rPr>
          <w:color w:val="000000"/>
        </w:rPr>
        <w:t>i</w:t>
      </w:r>
      <w:r w:rsidRPr="00B83D88">
        <w:rPr>
          <w:color w:val="000000"/>
        </w:rPr>
        <w:t>s planned</w:t>
      </w:r>
      <w:r w:rsidR="00431FA2">
        <w:rPr>
          <w:rStyle w:val="FootnoteReference"/>
          <w:color w:val="000000"/>
        </w:rPr>
        <w:footnoteReference w:id="26"/>
      </w:r>
      <w:r w:rsidRPr="00B83D88">
        <w:rPr>
          <w:color w:val="000000"/>
        </w:rPr>
        <w:t>).</w:t>
      </w:r>
    </w:p>
    <w:p w:rsidR="008E7846" w:rsidRPr="00254787" w:rsidRDefault="008E7846" w:rsidP="008E7846">
      <w:pPr>
        <w:pStyle w:val="Heading3"/>
      </w:pPr>
      <w:bookmarkStart w:id="121" w:name="_Toc163441372"/>
      <w:bookmarkStart w:id="122" w:name="_Toc196046485"/>
      <w:bookmarkStart w:id="123" w:name="_Toc247691521"/>
      <w:bookmarkStart w:id="124" w:name="_Toc314842504"/>
      <w:bookmarkStart w:id="125" w:name="_Toc370985735"/>
      <w:r w:rsidRPr="00254787">
        <w:t>Efficacy</w:t>
      </w:r>
      <w:bookmarkEnd w:id="121"/>
      <w:bookmarkEnd w:id="122"/>
      <w:bookmarkEnd w:id="123"/>
      <w:bookmarkEnd w:id="124"/>
      <w:bookmarkEnd w:id="125"/>
    </w:p>
    <w:p w:rsidR="00427BA7" w:rsidRPr="00427BA7" w:rsidRDefault="00427BA7" w:rsidP="00427BA7">
      <w:pPr>
        <w:pStyle w:val="Heading4"/>
      </w:pPr>
      <w:bookmarkStart w:id="126" w:name="_Toc367950350"/>
      <w:bookmarkStart w:id="127" w:name="_Toc184439992"/>
      <w:bookmarkStart w:id="128" w:name="_Toc184440279"/>
      <w:bookmarkStart w:id="129" w:name="_Toc184444657"/>
      <w:bookmarkStart w:id="130" w:name="_Toc196046487"/>
      <w:r w:rsidRPr="00427BA7">
        <w:t>Dosage selection for the pivotal studies</w:t>
      </w:r>
      <w:bookmarkEnd w:id="126"/>
    </w:p>
    <w:p w:rsidR="00D42F66" w:rsidRPr="00D42F66" w:rsidRDefault="00D42F66" w:rsidP="00D42F66">
      <w:r w:rsidRPr="00D42F66">
        <w:t>Both the pivotal and other efficacy studies were involved in determining the optimal schedule selection. The studies used in the development program leading up to the selection of schedules for the pivotal studies are briefly described here.</w:t>
      </w:r>
    </w:p>
    <w:p w:rsidR="00D42F66" w:rsidRPr="00D42F66" w:rsidRDefault="00D42F66" w:rsidP="00284978">
      <w:pPr>
        <w:pStyle w:val="Heading5"/>
      </w:pPr>
      <w:bookmarkStart w:id="131" w:name="_Toc367950351"/>
      <w:r w:rsidRPr="00D42F66">
        <w:t>Clinical Study V72P4</w:t>
      </w:r>
      <w:bookmarkEnd w:id="131"/>
    </w:p>
    <w:p w:rsidR="00D42F66" w:rsidRPr="00D42F66" w:rsidRDefault="00D42F66" w:rsidP="00D42F66">
      <w:r w:rsidRPr="00D42F66">
        <w:t xml:space="preserve">This was a Phase </w:t>
      </w:r>
      <w:r w:rsidR="00284978">
        <w:t>II</w:t>
      </w:r>
      <w:r w:rsidRPr="00D42F66">
        <w:t xml:space="preserve">, open-label, multi-centre study in healthy at-risk adults (18 to 50 years of age) routinely exposed to </w:t>
      </w:r>
      <w:r w:rsidRPr="00D42F66">
        <w:rPr>
          <w:i/>
          <w:iCs/>
        </w:rPr>
        <w:t>N</w:t>
      </w:r>
      <w:r w:rsidR="00284978">
        <w:rPr>
          <w:i/>
          <w:iCs/>
        </w:rPr>
        <w:t>.</w:t>
      </w:r>
      <w:r w:rsidRPr="00D42F66">
        <w:rPr>
          <w:i/>
          <w:iCs/>
        </w:rPr>
        <w:t xml:space="preserve"> meningitidis</w:t>
      </w:r>
      <w:r w:rsidRPr="00D42F66">
        <w:t xml:space="preserve">, designed to explore the immunogenicity and safety of </w:t>
      </w:r>
      <w:r w:rsidR="00605E32">
        <w:t>3</w:t>
      </w:r>
      <w:r w:rsidRPr="00D42F66">
        <w:t xml:space="preserve"> doses of rMenB+OMV NZ given at 0, 2 and 6 months (and to explore the immunogenicity of a single dose of Novartis </w:t>
      </w:r>
      <w:proofErr w:type="spellStart"/>
      <w:r w:rsidRPr="00D42F66">
        <w:t>MenACWY</w:t>
      </w:r>
      <w:proofErr w:type="spellEnd"/>
      <w:r w:rsidRPr="00D42F66">
        <w:t xml:space="preserve"> conjugate vaccine given at 6 months concomitantly with the third rMenB+OMV NZ vaccination).</w:t>
      </w:r>
      <w:r w:rsidRPr="00D42F66">
        <w:rPr>
          <w:i/>
          <w:iCs/>
        </w:rPr>
        <w:t xml:space="preserve"> </w:t>
      </w:r>
      <w:r w:rsidRPr="00D42F66">
        <w:t xml:space="preserve">rMenB+OMV NZ effectively induced bactericidal antibodies in adults following </w:t>
      </w:r>
      <w:r w:rsidR="005B2A9D">
        <w:t>2</w:t>
      </w:r>
      <w:r w:rsidRPr="00D42F66">
        <w:t xml:space="preserve"> doses at 0 and 2 months as measured by </w:t>
      </w:r>
      <w:r w:rsidR="00BA1634">
        <w:t xml:space="preserve">a human </w:t>
      </w:r>
      <w:r w:rsidR="00DD1145">
        <w:t>s</w:t>
      </w:r>
      <w:r w:rsidR="00DD1145" w:rsidRPr="00DD1145">
        <w:t xml:space="preserve">erum </w:t>
      </w:r>
      <w:r w:rsidR="00DD1145">
        <w:t>b</w:t>
      </w:r>
      <w:r w:rsidR="00DD1145" w:rsidRPr="00DD1145">
        <w:t xml:space="preserve">actericidal </w:t>
      </w:r>
      <w:r w:rsidR="00DD1145">
        <w:t>a</w:t>
      </w:r>
      <w:r w:rsidR="00DD1145" w:rsidRPr="00DD1145">
        <w:t xml:space="preserve">ssay </w:t>
      </w:r>
      <w:r w:rsidR="00BA1634">
        <w:t>(</w:t>
      </w:r>
      <w:proofErr w:type="spellStart"/>
      <w:r w:rsidR="00BA1634" w:rsidRPr="00D42F66">
        <w:t>hSBA</w:t>
      </w:r>
      <w:proofErr w:type="spellEnd"/>
      <w:r w:rsidR="00BA1634">
        <w:t>)</w:t>
      </w:r>
      <w:r w:rsidR="00BA1634" w:rsidRPr="00D42F66">
        <w:t xml:space="preserve"> </w:t>
      </w:r>
      <w:r w:rsidR="00DD1145" w:rsidRPr="00DD1145">
        <w:t xml:space="preserve">using </w:t>
      </w:r>
      <w:r w:rsidR="00DD1145">
        <w:t>h</w:t>
      </w:r>
      <w:r w:rsidR="00DD1145" w:rsidRPr="00DD1145">
        <w:t xml:space="preserve">uman </w:t>
      </w:r>
      <w:r w:rsidR="00DD1145">
        <w:t>c</w:t>
      </w:r>
      <w:r w:rsidR="00DD1145" w:rsidRPr="00DD1145">
        <w:t xml:space="preserve">omplement </w:t>
      </w:r>
      <w:r w:rsidRPr="00D42F66">
        <w:t>against the three reference strains 44/76, 5/99 and NZ98/254. A third dose at 6 months did not produce any further benefit.</w:t>
      </w:r>
    </w:p>
    <w:p w:rsidR="00D42F66" w:rsidRPr="00D42F66" w:rsidRDefault="00D42F66" w:rsidP="00284978">
      <w:pPr>
        <w:pStyle w:val="Heading5"/>
      </w:pPr>
      <w:bookmarkStart w:id="132" w:name="_Toc367950352"/>
      <w:r w:rsidRPr="00D42F66">
        <w:t>Clinical Study V72P5</w:t>
      </w:r>
      <w:bookmarkEnd w:id="132"/>
    </w:p>
    <w:p w:rsidR="00D42F66" w:rsidRPr="00D42F66" w:rsidRDefault="00284978" w:rsidP="00D42F66">
      <w:r>
        <w:t>This P</w:t>
      </w:r>
      <w:r w:rsidR="00D42F66" w:rsidRPr="00D42F66">
        <w:t xml:space="preserve">hase </w:t>
      </w:r>
      <w:r>
        <w:t>I</w:t>
      </w:r>
      <w:r w:rsidR="00D42F66" w:rsidRPr="00D42F66">
        <w:t xml:space="preserve"> study was designed to obtain preliminary data in healthy adults (18 to 40 years of age, N=70) on the similarity of the safety profiles and the similarity of the </w:t>
      </w:r>
      <w:proofErr w:type="spellStart"/>
      <w:r w:rsidR="00D42F66" w:rsidRPr="00D42F66">
        <w:t>humoral</w:t>
      </w:r>
      <w:proofErr w:type="spellEnd"/>
      <w:r w:rsidR="00D42F66" w:rsidRPr="00D42F66">
        <w:t xml:space="preserve"> </w:t>
      </w:r>
      <w:r w:rsidR="00D42F66" w:rsidRPr="00D42F66">
        <w:lastRenderedPageBreak/>
        <w:t xml:space="preserve">immune responses, as measured by </w:t>
      </w:r>
      <w:proofErr w:type="spellStart"/>
      <w:r w:rsidR="00D42F66" w:rsidRPr="00D42F66">
        <w:t>hSBA</w:t>
      </w:r>
      <w:proofErr w:type="spellEnd"/>
      <w:r w:rsidR="00D42F66" w:rsidRPr="00D42F66">
        <w:t xml:space="preserve"> and ELISA, of the addition of the Norwegian or the New Zealand OMVs to the Novartis </w:t>
      </w:r>
      <w:r w:rsidR="00DD1145">
        <w:t>m</w:t>
      </w:r>
      <w:r w:rsidR="00D42F66" w:rsidRPr="00D42F66">
        <w:t xml:space="preserve">eningococcal B </w:t>
      </w:r>
      <w:r w:rsidR="00DD1145">
        <w:t>r</w:t>
      </w:r>
      <w:r w:rsidR="00D42F66" w:rsidRPr="00D42F66">
        <w:t xml:space="preserve">ecombinant </w:t>
      </w:r>
      <w:r w:rsidR="00DD1145">
        <w:t>v</w:t>
      </w:r>
      <w:r w:rsidR="00D42F66" w:rsidRPr="00D42F66">
        <w:t xml:space="preserve">accine. In the rMenB+OMV NZ group and the rMenB+OMV NW group, the proportion of subjects with </w:t>
      </w:r>
      <w:proofErr w:type="spellStart"/>
      <w:r w:rsidR="00D42F66" w:rsidRPr="00D42F66">
        <w:t>hSBA</w:t>
      </w:r>
      <w:proofErr w:type="spellEnd"/>
      <w:r w:rsidR="00D42F66" w:rsidRPr="00D42F66">
        <w:t xml:space="preserve"> ≥ 1:4 increased from baseline to 1 month after the third vaccination for 14 of the 15 tested </w:t>
      </w:r>
      <w:r w:rsidR="00D42F66" w:rsidRPr="00D42F66">
        <w:rPr>
          <w:i/>
          <w:iCs/>
        </w:rPr>
        <w:t>N</w:t>
      </w:r>
      <w:r>
        <w:rPr>
          <w:i/>
          <w:iCs/>
        </w:rPr>
        <w:t>.</w:t>
      </w:r>
      <w:r w:rsidR="00D42F66" w:rsidRPr="00D42F66">
        <w:rPr>
          <w:i/>
          <w:iCs/>
        </w:rPr>
        <w:t xml:space="preserve"> meningitidis </w:t>
      </w:r>
      <w:r w:rsidR="00D42F66" w:rsidRPr="00D42F66">
        <w:t xml:space="preserve">serogroup B strains; in the </w:t>
      </w:r>
      <w:proofErr w:type="spellStart"/>
      <w:r w:rsidR="00D42F66" w:rsidRPr="00D42F66">
        <w:t>rMenB</w:t>
      </w:r>
      <w:proofErr w:type="spellEnd"/>
      <w:r w:rsidR="00D42F66" w:rsidRPr="00D42F66">
        <w:t xml:space="preserve"> group, this was the case for 13 of the strains. Against strains 44/76, and 5/99 all (100%) subjects in all vaccine groups had achieved </w:t>
      </w:r>
      <w:proofErr w:type="spellStart"/>
      <w:r w:rsidR="00D42F66" w:rsidRPr="00D42F66">
        <w:t>hSBA</w:t>
      </w:r>
      <w:proofErr w:type="spellEnd"/>
      <w:r w:rsidR="00D42F66" w:rsidRPr="00D42F66">
        <w:t xml:space="preserve"> ≥ 1:4 at 1 month after the second vaccination. Against strain NZ98/254, 96% of the subjects in the rMenB+OMV NZ group achieved </w:t>
      </w:r>
      <w:proofErr w:type="spellStart"/>
      <w:r w:rsidR="00D42F66" w:rsidRPr="00D42F66">
        <w:t>hSBA</w:t>
      </w:r>
      <w:proofErr w:type="spellEnd"/>
      <w:r w:rsidR="00D42F66" w:rsidRPr="00D42F66">
        <w:t xml:space="preserve"> ≥1:4 against at 1 month after the second dose while this percentage was lower in the rMenB+OMV NW group (74%) and in the </w:t>
      </w:r>
      <w:proofErr w:type="spellStart"/>
      <w:r w:rsidR="00D42F66" w:rsidRPr="00D42F66">
        <w:t>MenB</w:t>
      </w:r>
      <w:proofErr w:type="spellEnd"/>
      <w:r w:rsidR="00D42F66" w:rsidRPr="00D42F66">
        <w:t xml:space="preserve"> group (69%). These results encouraged the further development of the rMenB+OMV NZ strain.</w:t>
      </w:r>
    </w:p>
    <w:p w:rsidR="00D42F66" w:rsidRPr="00D42F66" w:rsidRDefault="00D42F66" w:rsidP="00284978">
      <w:pPr>
        <w:pStyle w:val="Heading5"/>
      </w:pPr>
      <w:bookmarkStart w:id="133" w:name="_Toc367950353"/>
      <w:r w:rsidRPr="00D42F66">
        <w:t>Clinical Study V72P6</w:t>
      </w:r>
      <w:bookmarkEnd w:id="133"/>
    </w:p>
    <w:p w:rsidR="00D42F66" w:rsidRPr="00D42F66" w:rsidRDefault="00D42F66" w:rsidP="00D42F66">
      <w:r w:rsidRPr="00D42F66">
        <w:t>This w</w:t>
      </w:r>
      <w:r w:rsidR="00284978">
        <w:t>as a P</w:t>
      </w:r>
      <w:r w:rsidRPr="00D42F66">
        <w:t xml:space="preserve">hase </w:t>
      </w:r>
      <w:r w:rsidR="00284978">
        <w:t>II</w:t>
      </w:r>
      <w:r w:rsidRPr="00D42F66">
        <w:t>, open label, mu</w:t>
      </w:r>
      <w:r w:rsidR="00284978">
        <w:t>lti-centre, controlled, randomis</w:t>
      </w:r>
      <w:r w:rsidRPr="00D42F66">
        <w:t xml:space="preserve">ed study, the first to be conducted in healthy infants aged 2 months at time of enrolment. Subjects received </w:t>
      </w:r>
      <w:proofErr w:type="spellStart"/>
      <w:r w:rsidRPr="00D42F66">
        <w:t>rMenB</w:t>
      </w:r>
      <w:proofErr w:type="spellEnd"/>
      <w:r w:rsidRPr="00D42F66">
        <w:t xml:space="preserve"> or </w:t>
      </w:r>
      <w:proofErr w:type="spellStart"/>
      <w:r w:rsidRPr="00D42F66">
        <w:t>rMenB+OMV</w:t>
      </w:r>
      <w:proofErr w:type="spellEnd"/>
      <w:r w:rsidRPr="00D42F66">
        <w:t xml:space="preserve"> NZ vaccinations </w:t>
      </w:r>
      <w:r w:rsidR="00DD1145">
        <w:t xml:space="preserve">IM </w:t>
      </w:r>
      <w:r w:rsidRPr="00D42F66">
        <w:t>according to a 2, 4, 6 and 12</w:t>
      </w:r>
      <w:r w:rsidR="00284978">
        <w:t xml:space="preserve"> months of age immunis</w:t>
      </w:r>
      <w:r w:rsidR="00DD1145">
        <w:t>ation schedule</w:t>
      </w:r>
      <w:r w:rsidRPr="00D42F66">
        <w:t xml:space="preserve"> or as a single dose at 12 months of age. The immunogenicity results demonstrated that rMenB+OMV NZ could effectively induce bactericidal antibodies in infants following </w:t>
      </w:r>
      <w:r w:rsidR="00605E32">
        <w:t>3</w:t>
      </w:r>
      <w:r w:rsidRPr="00D42F66">
        <w:t xml:space="preserve"> doses at 2, 4 and 6 months of age, as measured by </w:t>
      </w:r>
      <w:proofErr w:type="spellStart"/>
      <w:r w:rsidRPr="00D42F66">
        <w:t>hSBA</w:t>
      </w:r>
      <w:proofErr w:type="spellEnd"/>
      <w:r w:rsidRPr="00D42F66">
        <w:t xml:space="preserve"> against the three </w:t>
      </w:r>
      <w:proofErr w:type="spellStart"/>
      <w:r w:rsidRPr="00D42F66">
        <w:t>MenB</w:t>
      </w:r>
      <w:proofErr w:type="spellEnd"/>
      <w:r w:rsidRPr="00D42F66">
        <w:t xml:space="preserve"> strains 44/76, 5/99 and NZ98/254. Bactericidal antibody was also found to persist against the three vaccine antigens at 12 months of age, 6 months after the primary series, but the percentages of subjects with </w:t>
      </w:r>
      <w:proofErr w:type="spellStart"/>
      <w:r w:rsidRPr="00D42F66">
        <w:t>hSBA</w:t>
      </w:r>
      <w:proofErr w:type="spellEnd"/>
      <w:r w:rsidRPr="00D42F66">
        <w:t xml:space="preserve"> ≥1:4 had fallen from 87% at 1 month after the third vaccination to 68% at 12 months of age for strain 44/76, from 95% to 88% for strain 5/99, and from</w:t>
      </w:r>
      <w:r w:rsidR="00431FA2">
        <w:t xml:space="preserve"> </w:t>
      </w:r>
      <w:r w:rsidRPr="00D42F66">
        <w:t>85% to 36% for strain NZ98/254, demonstrating the need for a booster dose. The responses could be further boosted with a 4</w:t>
      </w:r>
      <w:r w:rsidRPr="00284978">
        <w:rPr>
          <w:vertAlign w:val="superscript"/>
        </w:rPr>
        <w:t>th</w:t>
      </w:r>
      <w:r w:rsidR="00284978">
        <w:t xml:space="preserve"> </w:t>
      </w:r>
      <w:r w:rsidRPr="00D42F66">
        <w:t xml:space="preserve">dose of rMenB+OMV NZ at 12 months of age, demonstrating that the infants had been primed with the </w:t>
      </w:r>
      <w:r w:rsidR="00605E32">
        <w:t>3</w:t>
      </w:r>
      <w:r w:rsidRPr="00D42F66">
        <w:t xml:space="preserve"> doses and immunological memory had been generated. The control subjects in this study who received a single dose of rMenB+OMV NZ vaccine at 12 months of age served as comparators for the 12-month booster response in the subjects receiving the vaccine at 2, 4 and 6 months. The proportion of subjects achieving </w:t>
      </w:r>
      <w:proofErr w:type="spellStart"/>
      <w:r w:rsidRPr="00D42F66">
        <w:t>hSBA</w:t>
      </w:r>
      <w:proofErr w:type="spellEnd"/>
      <w:r w:rsidRPr="00D42F66">
        <w:t xml:space="preserve"> ≥1:4 against the three reference strains was consistently lower for the control subjects receiving a single dose at 12 months of age as compared to the fourth dose response in the rMenB+OMV NZ subjects group at the same age (73% versus 100% for strain 44/76, 73% versus 97% for strain 5/99, and 18% versus 94% for strain NZ98/254). This study suggested that a 3 dose primary course was required in 2-month-old infants, a booster dose was required after the primary course, and that </w:t>
      </w:r>
      <w:r w:rsidR="003805DF">
        <w:t xml:space="preserve">1 </w:t>
      </w:r>
      <w:r w:rsidRPr="00D42F66">
        <w:t xml:space="preserve">vaccination was insufficient in </w:t>
      </w:r>
      <w:r w:rsidR="003805DF">
        <w:t xml:space="preserve">naïve </w:t>
      </w:r>
      <w:r w:rsidRPr="00D42F66">
        <w:t>infants of 12 months of age and above. The study provided sufficient evidence to warrant the further development and evaluation of the rMenB+OMV NZ vaccine in phase 3.</w:t>
      </w:r>
    </w:p>
    <w:p w:rsidR="00D42F66" w:rsidRPr="00D42F66" w:rsidRDefault="00D42F66" w:rsidP="00284978">
      <w:pPr>
        <w:pStyle w:val="Heading4"/>
      </w:pPr>
      <w:r w:rsidRPr="00D42F66">
        <w:t>Studies providing efficacy data</w:t>
      </w:r>
    </w:p>
    <w:p w:rsidR="00D42F66" w:rsidRPr="00D42F66" w:rsidRDefault="00D42F66" w:rsidP="00D42F66">
      <w:pPr>
        <w:rPr>
          <w:bCs/>
        </w:rPr>
      </w:pPr>
      <w:r w:rsidRPr="00D42F66">
        <w:rPr>
          <w:bCs/>
        </w:rPr>
        <w:t>There are nine studies included in this application to support the immunogenicity of the vaccine: 3 studies (V72P10, V72P4, and V72P5) in subjects 11 years of age and older (adolescents 11 to 17 years of age and adults 18 to 50 years of age) and 6 studies (V72P13, V72P13E1, V72P13E2, V72P12, V72P9, and V72P6) in the infant and toddler</w:t>
      </w:r>
      <w:r w:rsidR="00431FA2">
        <w:rPr>
          <w:bCs/>
        </w:rPr>
        <w:t>/children</w:t>
      </w:r>
      <w:r w:rsidRPr="00D42F66">
        <w:rPr>
          <w:bCs/>
        </w:rPr>
        <w:t xml:space="preserve"> populations. Data are available for </w:t>
      </w:r>
      <w:r w:rsidR="00431FA2">
        <w:rPr>
          <w:bCs/>
        </w:rPr>
        <w:t>1</w:t>
      </w:r>
      <w:r w:rsidR="0052637C">
        <w:rPr>
          <w:bCs/>
        </w:rPr>
        <w:t>622</w:t>
      </w:r>
      <w:r w:rsidR="00431FA2">
        <w:rPr>
          <w:bCs/>
        </w:rPr>
        <w:t xml:space="preserve"> </w:t>
      </w:r>
      <w:r w:rsidR="0039703B">
        <w:rPr>
          <w:bCs/>
        </w:rPr>
        <w:t xml:space="preserve">vaccinated (of 1631 enrolled) </w:t>
      </w:r>
      <w:r w:rsidRPr="00D42F66">
        <w:rPr>
          <w:bCs/>
        </w:rPr>
        <w:t xml:space="preserve">adolescent subjects 11 to 17 years of age, 81 adult subjects 18 to 50 years of age, and 4843 infant subjects 2 to 23 months of age exposed to at least </w:t>
      </w:r>
      <w:r w:rsidR="003805DF">
        <w:rPr>
          <w:bCs/>
        </w:rPr>
        <w:t>1</w:t>
      </w:r>
      <w:r w:rsidRPr="00D42F66">
        <w:rPr>
          <w:bCs/>
        </w:rPr>
        <w:t xml:space="preserve"> dose of the rMenB+OMV NZ vaccine.</w:t>
      </w:r>
    </w:p>
    <w:p w:rsidR="00D42F66" w:rsidRPr="00D42F66" w:rsidRDefault="00284978" w:rsidP="00284978">
      <w:pPr>
        <w:pStyle w:val="Heading5"/>
      </w:pPr>
      <w:r>
        <w:t>Studies in a</w:t>
      </w:r>
      <w:r w:rsidR="00D42F66" w:rsidRPr="00D42F66">
        <w:t xml:space="preserve">dolescents and </w:t>
      </w:r>
      <w:r>
        <w:t>a</w:t>
      </w:r>
      <w:r w:rsidR="00D42F66" w:rsidRPr="00D42F66">
        <w:t>dults</w:t>
      </w:r>
    </w:p>
    <w:p w:rsidR="00D42F66" w:rsidRPr="00D42F66" w:rsidRDefault="0033363C" w:rsidP="00284978">
      <w:pPr>
        <w:pStyle w:val="ListBullet"/>
      </w:pPr>
      <w:r>
        <w:t>V72P10 was a pivotal P</w:t>
      </w:r>
      <w:r w:rsidR="00D42F66" w:rsidRPr="00D42F66">
        <w:t xml:space="preserve">hase </w:t>
      </w:r>
      <w:proofErr w:type="spellStart"/>
      <w:r>
        <w:t>II</w:t>
      </w:r>
      <w:r w:rsidR="00D42F66" w:rsidRPr="00D42F66">
        <w:t>b</w:t>
      </w:r>
      <w:proofErr w:type="spellEnd"/>
      <w:r w:rsidR="00D42F66" w:rsidRPr="00D42F66">
        <w:t>/</w:t>
      </w:r>
      <w:r>
        <w:t>III</w:t>
      </w:r>
      <w:r w:rsidR="00D42F66" w:rsidRPr="00D42F66">
        <w:t xml:space="preserve"> study in this age group assessing various vaccination schedules conducted in Chile in 1631 adolescents 11 to 17 years of age.</w:t>
      </w:r>
    </w:p>
    <w:p w:rsidR="00D42F66" w:rsidRPr="00D42F66" w:rsidRDefault="0033363C" w:rsidP="00284978">
      <w:pPr>
        <w:pStyle w:val="ListBullet"/>
        <w:rPr>
          <w:i/>
          <w:iCs/>
        </w:rPr>
      </w:pPr>
      <w:r>
        <w:lastRenderedPageBreak/>
        <w:t>V72P4 was a P</w:t>
      </w:r>
      <w:r w:rsidR="00D42F66" w:rsidRPr="00D42F66">
        <w:t xml:space="preserve">hase </w:t>
      </w:r>
      <w:r>
        <w:t>II</w:t>
      </w:r>
      <w:r w:rsidR="00D42F66" w:rsidRPr="00D42F66">
        <w:t>, open-label study conducted in Italy and Germany on 5</w:t>
      </w:r>
      <w:r w:rsidR="00431FA2">
        <w:t>3</w:t>
      </w:r>
      <w:r w:rsidR="00D42F66" w:rsidRPr="00D42F66">
        <w:t xml:space="preserve"> </w:t>
      </w:r>
      <w:r w:rsidR="0039703B">
        <w:t xml:space="preserve">vaccinated </w:t>
      </w:r>
      <w:r w:rsidR="00D42F66" w:rsidRPr="00D42F66">
        <w:t xml:space="preserve">laboratory workers aged 18 to 50 years who were routinely exposed to </w:t>
      </w:r>
      <w:r w:rsidR="00D42F66" w:rsidRPr="00D42F66">
        <w:rPr>
          <w:i/>
          <w:iCs/>
        </w:rPr>
        <w:t xml:space="preserve">N. </w:t>
      </w:r>
      <w:r w:rsidR="00617B5B">
        <w:rPr>
          <w:i/>
          <w:iCs/>
        </w:rPr>
        <w:t>meningitides.</w:t>
      </w:r>
    </w:p>
    <w:p w:rsidR="00D42F66" w:rsidRPr="00D42F66" w:rsidRDefault="0033363C" w:rsidP="00284978">
      <w:pPr>
        <w:pStyle w:val="ListBullet"/>
      </w:pPr>
      <w:r>
        <w:t>V72P5 was a P</w:t>
      </w:r>
      <w:r w:rsidR="00D42F66" w:rsidRPr="00D42F66">
        <w:t xml:space="preserve">hase </w:t>
      </w:r>
      <w:r>
        <w:t>I</w:t>
      </w:r>
      <w:r w:rsidR="00D42F66" w:rsidRPr="00D42F66">
        <w:t xml:space="preserve"> study conducted in Switzerland in 70 adults 18 to 40 years of age.</w:t>
      </w:r>
    </w:p>
    <w:p w:rsidR="00D42F66" w:rsidRPr="00D42F66" w:rsidRDefault="00D42F66" w:rsidP="00284978">
      <w:pPr>
        <w:pStyle w:val="Heading5"/>
      </w:pPr>
      <w:r w:rsidRPr="00D42F66">
        <w:t>Studies in In</w:t>
      </w:r>
      <w:r w:rsidR="00284978">
        <w:t>fants</w:t>
      </w:r>
    </w:p>
    <w:p w:rsidR="00D42F66" w:rsidRPr="00D42F66" w:rsidRDefault="0033363C" w:rsidP="00284978">
      <w:pPr>
        <w:pStyle w:val="ListBullet"/>
      </w:pPr>
      <w:r>
        <w:t>V72P13 was a pivotal, P</w:t>
      </w:r>
      <w:r w:rsidR="00D42F66" w:rsidRPr="00D42F66">
        <w:t xml:space="preserve">hase </w:t>
      </w:r>
      <w:r>
        <w:t>III</w:t>
      </w:r>
      <w:r w:rsidR="00D42F66" w:rsidRPr="00D42F66">
        <w:t>, lot comparison and non-interference study conducted in Italy, Germany, Austria, Finland and the Czech Republic in 3630 infants aged 2 months at entry.</w:t>
      </w:r>
    </w:p>
    <w:p w:rsidR="00D42F66" w:rsidRPr="00D42F66" w:rsidRDefault="00D42F66" w:rsidP="00284978">
      <w:pPr>
        <w:pStyle w:val="ListBullet"/>
      </w:pPr>
      <w:r w:rsidRPr="00D42F66">
        <w:t xml:space="preserve">V72P13E1 was the extension study to the above, investigating booster response and non-interference with routine </w:t>
      </w:r>
      <w:r w:rsidR="0033363C" w:rsidRPr="0033363C">
        <w:t xml:space="preserve">measles, mumps, </w:t>
      </w:r>
      <w:proofErr w:type="gramStart"/>
      <w:r w:rsidR="0033363C" w:rsidRPr="0033363C">
        <w:t>rubella</w:t>
      </w:r>
      <w:proofErr w:type="gramEnd"/>
      <w:r w:rsidR="0033363C" w:rsidRPr="0033363C">
        <w:t xml:space="preserve"> and </w:t>
      </w:r>
      <w:proofErr w:type="spellStart"/>
      <w:r w:rsidR="0033363C" w:rsidRPr="0033363C">
        <w:t>varicella</w:t>
      </w:r>
      <w:proofErr w:type="spellEnd"/>
      <w:r w:rsidR="0033363C" w:rsidRPr="0033363C">
        <w:t xml:space="preserve"> live-vaccine </w:t>
      </w:r>
      <w:r w:rsidR="0033363C">
        <w:t>(</w:t>
      </w:r>
      <w:r w:rsidRPr="00D42F66">
        <w:t>MMRV</w:t>
      </w:r>
      <w:r w:rsidR="0033363C">
        <w:t>)</w:t>
      </w:r>
      <w:r w:rsidRPr="00D42F66">
        <w:t xml:space="preserve"> vaccination in 2249 toddlers in their second year of life</w:t>
      </w:r>
      <w:r w:rsidR="00617B5B">
        <w:t>.</w:t>
      </w:r>
    </w:p>
    <w:p w:rsidR="00D42F66" w:rsidRPr="00D42F66" w:rsidRDefault="00D42F66" w:rsidP="00284978">
      <w:pPr>
        <w:pStyle w:val="ListBullet"/>
      </w:pPr>
      <w:r w:rsidRPr="00D42F66">
        <w:t xml:space="preserve">V72P13E2 was an extension study of V72P13E1 and enrolled 508 subjects, comprising 392 subjects who had participated in the open-label, immunogenicity subset conducted in Finland and the Czech Republic. The study investigated antibody persistence </w:t>
      </w:r>
      <w:r w:rsidR="003805DF">
        <w:t>1</w:t>
      </w:r>
      <w:r w:rsidRPr="00D42F66">
        <w:t xml:space="preserve"> year after the booster dose given in V72P13E1, and booster response</w:t>
      </w:r>
      <w:r w:rsidR="0033363C">
        <w:t xml:space="preserve"> in toddlers </w:t>
      </w:r>
      <w:r w:rsidR="003805DF">
        <w:t>1</w:t>
      </w:r>
      <w:r w:rsidR="0033363C">
        <w:t xml:space="preserve"> year after a 2 </w:t>
      </w:r>
      <w:r w:rsidRPr="00D42F66">
        <w:t>dose schedule administered in the second year of life. An additional group of 116 naïve subjects (defined as subjects who had never previously received any meningococcal B vaccine) approximately 24 months of age were recruited at the same study sites.</w:t>
      </w:r>
    </w:p>
    <w:p w:rsidR="00D42F66" w:rsidRPr="00D42F66" w:rsidRDefault="0033363C" w:rsidP="00284978">
      <w:pPr>
        <w:pStyle w:val="ListBullet"/>
      </w:pPr>
      <w:r>
        <w:t>V72P12 was a P</w:t>
      </w:r>
      <w:r w:rsidR="00D42F66" w:rsidRPr="00D42F66">
        <w:t xml:space="preserve">hase </w:t>
      </w:r>
      <w:proofErr w:type="spellStart"/>
      <w:r>
        <w:t>II</w:t>
      </w:r>
      <w:r w:rsidR="00D42F66" w:rsidRPr="00D42F66">
        <w:t>b</w:t>
      </w:r>
      <w:proofErr w:type="spellEnd"/>
      <w:r w:rsidR="00D42F66" w:rsidRPr="00D42F66">
        <w:t xml:space="preserve"> study comparing different vaccination schedules and non-interference with routine vaccinations, conducted in the UK, Spain, Italy, Belgium, Germany and Czech Republic, in 1885 infants aged 2 months at entry.</w:t>
      </w:r>
    </w:p>
    <w:p w:rsidR="00D42F66" w:rsidRPr="00D42F66" w:rsidRDefault="00D42F66" w:rsidP="00284978">
      <w:pPr>
        <w:pStyle w:val="ListBullet"/>
      </w:pPr>
      <w:r w:rsidRPr="00D42F66">
        <w:t xml:space="preserve">V72P9 was a </w:t>
      </w:r>
      <w:r w:rsidR="0033363C">
        <w:t>P</w:t>
      </w:r>
      <w:r w:rsidRPr="00D42F66">
        <w:t xml:space="preserve">hase </w:t>
      </w:r>
      <w:r w:rsidR="0033363C">
        <w:t>II</w:t>
      </w:r>
      <w:r w:rsidRPr="00D42F66">
        <w:t xml:space="preserve"> study conducted in the UK in 60 infants aged 6-8 months at entry.</w:t>
      </w:r>
    </w:p>
    <w:p w:rsidR="00D42F66" w:rsidRPr="00D42F66" w:rsidRDefault="0033363C" w:rsidP="00284978">
      <w:pPr>
        <w:pStyle w:val="ListBullet"/>
      </w:pPr>
      <w:r>
        <w:t>V72P6 was a Phase II</w:t>
      </w:r>
      <w:r w:rsidR="00D42F66" w:rsidRPr="00D42F66">
        <w:t xml:space="preserve"> study conducted in the UK in 147 infants aged 2 months at entry.</w:t>
      </w:r>
    </w:p>
    <w:p w:rsidR="00D42F66" w:rsidRPr="0033363C" w:rsidRDefault="00D42F66" w:rsidP="0033363C">
      <w:r w:rsidRPr="0033363C">
        <w:t xml:space="preserve">In all studies, responses in vaccine recipients were measured by a </w:t>
      </w:r>
      <w:r w:rsidR="0033363C" w:rsidRPr="0033363C">
        <w:t xml:space="preserve">SBA </w:t>
      </w:r>
      <w:r w:rsidRPr="0033363C">
        <w:t>using human complement (</w:t>
      </w:r>
      <w:proofErr w:type="spellStart"/>
      <w:r w:rsidRPr="0033363C">
        <w:t>hSBA</w:t>
      </w:r>
      <w:proofErr w:type="spellEnd"/>
      <w:r w:rsidRPr="0033363C">
        <w:t xml:space="preserve">) as a correlate of clinical efficacy against </w:t>
      </w:r>
      <w:proofErr w:type="spellStart"/>
      <w:r w:rsidRPr="0033363C">
        <w:t>serogroup</w:t>
      </w:r>
      <w:proofErr w:type="spellEnd"/>
      <w:r w:rsidRPr="0033363C">
        <w:t xml:space="preserve"> B </w:t>
      </w:r>
      <w:proofErr w:type="spellStart"/>
      <w:r w:rsidRPr="0033363C">
        <w:t>meningococcus</w:t>
      </w:r>
      <w:proofErr w:type="spellEnd"/>
      <w:r w:rsidRPr="0033363C">
        <w:t>. Serum was coll</w:t>
      </w:r>
      <w:r w:rsidR="0033363C">
        <w:t>ected just before vaccination (S</w:t>
      </w:r>
      <w:r w:rsidRPr="0033363C">
        <w:t xml:space="preserve">tudy </w:t>
      </w:r>
      <w:r w:rsidR="0033363C">
        <w:t>D</w:t>
      </w:r>
      <w:r w:rsidRPr="0033363C">
        <w:t xml:space="preserve">ay 1), and at 30 days after the last vaccination in all studies. Serum was also collected 30 days after the second vaccination in </w:t>
      </w:r>
      <w:r w:rsidR="0033363C">
        <w:t>S</w:t>
      </w:r>
      <w:r w:rsidRPr="0033363C">
        <w:t xml:space="preserve">tudies V72P5, V72P6 and V72P9, and 30 days after every vaccination in </w:t>
      </w:r>
      <w:r w:rsidR="0033363C">
        <w:t>S</w:t>
      </w:r>
      <w:r w:rsidRPr="0033363C">
        <w:t xml:space="preserve">tudies V72P4 and V72P10. In </w:t>
      </w:r>
      <w:r w:rsidR="0033363C">
        <w:t>S</w:t>
      </w:r>
      <w:r w:rsidRPr="0033363C">
        <w:t xml:space="preserve">tudy V72P13E1, serum was also collected and analysed six months after the third vaccination in parent </w:t>
      </w:r>
      <w:r w:rsidR="0033363C">
        <w:t>S</w:t>
      </w:r>
      <w:r w:rsidRPr="0033363C">
        <w:t>tudy V72P13 to assess antibody persistence after the primary infant vaccination course.</w:t>
      </w:r>
    </w:p>
    <w:p w:rsidR="00D42F66" w:rsidRPr="00D42F66" w:rsidRDefault="00D42F66" w:rsidP="00284978">
      <w:pPr>
        <w:pStyle w:val="Heading4"/>
      </w:pPr>
      <w:bookmarkStart w:id="134" w:name="_Ref271126605"/>
      <w:bookmarkStart w:id="135" w:name="_Toc272414657"/>
      <w:bookmarkStart w:id="136" w:name="_Toc290846282"/>
      <w:bookmarkStart w:id="137" w:name="_Toc367950356"/>
      <w:bookmarkStart w:id="138" w:name="_Toc347406491"/>
      <w:r w:rsidRPr="00D42F66">
        <w:t xml:space="preserve">Evaluator’s conclusions on clinical efficacy for </w:t>
      </w:r>
      <w:bookmarkEnd w:id="134"/>
      <w:bookmarkEnd w:id="135"/>
      <w:bookmarkEnd w:id="136"/>
      <w:r w:rsidR="00556F7A">
        <w:t>active immunis</w:t>
      </w:r>
      <w:r w:rsidRPr="00D42F66">
        <w:t xml:space="preserve">ation against invasive disease caused by </w:t>
      </w:r>
      <w:r w:rsidRPr="00D42F66">
        <w:rPr>
          <w:i/>
          <w:iCs/>
        </w:rPr>
        <w:t>N. meningitidis</w:t>
      </w:r>
      <w:r w:rsidRPr="00D42F66">
        <w:t xml:space="preserve"> of individuals from 2 months of age and older</w:t>
      </w:r>
      <w:bookmarkEnd w:id="137"/>
      <w:bookmarkEnd w:id="138"/>
    </w:p>
    <w:p w:rsidR="00D42F66" w:rsidRPr="00D42F66" w:rsidRDefault="00D42F66" w:rsidP="00D42F66">
      <w:r w:rsidRPr="00D42F66">
        <w:t>The data included in this dossier is complex and expansive but appears to support the following:</w:t>
      </w:r>
    </w:p>
    <w:p w:rsidR="00D42F66" w:rsidRPr="00D42F66" w:rsidRDefault="00D42F66" w:rsidP="00D42F66">
      <w:pPr>
        <w:numPr>
          <w:ilvl w:val="0"/>
          <w:numId w:val="36"/>
        </w:numPr>
      </w:pPr>
      <w:r w:rsidRPr="00D42F66">
        <w:t xml:space="preserve">The immune responses to the rMenB+OMV NZ </w:t>
      </w:r>
      <w:r w:rsidR="0033363C">
        <w:t xml:space="preserve">(Bexsero) </w:t>
      </w:r>
      <w:r w:rsidRPr="00D42F66">
        <w:t xml:space="preserve">vaccine are sufficient in infants who receive the first vaccination at 2 months of age after </w:t>
      </w:r>
      <w:r w:rsidR="0033363C">
        <w:t xml:space="preserve">3 </w:t>
      </w:r>
      <w:r w:rsidRPr="00D42F66">
        <w:t xml:space="preserve">doses given at least </w:t>
      </w:r>
      <w:r w:rsidR="0033363C">
        <w:t xml:space="preserve">1 </w:t>
      </w:r>
      <w:r w:rsidRPr="00D42F66">
        <w:t>month apart with or without routine vaccin</w:t>
      </w:r>
      <w:r w:rsidR="0033363C">
        <w:t xml:space="preserve">es administered concomitantly. </w:t>
      </w:r>
      <w:r w:rsidRPr="00D42F66">
        <w:t xml:space="preserve">It also appears that these vaccines can be given 1 month apart without any change in efficacy. The sufficiency of the immune responses to rMenB+OMV NZ when administered concomitantly with routine vaccines as a </w:t>
      </w:r>
      <w:r w:rsidR="00605E32">
        <w:t>3</w:t>
      </w:r>
      <w:r w:rsidRPr="00D42F66">
        <w:t xml:space="preserve">-dose infant primary series at 2, 4 and 6 months of age is supported by the data from V72P13 and V72P12 </w:t>
      </w:r>
      <w:r w:rsidR="0033363C">
        <w:t>S</w:t>
      </w:r>
      <w:r w:rsidRPr="00D42F66">
        <w:t xml:space="preserve">tudies. A non-inferiority approach was used to evaluate the immune responses to rMenB+OMV NZ when administered concomitantly with or without routine vaccines in </w:t>
      </w:r>
      <w:r w:rsidR="0033363C">
        <w:t>S</w:t>
      </w:r>
      <w:r w:rsidRPr="00D42F66">
        <w:t xml:space="preserve">tudy V72P12, using predefined </w:t>
      </w:r>
      <w:proofErr w:type="spellStart"/>
      <w:r w:rsidRPr="00D42F66">
        <w:t>noninferiority</w:t>
      </w:r>
      <w:proofErr w:type="spellEnd"/>
      <w:r w:rsidRPr="00D42F66">
        <w:t xml:space="preserve"> criteria.</w:t>
      </w:r>
    </w:p>
    <w:p w:rsidR="00D42F66" w:rsidRPr="00D42F66" w:rsidRDefault="00D42F66" w:rsidP="00D42F66">
      <w:pPr>
        <w:numPr>
          <w:ilvl w:val="0"/>
          <w:numId w:val="36"/>
        </w:numPr>
      </w:pPr>
      <w:r w:rsidRPr="00D42F66">
        <w:lastRenderedPageBreak/>
        <w:t xml:space="preserve">The immune responses to the vaccine are sufficient in immunologically naïve older infants and toddlers 6 months of age and older after </w:t>
      </w:r>
      <w:r w:rsidR="0033363C">
        <w:t xml:space="preserve">2 </w:t>
      </w:r>
      <w:r w:rsidRPr="00D42F66">
        <w:t xml:space="preserve">doses of rMenB+OMV NZ given </w:t>
      </w:r>
      <w:r w:rsidR="0033363C">
        <w:t xml:space="preserve">2 </w:t>
      </w:r>
      <w:r w:rsidRPr="00D42F66">
        <w:t xml:space="preserve">months apart. The data from </w:t>
      </w:r>
      <w:r w:rsidR="0033363C">
        <w:t>S</w:t>
      </w:r>
      <w:r w:rsidRPr="00D42F66">
        <w:t xml:space="preserve">tudy V72P9 in which a </w:t>
      </w:r>
      <w:r w:rsidR="0033363C">
        <w:t>2</w:t>
      </w:r>
      <w:r w:rsidRPr="00D42F66">
        <w:t>-dose schedule at 6 to 8 months of age was used, and in immunologically-</w:t>
      </w:r>
      <w:r w:rsidR="0033363C">
        <w:t>naïve toddlers in S</w:t>
      </w:r>
      <w:r w:rsidRPr="00D42F66">
        <w:t xml:space="preserve">tudy V72P13E1 </w:t>
      </w:r>
      <w:r w:rsidR="00D91BE4">
        <w:t xml:space="preserve">using </w:t>
      </w:r>
      <w:r w:rsidRPr="00D42F66">
        <w:t xml:space="preserve">a </w:t>
      </w:r>
      <w:r w:rsidR="0033363C">
        <w:t>2</w:t>
      </w:r>
      <w:r w:rsidRPr="00D42F66">
        <w:t>-dose schedule with or without concomitant vaccines</w:t>
      </w:r>
      <w:r w:rsidR="00D91BE4">
        <w:t>, appear</w:t>
      </w:r>
      <w:r w:rsidRPr="00D42F66">
        <w:t xml:space="preserve"> to support this.</w:t>
      </w:r>
    </w:p>
    <w:p w:rsidR="00D42F66" w:rsidRPr="0033363C" w:rsidRDefault="00D42F66" w:rsidP="0033363C">
      <w:pPr>
        <w:pStyle w:val="ListBullet"/>
      </w:pPr>
      <w:r w:rsidRPr="0033363C">
        <w:t xml:space="preserve">The immune responses to a booster dose given to toddlers in their second year of life induce a persistent booster response, either following a </w:t>
      </w:r>
      <w:r w:rsidR="00605E32">
        <w:t>3</w:t>
      </w:r>
      <w:r w:rsidRPr="0033363C">
        <w:t xml:space="preserve">-dose infant primary schedule given </w:t>
      </w:r>
      <w:r w:rsidR="005B2A9D">
        <w:t xml:space="preserve">1 </w:t>
      </w:r>
      <w:r w:rsidRPr="0033363C">
        <w:t xml:space="preserve">or </w:t>
      </w:r>
      <w:r w:rsidR="005B2A9D">
        <w:t>2</w:t>
      </w:r>
      <w:r w:rsidRPr="0033363C">
        <w:t xml:space="preserve"> months apart starting at 2 months of age, or following a </w:t>
      </w:r>
      <w:r w:rsidR="005B2A9D">
        <w:t>2</w:t>
      </w:r>
      <w:r w:rsidRPr="0033363C">
        <w:t>-dose older, immunologically-</w:t>
      </w:r>
      <w:r w:rsidR="0033363C">
        <w:t xml:space="preserve">naïve </w:t>
      </w:r>
      <w:r w:rsidRPr="0033363C">
        <w:t xml:space="preserve">infant schedule given </w:t>
      </w:r>
      <w:r w:rsidR="005B2A9D">
        <w:t>2</w:t>
      </w:r>
      <w:r w:rsidRPr="0033363C">
        <w:t xml:space="preserve"> months apart starting at 6 months. Adequate immune responses to a booster dose given at 12 months of age with or without concomitant MMRV vaccination, following a 3-dose primar</w:t>
      </w:r>
      <w:r w:rsidR="00D91BE4">
        <w:t>y infant series, were shown in S</w:t>
      </w:r>
      <w:r w:rsidRPr="0033363C">
        <w:t xml:space="preserve">tudy V72P13E1. The immune responses to </w:t>
      </w:r>
      <w:proofErr w:type="gramStart"/>
      <w:r w:rsidRPr="0033363C">
        <w:t>a</w:t>
      </w:r>
      <w:proofErr w:type="gramEnd"/>
      <w:r w:rsidRPr="0033363C">
        <w:t xml:space="preserve"> rMenB+OMV NZ dose at 12 months of age after a </w:t>
      </w:r>
      <w:r w:rsidR="005B2A9D">
        <w:t>2</w:t>
      </w:r>
      <w:r w:rsidRPr="0033363C">
        <w:t xml:space="preserve">-dose primary series in </w:t>
      </w:r>
      <w:r w:rsidR="0033363C">
        <w:t xml:space="preserve">naïve </w:t>
      </w:r>
      <w:r w:rsidR="009D2CF0">
        <w:t>older infants in S</w:t>
      </w:r>
      <w:r w:rsidRPr="0033363C">
        <w:t xml:space="preserve">tudy V72P9 was sufficient. Data from </w:t>
      </w:r>
      <w:r w:rsidR="009D2CF0">
        <w:t>S</w:t>
      </w:r>
      <w:r w:rsidRPr="0033363C">
        <w:t xml:space="preserve">tudy V72P13E2 showed a good response to a booster dose given at </w:t>
      </w:r>
      <w:r w:rsidR="003805DF">
        <w:t>1</w:t>
      </w:r>
      <w:r w:rsidRPr="0033363C">
        <w:t xml:space="preserve"> year following a 2-dose catch-up series in toddlers in the second year of life.</w:t>
      </w:r>
    </w:p>
    <w:p w:rsidR="00D42F66" w:rsidRPr="00D42F66" w:rsidRDefault="00D42F66" w:rsidP="00D42F66">
      <w:pPr>
        <w:numPr>
          <w:ilvl w:val="0"/>
          <w:numId w:val="36"/>
        </w:numPr>
      </w:pPr>
      <w:r w:rsidRPr="00D42F66">
        <w:t xml:space="preserve">Immune responses were assessed </w:t>
      </w:r>
      <w:r w:rsidR="003805DF">
        <w:t>1</w:t>
      </w:r>
      <w:r w:rsidRPr="00D42F66">
        <w:t xml:space="preserve"> month following completion of the primary vaccination course in infants (</w:t>
      </w:r>
      <w:r w:rsidR="009D2CF0">
        <w:t xml:space="preserve">Studies </w:t>
      </w:r>
      <w:r w:rsidRPr="00D42F66">
        <w:t xml:space="preserve">V72P12, V72P13), </w:t>
      </w:r>
      <w:r w:rsidR="0052637C">
        <w:t xml:space="preserve">older infants </w:t>
      </w:r>
      <w:r w:rsidRPr="00D42F66">
        <w:t xml:space="preserve">(V72P9), adolescents (V72P10) and adults (V72P4 and V72P5). In the extension studies (V72P13E1 and V72P13E2) the durability of these responses in the infants/toddlers and the effect of booster doses were further studied. Persistence of bactericidal antibodies at 12 months of age (following vaccination at 2, 4 and 6 months) prior to the booster was evaluated in V72P13E1 (as well as </w:t>
      </w:r>
      <w:r w:rsidR="003805DF">
        <w:t>1</w:t>
      </w:r>
      <w:r w:rsidRPr="00D42F66">
        <w:t xml:space="preserve"> month post-booster). The persistence of antibodies 12 months after the 12-month booster (as well as 12 months after primary </w:t>
      </w:r>
      <w:r w:rsidR="005B2A9D">
        <w:t>2</w:t>
      </w:r>
      <w:r w:rsidRPr="00D42F66">
        <w:t>-dose toddler vaccination</w:t>
      </w:r>
      <w:r w:rsidR="001D5CDE">
        <w:t>)</w:t>
      </w:r>
      <w:r w:rsidRPr="00D42F66">
        <w:t xml:space="preserve"> was then evaluated in Study V72P13E2.</w:t>
      </w:r>
    </w:p>
    <w:p w:rsidR="00D42F66" w:rsidRPr="00D42F66" w:rsidRDefault="00D42F66" w:rsidP="00D42F66">
      <w:pPr>
        <w:numPr>
          <w:ilvl w:val="0"/>
          <w:numId w:val="36"/>
        </w:numPr>
      </w:pPr>
      <w:proofErr w:type="spellStart"/>
      <w:r w:rsidRPr="00D42F66">
        <w:t>Lot to</w:t>
      </w:r>
      <w:proofErr w:type="spellEnd"/>
      <w:r w:rsidRPr="00D42F66">
        <w:t xml:space="preserve"> lot consistency of the rMenB+OMV NZ </w:t>
      </w:r>
      <w:proofErr w:type="gramStart"/>
      <w:r w:rsidRPr="00D42F66">
        <w:t>was</w:t>
      </w:r>
      <w:proofErr w:type="gramEnd"/>
      <w:r w:rsidRPr="00D42F66">
        <w:t xml:space="preserve"> shown in </w:t>
      </w:r>
      <w:r w:rsidR="009D2CF0">
        <w:t>S</w:t>
      </w:r>
      <w:r w:rsidRPr="00D42F66">
        <w:t>tudy V72P13.</w:t>
      </w:r>
    </w:p>
    <w:p w:rsidR="00D42F66" w:rsidRPr="00D42F66" w:rsidRDefault="00D42F66" w:rsidP="00D42F66">
      <w:pPr>
        <w:numPr>
          <w:ilvl w:val="0"/>
          <w:numId w:val="36"/>
        </w:numPr>
      </w:pPr>
      <w:r w:rsidRPr="00D42F66">
        <w:t xml:space="preserve">Concomitantly administered routine infant and toddler vaccinations elicit similar immune responses when given with rMenB+OMV NZ vaccine </w:t>
      </w:r>
      <w:r w:rsidR="009D2CF0">
        <w:t xml:space="preserve">as </w:t>
      </w:r>
      <w:r w:rsidRPr="00D42F66">
        <w:t xml:space="preserve">compared to the same vaccines given alone. This is supported by the data from </w:t>
      </w:r>
      <w:r w:rsidR="009D2CF0">
        <w:t>S</w:t>
      </w:r>
      <w:r w:rsidRPr="00D42F66">
        <w:t xml:space="preserve">tudy V72P12 and </w:t>
      </w:r>
      <w:r w:rsidR="009D2CF0">
        <w:t>S</w:t>
      </w:r>
      <w:r w:rsidR="00617B5B">
        <w:t>tudy V72P13.</w:t>
      </w:r>
    </w:p>
    <w:p w:rsidR="00D42F66" w:rsidRPr="00D42F66" w:rsidRDefault="00D42F66" w:rsidP="00D42F66">
      <w:pPr>
        <w:numPr>
          <w:ilvl w:val="0"/>
          <w:numId w:val="36"/>
        </w:numPr>
      </w:pPr>
      <w:r w:rsidRPr="00D42F66">
        <w:t xml:space="preserve">The response to the first dose of the </w:t>
      </w:r>
      <w:r w:rsidR="005B2A9D">
        <w:t>2</w:t>
      </w:r>
      <w:r w:rsidRPr="00D42F66">
        <w:t xml:space="preserve">-dose series of the four antigens contained in </w:t>
      </w:r>
      <w:proofErr w:type="spellStart"/>
      <w:r w:rsidRPr="00D42F66">
        <w:t>Priorix</w:t>
      </w:r>
      <w:proofErr w:type="spellEnd"/>
      <w:r w:rsidRPr="00D42F66">
        <w:t xml:space="preserve">-Tetra (measles, mumps, rubella and </w:t>
      </w:r>
      <w:proofErr w:type="spellStart"/>
      <w:r w:rsidRPr="00D42F66">
        <w:t>varicella</w:t>
      </w:r>
      <w:proofErr w:type="spellEnd"/>
      <w:r w:rsidRPr="00D42F66">
        <w:t>) is non-inferior when given</w:t>
      </w:r>
      <w:r w:rsidR="009D2CF0">
        <w:t xml:space="preserve"> with or without rMenB+OMV NZ (S</w:t>
      </w:r>
      <w:r w:rsidRPr="00D42F66">
        <w:t>tudy V72P13E1), using predefined statistical criteria.</w:t>
      </w:r>
    </w:p>
    <w:p w:rsidR="00D42F66" w:rsidRPr="00D42F66" w:rsidRDefault="00D42F66" w:rsidP="00D42F66">
      <w:pPr>
        <w:numPr>
          <w:ilvl w:val="0"/>
          <w:numId w:val="36"/>
        </w:numPr>
      </w:pPr>
      <w:r w:rsidRPr="00D42F66">
        <w:t>The immune responses to the rMenB+OMV NZ vaccine a</w:t>
      </w:r>
      <w:r w:rsidR="009D2CF0">
        <w:t xml:space="preserve">re sufficient in </w:t>
      </w:r>
      <w:proofErr w:type="gramStart"/>
      <w:r w:rsidR="009D2CF0">
        <w:t>adolescents</w:t>
      </w:r>
      <w:proofErr w:type="gramEnd"/>
      <w:r w:rsidR="009D2CF0">
        <w:t xml:space="preserve"> 11</w:t>
      </w:r>
      <w:r w:rsidR="009D2CF0">
        <w:noBreakHyphen/>
      </w:r>
      <w:r w:rsidRPr="00D42F66">
        <w:t xml:space="preserve">17 years of age after </w:t>
      </w:r>
      <w:r w:rsidR="005B2A9D">
        <w:t>2</w:t>
      </w:r>
      <w:r w:rsidRPr="00D42F66">
        <w:t xml:space="preserve"> doses given at least </w:t>
      </w:r>
      <w:r w:rsidR="003805DF">
        <w:t>1</w:t>
      </w:r>
      <w:r w:rsidRPr="00D42F66">
        <w:t xml:space="preserve"> month apart. This appears to be supported by the results of </w:t>
      </w:r>
      <w:r w:rsidR="009D2CF0">
        <w:t>S</w:t>
      </w:r>
      <w:r w:rsidRPr="00D42F66">
        <w:t>tudy V72P10. All available data for subjects in this age group by schedule were combined to increase numbers analysed.</w:t>
      </w:r>
    </w:p>
    <w:p w:rsidR="00D42F66" w:rsidRPr="00D42F66" w:rsidRDefault="00D42F66" w:rsidP="00D42F66">
      <w:pPr>
        <w:numPr>
          <w:ilvl w:val="0"/>
          <w:numId w:val="36"/>
        </w:numPr>
      </w:pPr>
      <w:r w:rsidRPr="00D42F66">
        <w:t xml:space="preserve">The immune responses to the rMenB+OMV NZ vaccine appear to be sufficient in adults 18-50 years of age after </w:t>
      </w:r>
      <w:r w:rsidR="005B2A9D">
        <w:t>2</w:t>
      </w:r>
      <w:r w:rsidRPr="00D42F66">
        <w:t xml:space="preserve"> doses, given at least </w:t>
      </w:r>
      <w:r w:rsidR="003805DF">
        <w:t>1</w:t>
      </w:r>
      <w:r w:rsidRPr="00D42F66">
        <w:t xml:space="preserve"> month apart. This w</w:t>
      </w:r>
      <w:r w:rsidR="009D2CF0">
        <w:t>as supported by the results of S</w:t>
      </w:r>
      <w:r w:rsidRPr="00D42F66">
        <w:t>tudies V72P5 and V72P4 (small studies)</w:t>
      </w:r>
      <w:r w:rsidR="00431FA2">
        <w:t>.</w:t>
      </w:r>
    </w:p>
    <w:p w:rsidR="00D42F66" w:rsidRPr="00D42F66" w:rsidRDefault="00D42F66" w:rsidP="00D42F66">
      <w:pPr>
        <w:numPr>
          <w:ilvl w:val="0"/>
          <w:numId w:val="36"/>
        </w:numPr>
      </w:pPr>
      <w:r w:rsidRPr="00D42F66">
        <w:t>There is no specific data for efficacy in children aged 2-10 years of age.</w:t>
      </w:r>
    </w:p>
    <w:p w:rsidR="008E7846" w:rsidRPr="002E238E" w:rsidRDefault="008E7846" w:rsidP="008E7846">
      <w:pPr>
        <w:pStyle w:val="Heading3"/>
      </w:pPr>
      <w:bookmarkStart w:id="139" w:name="_Toc163441378"/>
      <w:bookmarkStart w:id="140" w:name="_Toc196046495"/>
      <w:bookmarkStart w:id="141" w:name="_Toc247691522"/>
      <w:bookmarkStart w:id="142" w:name="_Toc314842505"/>
      <w:bookmarkStart w:id="143" w:name="_Toc370985736"/>
      <w:bookmarkEnd w:id="127"/>
      <w:bookmarkEnd w:id="128"/>
      <w:bookmarkEnd w:id="129"/>
      <w:bookmarkEnd w:id="130"/>
      <w:r w:rsidRPr="002E238E">
        <w:t>Safety</w:t>
      </w:r>
      <w:bookmarkEnd w:id="139"/>
      <w:bookmarkEnd w:id="140"/>
      <w:bookmarkEnd w:id="141"/>
      <w:bookmarkEnd w:id="142"/>
      <w:bookmarkEnd w:id="143"/>
    </w:p>
    <w:p w:rsidR="0083055C" w:rsidRPr="0083055C" w:rsidRDefault="0083055C" w:rsidP="00284978">
      <w:pPr>
        <w:pStyle w:val="Heading4"/>
      </w:pPr>
      <w:bookmarkStart w:id="144" w:name="_Toc367950358"/>
      <w:bookmarkStart w:id="145" w:name="_Toc347406493"/>
      <w:bookmarkStart w:id="146" w:name="_Toc290846284"/>
      <w:bookmarkStart w:id="147" w:name="_Toc272414659"/>
      <w:bookmarkStart w:id="148" w:name="_Toc184440288"/>
      <w:bookmarkStart w:id="149" w:name="_Toc184444666"/>
      <w:bookmarkStart w:id="150" w:name="_Toc196046496"/>
      <w:r w:rsidRPr="0083055C">
        <w:t>Studies providing evaluable safety data</w:t>
      </w:r>
      <w:bookmarkEnd w:id="144"/>
      <w:bookmarkEnd w:id="145"/>
      <w:bookmarkEnd w:id="146"/>
      <w:bookmarkEnd w:id="147"/>
    </w:p>
    <w:p w:rsidR="002B6570" w:rsidRDefault="0083055C" w:rsidP="0083055C">
      <w:pPr>
        <w:autoSpaceDE w:val="0"/>
        <w:autoSpaceDN w:val="0"/>
        <w:adjustRightInd w:val="0"/>
      </w:pPr>
      <w:r w:rsidRPr="0083055C">
        <w:t xml:space="preserve">For all the studies discussed in </w:t>
      </w:r>
      <w:r w:rsidR="00284978">
        <w:t xml:space="preserve">the </w:t>
      </w:r>
      <w:r w:rsidR="00284978" w:rsidRPr="00284978">
        <w:rPr>
          <w:i/>
          <w:iCs/>
        </w:rPr>
        <w:t>Efficacy</w:t>
      </w:r>
      <w:r w:rsidR="00284978">
        <w:t xml:space="preserve"> s</w:t>
      </w:r>
      <w:r w:rsidRPr="0083055C">
        <w:t xml:space="preserve">ection above, safety and tolerability were co-primary objectives (with immunogenicity). All subjects receiving at least </w:t>
      </w:r>
      <w:r w:rsidR="003805DF">
        <w:t>1</w:t>
      </w:r>
      <w:r w:rsidRPr="0083055C">
        <w:t xml:space="preserve"> injection and providing post-baseline safety data were included in the sa</w:t>
      </w:r>
      <w:r w:rsidR="00617B5B">
        <w:t>fety and tolerability analyses.</w:t>
      </w:r>
    </w:p>
    <w:p w:rsidR="0083055C" w:rsidRPr="0083055C" w:rsidRDefault="0083055C" w:rsidP="0083055C">
      <w:pPr>
        <w:autoSpaceDE w:val="0"/>
        <w:autoSpaceDN w:val="0"/>
        <w:adjustRightInd w:val="0"/>
      </w:pPr>
      <w:r w:rsidRPr="0083055C">
        <w:lastRenderedPageBreak/>
        <w:t xml:space="preserve">The number of participants available for safety data in the different studies is summarised in Table </w:t>
      </w:r>
      <w:r w:rsidR="001D7C7D">
        <w:t xml:space="preserve">5 </w:t>
      </w:r>
      <w:r w:rsidRPr="0083055C">
        <w:t xml:space="preserve">(primary vaccination) and Table </w:t>
      </w:r>
      <w:r w:rsidR="001D7C7D">
        <w:t>6</w:t>
      </w:r>
      <w:r w:rsidRPr="0083055C">
        <w:t xml:space="preserve"> (booster vaccination).</w:t>
      </w:r>
    </w:p>
    <w:p w:rsidR="0083055C" w:rsidRPr="0083055C" w:rsidRDefault="0083055C" w:rsidP="00617B5B">
      <w:pPr>
        <w:pStyle w:val="TableTitle"/>
      </w:pPr>
      <w:proofErr w:type="gramStart"/>
      <w:r w:rsidRPr="0083055C">
        <w:t xml:space="preserve">Table </w:t>
      </w:r>
      <w:r w:rsidR="001D7C7D">
        <w:t>5.</w:t>
      </w:r>
      <w:proofErr w:type="gramEnd"/>
      <w:r w:rsidRPr="0083055C">
        <w:t xml:space="preserve"> Overview of Clinical Studies Included to Support rMenB+OMV NZ Vaccine Safety of Infants (Primary Series) and Adolescents and Adults, 2 Months of Age and Older</w:t>
      </w:r>
    </w:p>
    <w:p w:rsidR="0083055C" w:rsidRPr="0083055C" w:rsidRDefault="0083055C" w:rsidP="00617B5B">
      <w:r w:rsidRPr="0083055C">
        <w:rPr>
          <w:noProof/>
          <w:lang w:eastAsia="en-AU"/>
        </w:rPr>
        <w:drawing>
          <wp:inline distT="0" distB="0" distL="0" distR="0">
            <wp:extent cx="5730240" cy="4533900"/>
            <wp:effectExtent l="19050" t="0" r="3810" b="0"/>
            <wp:docPr id="47" name="Picture 2" descr="Table 5. Overview of Clinical Studies Included to Support rMenB+OMV NZ Vaccine Safety of Infants (Primary Series) and Adolescents and Adults, 2 Months of Age and 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42: Overview of Clinical Studies Included to Support rMenB+OMV NZ Vaccine Safety of Infants (Primary Series) and Adolescents and Adults, 2 Months of Age and Older"/>
                    <pic:cNvPicPr>
                      <a:picLocks noChangeAspect="1" noChangeArrowheads="1"/>
                    </pic:cNvPicPr>
                  </pic:nvPicPr>
                  <pic:blipFill>
                    <a:blip r:embed="rId17" cstate="print"/>
                    <a:srcRect/>
                    <a:stretch>
                      <a:fillRect/>
                    </a:stretch>
                  </pic:blipFill>
                  <pic:spPr bwMode="auto">
                    <a:xfrm>
                      <a:off x="0" y="0"/>
                      <a:ext cx="5730240" cy="4533900"/>
                    </a:xfrm>
                    <a:prstGeom prst="rect">
                      <a:avLst/>
                    </a:prstGeom>
                    <a:noFill/>
                    <a:ln w="9525">
                      <a:noFill/>
                      <a:miter lim="800000"/>
                      <a:headEnd/>
                      <a:tailEnd/>
                    </a:ln>
                  </pic:spPr>
                </pic:pic>
              </a:graphicData>
            </a:graphic>
          </wp:inline>
        </w:drawing>
      </w:r>
    </w:p>
    <w:p w:rsidR="0083055C" w:rsidRPr="0083055C" w:rsidRDefault="0083055C" w:rsidP="00617B5B">
      <w:pPr>
        <w:pStyle w:val="TableTitle"/>
      </w:pPr>
      <w:bookmarkStart w:id="151" w:name="_Ref317688201"/>
      <w:bookmarkStart w:id="152" w:name="_Toc347406441"/>
      <w:proofErr w:type="gramStart"/>
      <w:r w:rsidRPr="0083055C">
        <w:t>Table</w:t>
      </w:r>
      <w:bookmarkEnd w:id="151"/>
      <w:r w:rsidR="001D7C7D">
        <w:t xml:space="preserve"> 6.</w:t>
      </w:r>
      <w:proofErr w:type="gramEnd"/>
      <w:r w:rsidRPr="0083055C">
        <w:t xml:space="preserve"> Overview of Clinical Studies Included to Support rMenB+OMV NZ Safety (Booster Vaccination)</w:t>
      </w:r>
      <w:bookmarkEnd w:id="152"/>
    </w:p>
    <w:p w:rsidR="0083055C" w:rsidRPr="0083055C" w:rsidRDefault="0083055C" w:rsidP="0083055C">
      <w:pPr>
        <w:autoSpaceDE w:val="0"/>
        <w:autoSpaceDN w:val="0"/>
        <w:adjustRightInd w:val="0"/>
        <w:rPr>
          <w:b/>
          <w:i/>
          <w:iCs/>
        </w:rPr>
      </w:pPr>
      <w:r w:rsidRPr="0083055C">
        <w:rPr>
          <w:b/>
          <w:i/>
          <w:iCs/>
          <w:noProof/>
          <w:lang w:eastAsia="en-AU"/>
        </w:rPr>
        <w:drawing>
          <wp:inline distT="0" distB="0" distL="0" distR="0">
            <wp:extent cx="5737860" cy="1844040"/>
            <wp:effectExtent l="19050" t="0" r="0" b="0"/>
            <wp:docPr id="48" name="Picture 123" descr="Table 6. Overview of Clinical Studies Included to Support rMenB+OMV NZ Safety (Booster Vacc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Table 43: Overview of Clinical Studies Included to Support rMenB+OMV NZ Safety (Booster Vaccination)"/>
                    <pic:cNvPicPr>
                      <a:picLocks noChangeAspect="1" noChangeArrowheads="1"/>
                    </pic:cNvPicPr>
                  </pic:nvPicPr>
                  <pic:blipFill>
                    <a:blip r:embed="rId18" cstate="print"/>
                    <a:srcRect/>
                    <a:stretch>
                      <a:fillRect/>
                    </a:stretch>
                  </pic:blipFill>
                  <pic:spPr bwMode="auto">
                    <a:xfrm>
                      <a:off x="0" y="0"/>
                      <a:ext cx="5737860" cy="1844040"/>
                    </a:xfrm>
                    <a:prstGeom prst="rect">
                      <a:avLst/>
                    </a:prstGeom>
                    <a:noFill/>
                    <a:ln w="9525">
                      <a:noFill/>
                      <a:miter lim="800000"/>
                      <a:headEnd/>
                      <a:tailEnd/>
                    </a:ln>
                  </pic:spPr>
                </pic:pic>
              </a:graphicData>
            </a:graphic>
          </wp:inline>
        </w:drawing>
      </w:r>
    </w:p>
    <w:p w:rsidR="0083055C" w:rsidRPr="0083055C" w:rsidRDefault="0083055C" w:rsidP="00617B5B">
      <w:pPr>
        <w:pStyle w:val="Heading4"/>
      </w:pPr>
      <w:bookmarkStart w:id="153" w:name="_Toc241374318"/>
      <w:bookmarkStart w:id="154" w:name="_Ref271196630"/>
      <w:bookmarkStart w:id="155" w:name="_Toc272414662"/>
      <w:bookmarkStart w:id="156" w:name="_Toc290846300"/>
      <w:bookmarkStart w:id="157" w:name="_Toc347406495"/>
      <w:bookmarkStart w:id="158" w:name="_Toc367950360"/>
      <w:r w:rsidRPr="0083055C">
        <w:t>Patient exposure</w:t>
      </w:r>
      <w:bookmarkEnd w:id="153"/>
      <w:bookmarkEnd w:id="154"/>
      <w:bookmarkEnd w:id="155"/>
      <w:bookmarkEnd w:id="156"/>
      <w:bookmarkEnd w:id="157"/>
      <w:bookmarkEnd w:id="158"/>
    </w:p>
    <w:p w:rsidR="00BE1ECD" w:rsidRDefault="0083055C" w:rsidP="0083055C">
      <w:pPr>
        <w:autoSpaceDE w:val="0"/>
        <w:autoSpaceDN w:val="0"/>
        <w:adjustRightInd w:val="0"/>
      </w:pPr>
      <w:r w:rsidRPr="0083055C">
        <w:t xml:space="preserve">The total number of subjects exposed to at least </w:t>
      </w:r>
      <w:r w:rsidR="003805DF">
        <w:t>1</w:t>
      </w:r>
      <w:r w:rsidRPr="0083055C">
        <w:t xml:space="preserve"> dose of the rMenB+OMV NZ vaccine was 6555 subjects (from 2 months of age), including 4843 infants and toddlers, 1631 adolescents (11 to 17 years of age) and 81 adults (18 to 50 years of age). Of the subjects who received the primary infant series of rMenB+OMV NZ, 1630 received a booster dose </w:t>
      </w:r>
      <w:r w:rsidRPr="0083055C">
        <w:lastRenderedPageBreak/>
        <w:t>in the second year of life. Of the subjects who received the 2-dose catch-up schedule in the second year of life, 85 received a booster dose 1</w:t>
      </w:r>
      <w:r w:rsidR="00617B5B">
        <w:t>2 months after the second dose.</w:t>
      </w:r>
    </w:p>
    <w:p w:rsidR="0083055C" w:rsidRPr="00617B5B" w:rsidRDefault="0083055C" w:rsidP="00617B5B">
      <w:pPr>
        <w:pStyle w:val="Heading4"/>
      </w:pPr>
      <w:bookmarkStart w:id="159" w:name="_Toc367950363"/>
      <w:bookmarkStart w:id="160" w:name="_Toc347406506"/>
      <w:bookmarkStart w:id="161" w:name="_Toc290846317"/>
      <w:bookmarkStart w:id="162" w:name="_Toc272414679"/>
      <w:bookmarkStart w:id="163" w:name="_Ref272333048"/>
      <w:bookmarkStart w:id="164" w:name="_Toc241374326"/>
      <w:r w:rsidRPr="00617B5B">
        <w:t>Post-marketing experience</w:t>
      </w:r>
      <w:bookmarkEnd w:id="159"/>
      <w:bookmarkEnd w:id="160"/>
      <w:bookmarkEnd w:id="161"/>
      <w:bookmarkEnd w:id="162"/>
      <w:bookmarkEnd w:id="163"/>
      <w:bookmarkEnd w:id="164"/>
    </w:p>
    <w:p w:rsidR="0083055C" w:rsidRPr="0083055C" w:rsidRDefault="00EA389E" w:rsidP="0083055C">
      <w:pPr>
        <w:autoSpaceDE w:val="0"/>
        <w:autoSpaceDN w:val="0"/>
        <w:adjustRightInd w:val="0"/>
      </w:pPr>
      <w:r>
        <w:t>At the time, t</w:t>
      </w:r>
      <w:r w:rsidR="0083055C" w:rsidRPr="0083055C">
        <w:t xml:space="preserve">here </w:t>
      </w:r>
      <w:r>
        <w:t>wa</w:t>
      </w:r>
      <w:r w:rsidR="0083055C" w:rsidRPr="0083055C">
        <w:t>s no post-marketing experience for rMenB+OMV</w:t>
      </w:r>
      <w:r>
        <w:t xml:space="preserve"> NZ as the vaccine was not </w:t>
      </w:r>
      <w:r w:rsidR="0052637C">
        <w:t xml:space="preserve">marketed </w:t>
      </w:r>
      <w:r>
        <w:t>yet. There wa</w:t>
      </w:r>
      <w:r w:rsidR="0083055C" w:rsidRPr="0083055C">
        <w:t xml:space="preserve">s some information relevant to the OMV component of the rMenB+OMV NZ vaccine from the experience with OMV-based vaccines used worldwide for the control of local epidemics. It concurs with safety data from clinical trials with OMV vaccines </w:t>
      </w:r>
      <w:proofErr w:type="spellStart"/>
      <w:r w:rsidR="0083055C" w:rsidRPr="0083055C">
        <w:t>MenBvac</w:t>
      </w:r>
      <w:proofErr w:type="spellEnd"/>
      <w:r w:rsidR="0083055C" w:rsidRPr="0083055C">
        <w:t xml:space="preserve"> and </w:t>
      </w:r>
      <w:proofErr w:type="spellStart"/>
      <w:r w:rsidR="0083055C" w:rsidRPr="0083055C">
        <w:t>MeNZB</w:t>
      </w:r>
      <w:proofErr w:type="spellEnd"/>
      <w:r w:rsidR="0083055C" w:rsidRPr="0083055C">
        <w:t xml:space="preserve"> and also </w:t>
      </w:r>
      <w:r>
        <w:t xml:space="preserve">with </w:t>
      </w:r>
      <w:r w:rsidR="0083055C" w:rsidRPr="0083055C">
        <w:t>surveillance data from the vaccination campaign</w:t>
      </w:r>
      <w:r>
        <w:t>.</w:t>
      </w:r>
      <w:r w:rsidR="0083055C" w:rsidRPr="0083055C">
        <w:t xml:space="preserve"> </w:t>
      </w:r>
      <w:r>
        <w:t>F</w:t>
      </w:r>
      <w:r w:rsidR="0083055C" w:rsidRPr="0083055C">
        <w:t xml:space="preserve">ever is a characteristic feature of OMV vaccines when administered in the first year of life. The most directly relevant data comes from the New Zealand serogroup B outbreak, where a component of the rMenB+OMV NZ vaccine, as </w:t>
      </w:r>
      <w:proofErr w:type="spellStart"/>
      <w:r w:rsidR="0083055C" w:rsidRPr="0083055C">
        <w:t>MeNZB</w:t>
      </w:r>
      <w:proofErr w:type="spellEnd"/>
      <w:r w:rsidR="0083055C" w:rsidRPr="0083055C">
        <w:t xml:space="preserve">, was used to control the </w:t>
      </w:r>
      <w:proofErr w:type="spellStart"/>
      <w:r w:rsidR="0083055C" w:rsidRPr="0083055C">
        <w:t>clonal</w:t>
      </w:r>
      <w:proofErr w:type="spellEnd"/>
      <w:r w:rsidR="0083055C" w:rsidRPr="0083055C">
        <w:t xml:space="preserve"> outbreak and was intensely studied in post-marketing safety analyses. The results, where self-limited mild to moderate fever was not accompanied by either increase</w:t>
      </w:r>
      <w:r>
        <w:t>d rates of medical attention or</w:t>
      </w:r>
      <w:r w:rsidR="0083055C" w:rsidRPr="0083055C">
        <w:t xml:space="preserve"> increased rates of febrile seizures</w:t>
      </w:r>
      <w:r>
        <w:rPr>
          <w:rStyle w:val="FootnoteReference"/>
        </w:rPr>
        <w:footnoteReference w:id="27"/>
      </w:r>
      <w:r w:rsidR="0083055C" w:rsidRPr="0083055C">
        <w:rPr>
          <w:vertAlign w:val="superscript"/>
        </w:rPr>
        <w:t>,</w:t>
      </w:r>
      <w:r w:rsidR="0083055C" w:rsidRPr="0083055C">
        <w:rPr>
          <w:vertAlign w:val="superscript"/>
        </w:rPr>
        <w:footnoteReference w:id="28"/>
      </w:r>
      <w:r>
        <w:t xml:space="preserve"> </w:t>
      </w:r>
      <w:r w:rsidR="0083055C" w:rsidRPr="0083055C">
        <w:t>are reassuring and will be important to validate in post-marketing studies of rMenB+OMV NZ. Kawasaki Disease</w:t>
      </w:r>
      <w:r w:rsidR="00550E6D">
        <w:rPr>
          <w:rStyle w:val="FootnoteReference"/>
        </w:rPr>
        <w:footnoteReference w:id="29"/>
      </w:r>
      <w:r w:rsidR="00550E6D">
        <w:t xml:space="preserve"> </w:t>
      </w:r>
      <w:r w:rsidR="0083055C" w:rsidRPr="0083055C">
        <w:t xml:space="preserve">was also specifically studied and not found to be increased in frequency after implementation of </w:t>
      </w:r>
      <w:proofErr w:type="spellStart"/>
      <w:r w:rsidR="0083055C" w:rsidRPr="0083055C">
        <w:t>MeNZB</w:t>
      </w:r>
      <w:proofErr w:type="spellEnd"/>
      <w:r w:rsidR="0083055C" w:rsidRPr="0083055C">
        <w:t xml:space="preserve"> vaccination</w:t>
      </w:r>
      <w:r>
        <w:t>.</w:t>
      </w:r>
      <w:r w:rsidR="0083055C" w:rsidRPr="0083055C">
        <w:rPr>
          <w:vertAlign w:val="superscript"/>
        </w:rPr>
        <w:footnoteReference w:id="30"/>
      </w:r>
    </w:p>
    <w:p w:rsidR="0083055C" w:rsidRPr="0083055C" w:rsidRDefault="0083055C" w:rsidP="00617B5B">
      <w:pPr>
        <w:pStyle w:val="Heading4"/>
      </w:pPr>
      <w:bookmarkStart w:id="165" w:name="_Toc367950366"/>
      <w:bookmarkStart w:id="166" w:name="_Toc347406511"/>
      <w:bookmarkStart w:id="167" w:name="_Toc290846329"/>
      <w:bookmarkStart w:id="168" w:name="_Toc272414691"/>
      <w:bookmarkStart w:id="169" w:name="_Toc241374328"/>
      <w:r w:rsidRPr="0083055C">
        <w:t>Evaluator’s overall conclusions on clinical safety</w:t>
      </w:r>
      <w:bookmarkEnd w:id="165"/>
      <w:bookmarkEnd w:id="166"/>
      <w:bookmarkEnd w:id="167"/>
      <w:bookmarkEnd w:id="168"/>
      <w:bookmarkEnd w:id="169"/>
    </w:p>
    <w:p w:rsidR="0083055C" w:rsidRPr="0083055C" w:rsidRDefault="0083055C" w:rsidP="0083055C">
      <w:pPr>
        <w:autoSpaceDE w:val="0"/>
        <w:autoSpaceDN w:val="0"/>
        <w:adjustRightInd w:val="0"/>
      </w:pPr>
      <w:r w:rsidRPr="0083055C">
        <w:t xml:space="preserve">This vaccine has a very high incidence of local reactions at the injection site of rMenB+OMV NZ. These consisted of tenderness, erythema and induration. Overall, most of the local reactions were transient and resolved within the 7 day observation window. The majority of reactions were mild or moderate in nature. Other than for tenderness, severe local reactions were infrequent at the rMenB+OMV NZ injection site. In infants and toddlers, a slightly lower percentage of subjects reported solicited local reactions at the injection site of rMenB+OMV NZ when it was given alone at 2, 4 and 6 months (routine vaccines at 3, 5 and 7 months) than when it was administered concomitantly with the routine vaccines, whether at the 2, 3 and 4 month or 2, 4, 6-month schedules. </w:t>
      </w:r>
      <w:proofErr w:type="gramStart"/>
      <w:r w:rsidRPr="0083055C">
        <w:t>rMenB+</w:t>
      </w:r>
      <w:proofErr w:type="gramEnd"/>
      <w:r w:rsidRPr="0083055C">
        <w:t xml:space="preserve">OMV NZ elicited higher local reactions rates compared with </w:t>
      </w:r>
      <w:proofErr w:type="spellStart"/>
      <w:r w:rsidRPr="0083055C">
        <w:t>MenC</w:t>
      </w:r>
      <w:proofErr w:type="spellEnd"/>
      <w:r w:rsidRPr="0083055C">
        <w:t xml:space="preserve"> vaccine and the routine vaccines </w:t>
      </w:r>
      <w:proofErr w:type="spellStart"/>
      <w:r w:rsidRPr="0083055C">
        <w:t>Infanrix</w:t>
      </w:r>
      <w:proofErr w:type="spellEnd"/>
      <w:r w:rsidR="00EA389E">
        <w:t xml:space="preserve"> </w:t>
      </w:r>
      <w:proofErr w:type="spellStart"/>
      <w:r w:rsidRPr="0083055C">
        <w:t>Hexa</w:t>
      </w:r>
      <w:proofErr w:type="spellEnd"/>
      <w:r w:rsidRPr="0083055C">
        <w:t xml:space="preserve"> and </w:t>
      </w:r>
      <w:proofErr w:type="spellStart"/>
      <w:r w:rsidRPr="0083055C">
        <w:t>Prevenar</w:t>
      </w:r>
      <w:proofErr w:type="spellEnd"/>
      <w:r w:rsidRPr="0083055C">
        <w:t>. Local reaction rates for rMenB+OMV NZ were common in all age groups studied and did</w:t>
      </w:r>
      <w:r w:rsidR="000019F0">
        <w:t xml:space="preserve"> </w:t>
      </w:r>
      <w:r w:rsidRPr="0083055C">
        <w:t>n</w:t>
      </w:r>
      <w:r w:rsidR="000019F0">
        <w:t>o</w:t>
      </w:r>
      <w:r w:rsidRPr="0083055C">
        <w:t>t vary much according to the number of the vaccination in the schedule.</w:t>
      </w:r>
    </w:p>
    <w:p w:rsidR="0083055C" w:rsidRPr="0083055C" w:rsidRDefault="0083055C" w:rsidP="0083055C">
      <w:pPr>
        <w:autoSpaceDE w:val="0"/>
        <w:autoSpaceDN w:val="0"/>
        <w:adjustRightInd w:val="0"/>
      </w:pPr>
      <w:r w:rsidRPr="0083055C">
        <w:t xml:space="preserve">Solicited systemic reactions were common in infants and toddlers following vaccination with rMenB+OMV NZ. Percentages for solicited systemic reactions were higher (apart from rash) in infants administered rMenB+OMV NZ concomitantly with routine vaccines at the 2, 4, 6-month schedule (up to 86%) compared to those subjects receiving </w:t>
      </w:r>
      <w:proofErr w:type="spellStart"/>
      <w:r w:rsidRPr="0083055C">
        <w:t>MenC</w:t>
      </w:r>
      <w:proofErr w:type="spellEnd"/>
      <w:r w:rsidRPr="0083055C">
        <w:t xml:space="preserve"> vaccine with routine vaccines or routine vaccines alone. Most of the systemic reactions occurred within the first </w:t>
      </w:r>
      <w:r w:rsidR="00605E32">
        <w:t>3</w:t>
      </w:r>
      <w:r w:rsidRPr="0083055C">
        <w:t xml:space="preserve"> days and were transient with few continuing past the day 7 </w:t>
      </w:r>
      <w:r w:rsidRPr="0083055C">
        <w:lastRenderedPageBreak/>
        <w:t>observation window. The majority of reactions were mild or moderate in nature. As for the local reactions, there was no apparent cumulative effect of the booster dose of rMenB+OMV NZ. Of note, in infants, the highest rate of fever after rMenB+OMV NZ was observed at 6 h</w:t>
      </w:r>
      <w:r w:rsidR="005D787C">
        <w:t xml:space="preserve"> </w:t>
      </w:r>
      <w:r w:rsidRPr="0083055C">
        <w:t xml:space="preserve">post-vaccination </w:t>
      </w:r>
      <w:r w:rsidR="00EA389E">
        <w:t>(D</w:t>
      </w:r>
      <w:r w:rsidRPr="0083055C">
        <w:t>ay 1) and its duration was transient, resolving for most of the subjects by 48 h</w:t>
      </w:r>
      <w:r w:rsidR="005D787C">
        <w:t xml:space="preserve"> </w:t>
      </w:r>
      <w:r w:rsidRPr="0083055C">
        <w:t xml:space="preserve">after vaccination on </w:t>
      </w:r>
      <w:r w:rsidR="00550E6D">
        <w:t>D</w:t>
      </w:r>
      <w:r w:rsidR="00617B5B">
        <w:t>ay 3.</w:t>
      </w:r>
    </w:p>
    <w:p w:rsidR="0083055C" w:rsidRPr="0083055C" w:rsidRDefault="00EA389E" w:rsidP="0083055C">
      <w:pPr>
        <w:autoSpaceDE w:val="0"/>
        <w:autoSpaceDN w:val="0"/>
        <w:adjustRightInd w:val="0"/>
      </w:pPr>
      <w:r>
        <w:t>T</w:t>
      </w:r>
      <w:r w:rsidR="0083055C" w:rsidRPr="0083055C">
        <w:t>his very high incidence of fever has implications both for medical practitioner recommendations in terms of infant vaccination scheduling and patient (or parent) acceptance. Options to lower the incidence of fever inclu</w:t>
      </w:r>
      <w:r w:rsidR="003075F3">
        <w:t>de the prophylactic use of anti</w:t>
      </w:r>
      <w:r w:rsidR="0083055C" w:rsidRPr="0083055C">
        <w:t xml:space="preserve">pyretics (being examined in </w:t>
      </w:r>
      <w:r>
        <w:t>S</w:t>
      </w:r>
      <w:r w:rsidR="0083055C" w:rsidRPr="0083055C">
        <w:t>tudy V72P16 which is ongoing but looks to be effective according to a preliminary report) or by alternating the administration of rMenB+OMV NZ and other routine childhood vaccinations. It will be important that the incidence of fever is explicitly discussed by medical practitioners with patients (parents) prior to administration. It also has implications for the incidence of febrile convulsions, given the age group at risk for these. In infants with a history of febrile convulsions, it may be worth taking special measures to lower the risk of fever (separation from oth</w:t>
      </w:r>
      <w:r w:rsidR="003075F3">
        <w:t>er vaccines and the use of anti</w:t>
      </w:r>
      <w:r w:rsidR="0083055C" w:rsidRPr="0083055C">
        <w:t>pyretics).</w:t>
      </w:r>
    </w:p>
    <w:p w:rsidR="0083055C" w:rsidRPr="0083055C" w:rsidRDefault="00550E6D" w:rsidP="0083055C">
      <w:pPr>
        <w:autoSpaceDE w:val="0"/>
        <w:autoSpaceDN w:val="0"/>
        <w:adjustRightInd w:val="0"/>
      </w:pPr>
      <w:r>
        <w:t>As well as fever, t</w:t>
      </w:r>
      <w:r w:rsidR="0083055C" w:rsidRPr="0083055C">
        <w:t>here are a number of other adverse events of significance reported in the infant s</w:t>
      </w:r>
      <w:r w:rsidR="00F05CCF">
        <w:t xml:space="preserve">tudies. These are </w:t>
      </w:r>
      <w:r w:rsidR="005D787C" w:rsidRPr="005D787C">
        <w:t>Kawasaki Disease</w:t>
      </w:r>
      <w:r w:rsidR="00F05CCF">
        <w:t>, hypotonic-</w:t>
      </w:r>
      <w:proofErr w:type="spellStart"/>
      <w:r w:rsidR="00F05CCF">
        <w:t>hyporesponsive</w:t>
      </w:r>
      <w:proofErr w:type="spellEnd"/>
      <w:r w:rsidR="00F05CCF">
        <w:t xml:space="preserve"> </w:t>
      </w:r>
      <w:r w:rsidR="0083055C" w:rsidRPr="0083055C">
        <w:t>episodes</w:t>
      </w:r>
      <w:r>
        <w:t>,</w:t>
      </w:r>
      <w:r w:rsidR="0083055C" w:rsidRPr="0083055C">
        <w:t xml:space="preserve"> and both febrile and non-febrile seizures. The few </w:t>
      </w:r>
      <w:r w:rsidR="005D787C" w:rsidRPr="005D787C">
        <w:t>Kawasaki Disease</w:t>
      </w:r>
      <w:r w:rsidR="0083055C" w:rsidRPr="0083055C">
        <w:t xml:space="preserve"> cases that occurred in the rMenB+OMV NZ clinical studies do not allow a definitive assessment of the causal relationship between rMenB+OMV NZ vaccination and </w:t>
      </w:r>
      <w:r w:rsidR="005D787C" w:rsidRPr="005D787C">
        <w:t>Kawasaki Disease</w:t>
      </w:r>
      <w:r w:rsidR="0083055C" w:rsidRPr="0083055C">
        <w:t xml:space="preserve">. Furthermore, the co-administration of rMenB+OMV NZ with other vaccines is a confounding factor in many of the cases. </w:t>
      </w:r>
      <w:r>
        <w:t xml:space="preserve">Similar </w:t>
      </w:r>
      <w:r w:rsidR="00F05CCF">
        <w:t xml:space="preserve">considerations </w:t>
      </w:r>
      <w:r>
        <w:t xml:space="preserve">apply </w:t>
      </w:r>
      <w:r w:rsidR="0083055C" w:rsidRPr="0083055C">
        <w:t xml:space="preserve">for the other </w:t>
      </w:r>
      <w:r w:rsidR="00F05CCF">
        <w:t>adverse event of interest</w:t>
      </w:r>
      <w:r w:rsidR="0083055C" w:rsidRPr="0083055C">
        <w:t xml:space="preserve">. Although these may not be causally related to the vaccine (or even occur in a higher than normal incidence in the studies) </w:t>
      </w:r>
      <w:r>
        <w:t xml:space="preserve">they </w:t>
      </w:r>
      <w:r w:rsidR="0083055C" w:rsidRPr="0083055C">
        <w:t>warrant further attention in the post-marketing studies.</w:t>
      </w:r>
    </w:p>
    <w:p w:rsidR="0083055C" w:rsidRPr="0083055C" w:rsidRDefault="0083055C" w:rsidP="00617B5B">
      <w:pPr>
        <w:pStyle w:val="Heading4"/>
      </w:pPr>
      <w:bookmarkStart w:id="170" w:name="_Toc367950367"/>
      <w:r w:rsidRPr="0083055C">
        <w:t>First round benefit-risk assessment</w:t>
      </w:r>
      <w:bookmarkEnd w:id="170"/>
    </w:p>
    <w:p w:rsidR="0083055C" w:rsidRPr="0083055C" w:rsidRDefault="0083055C" w:rsidP="00617B5B">
      <w:pPr>
        <w:pStyle w:val="Heading5"/>
      </w:pPr>
      <w:bookmarkStart w:id="171" w:name="_Toc367950368"/>
      <w:bookmarkStart w:id="172" w:name="_Toc236802592"/>
      <w:bookmarkStart w:id="173" w:name="_Toc241374331"/>
      <w:bookmarkStart w:id="174" w:name="_Ref272160836"/>
      <w:bookmarkStart w:id="175" w:name="_Toc272414693"/>
      <w:bookmarkStart w:id="176" w:name="_Toc290846331"/>
      <w:bookmarkStart w:id="177" w:name="_Toc347406513"/>
      <w:r w:rsidRPr="0083055C">
        <w:t>Assessment of benefits</w:t>
      </w:r>
      <w:bookmarkEnd w:id="171"/>
      <w:bookmarkEnd w:id="172"/>
      <w:bookmarkEnd w:id="173"/>
      <w:bookmarkEnd w:id="174"/>
      <w:bookmarkEnd w:id="175"/>
      <w:bookmarkEnd w:id="176"/>
      <w:bookmarkEnd w:id="177"/>
    </w:p>
    <w:p w:rsidR="0083055C" w:rsidRPr="0083055C" w:rsidRDefault="0083055C" w:rsidP="0083055C">
      <w:pPr>
        <w:autoSpaceDE w:val="0"/>
        <w:autoSpaceDN w:val="0"/>
        <w:adjustRightInd w:val="0"/>
      </w:pPr>
      <w:r w:rsidRPr="0083055C">
        <w:t>The benefits of rMenB+OMV NZ in the proposed usage are:</w:t>
      </w:r>
    </w:p>
    <w:p w:rsidR="0083055C" w:rsidRPr="0083055C" w:rsidRDefault="0083055C" w:rsidP="0083055C">
      <w:pPr>
        <w:numPr>
          <w:ilvl w:val="0"/>
          <w:numId w:val="36"/>
        </w:numPr>
        <w:autoSpaceDE w:val="0"/>
        <w:autoSpaceDN w:val="0"/>
        <w:adjustRightInd w:val="0"/>
      </w:pPr>
      <w:r w:rsidRPr="0083055C">
        <w:t xml:space="preserve">This appears to be a vaccine that will provide broad coverage against the diverse strains of serogroup B </w:t>
      </w:r>
      <w:r w:rsidRPr="0083055C">
        <w:rPr>
          <w:i/>
          <w:iCs/>
        </w:rPr>
        <w:t>N. meningitidis</w:t>
      </w:r>
      <w:r w:rsidRPr="0083055C">
        <w:t>. The vaccine induces robust immune responses in individuals of all ages. In infants, a 3-dose regimen beginning at age 2 months induces a bactericidal antibody titer that correlates with protection against strains containing the vaccine antigens in 79</w:t>
      </w:r>
      <w:r w:rsidR="00FB0943">
        <w:t>-</w:t>
      </w:r>
      <w:r w:rsidRPr="0083055C">
        <w:t xml:space="preserve">100% of </w:t>
      </w:r>
      <w:proofErr w:type="spellStart"/>
      <w:r w:rsidRPr="0083055C">
        <w:t>vaccinees</w:t>
      </w:r>
      <w:proofErr w:type="spellEnd"/>
      <w:r w:rsidRPr="0083055C">
        <w:t xml:space="preserve"> (assessed </w:t>
      </w:r>
      <w:r w:rsidR="003805DF">
        <w:t>1</w:t>
      </w:r>
      <w:r w:rsidRPr="0083055C">
        <w:t xml:space="preserve"> month post-primary vaccination course). In older</w:t>
      </w:r>
      <w:r w:rsidR="00FB0943">
        <w:t xml:space="preserve"> infants, toddlers, adolescents</w:t>
      </w:r>
      <w:r w:rsidRPr="0083055C">
        <w:t xml:space="preserve"> and adults, 2 doses of the vaccine given at 1 to 2 month intervals induces protective bactericidal antibody titres against the strains containing the vaccine antigens in nearly 100% of subjects. In toddlers, persistence of antibodies has been shown</w:t>
      </w:r>
      <w:r w:rsidR="00617B5B">
        <w:t xml:space="preserve"> at 12 months post-vaccination.</w:t>
      </w:r>
    </w:p>
    <w:p w:rsidR="0083055C" w:rsidRPr="0083055C" w:rsidRDefault="0083055C" w:rsidP="0083055C">
      <w:pPr>
        <w:numPr>
          <w:ilvl w:val="0"/>
          <w:numId w:val="36"/>
        </w:numPr>
        <w:autoSpaceDE w:val="0"/>
        <w:autoSpaceDN w:val="0"/>
        <w:adjustRightInd w:val="0"/>
      </w:pPr>
      <w:r w:rsidRPr="0083055C">
        <w:t>There is very limited data on functional immune response against NHBA given that a suitable reference strain for evaluating NHBA-specific bactericidal killing (strain M10713) was identified late in the development program and has only been used in a subset of participants in Study V72P13 and Study V72P13E1 (prior to this an ELISA test was used as a surrogate).</w:t>
      </w:r>
    </w:p>
    <w:p w:rsidR="0083055C" w:rsidRPr="0083055C" w:rsidRDefault="0083055C" w:rsidP="0083055C">
      <w:pPr>
        <w:numPr>
          <w:ilvl w:val="0"/>
          <w:numId w:val="36"/>
        </w:numPr>
        <w:autoSpaceDE w:val="0"/>
        <w:autoSpaceDN w:val="0"/>
        <w:adjustRightInd w:val="0"/>
      </w:pPr>
      <w:r w:rsidRPr="0083055C">
        <w:t>It appears that this vaccine can be given either concurrently with or interspersed between other routine infant and toddler vaccines. The immune responses to antigens of the concomitantly administered vaccines were generally similar when given with rMenB+OMV NZ or alone.</w:t>
      </w:r>
    </w:p>
    <w:p w:rsidR="0083055C" w:rsidRPr="0083055C" w:rsidRDefault="0083055C" w:rsidP="0083055C">
      <w:pPr>
        <w:numPr>
          <w:ilvl w:val="0"/>
          <w:numId w:val="36"/>
        </w:numPr>
        <w:autoSpaceDE w:val="0"/>
        <w:autoSpaceDN w:val="0"/>
        <w:adjustRightInd w:val="0"/>
      </w:pPr>
      <w:r w:rsidRPr="0083055C">
        <w:t>The proportion of subjects experiencing systemic reactions, unsolicited adverse events, and serious adverse events w</w:t>
      </w:r>
      <w:r w:rsidR="00FB0943">
        <w:t xml:space="preserve">as </w:t>
      </w:r>
      <w:r w:rsidRPr="0083055C">
        <w:t xml:space="preserve">generally similar across groups. For infants, </w:t>
      </w:r>
      <w:r w:rsidRPr="0083055C">
        <w:lastRenderedPageBreak/>
        <w:t>the rates of local and systemic reactions, including fever, were higher in the recipients of rMenB+OMV NZ when given concomitantly with routine vaccines as compared with recipients of routine vaccines alone. However, mos</w:t>
      </w:r>
      <w:r w:rsidR="00FB0943">
        <w:t>t of these events were categoris</w:t>
      </w:r>
      <w:r w:rsidRPr="0083055C">
        <w:t>ed as mild or moderate, were transient, and did not lead to incre</w:t>
      </w:r>
      <w:r w:rsidR="00FB0943">
        <w:t>ased rates of health care utilis</w:t>
      </w:r>
      <w:r w:rsidRPr="0083055C">
        <w:t>ation or specific medical sequelae. Further, when the rMenB+OMV NZ vaccine was given separately from routine vaccines, the rates of local and systemic reactions appeared similar in both groups. These data support administration of rMenB+OMV NZ alone or concomitantly with routine paediatric vaccines.</w:t>
      </w:r>
    </w:p>
    <w:p w:rsidR="0083055C" w:rsidRPr="0083055C" w:rsidRDefault="0083055C" w:rsidP="00617B5B">
      <w:pPr>
        <w:pStyle w:val="Heading5"/>
      </w:pPr>
      <w:bookmarkStart w:id="178" w:name="_Toc367950369"/>
      <w:bookmarkStart w:id="179" w:name="_Toc236802596"/>
      <w:bookmarkStart w:id="180" w:name="_Toc241374334"/>
      <w:bookmarkStart w:id="181" w:name="_Ref272160964"/>
      <w:bookmarkStart w:id="182" w:name="_Toc272414694"/>
      <w:bookmarkStart w:id="183" w:name="_Toc290846332"/>
      <w:bookmarkStart w:id="184" w:name="_Toc347406514"/>
      <w:r w:rsidRPr="0083055C">
        <w:t>Assessment of risks</w:t>
      </w:r>
      <w:bookmarkEnd w:id="178"/>
      <w:bookmarkEnd w:id="179"/>
      <w:bookmarkEnd w:id="180"/>
      <w:bookmarkEnd w:id="181"/>
      <w:bookmarkEnd w:id="182"/>
      <w:bookmarkEnd w:id="183"/>
      <w:bookmarkEnd w:id="184"/>
    </w:p>
    <w:p w:rsidR="0083055C" w:rsidRPr="0083055C" w:rsidRDefault="0083055C" w:rsidP="0083055C">
      <w:pPr>
        <w:autoSpaceDE w:val="0"/>
        <w:autoSpaceDN w:val="0"/>
        <w:adjustRightInd w:val="0"/>
      </w:pPr>
      <w:r w:rsidRPr="0083055C">
        <w:t>The risks of rMenB+OMV NZ vaccine in the proposed usage are:</w:t>
      </w:r>
    </w:p>
    <w:p w:rsidR="0083055C" w:rsidRPr="0083055C" w:rsidRDefault="0083055C" w:rsidP="0083055C">
      <w:pPr>
        <w:numPr>
          <w:ilvl w:val="0"/>
          <w:numId w:val="36"/>
        </w:numPr>
        <w:autoSpaceDE w:val="0"/>
        <w:autoSpaceDN w:val="0"/>
        <w:adjustRightInd w:val="0"/>
      </w:pPr>
      <w:r w:rsidRPr="0083055C">
        <w:t xml:space="preserve">There is a potential issue that it doesn’t cover the circulating serotypes. Although </w:t>
      </w:r>
      <w:r w:rsidR="00FB0943">
        <w:t xml:space="preserve">there are </w:t>
      </w:r>
      <w:r w:rsidRPr="0083055C">
        <w:t xml:space="preserve">some good data from the </w:t>
      </w:r>
      <w:r w:rsidR="00FB0943" w:rsidRPr="00FB0943">
        <w:t xml:space="preserve">Meningococcal Antigen Typing System </w:t>
      </w:r>
      <w:r w:rsidR="00FB0943">
        <w:t>(</w:t>
      </w:r>
      <w:r w:rsidRPr="0083055C">
        <w:t>MATS</w:t>
      </w:r>
      <w:r w:rsidR="00CB11E2">
        <w:rPr>
          <w:rStyle w:val="FootnoteReference"/>
        </w:rPr>
        <w:footnoteReference w:id="31"/>
      </w:r>
      <w:r w:rsidR="00FB0943">
        <w:t>)</w:t>
      </w:r>
      <w:r w:rsidRPr="0083055C">
        <w:t xml:space="preserve"> tests done by Novartis indicating that </w:t>
      </w:r>
      <w:r w:rsidR="00FB0943">
        <w:t xml:space="preserve">the vaccine </w:t>
      </w:r>
      <w:r w:rsidRPr="0083055C">
        <w:t xml:space="preserve">will be effective against the majority of </w:t>
      </w:r>
      <w:r w:rsidRPr="0083055C">
        <w:rPr>
          <w:i/>
          <w:iCs/>
        </w:rPr>
        <w:t>N. meningitidis</w:t>
      </w:r>
      <w:r w:rsidRPr="0083055C">
        <w:t xml:space="preserve"> serotypes, this was done on </w:t>
      </w:r>
      <w:r w:rsidR="00577D3E">
        <w:t>172</w:t>
      </w:r>
      <w:r w:rsidRPr="0083055C">
        <w:t xml:space="preserve"> isolates. It will be important to do ongoing laboratory and clinical data collection to assess </w:t>
      </w:r>
      <w:r w:rsidR="00FB0943">
        <w:t xml:space="preserve">the </w:t>
      </w:r>
      <w:r w:rsidRPr="0083055C">
        <w:t xml:space="preserve">appropriateness </w:t>
      </w:r>
      <w:r w:rsidR="00FB0943">
        <w:t xml:space="preserve">of the vaccine </w:t>
      </w:r>
      <w:r w:rsidRPr="0083055C">
        <w:t>to circula</w:t>
      </w:r>
      <w:r w:rsidR="00617B5B">
        <w:t>ting serotypes.</w:t>
      </w:r>
    </w:p>
    <w:p w:rsidR="0083055C" w:rsidRPr="0083055C" w:rsidRDefault="00FB0943" w:rsidP="0083055C">
      <w:pPr>
        <w:numPr>
          <w:ilvl w:val="0"/>
          <w:numId w:val="36"/>
        </w:numPr>
        <w:autoSpaceDE w:val="0"/>
        <w:autoSpaceDN w:val="0"/>
        <w:adjustRightInd w:val="0"/>
      </w:pPr>
      <w:r>
        <w:t xml:space="preserve">The vaccine </w:t>
      </w:r>
      <w:r w:rsidR="0083055C" w:rsidRPr="0083055C">
        <w:t>has a high incidence of mild-moderate side effects, particularly in infants, although these were not judged to be serious and they resolved quickly. Local reactions such as pain</w:t>
      </w:r>
      <w:r>
        <w:t xml:space="preserve"> and </w:t>
      </w:r>
      <w:r w:rsidR="0083055C" w:rsidRPr="0083055C">
        <w:t xml:space="preserve">erythema were experienced by the majority of recipients. Fever and malaise were also very common, although these generally resolved quickly. There was a very high incidence of fever occurring the day after vaccination, particularly when rMenB+OMV NZ </w:t>
      </w:r>
      <w:proofErr w:type="gramStart"/>
      <w:r w:rsidR="0083055C" w:rsidRPr="0083055C">
        <w:t>was</w:t>
      </w:r>
      <w:proofErr w:type="gramEnd"/>
      <w:r w:rsidR="0083055C" w:rsidRPr="0083055C">
        <w:t xml:space="preserve"> co-administered with routine childhood vaccinations.</w:t>
      </w:r>
    </w:p>
    <w:p w:rsidR="0083055C" w:rsidRPr="0083055C" w:rsidRDefault="00FB0943" w:rsidP="0083055C">
      <w:pPr>
        <w:numPr>
          <w:ilvl w:val="0"/>
          <w:numId w:val="36"/>
        </w:numPr>
        <w:autoSpaceDE w:val="0"/>
        <w:autoSpaceDN w:val="0"/>
        <w:adjustRightInd w:val="0"/>
      </w:pPr>
      <w:r>
        <w:t>The vaccine</w:t>
      </w:r>
      <w:r w:rsidR="0083055C" w:rsidRPr="0083055C">
        <w:t xml:space="preserve"> has a low incidence of significant adverse events but it will be important to continue to monitor these in order to be able to detect any causal relationship to </w:t>
      </w:r>
      <w:r w:rsidR="005D787C" w:rsidRPr="005D787C">
        <w:t>Kawasaki Disease</w:t>
      </w:r>
      <w:r>
        <w:t xml:space="preserve"> </w:t>
      </w:r>
      <w:r w:rsidR="0083055C" w:rsidRPr="0083055C">
        <w:t>and seizures (not found in the data supplied in this applica</w:t>
      </w:r>
      <w:r w:rsidR="00617B5B">
        <w:t>tion).</w:t>
      </w:r>
    </w:p>
    <w:p w:rsidR="0083055C" w:rsidRPr="0083055C" w:rsidRDefault="0083055C" w:rsidP="00617B5B">
      <w:pPr>
        <w:pStyle w:val="Heading5"/>
      </w:pPr>
      <w:bookmarkStart w:id="185" w:name="_Toc367950370"/>
      <w:bookmarkStart w:id="186" w:name="_Toc236802597"/>
      <w:bookmarkStart w:id="187" w:name="_Toc241374335"/>
      <w:bookmarkStart w:id="188" w:name="_Toc272414695"/>
      <w:bookmarkStart w:id="189" w:name="_Toc290846333"/>
      <w:bookmarkStart w:id="190" w:name="_Toc347406515"/>
      <w:r w:rsidRPr="0083055C">
        <w:t>Assessment of benefit-risk balance</w:t>
      </w:r>
      <w:bookmarkEnd w:id="185"/>
      <w:bookmarkEnd w:id="186"/>
      <w:bookmarkEnd w:id="187"/>
      <w:bookmarkEnd w:id="188"/>
      <w:bookmarkEnd w:id="189"/>
      <w:bookmarkEnd w:id="190"/>
    </w:p>
    <w:p w:rsidR="0083055C" w:rsidRPr="0083055C" w:rsidRDefault="0083055C" w:rsidP="0083055C">
      <w:pPr>
        <w:autoSpaceDE w:val="0"/>
        <w:autoSpaceDN w:val="0"/>
        <w:adjustRightInd w:val="0"/>
      </w:pPr>
      <w:r w:rsidRPr="0083055C">
        <w:t>The benefit-risk balance of rMenB+OMV NZ vaccine, given the proposed usage, is favourable.</w:t>
      </w:r>
    </w:p>
    <w:p w:rsidR="0083055C" w:rsidRPr="0083055C" w:rsidRDefault="0083055C" w:rsidP="0083055C">
      <w:pPr>
        <w:autoSpaceDE w:val="0"/>
        <w:autoSpaceDN w:val="0"/>
        <w:adjustRightInd w:val="0"/>
      </w:pPr>
      <w:r w:rsidRPr="0083055C">
        <w:t>Invasive meningococcal disease can be a severe illness as</w:t>
      </w:r>
      <w:r w:rsidR="008058DF">
        <w:t>sociated with a high case-fatality rate</w:t>
      </w:r>
      <w:r w:rsidRPr="0083055C">
        <w:t xml:space="preserve"> and a high percentage of survivors suffering from permanent neurologic and other sequelae. In Australia the proportion of meningococcal disease cases caused by serogroup B is relatively high, accounting for approximately 80% of all cases. However, unlike </w:t>
      </w:r>
      <w:proofErr w:type="spellStart"/>
      <w:r w:rsidRPr="0083055C">
        <w:t>serogroups</w:t>
      </w:r>
      <w:proofErr w:type="spellEnd"/>
      <w:r w:rsidRPr="0083055C">
        <w:t xml:space="preserve"> A, C, W, and Y, there is currently no effective vaccine that protects against serogroup B meningococcal disease. The disease most c</w:t>
      </w:r>
      <w:r w:rsidR="008058DF">
        <w:t>ommonly affects infants below 1 </w:t>
      </w:r>
      <w:r w:rsidR="00617B5B">
        <w:t>year of age.</w:t>
      </w:r>
    </w:p>
    <w:p w:rsidR="0083055C" w:rsidRPr="0083055C" w:rsidRDefault="0083055C" w:rsidP="0083055C">
      <w:pPr>
        <w:autoSpaceDE w:val="0"/>
        <w:autoSpaceDN w:val="0"/>
        <w:adjustRightInd w:val="0"/>
      </w:pPr>
      <w:r w:rsidRPr="0083055C">
        <w:t xml:space="preserve">The rMenB+OMV NZ vaccine has been developed based on proven efficacy of OMV-based vaccines and on the use of antigens which are conserved and appears to be highly effective in inducing bactericidal antibodies in humans beginning from 2 months of age. These studies have shown a high level of efficacy at 1 month following </w:t>
      </w:r>
      <w:r w:rsidR="008058DF">
        <w:t xml:space="preserve">the </w:t>
      </w:r>
      <w:r w:rsidRPr="0083055C">
        <w:t xml:space="preserve">primary course of vaccination. There is also data showing persistence of antibodies 12 months after the primary course in infants and toddlers. One caveat to this is the fact that NHBA-specific bactericidal killing was only directly assessed in a small subset of participants in </w:t>
      </w:r>
      <w:r w:rsidR="008058DF">
        <w:t>Study V72P13/</w:t>
      </w:r>
      <w:r w:rsidRPr="0083055C">
        <w:t>V72P13E1.</w:t>
      </w:r>
    </w:p>
    <w:p w:rsidR="0083055C" w:rsidRPr="0083055C" w:rsidRDefault="0083055C" w:rsidP="0083055C">
      <w:pPr>
        <w:autoSpaceDE w:val="0"/>
        <w:autoSpaceDN w:val="0"/>
        <w:adjustRightInd w:val="0"/>
        <w:rPr>
          <w:iCs/>
        </w:rPr>
      </w:pPr>
      <w:r w:rsidRPr="0083055C">
        <w:lastRenderedPageBreak/>
        <w:t>The high rate of mild-moderate local and systemic side effects</w:t>
      </w:r>
      <w:r w:rsidR="008058DF">
        <w:t>,</w:t>
      </w:r>
      <w:r w:rsidRPr="0083055C">
        <w:t xml:space="preserve"> particularly the high rates of fever, when co-administered with routine childhood vaccinations</w:t>
      </w:r>
      <w:r w:rsidR="008058DF">
        <w:t xml:space="preserve"> </w:t>
      </w:r>
      <w:r w:rsidRPr="0083055C">
        <w:t xml:space="preserve">was also raised as a concern by the </w:t>
      </w:r>
      <w:r w:rsidR="008058DF">
        <w:t>European Medicines Agency (</w:t>
      </w:r>
      <w:r w:rsidRPr="0083055C">
        <w:t>EMA</w:t>
      </w:r>
      <w:r w:rsidR="008058DF">
        <w:t>)</w:t>
      </w:r>
      <w:r w:rsidR="00957BD4">
        <w:t xml:space="preserve"> in the Agency’s Day 120 questions</w:t>
      </w:r>
      <w:r w:rsidR="008058DF">
        <w:t>.</w:t>
      </w:r>
      <w:r w:rsidRPr="0083055C">
        <w:t xml:space="preserve"> </w:t>
      </w:r>
      <w:r w:rsidR="00957BD4">
        <w:t xml:space="preserve">In the response to these questions, </w:t>
      </w:r>
      <w:r w:rsidRPr="0083055C">
        <w:t xml:space="preserve">Novartis </w:t>
      </w:r>
      <w:r w:rsidR="00C33F00">
        <w:t xml:space="preserve">considers </w:t>
      </w:r>
      <w:r w:rsidRPr="0083055C">
        <w:t>that the context and the benefit to be seen from</w:t>
      </w:r>
      <w:r w:rsidR="00C33F00">
        <w:t xml:space="preserve"> using the vaccine far outweigh</w:t>
      </w:r>
      <w:r w:rsidRPr="0083055C">
        <w:t xml:space="preserve"> this problem</w:t>
      </w:r>
      <w:r w:rsidR="00C33F00">
        <w:t xml:space="preserve"> and has stated the following: </w:t>
      </w:r>
      <w:r w:rsidRPr="0083055C">
        <w:t>“</w:t>
      </w:r>
      <w:r w:rsidRPr="0083055C">
        <w:rPr>
          <w:i/>
          <w:iCs/>
        </w:rPr>
        <w:t>Fever associated with rMenB+OMV NZ vaccine given concomitantly with routine vaccinations is predictable, mild-to-moderate in severity, transient, and when properly communicated does not result in an increased frequency of medical evaluations.”</w:t>
      </w:r>
      <w:r w:rsidRPr="0083055C">
        <w:rPr>
          <w:iCs/>
        </w:rPr>
        <w:t xml:space="preserve"> This has merit, although </w:t>
      </w:r>
      <w:r w:rsidR="00C33F00">
        <w:rPr>
          <w:iCs/>
        </w:rPr>
        <w:t xml:space="preserve">the risks </w:t>
      </w:r>
      <w:r w:rsidRPr="0083055C">
        <w:rPr>
          <w:iCs/>
        </w:rPr>
        <w:t>will need to be clearly articulated to recipients (or parents of recipients) prior to administration</w:t>
      </w:r>
      <w:r w:rsidR="00C33F00">
        <w:rPr>
          <w:iCs/>
        </w:rPr>
        <w:t>,</w:t>
      </w:r>
      <w:r w:rsidRPr="0083055C">
        <w:rPr>
          <w:iCs/>
        </w:rPr>
        <w:t xml:space="preserve"> with appropriate instruction about how to manage</w:t>
      </w:r>
      <w:r w:rsidR="00C33F00">
        <w:rPr>
          <w:iCs/>
        </w:rPr>
        <w:t xml:space="preserve"> any outcomes</w:t>
      </w:r>
      <w:r w:rsidR="00617B5B">
        <w:rPr>
          <w:iCs/>
        </w:rPr>
        <w:t>.</w:t>
      </w:r>
    </w:p>
    <w:p w:rsidR="0083055C" w:rsidRPr="0083055C" w:rsidRDefault="0083055C" w:rsidP="0083055C">
      <w:pPr>
        <w:autoSpaceDE w:val="0"/>
        <w:autoSpaceDN w:val="0"/>
        <w:adjustRightInd w:val="0"/>
      </w:pPr>
      <w:r w:rsidRPr="0083055C">
        <w:t>Another option to reduce the possibility of post</w:t>
      </w:r>
      <w:r w:rsidR="00C33F00">
        <w:t>-</w:t>
      </w:r>
      <w:r w:rsidRPr="0083055C">
        <w:t>vaccination fever is through the use of prophylactic antipyretics. The results of Study V72P16 show that prophylactic paracetamol reduced the percentage of subjects reportin</w:t>
      </w:r>
      <w:r w:rsidR="00C33F00">
        <w:t>g fever after any dose (fever ≥ </w:t>
      </w:r>
      <w:r w:rsidRPr="0083055C">
        <w:t xml:space="preserve">38.0°C) </w:t>
      </w:r>
      <w:r w:rsidR="00C33F00">
        <w:t xml:space="preserve">was reduced </w:t>
      </w:r>
      <w:r w:rsidRPr="0083055C">
        <w:t xml:space="preserve">from 88% </w:t>
      </w:r>
      <w:r w:rsidR="00C33F00">
        <w:t xml:space="preserve">down to </w:t>
      </w:r>
      <w:r w:rsidRPr="0083055C">
        <w:t xml:space="preserve">76%, and fever ≥ 38.5°C and ≥ 39.0°C was reduced from 69% to 39% and 30% to 13% of subjects, respectively. Prophylactic paracetamol had no clinically significant impact on the immune response to rMenB+OMV NZ or to the antigens in the routine vaccines </w:t>
      </w:r>
      <w:proofErr w:type="spellStart"/>
      <w:r w:rsidRPr="0083055C">
        <w:t>Infanrix</w:t>
      </w:r>
      <w:proofErr w:type="spellEnd"/>
      <w:r w:rsidR="00C33F00">
        <w:t xml:space="preserve"> </w:t>
      </w:r>
      <w:proofErr w:type="spellStart"/>
      <w:r w:rsidRPr="0083055C">
        <w:t>Hexa</w:t>
      </w:r>
      <w:proofErr w:type="spellEnd"/>
      <w:r w:rsidRPr="0083055C">
        <w:t xml:space="preserve"> and </w:t>
      </w:r>
      <w:proofErr w:type="spellStart"/>
      <w:r w:rsidRPr="0083055C">
        <w:t>Prevenar</w:t>
      </w:r>
      <w:proofErr w:type="spellEnd"/>
      <w:r w:rsidRPr="0083055C">
        <w:t>).</w:t>
      </w:r>
    </w:p>
    <w:p w:rsidR="0083055C" w:rsidRPr="0083055C" w:rsidRDefault="00C33F00" w:rsidP="0083055C">
      <w:pPr>
        <w:autoSpaceDE w:val="0"/>
        <w:autoSpaceDN w:val="0"/>
        <w:adjustRightInd w:val="0"/>
        <w:rPr>
          <w:iCs/>
        </w:rPr>
      </w:pPr>
      <w:r>
        <w:rPr>
          <w:iCs/>
        </w:rPr>
        <w:t xml:space="preserve">Therefore, </w:t>
      </w:r>
      <w:r w:rsidR="0083055C" w:rsidRPr="0083055C">
        <w:rPr>
          <w:iCs/>
        </w:rPr>
        <w:t xml:space="preserve">the major options in terms of reducing the rate of fever appear to be either separating the administration of </w:t>
      </w:r>
      <w:r w:rsidR="0083055C" w:rsidRPr="0083055C">
        <w:t>rMenB+OMV NZ</w:t>
      </w:r>
      <w:r w:rsidR="0083055C" w:rsidRPr="0083055C">
        <w:rPr>
          <w:iCs/>
        </w:rPr>
        <w:t xml:space="preserve"> from the administration of routine childhood vaccinati</w:t>
      </w:r>
      <w:r w:rsidR="003075F3">
        <w:rPr>
          <w:iCs/>
        </w:rPr>
        <w:t>ons or giving prophylactic anti</w:t>
      </w:r>
      <w:r w:rsidR="0083055C" w:rsidRPr="0083055C">
        <w:rPr>
          <w:iCs/>
        </w:rPr>
        <w:t>pyretics.</w:t>
      </w:r>
    </w:p>
    <w:p w:rsidR="0083055C" w:rsidRPr="0083055C" w:rsidRDefault="0083055C" w:rsidP="0083055C">
      <w:pPr>
        <w:autoSpaceDE w:val="0"/>
        <w:autoSpaceDN w:val="0"/>
        <w:adjustRightInd w:val="0"/>
      </w:pPr>
      <w:r w:rsidRPr="0083055C">
        <w:t xml:space="preserve">There is also a response </w:t>
      </w:r>
      <w:r w:rsidR="001B5B08">
        <w:t xml:space="preserve">from the sponsor </w:t>
      </w:r>
      <w:r w:rsidRPr="0083055C">
        <w:t xml:space="preserve">to the concern about febrile seizures raised by the EMA. Three febrile seizures were reported within 2 days of vaccination with rMenB+OMV NZ; in two cases, rMenB+OMV NZ was co-administered with </w:t>
      </w:r>
      <w:proofErr w:type="spellStart"/>
      <w:r w:rsidRPr="0083055C">
        <w:t>Infanrix</w:t>
      </w:r>
      <w:proofErr w:type="spellEnd"/>
      <w:r w:rsidR="001B5B08">
        <w:t xml:space="preserve"> </w:t>
      </w:r>
      <w:proofErr w:type="spellStart"/>
      <w:r w:rsidRPr="0083055C">
        <w:t>Hexa</w:t>
      </w:r>
      <w:proofErr w:type="spellEnd"/>
      <w:r w:rsidRPr="0083055C">
        <w:t xml:space="preserve"> and </w:t>
      </w:r>
      <w:proofErr w:type="spellStart"/>
      <w:r w:rsidRPr="0083055C">
        <w:t>Prevenar</w:t>
      </w:r>
      <w:proofErr w:type="spellEnd"/>
      <w:r w:rsidRPr="0083055C">
        <w:t xml:space="preserve"> and in one case rMenB+OMV NZ was given alone. These events can be considered within the risk window for the post vaccination fever associated with rMenB+OMV NZ. One of these subjects had a complex febrile seizure and was discovered after enrolment to have significant underlying neurologic pathology with developmental delay. This subject was withdrawn from the study and subsequently experienced another apparent febrile seizure 5 months after this event. In </w:t>
      </w:r>
      <w:r w:rsidR="001B5B08">
        <w:t xml:space="preserve">the </w:t>
      </w:r>
      <w:r w:rsidRPr="0083055C">
        <w:t>response</w:t>
      </w:r>
      <w:r w:rsidR="00957BD4">
        <w:t xml:space="preserve"> to Day 120 questions from the EMA</w:t>
      </w:r>
      <w:r w:rsidRPr="0083055C">
        <w:t>, Novartis states that</w:t>
      </w:r>
      <w:r w:rsidR="001B5B08">
        <w:t>:</w:t>
      </w:r>
      <w:r w:rsidRPr="0083055C">
        <w:t xml:space="preserve"> </w:t>
      </w:r>
      <w:r w:rsidR="00957BD4" w:rsidRPr="00957BD4">
        <w:rPr>
          <w:i/>
          <w:iCs/>
        </w:rPr>
        <w:t>“</w:t>
      </w:r>
      <w:r w:rsidRPr="00957BD4">
        <w:rPr>
          <w:i/>
          <w:iCs/>
        </w:rPr>
        <w:t>Based on these small number</w:t>
      </w:r>
      <w:r w:rsidR="001B5B08" w:rsidRPr="00957BD4">
        <w:rPr>
          <w:i/>
          <w:iCs/>
        </w:rPr>
        <w:t>s</w:t>
      </w:r>
      <w:r w:rsidRPr="00957BD4">
        <w:rPr>
          <w:i/>
          <w:iCs/>
        </w:rPr>
        <w:t xml:space="preserve"> of cases, no definitive conclusions can be made with respect to increased risk of febrile seizure associated rMenB+OMV NZ vaccination in infants. There was no evidence from these studies, however, of an increased risk of febrile seizures following rMenB+OMV NZ vaccination. Some additional assurance can be gained from Study V72P13E1, in which no febrile seizures were reported within 9 days of vaccination of over 2200 toddlers with rMenB+OMV NZ. This is notable since febrile seizures are at a peak in the toddler age group.</w:t>
      </w:r>
      <w:r w:rsidR="00957BD4" w:rsidRPr="00957BD4">
        <w:rPr>
          <w:i/>
          <w:iCs/>
        </w:rPr>
        <w:t>”</w:t>
      </w:r>
    </w:p>
    <w:p w:rsidR="0083055C" w:rsidRPr="0083055C" w:rsidRDefault="0083055C" w:rsidP="0083055C">
      <w:pPr>
        <w:autoSpaceDE w:val="0"/>
        <w:autoSpaceDN w:val="0"/>
        <w:adjustRightInd w:val="0"/>
        <w:rPr>
          <w:iCs/>
        </w:rPr>
      </w:pPr>
      <w:r w:rsidRPr="0083055C">
        <w:t xml:space="preserve">This assessment may currently be accurate, but more evidence in support of the absence of any excess attributable risk of febrile seizures needs large-scale post-marketing studies. </w:t>
      </w:r>
      <w:r w:rsidRPr="0083055C">
        <w:rPr>
          <w:iCs/>
        </w:rPr>
        <w:t xml:space="preserve">Also, given the incidence of seizures and in particular febrile convulsions seen in these studies, </w:t>
      </w:r>
      <w:r w:rsidR="00687018">
        <w:rPr>
          <w:iCs/>
        </w:rPr>
        <w:t xml:space="preserve">the clinical evaluator </w:t>
      </w:r>
      <w:r w:rsidRPr="0083055C">
        <w:rPr>
          <w:iCs/>
        </w:rPr>
        <w:t>recommend</w:t>
      </w:r>
      <w:r w:rsidR="00687018">
        <w:rPr>
          <w:iCs/>
        </w:rPr>
        <w:t>ed</w:t>
      </w:r>
      <w:r w:rsidRPr="0083055C">
        <w:rPr>
          <w:iCs/>
        </w:rPr>
        <w:t xml:space="preserve"> that either of these as pre-existing conditions would constitute a relative contra-indication to vaccination with this vaccine.</w:t>
      </w:r>
    </w:p>
    <w:p w:rsidR="0083055C" w:rsidRPr="0083055C" w:rsidRDefault="001B5B08" w:rsidP="0083055C">
      <w:pPr>
        <w:autoSpaceDE w:val="0"/>
        <w:autoSpaceDN w:val="0"/>
        <w:adjustRightInd w:val="0"/>
      </w:pPr>
      <w:r>
        <w:rPr>
          <w:iCs/>
        </w:rPr>
        <w:t>The EM</w:t>
      </w:r>
      <w:r w:rsidR="0083055C" w:rsidRPr="0083055C">
        <w:rPr>
          <w:iCs/>
        </w:rPr>
        <w:t xml:space="preserve">A also requested further responses in relation to the cases of </w:t>
      </w:r>
      <w:r w:rsidR="005D787C" w:rsidRPr="005D787C">
        <w:rPr>
          <w:iCs/>
        </w:rPr>
        <w:t>Kawasaki Disease</w:t>
      </w:r>
      <w:r w:rsidR="0083055C" w:rsidRPr="0083055C">
        <w:rPr>
          <w:iCs/>
        </w:rPr>
        <w:t xml:space="preserve"> seen in the studies. There was a panel of experts convened to assess all the reported cases and their relationship to study vaccine. Three cases occurred more than 30 days after vaccination and hence were thought unlikely to be related. One of the cases occurring within 30 days was thought unlikely to be </w:t>
      </w:r>
      <w:r w:rsidR="005D787C" w:rsidRPr="005D787C">
        <w:rPr>
          <w:iCs/>
        </w:rPr>
        <w:t>Kawasaki Disease</w:t>
      </w:r>
      <w:r w:rsidR="0083055C" w:rsidRPr="0083055C">
        <w:rPr>
          <w:iCs/>
        </w:rPr>
        <w:t xml:space="preserve">. Hence there were two cases meeting the case definition of </w:t>
      </w:r>
      <w:r w:rsidR="005D787C" w:rsidRPr="005D787C">
        <w:rPr>
          <w:iCs/>
        </w:rPr>
        <w:t>Kawasaki Disease</w:t>
      </w:r>
      <w:r w:rsidR="0083055C" w:rsidRPr="0083055C">
        <w:rPr>
          <w:iCs/>
        </w:rPr>
        <w:t xml:space="preserve"> occurring within 30 days of vaccination. These are summarised below in Table </w:t>
      </w:r>
      <w:r w:rsidR="001D7C7D">
        <w:rPr>
          <w:iCs/>
        </w:rPr>
        <w:t>7</w:t>
      </w:r>
      <w:r w:rsidR="0083055C" w:rsidRPr="0083055C">
        <w:rPr>
          <w:iCs/>
        </w:rPr>
        <w:t>.</w:t>
      </w:r>
    </w:p>
    <w:p w:rsidR="0083055C" w:rsidRPr="0083055C" w:rsidRDefault="0083055C" w:rsidP="00617B5B">
      <w:pPr>
        <w:pStyle w:val="TableTitle"/>
      </w:pPr>
      <w:bookmarkStart w:id="191" w:name="_Ref318316573"/>
      <w:bookmarkStart w:id="192" w:name="_Toc347406437"/>
      <w:proofErr w:type="gramStart"/>
      <w:r w:rsidRPr="0083055C">
        <w:lastRenderedPageBreak/>
        <w:t>Table</w:t>
      </w:r>
      <w:bookmarkEnd w:id="191"/>
      <w:r w:rsidRPr="0083055C">
        <w:t xml:space="preserve"> </w:t>
      </w:r>
      <w:r w:rsidR="001D7C7D">
        <w:t>7.</w:t>
      </w:r>
      <w:proofErr w:type="gramEnd"/>
      <w:r w:rsidRPr="0083055C">
        <w:t xml:space="preserve"> Summary of Suspected Cases of Kawasaki Disease in Studies V72P12 and V72P13 by Onset Interval ≤ 30 Days and &gt; 30 Days from Last Dose of Study Vaccine</w:t>
      </w:r>
      <w:bookmarkEnd w:id="192"/>
      <w:r w:rsidRPr="0083055C">
        <w:t xml:space="preserve"> </w:t>
      </w:r>
    </w:p>
    <w:p w:rsidR="0083055C" w:rsidRPr="0083055C" w:rsidRDefault="0083055C" w:rsidP="0083055C">
      <w:pPr>
        <w:autoSpaceDE w:val="0"/>
        <w:autoSpaceDN w:val="0"/>
        <w:adjustRightInd w:val="0"/>
        <w:rPr>
          <w:iCs/>
        </w:rPr>
      </w:pPr>
      <w:r w:rsidRPr="0083055C">
        <w:rPr>
          <w:b/>
          <w:bCs/>
          <w:iCs/>
          <w:noProof/>
          <w:lang w:eastAsia="en-AU"/>
        </w:rPr>
        <w:drawing>
          <wp:inline distT="0" distB="0" distL="0" distR="0">
            <wp:extent cx="4238625" cy="1685925"/>
            <wp:effectExtent l="19050" t="0" r="9525" b="0"/>
            <wp:docPr id="66" name="Picture 3" descr="Table 7. Summary of Suspected Cases of Kawasaki Disease in Studies V72P12 and V72P13 by Onset Interval ≤ 30 Days and &gt; 30 Days from Last Dose of Study Vacc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 63: Summary of Suspected Cases of Kawasaki Disease in Studies V72P12 and V72P13 by Onset Interval ≤ 30 Days and &gt; 30 Days from Last Dose of Study Vaccine "/>
                    <pic:cNvPicPr>
                      <a:picLocks noChangeAspect="1" noChangeArrowheads="1"/>
                    </pic:cNvPicPr>
                  </pic:nvPicPr>
                  <pic:blipFill>
                    <a:blip r:embed="rId19" cstate="print"/>
                    <a:srcRect r="780"/>
                    <a:stretch>
                      <a:fillRect/>
                    </a:stretch>
                  </pic:blipFill>
                  <pic:spPr bwMode="auto">
                    <a:xfrm>
                      <a:off x="0" y="0"/>
                      <a:ext cx="4238625" cy="1685925"/>
                    </a:xfrm>
                    <a:prstGeom prst="rect">
                      <a:avLst/>
                    </a:prstGeom>
                    <a:noFill/>
                    <a:ln w="9525">
                      <a:noFill/>
                      <a:miter lim="800000"/>
                      <a:headEnd/>
                      <a:tailEnd/>
                    </a:ln>
                  </pic:spPr>
                </pic:pic>
              </a:graphicData>
            </a:graphic>
          </wp:inline>
        </w:drawing>
      </w:r>
    </w:p>
    <w:p w:rsidR="0083055C" w:rsidRPr="0083055C" w:rsidRDefault="00687018" w:rsidP="0083055C">
      <w:pPr>
        <w:autoSpaceDE w:val="0"/>
        <w:autoSpaceDN w:val="0"/>
        <w:adjustRightInd w:val="0"/>
        <w:rPr>
          <w:iCs/>
        </w:rPr>
      </w:pPr>
      <w:r>
        <w:rPr>
          <w:iCs/>
        </w:rPr>
        <w:t xml:space="preserve">The incidence rates of </w:t>
      </w:r>
      <w:r w:rsidR="005D787C" w:rsidRPr="005D787C">
        <w:rPr>
          <w:iCs/>
        </w:rPr>
        <w:t>Kawasaki Disease</w:t>
      </w:r>
      <w:r>
        <w:rPr>
          <w:iCs/>
        </w:rPr>
        <w:t xml:space="preserve"> in S</w:t>
      </w:r>
      <w:r w:rsidR="0083055C" w:rsidRPr="0083055C">
        <w:rPr>
          <w:iCs/>
        </w:rPr>
        <w:t xml:space="preserve">tudies V72P12 and V72P13 appear to be higher than estimates obtained from other sources. </w:t>
      </w:r>
      <w:r>
        <w:rPr>
          <w:iCs/>
        </w:rPr>
        <w:t xml:space="preserve">However, </w:t>
      </w:r>
      <w:r w:rsidR="0083055C" w:rsidRPr="0083055C">
        <w:rPr>
          <w:iCs/>
        </w:rPr>
        <w:t xml:space="preserve">annual </w:t>
      </w:r>
      <w:r>
        <w:rPr>
          <w:iCs/>
        </w:rPr>
        <w:t>incidence rates in children &lt; 1 </w:t>
      </w:r>
      <w:r w:rsidR="0083055C" w:rsidRPr="0083055C">
        <w:rPr>
          <w:iCs/>
        </w:rPr>
        <w:t>year of age are available for only a few selected European countries. Denmark, Finland and Ireland have estimated annual incidence rates of 4.5, 12 and 19.7 cases, respectively, per 100,000 children &lt;1 year of age</w:t>
      </w:r>
      <w:r w:rsidR="0083055C" w:rsidRPr="0083055C">
        <w:rPr>
          <w:iCs/>
          <w:vertAlign w:val="superscript"/>
        </w:rPr>
        <w:footnoteReference w:id="32"/>
      </w:r>
      <w:proofErr w:type="gramStart"/>
      <w:r w:rsidR="0083055C" w:rsidRPr="0083055C">
        <w:rPr>
          <w:iCs/>
          <w:vertAlign w:val="superscript"/>
        </w:rPr>
        <w:t>,</w:t>
      </w:r>
      <w:r w:rsidR="0083055C" w:rsidRPr="0083055C">
        <w:rPr>
          <w:iCs/>
          <w:vertAlign w:val="superscript"/>
        </w:rPr>
        <w:footnoteReference w:id="33"/>
      </w:r>
      <w:r w:rsidR="0083055C" w:rsidRPr="0083055C">
        <w:rPr>
          <w:iCs/>
        </w:rPr>
        <w:t>.</w:t>
      </w:r>
      <w:proofErr w:type="gramEnd"/>
      <w:r w:rsidR="0083055C" w:rsidRPr="0083055C">
        <w:rPr>
          <w:iCs/>
        </w:rPr>
        <w:t xml:space="preserve"> </w:t>
      </w:r>
      <w:r>
        <w:rPr>
          <w:iCs/>
        </w:rPr>
        <w:t>G</w:t>
      </w:r>
      <w:r w:rsidR="0083055C" w:rsidRPr="0083055C">
        <w:rPr>
          <w:iCs/>
        </w:rPr>
        <w:t xml:space="preserve">iven the very low numbers, interpretation of these differences is difficult. An important consideration is the very small population sizes and number of </w:t>
      </w:r>
      <w:r w:rsidR="005D787C" w:rsidRPr="005D787C">
        <w:rPr>
          <w:iCs/>
        </w:rPr>
        <w:t>Kawasaki Disease</w:t>
      </w:r>
      <w:r w:rsidR="0083055C" w:rsidRPr="0083055C">
        <w:rPr>
          <w:iCs/>
        </w:rPr>
        <w:t xml:space="preserve"> cases in the rMenB+OMV NZ studies, resulting in highly unstable point estimates and wide confidence intervals. Also, the age group studied </w:t>
      </w:r>
      <w:r w:rsidR="00957BD4">
        <w:rPr>
          <w:iCs/>
        </w:rPr>
        <w:t>(</w:t>
      </w:r>
      <w:r w:rsidR="0083055C" w:rsidRPr="0083055C">
        <w:rPr>
          <w:iCs/>
        </w:rPr>
        <w:t>infants &lt;12 months of age</w:t>
      </w:r>
      <w:r w:rsidR="00957BD4">
        <w:rPr>
          <w:iCs/>
        </w:rPr>
        <w:t>)</w:t>
      </w:r>
      <w:r w:rsidR="0083055C" w:rsidRPr="0083055C">
        <w:rPr>
          <w:iCs/>
        </w:rPr>
        <w:t xml:space="preserve"> </w:t>
      </w:r>
      <w:r w:rsidR="00957BD4">
        <w:rPr>
          <w:iCs/>
        </w:rPr>
        <w:t xml:space="preserve">has </w:t>
      </w:r>
      <w:r w:rsidR="0083055C" w:rsidRPr="0083055C">
        <w:rPr>
          <w:iCs/>
        </w:rPr>
        <w:t>th</w:t>
      </w:r>
      <w:r>
        <w:rPr>
          <w:iCs/>
        </w:rPr>
        <w:t xml:space="preserve">e highest incidence rates of </w:t>
      </w:r>
      <w:r w:rsidR="005D787C" w:rsidRPr="005D787C">
        <w:rPr>
          <w:iCs/>
        </w:rPr>
        <w:t>Kawasaki Disease</w:t>
      </w:r>
      <w:r w:rsidR="0083055C" w:rsidRPr="0083055C">
        <w:rPr>
          <w:iCs/>
        </w:rPr>
        <w:t xml:space="preserve"> and </w:t>
      </w:r>
      <w:r w:rsidR="00957BD4">
        <w:rPr>
          <w:iCs/>
        </w:rPr>
        <w:t xml:space="preserve">cases are </w:t>
      </w:r>
      <w:r w:rsidR="0083055C" w:rsidRPr="0083055C">
        <w:rPr>
          <w:iCs/>
        </w:rPr>
        <w:t>not always reported.</w:t>
      </w:r>
    </w:p>
    <w:p w:rsidR="0083055C" w:rsidRDefault="0083055C" w:rsidP="0083055C">
      <w:pPr>
        <w:autoSpaceDE w:val="0"/>
        <w:autoSpaceDN w:val="0"/>
        <w:adjustRightInd w:val="0"/>
        <w:rPr>
          <w:iCs/>
        </w:rPr>
      </w:pPr>
      <w:r w:rsidRPr="0083055C">
        <w:rPr>
          <w:iCs/>
        </w:rPr>
        <w:t>In the response</w:t>
      </w:r>
      <w:r w:rsidR="00957BD4">
        <w:rPr>
          <w:iCs/>
        </w:rPr>
        <w:t xml:space="preserve"> to the EMA concerns</w:t>
      </w:r>
      <w:r w:rsidRPr="0083055C">
        <w:rPr>
          <w:iCs/>
        </w:rPr>
        <w:t xml:space="preserve">, Novartis also reports that three vaccines that have been licensed for use in U.S. infants in the past decade </w:t>
      </w:r>
      <w:r w:rsidR="00957BD4">
        <w:rPr>
          <w:iCs/>
        </w:rPr>
        <w:t>(</w:t>
      </w:r>
      <w:proofErr w:type="spellStart"/>
      <w:r w:rsidRPr="0083055C">
        <w:rPr>
          <w:iCs/>
        </w:rPr>
        <w:t>Prevnar</w:t>
      </w:r>
      <w:proofErr w:type="spellEnd"/>
      <w:r w:rsidRPr="0083055C">
        <w:rPr>
          <w:iCs/>
        </w:rPr>
        <w:t xml:space="preserve">, </w:t>
      </w:r>
      <w:proofErr w:type="spellStart"/>
      <w:r w:rsidRPr="0083055C">
        <w:rPr>
          <w:iCs/>
        </w:rPr>
        <w:t>Rotateq</w:t>
      </w:r>
      <w:proofErr w:type="spellEnd"/>
      <w:r w:rsidRPr="0083055C">
        <w:rPr>
          <w:iCs/>
        </w:rPr>
        <w:t xml:space="preserve">, and </w:t>
      </w:r>
      <w:proofErr w:type="spellStart"/>
      <w:r w:rsidRPr="0083055C">
        <w:rPr>
          <w:iCs/>
        </w:rPr>
        <w:t>Rotarix</w:t>
      </w:r>
      <w:proofErr w:type="spellEnd"/>
      <w:r w:rsidR="00957BD4">
        <w:rPr>
          <w:iCs/>
        </w:rPr>
        <w:t>)</w:t>
      </w:r>
      <w:r w:rsidRPr="0083055C">
        <w:rPr>
          <w:iCs/>
        </w:rPr>
        <w:t xml:space="preserve"> were all associated with higher rates of </w:t>
      </w:r>
      <w:r w:rsidR="005D787C" w:rsidRPr="005D787C">
        <w:rPr>
          <w:iCs/>
        </w:rPr>
        <w:t>Kawasaki Disease</w:t>
      </w:r>
      <w:r w:rsidRPr="0083055C">
        <w:rPr>
          <w:iCs/>
        </w:rPr>
        <w:t xml:space="preserve"> in comparison to controls during pivotal studies, which led to the requirement of detecting </w:t>
      </w:r>
      <w:r w:rsidR="005D787C" w:rsidRPr="005D787C">
        <w:rPr>
          <w:iCs/>
        </w:rPr>
        <w:t>Kawasaki Disease</w:t>
      </w:r>
      <w:r w:rsidRPr="0083055C">
        <w:rPr>
          <w:iCs/>
        </w:rPr>
        <w:t xml:space="preserve"> as a specific outcome of interest in large-scale post-marketing safety studies. It may be that the elevated rates of </w:t>
      </w:r>
      <w:r w:rsidR="005D787C" w:rsidRPr="005D787C">
        <w:rPr>
          <w:iCs/>
        </w:rPr>
        <w:t>Kawasaki Disease</w:t>
      </w:r>
      <w:r w:rsidRPr="0083055C">
        <w:rPr>
          <w:iCs/>
        </w:rPr>
        <w:t xml:space="preserve"> observed in clinical studies of rMenB+OMV NZ and other recently licensed paediatric vaccines most likely reflect enhanced and complete case detection, including detection of incomplete </w:t>
      </w:r>
      <w:r w:rsidR="005D787C" w:rsidRPr="005D787C">
        <w:rPr>
          <w:iCs/>
        </w:rPr>
        <w:t>Kawasaki Disease</w:t>
      </w:r>
      <w:r w:rsidRPr="0083055C">
        <w:rPr>
          <w:iCs/>
        </w:rPr>
        <w:t xml:space="preserve"> cases as well. Novartis states that </w:t>
      </w:r>
      <w:r w:rsidR="00EB6517" w:rsidRPr="00EB6517">
        <w:rPr>
          <w:i/>
        </w:rPr>
        <w:t>“</w:t>
      </w:r>
      <w:r w:rsidRPr="00EB6517">
        <w:rPr>
          <w:i/>
        </w:rPr>
        <w:t xml:space="preserve">there is currently no clear evidence to support a causal relationship between </w:t>
      </w:r>
      <w:r w:rsidR="005D787C" w:rsidRPr="005D787C">
        <w:rPr>
          <w:i/>
        </w:rPr>
        <w:t>Kawasaki Disease</w:t>
      </w:r>
      <w:r w:rsidRPr="00EB6517">
        <w:rPr>
          <w:i/>
        </w:rPr>
        <w:t xml:space="preserve"> and rMenB+OMV NZ vaccination. As such, Novartis does not believe that the observed </w:t>
      </w:r>
      <w:r w:rsidR="005D787C" w:rsidRPr="005D787C">
        <w:rPr>
          <w:i/>
        </w:rPr>
        <w:t>Kawasaki Disease</w:t>
      </w:r>
      <w:r w:rsidRPr="00EB6517">
        <w:rPr>
          <w:i/>
        </w:rPr>
        <w:t xml:space="preserve"> cases affect the safety of rMenB+OMV NZ vaccine nor do they impact the evaluation of the risk/benefit of the product. As with other recently launched paediatric vaccines, Novartis does acknowledge that </w:t>
      </w:r>
      <w:r w:rsidR="005D787C" w:rsidRPr="005D787C">
        <w:rPr>
          <w:i/>
        </w:rPr>
        <w:t>Kawasaki Disease</w:t>
      </w:r>
      <w:r w:rsidRPr="00EB6517">
        <w:rPr>
          <w:i/>
        </w:rPr>
        <w:t xml:space="preserve"> should be followed as an outcome of interest in large-scale post-marketing sa</w:t>
      </w:r>
      <w:r w:rsidR="00EB6517" w:rsidRPr="00EB6517">
        <w:rPr>
          <w:i/>
        </w:rPr>
        <w:t>fety studies of rMenB+OMV.”</w:t>
      </w:r>
      <w:r w:rsidRPr="0083055C">
        <w:rPr>
          <w:iCs/>
        </w:rPr>
        <w:t xml:space="preserve"> Obviously this needs to be seriously and properly followed in large post-marketing studies of this vaccine as well.</w:t>
      </w:r>
    </w:p>
    <w:p w:rsidR="007B6BE1" w:rsidRPr="007B6BE1" w:rsidRDefault="007B6BE1" w:rsidP="007B6BE1">
      <w:pPr>
        <w:pStyle w:val="Heading3"/>
      </w:pPr>
      <w:bookmarkStart w:id="193" w:name="_Toc255919423"/>
      <w:bookmarkStart w:id="194" w:name="_Toc241374329"/>
      <w:bookmarkStart w:id="195" w:name="_Toc270320087"/>
      <w:bookmarkStart w:id="196" w:name="_Toc314842506"/>
      <w:bookmarkStart w:id="197" w:name="_Toc370985737"/>
      <w:r w:rsidRPr="007B6BE1">
        <w:t>List of questions</w:t>
      </w:r>
      <w:bookmarkEnd w:id="193"/>
      <w:bookmarkEnd w:id="194"/>
      <w:bookmarkEnd w:id="195"/>
      <w:bookmarkEnd w:id="196"/>
      <w:bookmarkEnd w:id="197"/>
    </w:p>
    <w:p w:rsidR="007B6BE1" w:rsidRPr="007B6BE1" w:rsidRDefault="007B6BE1" w:rsidP="007B6BE1">
      <w:pPr>
        <w:autoSpaceDE w:val="0"/>
        <w:autoSpaceDN w:val="0"/>
        <w:adjustRightInd w:val="0"/>
        <w:rPr>
          <w:iCs/>
        </w:rPr>
      </w:pPr>
      <w:r w:rsidRPr="007B6BE1">
        <w:rPr>
          <w:iCs/>
        </w:rPr>
        <w:t>The clinical evaluator did not raise any questions in relation to the evaluated clinical data.</w:t>
      </w:r>
    </w:p>
    <w:p w:rsidR="0083055C" w:rsidRPr="0083055C" w:rsidRDefault="003B141D" w:rsidP="003B141D">
      <w:pPr>
        <w:pStyle w:val="Heading3"/>
      </w:pPr>
      <w:bookmarkStart w:id="198" w:name="_Toc367950371"/>
      <w:bookmarkStart w:id="199" w:name="_Toc370985738"/>
      <w:r>
        <w:t>R</w:t>
      </w:r>
      <w:r w:rsidR="0083055C" w:rsidRPr="0083055C">
        <w:t>ecommendation regarding authorisation</w:t>
      </w:r>
      <w:bookmarkEnd w:id="198"/>
      <w:bookmarkEnd w:id="199"/>
    </w:p>
    <w:p w:rsidR="0083055C" w:rsidRDefault="0083055C" w:rsidP="0083055C">
      <w:pPr>
        <w:autoSpaceDE w:val="0"/>
        <w:autoSpaceDN w:val="0"/>
        <w:adjustRightInd w:val="0"/>
        <w:rPr>
          <w:iCs/>
          <w:lang w:val="en-GB"/>
        </w:rPr>
      </w:pPr>
      <w:r w:rsidRPr="0083055C">
        <w:rPr>
          <w:iCs/>
        </w:rPr>
        <w:t xml:space="preserve">Approval is recommended subject to definitive information regarding the post-marketing studies relating to the safety issues raised above. These ‘enhanced pharmacovigilance’ studies are necessary to provide assessment of specific adverse events. Also, the </w:t>
      </w:r>
      <w:r w:rsidRPr="0083055C">
        <w:rPr>
          <w:iCs/>
        </w:rPr>
        <w:lastRenderedPageBreak/>
        <w:t>Australian MATS data is currently very limited and only available for 172 s</w:t>
      </w:r>
      <w:r w:rsidR="003075F3">
        <w:rPr>
          <w:iCs/>
        </w:rPr>
        <w:t xml:space="preserve">pecimens collected between 2009 and </w:t>
      </w:r>
      <w:r w:rsidRPr="0083055C">
        <w:rPr>
          <w:iCs/>
        </w:rPr>
        <w:t xml:space="preserve">2011. This should be extended and more data provided to confirm the likely relevance of the vaccine serotypes in Australia. Post-marketing studies will also be necessary to </w:t>
      </w:r>
      <w:r w:rsidRPr="0083055C">
        <w:rPr>
          <w:iCs/>
          <w:lang w:val="en-GB"/>
        </w:rPr>
        <w:t>demonstrate the clinical effectiveness of the vaccine in settings wit</w:t>
      </w:r>
      <w:r w:rsidR="00617B5B">
        <w:rPr>
          <w:iCs/>
          <w:lang w:val="en-GB"/>
        </w:rPr>
        <w:t>h high population coverage.</w:t>
      </w:r>
    </w:p>
    <w:p w:rsidR="007B6BE1" w:rsidRPr="007B6BE1" w:rsidRDefault="007B6BE1" w:rsidP="007B6BE1">
      <w:pPr>
        <w:autoSpaceDE w:val="0"/>
        <w:autoSpaceDN w:val="0"/>
        <w:adjustRightInd w:val="0"/>
      </w:pPr>
      <w:r w:rsidRPr="007B6BE1">
        <w:t>Revisions were recommended to statements in the draft PI</w:t>
      </w:r>
      <w:r>
        <w:t xml:space="preserve"> and CMI</w:t>
      </w:r>
      <w:r w:rsidRPr="007B6BE1">
        <w:t xml:space="preserve">; details of these are </w:t>
      </w:r>
      <w:r w:rsidR="00617B5B">
        <w:t xml:space="preserve">beyond the scope of the </w:t>
      </w:r>
      <w:proofErr w:type="spellStart"/>
      <w:r w:rsidR="00617B5B">
        <w:t>AusPAR</w:t>
      </w:r>
      <w:proofErr w:type="spellEnd"/>
      <w:r w:rsidR="00617B5B">
        <w:t>.</w:t>
      </w:r>
    </w:p>
    <w:p w:rsidR="00730E4B" w:rsidRDefault="00730E4B" w:rsidP="00730E4B">
      <w:pPr>
        <w:pStyle w:val="Heading3"/>
      </w:pPr>
      <w:bookmarkStart w:id="200" w:name="_Toc370985739"/>
      <w:bookmarkStart w:id="201" w:name="_Toc247691523"/>
      <w:bookmarkStart w:id="202" w:name="_Toc314842507"/>
      <w:bookmarkStart w:id="203" w:name="_Toc184440295"/>
      <w:bookmarkStart w:id="204" w:name="_Toc184444673"/>
      <w:bookmarkStart w:id="205" w:name="_Toc196046503"/>
      <w:bookmarkEnd w:id="148"/>
      <w:bookmarkEnd w:id="149"/>
      <w:bookmarkEnd w:id="150"/>
      <w:r w:rsidRPr="00730E4B">
        <w:t>Supplementary clinical evaluation</w:t>
      </w:r>
      <w:bookmarkEnd w:id="200"/>
    </w:p>
    <w:p w:rsidR="007B6BE1" w:rsidRPr="007B6BE1" w:rsidRDefault="007B6BE1" w:rsidP="007B6BE1">
      <w:bookmarkStart w:id="206" w:name="_Toc163441387"/>
      <w:r w:rsidRPr="007B6BE1">
        <w:t xml:space="preserve">Following review of the clinical and quality evaluation reports, the TGA Delegate requested the sponsor address the following questions so that claims in relation to the newly developed potency assay and method for monitoring bacterial endotoxins (see </w:t>
      </w:r>
      <w:r w:rsidRPr="007B6BE1">
        <w:rPr>
          <w:i/>
          <w:iCs/>
        </w:rPr>
        <w:t>Quality</w:t>
      </w:r>
      <w:r w:rsidRPr="007B6BE1">
        <w:t xml:space="preserve">, </w:t>
      </w:r>
      <w:r w:rsidRPr="007B6BE1">
        <w:rPr>
          <w:i/>
          <w:iCs/>
        </w:rPr>
        <w:t>Summary of evaluation and issues of importance</w:t>
      </w:r>
      <w:r w:rsidRPr="007B6BE1">
        <w:t>, above) could be eval</w:t>
      </w:r>
      <w:r w:rsidR="00617B5B">
        <w:t>uated.</w:t>
      </w:r>
    </w:p>
    <w:p w:rsidR="007B6BE1" w:rsidRPr="007B6BE1" w:rsidRDefault="007B6BE1" w:rsidP="007B6BE1">
      <w:r w:rsidRPr="007B6BE1">
        <w:rPr>
          <w:b/>
          <w:bCs/>
        </w:rPr>
        <w:t>Question 1:</w:t>
      </w:r>
      <w:r w:rsidRPr="007B6BE1">
        <w:t xml:space="preserve">  [In the submission, it is stated that] an interim report for Study V72P16 is available. Please submit the most recently available interim report for clinical Study V72P16 or identify its location in the dossier.</w:t>
      </w:r>
    </w:p>
    <w:p w:rsidR="007B6BE1" w:rsidRPr="007B6BE1" w:rsidRDefault="007B6BE1" w:rsidP="007B6BE1">
      <w:r w:rsidRPr="007B6BE1">
        <w:rPr>
          <w:b/>
          <w:bCs/>
        </w:rPr>
        <w:t>Question 2:</w:t>
      </w:r>
      <w:r w:rsidRPr="007B6BE1">
        <w:t xml:space="preserve"> The quality data package does not contain batch analysis data of lots tested to the final specifications, nor does it contain real-time stability data showing compliance with the final specifications for even a small proportion of the proposed shelf life. By way of addressing these issues, reference is made to data from 2 clinical studies: V72P16 and V72</w:t>
      </w:r>
      <w:r w:rsidRPr="007B6BE1">
        <w:rPr>
          <w:u w:val="single"/>
        </w:rPr>
        <w:t>_</w:t>
      </w:r>
      <w:r w:rsidRPr="007B6BE1">
        <w:t xml:space="preserve">41. An interim report for Study V72P16 was submitted but Study V72_41 has not been submitted to the TGA and thus, the claims in support the proposed 24 month shelf life for Bexsero on the basis of clinical data (see </w:t>
      </w:r>
      <w:r w:rsidRPr="007B6BE1">
        <w:rPr>
          <w:i/>
          <w:iCs/>
        </w:rPr>
        <w:t>Quality</w:t>
      </w:r>
      <w:r w:rsidRPr="007B6BE1">
        <w:t xml:space="preserve">, </w:t>
      </w:r>
      <w:r w:rsidRPr="007B6BE1">
        <w:rPr>
          <w:i/>
          <w:iCs/>
        </w:rPr>
        <w:t>Summary of evaluation and issues of importance</w:t>
      </w:r>
      <w:r w:rsidRPr="007B6BE1">
        <w:t>, above)cannot be fully verified. Accordingly, you are requested to submit the report for Study V72</w:t>
      </w:r>
      <w:r w:rsidRPr="007B6BE1">
        <w:rPr>
          <w:u w:val="single"/>
        </w:rPr>
        <w:t>_</w:t>
      </w:r>
      <w:r w:rsidRPr="007B6BE1">
        <w:t>41 for evaluation.</w:t>
      </w:r>
    </w:p>
    <w:p w:rsidR="007B6BE1" w:rsidRPr="007B6BE1" w:rsidRDefault="003849AC" w:rsidP="007B6BE1">
      <w:r>
        <w:t xml:space="preserve">The Supplementary </w:t>
      </w:r>
      <w:r w:rsidR="00CA1D20">
        <w:t xml:space="preserve">CER </w:t>
      </w:r>
      <w:r>
        <w:t xml:space="preserve">provides an assessment of </w:t>
      </w:r>
      <w:r w:rsidR="007B6BE1" w:rsidRPr="007B6BE1">
        <w:t>Studies V72P16 and V72</w:t>
      </w:r>
      <w:r w:rsidR="007B6BE1" w:rsidRPr="007B6BE1">
        <w:rPr>
          <w:u w:val="single"/>
        </w:rPr>
        <w:t>_</w:t>
      </w:r>
      <w:r w:rsidR="007B6BE1" w:rsidRPr="007B6BE1">
        <w:t>41.</w:t>
      </w:r>
    </w:p>
    <w:p w:rsidR="003348AE" w:rsidRDefault="003348AE" w:rsidP="003348AE">
      <w:pPr>
        <w:pStyle w:val="Heading4"/>
      </w:pPr>
      <w:bookmarkStart w:id="207" w:name="_Toc196046504"/>
      <w:bookmarkStart w:id="208" w:name="_Toc163441390"/>
      <w:bookmarkEnd w:id="206"/>
      <w:bookmarkEnd w:id="201"/>
      <w:bookmarkEnd w:id="202"/>
      <w:bookmarkEnd w:id="203"/>
      <w:bookmarkEnd w:id="204"/>
      <w:bookmarkEnd w:id="205"/>
      <w:r>
        <w:t>Background</w:t>
      </w:r>
    </w:p>
    <w:p w:rsidR="001F2CCC" w:rsidRPr="001F2CCC" w:rsidRDefault="001F2CCC" w:rsidP="001F2CCC">
      <w:r w:rsidRPr="001F2CCC">
        <w:t>In order to address TGA concerns about the absence of real-time or accelerated stability data, the sponsor claimed that clinical data from two studies, V72P16 and V72_41, provide interim evidence of the potency of the vaccine and acceptably low endotoxin levels over the duration of the proposed shelf-life as follows:</w:t>
      </w:r>
    </w:p>
    <w:p w:rsidR="001F2CCC" w:rsidRPr="001F2CCC" w:rsidRDefault="001F2CCC" w:rsidP="001F2CCC">
      <w:pPr>
        <w:numPr>
          <w:ilvl w:val="0"/>
          <w:numId w:val="36"/>
        </w:numPr>
      </w:pPr>
      <w:r w:rsidRPr="001F2CCC">
        <w:t>Vaccine lots used beyond their proposed 24-month shelf-life have been shown to be clinically effective:</w:t>
      </w:r>
    </w:p>
    <w:p w:rsidR="001F2CCC" w:rsidRPr="001F2CCC" w:rsidRDefault="00577D3E" w:rsidP="001F2CCC">
      <w:pPr>
        <w:numPr>
          <w:ilvl w:val="1"/>
          <w:numId w:val="36"/>
        </w:numPr>
      </w:pPr>
      <w:r>
        <w:t xml:space="preserve">An old </w:t>
      </w:r>
      <w:r w:rsidR="001F2CCC" w:rsidRPr="001F2CCC">
        <w:t>Lot was used at a median age of 27 months in clinical Study V72P16 and gave an accepta</w:t>
      </w:r>
      <w:r w:rsidR="00617B5B">
        <w:t>ble protective immune response.</w:t>
      </w:r>
    </w:p>
    <w:p w:rsidR="001F2CCC" w:rsidRPr="001F2CCC" w:rsidRDefault="00577D3E" w:rsidP="001F2CCC">
      <w:pPr>
        <w:numPr>
          <w:ilvl w:val="1"/>
          <w:numId w:val="36"/>
        </w:numPr>
      </w:pPr>
      <w:r>
        <w:t xml:space="preserve">A further </w:t>
      </w:r>
      <w:r w:rsidR="001F2CCC" w:rsidRPr="001F2CCC">
        <w:t xml:space="preserve">Lot had a median age of 29 months when used in clinical Study V72_41 and gave an acceptable protective immune response in comparison with </w:t>
      </w:r>
      <w:r>
        <w:t>the reference l</w:t>
      </w:r>
      <w:r w:rsidR="001F2CCC" w:rsidRPr="001F2CCC">
        <w:t xml:space="preserve">ot (median age of 15 months). </w:t>
      </w:r>
      <w:r>
        <w:t>The reference l</w:t>
      </w:r>
      <w:r w:rsidR="001F2CCC" w:rsidRPr="001F2CCC">
        <w:t>ot is the current reference standard for the potency assay.</w:t>
      </w:r>
    </w:p>
    <w:p w:rsidR="001F2CCC" w:rsidRPr="001F2CCC" w:rsidRDefault="001F2CCC" w:rsidP="001F2CCC">
      <w:pPr>
        <w:numPr>
          <w:ilvl w:val="0"/>
          <w:numId w:val="36"/>
        </w:numPr>
      </w:pPr>
      <w:r w:rsidRPr="001F2CCC">
        <w:t xml:space="preserve">Clinical vaccine was potent at half-dose, based on the fact that </w:t>
      </w:r>
      <w:r w:rsidR="00577D3E">
        <w:t xml:space="preserve">the </w:t>
      </w:r>
      <w:r w:rsidRPr="001F2CCC">
        <w:t xml:space="preserve">Lot used at half-dose in clinical Study V72P16 was demonstrated to be non-inferior to a full dose. This observation was used to support the proposed release and stability specifications for potency tested by the </w:t>
      </w:r>
      <w:r w:rsidR="00577D3E">
        <w:t xml:space="preserve">potency </w:t>
      </w:r>
      <w:r w:rsidRPr="001F2CCC">
        <w:t>assay.</w:t>
      </w:r>
    </w:p>
    <w:p w:rsidR="001F2CCC" w:rsidRPr="003075F3" w:rsidRDefault="001F2CCC" w:rsidP="003075F3">
      <w:r w:rsidRPr="003075F3">
        <w:t>In addition</w:t>
      </w:r>
      <w:r w:rsidR="003075F3">
        <w:t>,</w:t>
      </w:r>
      <w:r w:rsidRPr="003075F3">
        <w:t xml:space="preserve"> it was argued that all lots of vaccine used in clinical trials have been shown to be safe. This claim was used to justify the bacterial endotoxins specification and the use of the modified </w:t>
      </w:r>
      <w:r w:rsidRPr="003075F3">
        <w:rPr>
          <w:i/>
          <w:iCs/>
        </w:rPr>
        <w:t>in vivo</w:t>
      </w:r>
      <w:r w:rsidRPr="003075F3">
        <w:t xml:space="preserve"> rabbit </w:t>
      </w:r>
      <w:proofErr w:type="spellStart"/>
      <w:r w:rsidRPr="003075F3">
        <w:t>pyrogen</w:t>
      </w:r>
      <w:proofErr w:type="spellEnd"/>
      <w:r w:rsidRPr="003075F3">
        <w:t xml:space="preserve"> test (RPT).</w:t>
      </w:r>
    </w:p>
    <w:p w:rsidR="001F2CCC" w:rsidRPr="001F2CCC" w:rsidRDefault="001F2CCC" w:rsidP="001F2CCC">
      <w:r w:rsidRPr="001F2CCC">
        <w:lastRenderedPageBreak/>
        <w:t xml:space="preserve">An interim Company Study Report (CSR) for </w:t>
      </w:r>
      <w:r w:rsidR="00610E2C">
        <w:t>S</w:t>
      </w:r>
      <w:r w:rsidRPr="001F2CCC">
        <w:t xml:space="preserve">tudy V72P16 was submitted to the TGA </w:t>
      </w:r>
      <w:r w:rsidRPr="003348AE">
        <w:t>and evaluated in the first round C</w:t>
      </w:r>
      <w:r w:rsidR="003348AE">
        <w:t>ER</w:t>
      </w:r>
      <w:r w:rsidRPr="003348AE">
        <w:t>. It inclu</w:t>
      </w:r>
      <w:r w:rsidRPr="001F2CCC">
        <w:t xml:space="preserve">ded data collected </w:t>
      </w:r>
      <w:r w:rsidR="003805DF">
        <w:t>1</w:t>
      </w:r>
      <w:r w:rsidRPr="001F2CCC">
        <w:t xml:space="preserve"> month after the primary vaccination series but not data for the booster or 12 month immunogenicity (secondary objectives). In the CER (above) the </w:t>
      </w:r>
      <w:r w:rsidR="003348AE">
        <w:t>S</w:t>
      </w:r>
      <w:r w:rsidRPr="001F2CCC">
        <w:t xml:space="preserve">tudy was evaluated in the context of rates of fever and the ability of paracetamol to reduce the rate of fever without adversely affecting the immune response in </w:t>
      </w:r>
      <w:proofErr w:type="spellStart"/>
      <w:r w:rsidRPr="001F2CCC">
        <w:t>vaccinees</w:t>
      </w:r>
      <w:proofErr w:type="spellEnd"/>
      <w:r w:rsidRPr="001F2CCC">
        <w:t xml:space="preserve">. A CSR for </w:t>
      </w:r>
      <w:r w:rsidR="00610E2C">
        <w:t>S</w:t>
      </w:r>
      <w:r w:rsidRPr="001F2CCC">
        <w:t>tudy V72</w:t>
      </w:r>
      <w:r w:rsidRPr="001F2CCC">
        <w:rPr>
          <w:u w:val="single"/>
        </w:rPr>
        <w:t>_</w:t>
      </w:r>
      <w:r w:rsidRPr="001F2CCC">
        <w:t>41 was not submitted to the TGA as part of the original application and was submitted at the request of the TGA. The purpose of th</w:t>
      </w:r>
      <w:r w:rsidR="003348AE">
        <w:t>is supplementary clinical evaluation wa</w:t>
      </w:r>
      <w:r w:rsidRPr="001F2CCC">
        <w:t>s to review the design, conduct and results of studies V72P16 and V72</w:t>
      </w:r>
      <w:r w:rsidRPr="001F2CCC">
        <w:rPr>
          <w:u w:val="single"/>
        </w:rPr>
        <w:t>_</w:t>
      </w:r>
      <w:r w:rsidRPr="001F2CCC">
        <w:t>41 to confirm the veracity of the sponsor’s claims.</w:t>
      </w:r>
    </w:p>
    <w:p w:rsidR="001F2CCC" w:rsidRPr="001F2CCC" w:rsidRDefault="001F2CCC" w:rsidP="003348AE">
      <w:pPr>
        <w:pStyle w:val="Heading4"/>
      </w:pPr>
      <w:bookmarkStart w:id="209" w:name="_Toc367950378"/>
      <w:bookmarkStart w:id="210" w:name="_Toc355360904"/>
      <w:bookmarkStart w:id="211" w:name="_Toc241374297"/>
      <w:r w:rsidRPr="001F2CCC">
        <w:t>C</w:t>
      </w:r>
      <w:r w:rsidR="003348AE">
        <w:t>onclusions</w:t>
      </w:r>
      <w:bookmarkEnd w:id="209"/>
      <w:bookmarkEnd w:id="210"/>
    </w:p>
    <w:p w:rsidR="001F2CCC" w:rsidRPr="001F2CCC" w:rsidRDefault="001F2CCC" w:rsidP="001F2CCC">
      <w:r w:rsidRPr="001F2CCC">
        <w:t xml:space="preserve">Vaccine from an older lot (median age 27 months) when administered as a full dose to infants was found to result in an acceptable immune response as measured by the proportions of subjects with </w:t>
      </w:r>
      <w:proofErr w:type="spellStart"/>
      <w:r w:rsidRPr="001F2CCC">
        <w:t>hSBA</w:t>
      </w:r>
      <w:proofErr w:type="spellEnd"/>
      <w:r w:rsidRPr="001F2CCC">
        <w:t xml:space="preserve"> titres ≥ 1:5 against each of the 3 reference strains 44/76, 5/99 and NZ98/254 at 1 month post vaccination, and GMTs and </w:t>
      </w:r>
      <w:r w:rsidR="003348AE">
        <w:t>g</w:t>
      </w:r>
      <w:r w:rsidR="003348AE" w:rsidRPr="003348AE">
        <w:t xml:space="preserve">eometric </w:t>
      </w:r>
      <w:r w:rsidR="003348AE">
        <w:t>m</w:t>
      </w:r>
      <w:r w:rsidR="003348AE" w:rsidRPr="003348AE">
        <w:t xml:space="preserve">ean </w:t>
      </w:r>
      <w:r w:rsidR="003348AE">
        <w:t>r</w:t>
      </w:r>
      <w:r w:rsidR="003348AE" w:rsidRPr="003348AE">
        <w:t>atio</w:t>
      </w:r>
      <w:r w:rsidR="003348AE">
        <w:t>s</w:t>
      </w:r>
      <w:r w:rsidR="003348AE" w:rsidRPr="003348AE">
        <w:t xml:space="preserve"> </w:t>
      </w:r>
      <w:r w:rsidR="003348AE">
        <w:t>(</w:t>
      </w:r>
      <w:r w:rsidRPr="001F2CCC">
        <w:t>GMRs</w:t>
      </w:r>
      <w:r w:rsidR="003348AE">
        <w:t xml:space="preserve">) at the same time point. </w:t>
      </w:r>
      <w:r w:rsidRPr="001F2CCC">
        <w:t>The results were also consistent with those observed when vaccine from a lot with median age 16 months was administered under similar conditions in Study V72P12.</w:t>
      </w:r>
    </w:p>
    <w:p w:rsidR="00523B04" w:rsidRDefault="001F2CCC" w:rsidP="001F2CCC">
      <w:r w:rsidRPr="001F2CCC">
        <w:t>Administration of a full dose of an older lot (median age 29 months) to adolescents in Study V72_41 gave a comparable immune response to that of a younger lot (median age 15 months) as indic</w:t>
      </w:r>
      <w:r w:rsidR="00523B04">
        <w:t>ated by ratios of GMTs for the two</w:t>
      </w:r>
      <w:r w:rsidRPr="001F2CCC">
        <w:t xml:space="preserve"> lots falling within the requisite equivalence interval of 0.5 to 2.0 for ea</w:t>
      </w:r>
      <w:r w:rsidR="00523B04">
        <w:t xml:space="preserve">ch of the 3 reference strains. </w:t>
      </w:r>
      <w:r w:rsidRPr="001F2CCC">
        <w:t>The GMT and GMR responses for the older lot against the reference strains were also comparable to that of</w:t>
      </w:r>
      <w:r w:rsidR="001300EE">
        <w:t xml:space="preserve"> the younger lot.</w:t>
      </w:r>
    </w:p>
    <w:p w:rsidR="00523B04" w:rsidRDefault="001F2CCC" w:rsidP="001F2CCC">
      <w:r w:rsidRPr="001F2CCC">
        <w:t>Whilst the overall results for the older lot were consistent with an acceptable immune response, some aspects of the immunogenicity of the younger lo</w:t>
      </w:r>
      <w:r w:rsidR="00523B04">
        <w:t>t (</w:t>
      </w:r>
      <w:r w:rsidR="00D90AC8">
        <w:t>the reference lot</w:t>
      </w:r>
      <w:r w:rsidR="00523B04">
        <w:t xml:space="preserve">) are of concern. </w:t>
      </w:r>
      <w:r w:rsidRPr="001F2CCC">
        <w:t>In particular, the lower bound of the 95%</w:t>
      </w:r>
      <w:r w:rsidR="00523B04">
        <w:t xml:space="preserve"> confidence interval (</w:t>
      </w:r>
      <w:r w:rsidRPr="001F2CCC">
        <w:t>CI</w:t>
      </w:r>
      <w:r w:rsidR="00523B04">
        <w:t>)</w:t>
      </w:r>
      <w:r w:rsidRPr="001F2CCC">
        <w:t xml:space="preserve"> for the proportion of subjects achieving a titre ≥ 1:5 against reference strain NZ98/254 with </w:t>
      </w:r>
      <w:r w:rsidR="00D90AC8" w:rsidRPr="00D90AC8">
        <w:t>the reference lot</w:t>
      </w:r>
      <w:r w:rsidR="00D90AC8" w:rsidRPr="00D90AC8" w:rsidDel="00D90AC8">
        <w:t xml:space="preserve"> </w:t>
      </w:r>
      <w:r w:rsidRPr="001F2CCC">
        <w:t xml:space="preserve">was only 62% (below the 70% threshold considered to be an acceptable immune response in the pivotal study in infants) and the proportion of subjects with a 4-fold increase in </w:t>
      </w:r>
      <w:proofErr w:type="spellStart"/>
      <w:r w:rsidRPr="001F2CCC">
        <w:t>hSBA</w:t>
      </w:r>
      <w:proofErr w:type="spellEnd"/>
      <w:r w:rsidRPr="001F2CCC">
        <w:t xml:space="preserve"> titre from baseline against NZ98/254 was 74%</w:t>
      </w:r>
      <w:r w:rsidR="00523B04">
        <w:t>,</w:t>
      </w:r>
      <w:r w:rsidRPr="001F2CCC">
        <w:t xml:space="preserve"> comp</w:t>
      </w:r>
      <w:r w:rsidR="001300EE">
        <w:t>ared to 85% for the older lot.</w:t>
      </w:r>
    </w:p>
    <w:p w:rsidR="001F2CCC" w:rsidRPr="001F2CCC" w:rsidRDefault="00D90AC8" w:rsidP="001F2CCC">
      <w:r>
        <w:t>The reference l</w:t>
      </w:r>
      <w:r w:rsidR="001F2CCC" w:rsidRPr="001F2CCC">
        <w:t xml:space="preserve">ot was chosen as the reference standard for the modified potency assay and </w:t>
      </w:r>
      <w:r w:rsidR="00610E2C">
        <w:t>S</w:t>
      </w:r>
      <w:r w:rsidR="001F2CCC" w:rsidRPr="001F2CCC">
        <w:t>tudy V72</w:t>
      </w:r>
      <w:r w:rsidR="00610E2C">
        <w:t>_</w:t>
      </w:r>
      <w:r w:rsidR="001F2CCC" w:rsidRPr="001F2CCC">
        <w:t>41 was the first clinical st</w:t>
      </w:r>
      <w:r w:rsidR="00523B04">
        <w:t xml:space="preserve">udy in which it had been used. </w:t>
      </w:r>
      <w:r w:rsidR="001F2CCC" w:rsidRPr="001F2CCC">
        <w:t xml:space="preserve">It is also of note that the results achieved with respect to immunogenicity against reference strain with NZ98/254 in </w:t>
      </w:r>
      <w:r w:rsidR="00610E2C">
        <w:t>S</w:t>
      </w:r>
      <w:r w:rsidR="001F2CCC" w:rsidRPr="001F2CCC">
        <w:t>tudy V72_41 were much lower than observed in the only other study involving adolescents (V72P10), even when the much higher prevalence of functional antibodies at baseline</w:t>
      </w:r>
      <w:r w:rsidR="00523B04">
        <w:t xml:space="preserve"> in that study was discounted. </w:t>
      </w:r>
      <w:r w:rsidR="001F2CCC" w:rsidRPr="001F2CCC">
        <w:t xml:space="preserve">The higher baseline titres might be explained by the fact that </w:t>
      </w:r>
      <w:r w:rsidR="00610E2C">
        <w:t>S</w:t>
      </w:r>
      <w:r w:rsidR="001F2CCC" w:rsidRPr="001F2CCC">
        <w:t>tudy V72P10 was conducted in Chile where subjects may have been more likely to have had prior exposure to coloni</w:t>
      </w:r>
      <w:r w:rsidR="00523B04">
        <w:t>s</w:t>
      </w:r>
      <w:r w:rsidR="001F2CCC" w:rsidRPr="001F2CCC">
        <w:t>ing bacteria with antigens that cross-reacted with those of the serogroup B test strains.</w:t>
      </w:r>
    </w:p>
    <w:p w:rsidR="001F2CCC" w:rsidRPr="001F2CCC" w:rsidRDefault="001F2CCC" w:rsidP="001F2CCC">
      <w:r w:rsidRPr="001F2CCC">
        <w:t>Overall, the clinical data appears generally supportive of the sponsor’s claim that lots used beyond the proposed 24 month shelf life gave acceptab</w:t>
      </w:r>
      <w:r w:rsidR="00523B04">
        <w:t xml:space="preserve">le protective immune response. </w:t>
      </w:r>
      <w:r w:rsidRPr="001F2CCC">
        <w:t>No particular safety issues were evid</w:t>
      </w:r>
      <w:r w:rsidR="00523B04">
        <w:t xml:space="preserve">ent from the use of aged lots. </w:t>
      </w:r>
      <w:r w:rsidRPr="001F2CCC">
        <w:t xml:space="preserve">However, the </w:t>
      </w:r>
      <w:r w:rsidR="00523B04">
        <w:t xml:space="preserve">actual data are quite limited. </w:t>
      </w:r>
      <w:r w:rsidRPr="001F2CCC">
        <w:t xml:space="preserve">The sponsor should comment specifically on the immunogenicity results obtained for </w:t>
      </w:r>
      <w:r w:rsidR="00D90AC8" w:rsidRPr="00D90AC8">
        <w:t xml:space="preserve">the reference lot </w:t>
      </w:r>
      <w:r w:rsidRPr="001F2CCC">
        <w:t>in this study</w:t>
      </w:r>
      <w:bookmarkEnd w:id="211"/>
      <w:r w:rsidRPr="001F2CCC">
        <w:t xml:space="preserve"> and the implications of this for its use as the reference standard for the </w:t>
      </w:r>
      <w:r w:rsidR="00D90AC8">
        <w:t xml:space="preserve">potency </w:t>
      </w:r>
      <w:r w:rsidRPr="001F2CCC">
        <w:t>assay.</w:t>
      </w:r>
      <w:r w:rsidRPr="001F2CCC">
        <w:rPr>
          <w:vertAlign w:val="superscript"/>
        </w:rPr>
        <w:footnoteReference w:id="34"/>
      </w:r>
    </w:p>
    <w:p w:rsidR="008E7846" w:rsidRPr="00E41208" w:rsidRDefault="008E7846" w:rsidP="001300EE">
      <w:pPr>
        <w:pStyle w:val="Heading2"/>
      </w:pPr>
      <w:bookmarkStart w:id="212" w:name="_Toc247691524"/>
      <w:bookmarkStart w:id="213" w:name="_Toc314842508"/>
      <w:bookmarkStart w:id="214" w:name="_Toc370985740"/>
      <w:r w:rsidRPr="00E41208">
        <w:lastRenderedPageBreak/>
        <w:t xml:space="preserve">V. Pharmacovigilance </w:t>
      </w:r>
      <w:r>
        <w:t>f</w:t>
      </w:r>
      <w:r w:rsidRPr="00E41208">
        <w:t>indings</w:t>
      </w:r>
      <w:bookmarkEnd w:id="212"/>
      <w:bookmarkEnd w:id="213"/>
      <w:bookmarkEnd w:id="214"/>
    </w:p>
    <w:p w:rsidR="008E7846" w:rsidRDefault="00386150" w:rsidP="008E7846">
      <w:pPr>
        <w:pStyle w:val="Heading3"/>
        <w:rPr>
          <w:lang w:eastAsia="en-AU"/>
        </w:rPr>
      </w:pPr>
      <w:bookmarkStart w:id="215" w:name="_Toc247691526"/>
      <w:bookmarkStart w:id="216" w:name="_Toc314842509"/>
      <w:bookmarkStart w:id="217" w:name="_Toc370985741"/>
      <w:r>
        <w:rPr>
          <w:lang w:eastAsia="en-AU"/>
        </w:rPr>
        <w:t>Risk m</w:t>
      </w:r>
      <w:r w:rsidR="008E7846">
        <w:rPr>
          <w:lang w:eastAsia="en-AU"/>
        </w:rPr>
        <w:t xml:space="preserve">anagement </w:t>
      </w:r>
      <w:r>
        <w:rPr>
          <w:lang w:eastAsia="en-AU"/>
        </w:rPr>
        <w:t>p</w:t>
      </w:r>
      <w:r w:rsidR="008E7846">
        <w:rPr>
          <w:lang w:eastAsia="en-AU"/>
        </w:rPr>
        <w:t>lan</w:t>
      </w:r>
      <w:bookmarkEnd w:id="215"/>
      <w:bookmarkEnd w:id="216"/>
      <w:bookmarkEnd w:id="217"/>
    </w:p>
    <w:p w:rsidR="00DE72F0" w:rsidRPr="003075F3" w:rsidRDefault="008E7846" w:rsidP="001300EE">
      <w:r w:rsidRPr="003075F3">
        <w:t xml:space="preserve">The sponsor submitted a Risk Management Plan </w:t>
      </w:r>
      <w:r w:rsidR="009609F9" w:rsidRPr="003075F3">
        <w:t>(EU‐RMP version 2.0, data lock point 2 December 2010 + Australian specific Annex (</w:t>
      </w:r>
      <w:r w:rsidR="00523B04" w:rsidRPr="003075F3">
        <w:t xml:space="preserve">ASA) </w:t>
      </w:r>
      <w:r w:rsidR="009609F9" w:rsidRPr="003075F3">
        <w:t xml:space="preserve">dated 12 June 2012)) </w:t>
      </w:r>
      <w:r w:rsidRPr="003075F3">
        <w:t>which was reviewed by the TGA’s Office of Product Review (OPR).</w:t>
      </w:r>
      <w:r w:rsidR="009609F9" w:rsidRPr="003075F3">
        <w:t xml:space="preserve"> </w:t>
      </w:r>
      <w:r w:rsidR="00DE72F0" w:rsidRPr="003075F3">
        <w:t xml:space="preserve">A summary of the RMP is shown in Table </w:t>
      </w:r>
      <w:r w:rsidR="001D7C7D" w:rsidRPr="003075F3">
        <w:t>8</w:t>
      </w:r>
      <w:r w:rsidR="00DE72F0" w:rsidRPr="003075F3">
        <w:t>.</w:t>
      </w:r>
    </w:p>
    <w:p w:rsidR="00DE72F0" w:rsidRDefault="00DE72F0" w:rsidP="001300EE">
      <w:pPr>
        <w:pStyle w:val="TableTitle"/>
        <w:rPr>
          <w:lang w:eastAsia="en-AU"/>
        </w:rPr>
      </w:pPr>
      <w:proofErr w:type="gramStart"/>
      <w:r>
        <w:rPr>
          <w:lang w:eastAsia="en-AU"/>
        </w:rPr>
        <w:t xml:space="preserve">Table </w:t>
      </w:r>
      <w:r w:rsidR="001D7C7D">
        <w:rPr>
          <w:lang w:eastAsia="en-AU"/>
        </w:rPr>
        <w:t>8</w:t>
      </w:r>
      <w:r>
        <w:rPr>
          <w:lang w:eastAsia="en-AU"/>
        </w:rPr>
        <w:t>.</w:t>
      </w:r>
      <w:proofErr w:type="gramEnd"/>
      <w:r>
        <w:rPr>
          <w:lang w:eastAsia="en-AU"/>
        </w:rPr>
        <w:t xml:space="preserve"> </w:t>
      </w:r>
      <w:r w:rsidR="003075F3">
        <w:rPr>
          <w:lang w:eastAsia="en-AU"/>
        </w:rPr>
        <w:t>S</w:t>
      </w:r>
      <w:r w:rsidR="00DE0F62">
        <w:rPr>
          <w:lang w:eastAsia="en-AU"/>
        </w:rPr>
        <w:t>ummary of proposed pharmacovigilance activities for potential risks and risk minimi</w:t>
      </w:r>
      <w:r w:rsidR="00AA247E">
        <w:rPr>
          <w:lang w:eastAsia="en-AU"/>
        </w:rPr>
        <w:t>s</w:t>
      </w:r>
      <w:r w:rsidR="00DE0F62">
        <w:rPr>
          <w:lang w:eastAsia="en-AU"/>
        </w:rPr>
        <w:t>ation activities</w:t>
      </w:r>
    </w:p>
    <w:tbl>
      <w:tblPr>
        <w:tblStyle w:val="TableTGAblue"/>
        <w:tblW w:w="0" w:type="auto"/>
        <w:tblInd w:w="108" w:type="dxa"/>
        <w:tblLook w:val="04A0"/>
      </w:tblPr>
      <w:tblGrid>
        <w:gridCol w:w="2552"/>
        <w:gridCol w:w="2977"/>
        <w:gridCol w:w="2551"/>
      </w:tblGrid>
      <w:tr w:rsidR="00DE72F0" w:rsidRPr="00CA1D20" w:rsidTr="001300EE">
        <w:trPr>
          <w:cnfStyle w:val="100000000000"/>
          <w:tblHeader/>
        </w:trPr>
        <w:tc>
          <w:tcPr>
            <w:tcW w:w="2552" w:type="dxa"/>
          </w:tcPr>
          <w:p w:rsidR="00DE72F0" w:rsidRPr="00CA1D20" w:rsidRDefault="00DE72F0" w:rsidP="00CA1D20">
            <w:pPr>
              <w:keepNext/>
              <w:spacing w:before="40" w:after="40" w:line="240" w:lineRule="auto"/>
              <w:ind w:left="0" w:right="0"/>
              <w:rPr>
                <w:sz w:val="20"/>
                <w:szCs w:val="20"/>
              </w:rPr>
            </w:pPr>
            <w:r w:rsidRPr="00CA1D20">
              <w:rPr>
                <w:sz w:val="20"/>
                <w:szCs w:val="20"/>
              </w:rPr>
              <w:t>Safety concern</w:t>
            </w:r>
          </w:p>
        </w:tc>
        <w:tc>
          <w:tcPr>
            <w:tcW w:w="2977" w:type="dxa"/>
          </w:tcPr>
          <w:p w:rsidR="00DE72F0" w:rsidRPr="00CA1D20" w:rsidRDefault="00DE72F0" w:rsidP="00CA1D20">
            <w:pPr>
              <w:keepNext/>
              <w:spacing w:before="40" w:after="40" w:line="240" w:lineRule="auto"/>
              <w:ind w:left="0" w:right="0"/>
              <w:rPr>
                <w:sz w:val="20"/>
                <w:szCs w:val="20"/>
              </w:rPr>
            </w:pPr>
            <w:r w:rsidRPr="00CA1D20">
              <w:rPr>
                <w:sz w:val="20"/>
                <w:szCs w:val="20"/>
              </w:rPr>
              <w:t>Proposed pharmacovigilance activities (routine and additional)</w:t>
            </w:r>
          </w:p>
        </w:tc>
        <w:tc>
          <w:tcPr>
            <w:tcW w:w="2551" w:type="dxa"/>
          </w:tcPr>
          <w:p w:rsidR="00DE72F0" w:rsidRPr="00CA1D20" w:rsidRDefault="00DE72F0" w:rsidP="00CA1D20">
            <w:pPr>
              <w:keepNext/>
              <w:spacing w:before="40" w:after="40" w:line="240" w:lineRule="auto"/>
              <w:ind w:left="0" w:right="0"/>
              <w:rPr>
                <w:sz w:val="20"/>
                <w:szCs w:val="20"/>
              </w:rPr>
            </w:pPr>
            <w:r w:rsidRPr="00CA1D20">
              <w:rPr>
                <w:sz w:val="20"/>
                <w:szCs w:val="20"/>
              </w:rPr>
              <w:t>Proposed risk minimisation activities (routine</w:t>
            </w:r>
            <w:r w:rsidR="005840E4" w:rsidRPr="00CA1D20">
              <w:rPr>
                <w:sz w:val="20"/>
                <w:szCs w:val="20"/>
              </w:rPr>
              <w:t>*</w:t>
            </w:r>
            <w:r w:rsidRPr="00CA1D20">
              <w:rPr>
                <w:sz w:val="20"/>
                <w:szCs w:val="20"/>
              </w:rPr>
              <w:t xml:space="preserve"> and additional)</w:t>
            </w:r>
          </w:p>
        </w:tc>
      </w:tr>
      <w:tr w:rsidR="0028412C" w:rsidRPr="00CA1D20" w:rsidTr="0028412C">
        <w:tc>
          <w:tcPr>
            <w:tcW w:w="8080" w:type="dxa"/>
            <w:gridSpan w:val="3"/>
          </w:tcPr>
          <w:p w:rsidR="0028412C" w:rsidRPr="00CA1D20" w:rsidRDefault="0028412C" w:rsidP="00CA1D20">
            <w:pPr>
              <w:keepNext/>
              <w:spacing w:before="40" w:after="40" w:line="240" w:lineRule="auto"/>
              <w:ind w:left="0" w:right="0"/>
              <w:rPr>
                <w:b/>
                <w:bCs/>
                <w:sz w:val="20"/>
                <w:szCs w:val="20"/>
              </w:rPr>
            </w:pPr>
            <w:r w:rsidRPr="00CA1D20">
              <w:rPr>
                <w:b/>
                <w:bCs/>
                <w:sz w:val="20"/>
                <w:szCs w:val="20"/>
              </w:rPr>
              <w:t>Important identified risks:</w:t>
            </w:r>
          </w:p>
        </w:tc>
      </w:tr>
      <w:tr w:rsidR="00DE72F0" w:rsidRPr="00CA1D20" w:rsidTr="006F0D12">
        <w:tc>
          <w:tcPr>
            <w:tcW w:w="2552" w:type="dxa"/>
          </w:tcPr>
          <w:p w:rsidR="00DE72F0" w:rsidRPr="00CA1D20" w:rsidRDefault="00DE72F0" w:rsidP="00CA1D20">
            <w:pPr>
              <w:keepNext/>
              <w:spacing w:before="40" w:after="40" w:line="240" w:lineRule="auto"/>
              <w:ind w:left="0" w:right="0"/>
              <w:rPr>
                <w:sz w:val="20"/>
                <w:szCs w:val="20"/>
              </w:rPr>
            </w:pPr>
            <w:r w:rsidRPr="00CA1D20">
              <w:rPr>
                <w:sz w:val="20"/>
                <w:szCs w:val="20"/>
              </w:rPr>
              <w:t>Fever (and complications such as Febrile Seizure)</w:t>
            </w:r>
          </w:p>
        </w:tc>
        <w:tc>
          <w:tcPr>
            <w:tcW w:w="2977" w:type="dxa"/>
          </w:tcPr>
          <w:p w:rsidR="00DE72F0" w:rsidRPr="00CA1D20" w:rsidRDefault="00DE72F0" w:rsidP="00CA1D20">
            <w:pPr>
              <w:keepNext/>
              <w:spacing w:before="40" w:after="40" w:line="240" w:lineRule="auto"/>
              <w:ind w:left="0" w:right="0"/>
              <w:rPr>
                <w:sz w:val="20"/>
                <w:szCs w:val="20"/>
              </w:rPr>
            </w:pPr>
            <w:r w:rsidRPr="00CA1D20">
              <w:rPr>
                <w:sz w:val="20"/>
                <w:szCs w:val="20"/>
              </w:rPr>
              <w:t>Routine PV for fever but enhanced PV for febrile seizure</w:t>
            </w:r>
          </w:p>
        </w:tc>
        <w:tc>
          <w:tcPr>
            <w:tcW w:w="2551" w:type="dxa"/>
          </w:tcPr>
          <w:p w:rsidR="00DE72F0" w:rsidRPr="00CA1D20" w:rsidRDefault="00DE72F0" w:rsidP="00CA1D20">
            <w:pPr>
              <w:keepNext/>
              <w:spacing w:before="40" w:after="40" w:line="240" w:lineRule="auto"/>
              <w:ind w:left="0" w:right="0"/>
              <w:rPr>
                <w:sz w:val="20"/>
                <w:szCs w:val="20"/>
              </w:rPr>
            </w:pPr>
            <w:r w:rsidRPr="00CA1D20">
              <w:rPr>
                <w:sz w:val="20"/>
                <w:szCs w:val="20"/>
              </w:rPr>
              <w:t xml:space="preserve">PI and </w:t>
            </w:r>
            <w:r w:rsidR="00523B04" w:rsidRPr="00CA1D20">
              <w:rPr>
                <w:sz w:val="20"/>
                <w:szCs w:val="20"/>
              </w:rPr>
              <w:t>Consumer Medicine Information (</w:t>
            </w:r>
            <w:r w:rsidR="00DE0F62" w:rsidRPr="00CA1D20">
              <w:rPr>
                <w:sz w:val="20"/>
                <w:szCs w:val="20"/>
              </w:rPr>
              <w:t>CMI</w:t>
            </w:r>
            <w:r w:rsidR="00523B04" w:rsidRPr="00CA1D20">
              <w:rPr>
                <w:sz w:val="20"/>
                <w:szCs w:val="20"/>
              </w:rPr>
              <w:t>)</w:t>
            </w:r>
            <w:r w:rsidR="00DE0F62" w:rsidRPr="00CA1D20">
              <w:rPr>
                <w:sz w:val="20"/>
                <w:szCs w:val="20"/>
              </w:rPr>
              <w:t xml:space="preserve"> </w:t>
            </w:r>
            <w:r w:rsidRPr="00CA1D20">
              <w:rPr>
                <w:sz w:val="20"/>
                <w:szCs w:val="20"/>
              </w:rPr>
              <w:t>for the management of the fever</w:t>
            </w:r>
          </w:p>
        </w:tc>
      </w:tr>
      <w:tr w:rsidR="0028412C" w:rsidRPr="00CA1D20" w:rsidTr="0028412C">
        <w:tc>
          <w:tcPr>
            <w:tcW w:w="8080" w:type="dxa"/>
            <w:gridSpan w:val="3"/>
          </w:tcPr>
          <w:p w:rsidR="0028412C" w:rsidRPr="00CA1D20" w:rsidRDefault="0028412C" w:rsidP="00CA1D20">
            <w:pPr>
              <w:spacing w:before="40" w:after="40" w:line="240" w:lineRule="auto"/>
              <w:ind w:left="0" w:right="0"/>
              <w:rPr>
                <w:b/>
                <w:bCs/>
                <w:sz w:val="20"/>
                <w:szCs w:val="20"/>
              </w:rPr>
            </w:pPr>
            <w:r w:rsidRPr="00CA1D20">
              <w:rPr>
                <w:b/>
                <w:bCs/>
                <w:sz w:val="20"/>
                <w:szCs w:val="20"/>
              </w:rPr>
              <w:t>Important potential risks:</w:t>
            </w:r>
          </w:p>
        </w:tc>
      </w:tr>
      <w:tr w:rsidR="00DE72F0" w:rsidRPr="00CA1D20" w:rsidTr="006F0D12">
        <w:tc>
          <w:tcPr>
            <w:tcW w:w="2552" w:type="dxa"/>
          </w:tcPr>
          <w:p w:rsidR="00DE72F0" w:rsidRPr="00CA1D20" w:rsidRDefault="00DE72F0" w:rsidP="00CA1D20">
            <w:pPr>
              <w:spacing w:before="40" w:after="40" w:line="240" w:lineRule="auto"/>
              <w:ind w:left="0" w:right="0"/>
              <w:rPr>
                <w:sz w:val="20"/>
                <w:szCs w:val="20"/>
              </w:rPr>
            </w:pPr>
            <w:proofErr w:type="spellStart"/>
            <w:r w:rsidRPr="00CA1D20">
              <w:rPr>
                <w:sz w:val="20"/>
                <w:szCs w:val="20"/>
              </w:rPr>
              <w:t>Guillain-Barré</w:t>
            </w:r>
            <w:proofErr w:type="spellEnd"/>
            <w:r w:rsidRPr="00CA1D20">
              <w:rPr>
                <w:sz w:val="20"/>
                <w:szCs w:val="20"/>
              </w:rPr>
              <w:t xml:space="preserve"> Syndrome</w:t>
            </w:r>
          </w:p>
        </w:tc>
        <w:tc>
          <w:tcPr>
            <w:tcW w:w="2977" w:type="dxa"/>
          </w:tcPr>
          <w:p w:rsidR="00DE72F0" w:rsidRPr="00CA1D20" w:rsidRDefault="00DE72F0" w:rsidP="00CA1D20">
            <w:pPr>
              <w:spacing w:before="40" w:after="40" w:line="240" w:lineRule="auto"/>
              <w:ind w:left="0" w:right="0"/>
              <w:rPr>
                <w:sz w:val="20"/>
                <w:szCs w:val="20"/>
              </w:rPr>
            </w:pPr>
            <w:r w:rsidRPr="00CA1D20">
              <w:rPr>
                <w:sz w:val="20"/>
                <w:szCs w:val="20"/>
              </w:rPr>
              <w:t>Enhanced pharmacovigilance with questionnaire and adjudication by NVD SMT</w:t>
            </w:r>
            <w:r w:rsidR="006C0FA6" w:rsidRPr="00CA1D20">
              <w:rPr>
                <w:sz w:val="20"/>
                <w:szCs w:val="20"/>
              </w:rPr>
              <w:t>**</w:t>
            </w:r>
          </w:p>
        </w:tc>
        <w:tc>
          <w:tcPr>
            <w:tcW w:w="2551" w:type="dxa"/>
          </w:tcPr>
          <w:p w:rsidR="00DE72F0" w:rsidRPr="00CA1D20" w:rsidRDefault="00DE72F0" w:rsidP="00CA1D20">
            <w:pPr>
              <w:spacing w:before="40" w:after="40" w:line="240" w:lineRule="auto"/>
              <w:ind w:left="0" w:right="0"/>
              <w:rPr>
                <w:sz w:val="20"/>
                <w:szCs w:val="20"/>
              </w:rPr>
            </w:pPr>
            <w:r w:rsidRPr="00CA1D20">
              <w:rPr>
                <w:sz w:val="20"/>
                <w:szCs w:val="20"/>
              </w:rPr>
              <w:t xml:space="preserve">PI and </w:t>
            </w:r>
            <w:r w:rsidR="00DE0F62" w:rsidRPr="00CA1D20">
              <w:rPr>
                <w:sz w:val="20"/>
                <w:szCs w:val="20"/>
              </w:rPr>
              <w:t>CMI</w:t>
            </w:r>
          </w:p>
        </w:tc>
      </w:tr>
      <w:tr w:rsidR="00DE72F0" w:rsidRPr="00CA1D20" w:rsidTr="006F0D12">
        <w:tc>
          <w:tcPr>
            <w:tcW w:w="2552" w:type="dxa"/>
          </w:tcPr>
          <w:p w:rsidR="00DE72F0" w:rsidRPr="00CA1D20" w:rsidRDefault="00DE72F0" w:rsidP="00CA1D20">
            <w:pPr>
              <w:spacing w:before="40" w:after="40" w:line="240" w:lineRule="auto"/>
              <w:ind w:left="0" w:right="0"/>
              <w:rPr>
                <w:sz w:val="20"/>
                <w:szCs w:val="20"/>
              </w:rPr>
            </w:pPr>
            <w:r w:rsidRPr="00CA1D20">
              <w:rPr>
                <w:sz w:val="20"/>
                <w:szCs w:val="20"/>
              </w:rPr>
              <w:t>Acute disseminated encephalomyelitis</w:t>
            </w:r>
          </w:p>
        </w:tc>
        <w:tc>
          <w:tcPr>
            <w:tcW w:w="2977" w:type="dxa"/>
          </w:tcPr>
          <w:p w:rsidR="00DE72F0" w:rsidRPr="00CA1D20" w:rsidRDefault="00DE72F0" w:rsidP="00CA1D20">
            <w:pPr>
              <w:spacing w:before="40" w:after="40" w:line="240" w:lineRule="auto"/>
              <w:ind w:left="0" w:right="0"/>
              <w:rPr>
                <w:sz w:val="20"/>
                <w:szCs w:val="20"/>
              </w:rPr>
            </w:pPr>
            <w:r w:rsidRPr="00CA1D20">
              <w:rPr>
                <w:sz w:val="20"/>
                <w:szCs w:val="20"/>
              </w:rPr>
              <w:t>Enhanced pharmacovigilance with questionnaire and adjudication by NVD SMT</w:t>
            </w:r>
          </w:p>
        </w:tc>
        <w:tc>
          <w:tcPr>
            <w:tcW w:w="2551" w:type="dxa"/>
          </w:tcPr>
          <w:p w:rsidR="00DE72F0" w:rsidRPr="00CA1D20" w:rsidRDefault="00DE72F0" w:rsidP="00CA1D20">
            <w:pPr>
              <w:spacing w:before="40" w:after="40" w:line="240" w:lineRule="auto"/>
              <w:ind w:left="0" w:right="0"/>
              <w:rPr>
                <w:sz w:val="20"/>
                <w:szCs w:val="20"/>
              </w:rPr>
            </w:pPr>
            <w:r w:rsidRPr="00CA1D20">
              <w:rPr>
                <w:sz w:val="20"/>
                <w:szCs w:val="20"/>
              </w:rPr>
              <w:t xml:space="preserve">PI and </w:t>
            </w:r>
            <w:r w:rsidR="00DE0F62" w:rsidRPr="00CA1D20">
              <w:rPr>
                <w:sz w:val="20"/>
                <w:szCs w:val="20"/>
              </w:rPr>
              <w:t>CMI</w:t>
            </w:r>
          </w:p>
        </w:tc>
      </w:tr>
      <w:tr w:rsidR="00DE72F0" w:rsidRPr="00CA1D20" w:rsidTr="006F0D12">
        <w:tc>
          <w:tcPr>
            <w:tcW w:w="2552" w:type="dxa"/>
          </w:tcPr>
          <w:p w:rsidR="00DE72F0" w:rsidRPr="00CA1D20" w:rsidRDefault="00DE72F0" w:rsidP="00CA1D20">
            <w:pPr>
              <w:spacing w:before="40" w:after="40" w:line="240" w:lineRule="auto"/>
              <w:ind w:left="0" w:right="0"/>
              <w:rPr>
                <w:sz w:val="20"/>
                <w:szCs w:val="20"/>
              </w:rPr>
            </w:pPr>
            <w:r w:rsidRPr="00CA1D20">
              <w:rPr>
                <w:sz w:val="20"/>
                <w:szCs w:val="20"/>
              </w:rPr>
              <w:t>Anaphylaxis and Anaphylactic Shock</w:t>
            </w:r>
          </w:p>
        </w:tc>
        <w:tc>
          <w:tcPr>
            <w:tcW w:w="2977" w:type="dxa"/>
          </w:tcPr>
          <w:p w:rsidR="00DE72F0" w:rsidRPr="00CA1D20" w:rsidRDefault="00DE72F0" w:rsidP="00CA1D20">
            <w:pPr>
              <w:spacing w:before="40" w:after="40" w:line="240" w:lineRule="auto"/>
              <w:ind w:left="0" w:right="0"/>
              <w:rPr>
                <w:sz w:val="20"/>
                <w:szCs w:val="20"/>
              </w:rPr>
            </w:pPr>
            <w:r w:rsidRPr="00CA1D20">
              <w:rPr>
                <w:sz w:val="20"/>
                <w:szCs w:val="20"/>
              </w:rPr>
              <w:t>Routine pharmacovigilance</w:t>
            </w:r>
          </w:p>
        </w:tc>
        <w:tc>
          <w:tcPr>
            <w:tcW w:w="2551" w:type="dxa"/>
          </w:tcPr>
          <w:p w:rsidR="00DE72F0" w:rsidRPr="00CA1D20" w:rsidRDefault="00DE0F62" w:rsidP="00CA1D20">
            <w:pPr>
              <w:spacing w:before="40" w:after="40" w:line="240" w:lineRule="auto"/>
              <w:ind w:left="0" w:right="0"/>
              <w:rPr>
                <w:sz w:val="20"/>
                <w:szCs w:val="20"/>
              </w:rPr>
            </w:pPr>
            <w:r w:rsidRPr="00CA1D20">
              <w:rPr>
                <w:sz w:val="20"/>
                <w:szCs w:val="20"/>
              </w:rPr>
              <w:t xml:space="preserve">PI </w:t>
            </w:r>
            <w:r w:rsidR="00DE72F0" w:rsidRPr="00CA1D20">
              <w:rPr>
                <w:sz w:val="20"/>
                <w:szCs w:val="20"/>
              </w:rPr>
              <w:t>indicates that vaccine should not be given to persons with history of allergic reactions to the vaccine or its components.</w:t>
            </w:r>
          </w:p>
        </w:tc>
      </w:tr>
      <w:tr w:rsidR="00DE72F0" w:rsidRPr="00CA1D20" w:rsidTr="006F0D12">
        <w:tc>
          <w:tcPr>
            <w:tcW w:w="2552" w:type="dxa"/>
          </w:tcPr>
          <w:p w:rsidR="00DE72F0" w:rsidRPr="00CA1D20" w:rsidRDefault="00DE72F0" w:rsidP="00CA1D20">
            <w:pPr>
              <w:spacing w:before="40" w:after="40" w:line="240" w:lineRule="auto"/>
              <w:ind w:left="0" w:right="0"/>
              <w:rPr>
                <w:sz w:val="20"/>
                <w:szCs w:val="20"/>
              </w:rPr>
            </w:pPr>
            <w:r w:rsidRPr="00CA1D20">
              <w:rPr>
                <w:sz w:val="20"/>
                <w:szCs w:val="20"/>
              </w:rPr>
              <w:t>Kawasaki Disease</w:t>
            </w:r>
          </w:p>
        </w:tc>
        <w:tc>
          <w:tcPr>
            <w:tcW w:w="2977" w:type="dxa"/>
          </w:tcPr>
          <w:p w:rsidR="00DE72F0" w:rsidRPr="00CA1D20" w:rsidRDefault="00DE72F0" w:rsidP="00CA1D20">
            <w:pPr>
              <w:spacing w:before="40" w:after="40" w:line="240" w:lineRule="auto"/>
              <w:ind w:left="0" w:right="0"/>
              <w:rPr>
                <w:sz w:val="20"/>
                <w:szCs w:val="20"/>
              </w:rPr>
            </w:pPr>
            <w:r w:rsidRPr="00CA1D20">
              <w:rPr>
                <w:sz w:val="20"/>
                <w:szCs w:val="20"/>
              </w:rPr>
              <w:t>Enhanced pharmacovigilance with questionnaire and adjudication by expert panel</w:t>
            </w:r>
          </w:p>
        </w:tc>
        <w:tc>
          <w:tcPr>
            <w:tcW w:w="2551" w:type="dxa"/>
          </w:tcPr>
          <w:p w:rsidR="00DE72F0" w:rsidRPr="00CA1D20" w:rsidRDefault="00DE72F0" w:rsidP="00CA1D20">
            <w:pPr>
              <w:spacing w:before="40" w:after="40" w:line="240" w:lineRule="auto"/>
              <w:ind w:left="0" w:right="0"/>
              <w:rPr>
                <w:sz w:val="20"/>
                <w:szCs w:val="20"/>
              </w:rPr>
            </w:pPr>
            <w:r w:rsidRPr="00CA1D20">
              <w:rPr>
                <w:sz w:val="20"/>
                <w:szCs w:val="20"/>
              </w:rPr>
              <w:t xml:space="preserve">PI and </w:t>
            </w:r>
            <w:r w:rsidR="00DE0F62" w:rsidRPr="00CA1D20">
              <w:rPr>
                <w:sz w:val="20"/>
                <w:szCs w:val="20"/>
              </w:rPr>
              <w:t>CMI</w:t>
            </w:r>
          </w:p>
        </w:tc>
      </w:tr>
      <w:tr w:rsidR="00DE72F0" w:rsidRPr="00CA1D20" w:rsidTr="006F0D12">
        <w:tc>
          <w:tcPr>
            <w:tcW w:w="2552" w:type="dxa"/>
          </w:tcPr>
          <w:p w:rsidR="00DE72F0" w:rsidRPr="00CA1D20" w:rsidRDefault="00DE72F0" w:rsidP="00CA1D20">
            <w:pPr>
              <w:spacing w:before="40" w:after="40" w:line="240" w:lineRule="auto"/>
              <w:ind w:left="0" w:right="0"/>
              <w:rPr>
                <w:sz w:val="20"/>
                <w:szCs w:val="20"/>
              </w:rPr>
            </w:pPr>
            <w:r w:rsidRPr="00CA1D20">
              <w:rPr>
                <w:sz w:val="20"/>
                <w:szCs w:val="20"/>
              </w:rPr>
              <w:t>Seizure and febrile seizure</w:t>
            </w:r>
          </w:p>
        </w:tc>
        <w:tc>
          <w:tcPr>
            <w:tcW w:w="2977" w:type="dxa"/>
          </w:tcPr>
          <w:p w:rsidR="00DE72F0" w:rsidRPr="00CA1D20" w:rsidRDefault="00DE72F0" w:rsidP="00CA1D20">
            <w:pPr>
              <w:spacing w:before="40" w:after="40" w:line="240" w:lineRule="auto"/>
              <w:ind w:left="0" w:right="0"/>
              <w:rPr>
                <w:sz w:val="20"/>
                <w:szCs w:val="20"/>
              </w:rPr>
            </w:pPr>
            <w:r w:rsidRPr="00CA1D20">
              <w:rPr>
                <w:sz w:val="20"/>
                <w:szCs w:val="20"/>
              </w:rPr>
              <w:t>Enhanced pharmacovigilance with questionnaire and adjudication by NVD SMT</w:t>
            </w:r>
          </w:p>
        </w:tc>
        <w:tc>
          <w:tcPr>
            <w:tcW w:w="2551" w:type="dxa"/>
          </w:tcPr>
          <w:p w:rsidR="00DE72F0" w:rsidRPr="00CA1D20" w:rsidRDefault="00DE72F0" w:rsidP="00CA1D20">
            <w:pPr>
              <w:spacing w:before="40" w:after="40" w:line="240" w:lineRule="auto"/>
              <w:ind w:left="0" w:right="0"/>
              <w:rPr>
                <w:sz w:val="20"/>
                <w:szCs w:val="20"/>
              </w:rPr>
            </w:pPr>
            <w:r w:rsidRPr="00CA1D20">
              <w:rPr>
                <w:sz w:val="20"/>
                <w:szCs w:val="20"/>
              </w:rPr>
              <w:t xml:space="preserve">PI and </w:t>
            </w:r>
            <w:r w:rsidR="00DE0F62" w:rsidRPr="00CA1D20">
              <w:rPr>
                <w:sz w:val="20"/>
                <w:szCs w:val="20"/>
              </w:rPr>
              <w:t>CMI</w:t>
            </w:r>
          </w:p>
        </w:tc>
      </w:tr>
      <w:tr w:rsidR="00DE72F0" w:rsidRPr="00CA1D20" w:rsidTr="006F0D12">
        <w:tc>
          <w:tcPr>
            <w:tcW w:w="2552" w:type="dxa"/>
          </w:tcPr>
          <w:p w:rsidR="00DE72F0" w:rsidRPr="00CA1D20" w:rsidRDefault="00DE72F0" w:rsidP="00CA1D20">
            <w:pPr>
              <w:spacing w:before="40" w:after="40" w:line="240" w:lineRule="auto"/>
              <w:ind w:left="0" w:right="0"/>
              <w:rPr>
                <w:sz w:val="20"/>
                <w:szCs w:val="20"/>
              </w:rPr>
            </w:pPr>
            <w:r w:rsidRPr="00CA1D20">
              <w:rPr>
                <w:sz w:val="20"/>
                <w:szCs w:val="20"/>
              </w:rPr>
              <w:t xml:space="preserve">Chronic Fatigue Syndrome </w:t>
            </w:r>
          </w:p>
        </w:tc>
        <w:tc>
          <w:tcPr>
            <w:tcW w:w="2977" w:type="dxa"/>
          </w:tcPr>
          <w:p w:rsidR="00DE72F0" w:rsidRPr="00CA1D20" w:rsidRDefault="00DE72F0" w:rsidP="00CA1D20">
            <w:pPr>
              <w:spacing w:before="40" w:after="40" w:line="240" w:lineRule="auto"/>
              <w:ind w:left="0" w:right="0"/>
              <w:rPr>
                <w:sz w:val="20"/>
                <w:szCs w:val="20"/>
              </w:rPr>
            </w:pPr>
            <w:r w:rsidRPr="00CA1D20">
              <w:rPr>
                <w:sz w:val="20"/>
                <w:szCs w:val="20"/>
              </w:rPr>
              <w:t>Routine pharmacovigilance</w:t>
            </w:r>
          </w:p>
        </w:tc>
        <w:tc>
          <w:tcPr>
            <w:tcW w:w="2551" w:type="dxa"/>
          </w:tcPr>
          <w:p w:rsidR="00DE72F0" w:rsidRPr="00CA1D20" w:rsidRDefault="00DE72F0" w:rsidP="00CA1D20">
            <w:pPr>
              <w:spacing w:before="40" w:after="40" w:line="240" w:lineRule="auto"/>
              <w:ind w:left="0" w:right="0"/>
              <w:rPr>
                <w:sz w:val="20"/>
                <w:szCs w:val="20"/>
              </w:rPr>
            </w:pPr>
            <w:r w:rsidRPr="00CA1D20">
              <w:rPr>
                <w:sz w:val="20"/>
                <w:szCs w:val="20"/>
              </w:rPr>
              <w:t xml:space="preserve">PI and </w:t>
            </w:r>
            <w:r w:rsidR="00DE0F62" w:rsidRPr="00CA1D20">
              <w:rPr>
                <w:sz w:val="20"/>
                <w:szCs w:val="20"/>
              </w:rPr>
              <w:t>CMI</w:t>
            </w:r>
          </w:p>
        </w:tc>
      </w:tr>
      <w:tr w:rsidR="0028412C" w:rsidRPr="00CA1D20" w:rsidTr="0028412C">
        <w:tc>
          <w:tcPr>
            <w:tcW w:w="8080" w:type="dxa"/>
            <w:gridSpan w:val="3"/>
          </w:tcPr>
          <w:p w:rsidR="0028412C" w:rsidRPr="00CA1D20" w:rsidRDefault="0028412C" w:rsidP="00CA1D20">
            <w:pPr>
              <w:spacing w:before="40" w:after="40" w:line="240" w:lineRule="auto"/>
              <w:ind w:left="0" w:right="0"/>
              <w:rPr>
                <w:b/>
                <w:bCs/>
                <w:sz w:val="20"/>
                <w:szCs w:val="20"/>
              </w:rPr>
            </w:pPr>
            <w:r w:rsidRPr="00CA1D20">
              <w:rPr>
                <w:b/>
                <w:bCs/>
                <w:sz w:val="20"/>
                <w:szCs w:val="20"/>
              </w:rPr>
              <w:t>Important missing information:</w:t>
            </w:r>
          </w:p>
        </w:tc>
      </w:tr>
      <w:tr w:rsidR="00DE72F0" w:rsidRPr="00CA1D20" w:rsidTr="006F0D12">
        <w:tc>
          <w:tcPr>
            <w:tcW w:w="2552" w:type="dxa"/>
          </w:tcPr>
          <w:p w:rsidR="00DE72F0" w:rsidRPr="00CA1D20" w:rsidRDefault="00DE72F0" w:rsidP="00CA1D20">
            <w:pPr>
              <w:spacing w:before="40" w:after="40" w:line="240" w:lineRule="auto"/>
              <w:ind w:left="0" w:right="0"/>
              <w:rPr>
                <w:sz w:val="20"/>
                <w:szCs w:val="20"/>
              </w:rPr>
            </w:pPr>
            <w:r w:rsidRPr="00CA1D20">
              <w:rPr>
                <w:sz w:val="20"/>
                <w:szCs w:val="20"/>
              </w:rPr>
              <w:t>Vaccine failure</w:t>
            </w:r>
          </w:p>
        </w:tc>
        <w:tc>
          <w:tcPr>
            <w:tcW w:w="2977" w:type="dxa"/>
          </w:tcPr>
          <w:p w:rsidR="00DE72F0" w:rsidRPr="00CA1D20" w:rsidRDefault="00DE72F0" w:rsidP="00CA1D20">
            <w:pPr>
              <w:spacing w:before="40" w:after="40" w:line="240" w:lineRule="auto"/>
              <w:ind w:left="0" w:right="0"/>
              <w:rPr>
                <w:sz w:val="20"/>
                <w:szCs w:val="20"/>
              </w:rPr>
            </w:pPr>
            <w:r w:rsidRPr="00CA1D20">
              <w:rPr>
                <w:sz w:val="20"/>
                <w:szCs w:val="20"/>
              </w:rPr>
              <w:t>Enhanced pharmacovigilance</w:t>
            </w:r>
            <w:r w:rsidR="0028412C" w:rsidRPr="00CA1D20">
              <w:rPr>
                <w:sz w:val="20"/>
                <w:szCs w:val="20"/>
              </w:rPr>
              <w:t xml:space="preserve"> </w:t>
            </w:r>
            <w:r w:rsidRPr="00CA1D20">
              <w:rPr>
                <w:sz w:val="20"/>
                <w:szCs w:val="20"/>
              </w:rPr>
              <w:t>with SMT adjudication on pre</w:t>
            </w:r>
            <w:r w:rsidR="0028412C" w:rsidRPr="00CA1D20">
              <w:rPr>
                <w:sz w:val="20"/>
                <w:szCs w:val="20"/>
              </w:rPr>
              <w:t>-</w:t>
            </w:r>
            <w:r w:rsidRPr="00CA1D20">
              <w:rPr>
                <w:sz w:val="20"/>
                <w:szCs w:val="20"/>
              </w:rPr>
              <w:t>establish</w:t>
            </w:r>
            <w:r w:rsidR="0028412C" w:rsidRPr="00CA1D20">
              <w:rPr>
                <w:sz w:val="20"/>
                <w:szCs w:val="20"/>
              </w:rPr>
              <w:t xml:space="preserve"> </w:t>
            </w:r>
            <w:r w:rsidRPr="00CA1D20">
              <w:rPr>
                <w:sz w:val="20"/>
                <w:szCs w:val="20"/>
              </w:rPr>
              <w:t>criteria</w:t>
            </w:r>
          </w:p>
        </w:tc>
        <w:tc>
          <w:tcPr>
            <w:tcW w:w="2551" w:type="dxa"/>
          </w:tcPr>
          <w:p w:rsidR="00DE72F0" w:rsidRPr="00CA1D20" w:rsidRDefault="00DE72F0" w:rsidP="00CA1D20">
            <w:pPr>
              <w:spacing w:before="40" w:after="40" w:line="240" w:lineRule="auto"/>
              <w:ind w:left="0" w:right="0"/>
              <w:rPr>
                <w:sz w:val="20"/>
                <w:szCs w:val="20"/>
              </w:rPr>
            </w:pPr>
            <w:r w:rsidRPr="00CA1D20">
              <w:rPr>
                <w:sz w:val="20"/>
                <w:szCs w:val="20"/>
              </w:rPr>
              <w:t xml:space="preserve">PI and </w:t>
            </w:r>
            <w:r w:rsidR="00DE0F62" w:rsidRPr="00CA1D20">
              <w:rPr>
                <w:sz w:val="20"/>
                <w:szCs w:val="20"/>
              </w:rPr>
              <w:t>CMI</w:t>
            </w:r>
          </w:p>
        </w:tc>
      </w:tr>
      <w:tr w:rsidR="00DE72F0" w:rsidRPr="00CA1D20" w:rsidTr="006F0D12">
        <w:tc>
          <w:tcPr>
            <w:tcW w:w="2552" w:type="dxa"/>
          </w:tcPr>
          <w:p w:rsidR="00DE72F0" w:rsidRPr="00CA1D20" w:rsidRDefault="00DE72F0" w:rsidP="00CA1D20">
            <w:pPr>
              <w:spacing w:before="40" w:after="40" w:line="240" w:lineRule="auto"/>
              <w:ind w:left="0" w:right="0"/>
              <w:rPr>
                <w:sz w:val="20"/>
                <w:szCs w:val="20"/>
              </w:rPr>
            </w:pPr>
            <w:r w:rsidRPr="00CA1D20">
              <w:rPr>
                <w:sz w:val="20"/>
                <w:szCs w:val="20"/>
              </w:rPr>
              <w:t>Safety of vaccine during pregnancy or lactation,</w:t>
            </w:r>
          </w:p>
        </w:tc>
        <w:tc>
          <w:tcPr>
            <w:tcW w:w="2977" w:type="dxa"/>
          </w:tcPr>
          <w:p w:rsidR="00DE72F0" w:rsidRPr="00CA1D20" w:rsidRDefault="00DE72F0" w:rsidP="00CA1D20">
            <w:pPr>
              <w:spacing w:before="40" w:after="40" w:line="240" w:lineRule="auto"/>
              <w:ind w:left="0" w:right="0"/>
              <w:rPr>
                <w:sz w:val="20"/>
                <w:szCs w:val="20"/>
              </w:rPr>
            </w:pPr>
            <w:r w:rsidRPr="00CA1D20">
              <w:rPr>
                <w:sz w:val="20"/>
                <w:szCs w:val="20"/>
              </w:rPr>
              <w:t>Pregnancy registry</w:t>
            </w:r>
          </w:p>
        </w:tc>
        <w:tc>
          <w:tcPr>
            <w:tcW w:w="2551" w:type="dxa"/>
          </w:tcPr>
          <w:p w:rsidR="00DE72F0" w:rsidRPr="00CA1D20" w:rsidRDefault="00DE72F0" w:rsidP="00CA1D20">
            <w:pPr>
              <w:spacing w:before="40" w:after="40" w:line="240" w:lineRule="auto"/>
              <w:ind w:left="0" w:right="0"/>
              <w:rPr>
                <w:sz w:val="20"/>
                <w:szCs w:val="20"/>
              </w:rPr>
            </w:pPr>
            <w:r w:rsidRPr="00CA1D20">
              <w:rPr>
                <w:sz w:val="20"/>
                <w:szCs w:val="20"/>
              </w:rPr>
              <w:t xml:space="preserve">PI and </w:t>
            </w:r>
            <w:r w:rsidR="00DE0F62" w:rsidRPr="00CA1D20">
              <w:rPr>
                <w:sz w:val="20"/>
                <w:szCs w:val="20"/>
              </w:rPr>
              <w:t>CMI</w:t>
            </w:r>
          </w:p>
        </w:tc>
      </w:tr>
      <w:tr w:rsidR="00DE72F0" w:rsidRPr="00CA1D20" w:rsidTr="006F0D12">
        <w:tc>
          <w:tcPr>
            <w:tcW w:w="2552" w:type="dxa"/>
          </w:tcPr>
          <w:p w:rsidR="00DE72F0" w:rsidRPr="00CA1D20" w:rsidRDefault="00DE72F0" w:rsidP="00CA1D20">
            <w:pPr>
              <w:spacing w:before="40" w:after="40" w:line="240" w:lineRule="auto"/>
              <w:ind w:left="0" w:right="0"/>
              <w:rPr>
                <w:sz w:val="20"/>
                <w:szCs w:val="20"/>
              </w:rPr>
            </w:pPr>
            <w:r w:rsidRPr="00CA1D20">
              <w:rPr>
                <w:sz w:val="20"/>
                <w:szCs w:val="20"/>
              </w:rPr>
              <w:t>Vaccine effectiveness</w:t>
            </w:r>
          </w:p>
        </w:tc>
        <w:tc>
          <w:tcPr>
            <w:tcW w:w="2977" w:type="dxa"/>
          </w:tcPr>
          <w:p w:rsidR="00DE72F0" w:rsidRPr="00CA1D20" w:rsidRDefault="00DE72F0" w:rsidP="00CA1D20">
            <w:pPr>
              <w:spacing w:before="40" w:after="40" w:line="240" w:lineRule="auto"/>
              <w:ind w:left="0" w:right="0"/>
              <w:rPr>
                <w:sz w:val="20"/>
                <w:szCs w:val="20"/>
              </w:rPr>
            </w:pPr>
            <w:r w:rsidRPr="00CA1D20">
              <w:rPr>
                <w:sz w:val="20"/>
                <w:szCs w:val="20"/>
              </w:rPr>
              <w:t>Vaccine effectiveness study</w:t>
            </w:r>
          </w:p>
        </w:tc>
        <w:tc>
          <w:tcPr>
            <w:tcW w:w="2551" w:type="dxa"/>
          </w:tcPr>
          <w:p w:rsidR="00DE72F0" w:rsidRPr="00CA1D20" w:rsidRDefault="00DE72F0" w:rsidP="00CA1D20">
            <w:pPr>
              <w:spacing w:before="40" w:after="40" w:line="240" w:lineRule="auto"/>
              <w:ind w:left="0" w:right="0"/>
              <w:rPr>
                <w:sz w:val="20"/>
                <w:szCs w:val="20"/>
              </w:rPr>
            </w:pPr>
            <w:r w:rsidRPr="00CA1D20">
              <w:rPr>
                <w:sz w:val="20"/>
                <w:szCs w:val="20"/>
              </w:rPr>
              <w:t xml:space="preserve">PI and </w:t>
            </w:r>
            <w:r w:rsidR="00DE0F62" w:rsidRPr="00CA1D20">
              <w:rPr>
                <w:sz w:val="20"/>
                <w:szCs w:val="20"/>
              </w:rPr>
              <w:t>CMI</w:t>
            </w:r>
          </w:p>
        </w:tc>
      </w:tr>
      <w:tr w:rsidR="00DE72F0" w:rsidRPr="00CA1D20" w:rsidTr="006F0D12">
        <w:tc>
          <w:tcPr>
            <w:tcW w:w="2552" w:type="dxa"/>
          </w:tcPr>
          <w:p w:rsidR="00DE72F0" w:rsidRPr="00CA1D20" w:rsidRDefault="00DE72F0" w:rsidP="00CA1D20">
            <w:pPr>
              <w:spacing w:before="40" w:after="40" w:line="240" w:lineRule="auto"/>
              <w:ind w:left="0" w:right="0"/>
              <w:rPr>
                <w:sz w:val="20"/>
                <w:szCs w:val="20"/>
              </w:rPr>
            </w:pPr>
            <w:r w:rsidRPr="00CA1D20">
              <w:rPr>
                <w:sz w:val="20"/>
                <w:szCs w:val="20"/>
              </w:rPr>
              <w:t>Strain/serotype replacement</w:t>
            </w:r>
          </w:p>
        </w:tc>
        <w:tc>
          <w:tcPr>
            <w:tcW w:w="2977" w:type="dxa"/>
          </w:tcPr>
          <w:p w:rsidR="00DE72F0" w:rsidRPr="00CA1D20" w:rsidRDefault="00DE72F0" w:rsidP="00CA1D20">
            <w:pPr>
              <w:spacing w:before="40" w:after="40" w:line="240" w:lineRule="auto"/>
              <w:ind w:left="0" w:right="0"/>
              <w:rPr>
                <w:sz w:val="20"/>
                <w:szCs w:val="20"/>
              </w:rPr>
            </w:pPr>
            <w:r w:rsidRPr="00CA1D20">
              <w:rPr>
                <w:sz w:val="20"/>
                <w:szCs w:val="20"/>
              </w:rPr>
              <w:t>Carriage study</w:t>
            </w:r>
          </w:p>
        </w:tc>
        <w:tc>
          <w:tcPr>
            <w:tcW w:w="2551" w:type="dxa"/>
          </w:tcPr>
          <w:p w:rsidR="00DE72F0" w:rsidRPr="00CA1D20" w:rsidRDefault="00DE72F0" w:rsidP="00CA1D20">
            <w:pPr>
              <w:spacing w:before="40" w:after="40" w:line="240" w:lineRule="auto"/>
              <w:ind w:left="0" w:right="0"/>
              <w:rPr>
                <w:sz w:val="20"/>
                <w:szCs w:val="20"/>
              </w:rPr>
            </w:pPr>
            <w:r w:rsidRPr="00CA1D20">
              <w:rPr>
                <w:sz w:val="20"/>
                <w:szCs w:val="20"/>
              </w:rPr>
              <w:t xml:space="preserve">PI and </w:t>
            </w:r>
            <w:r w:rsidR="00DE0F62" w:rsidRPr="00CA1D20">
              <w:rPr>
                <w:sz w:val="20"/>
                <w:szCs w:val="20"/>
              </w:rPr>
              <w:t>CMI</w:t>
            </w:r>
          </w:p>
        </w:tc>
      </w:tr>
    </w:tbl>
    <w:p w:rsidR="006C0FA6" w:rsidRPr="00F80D92" w:rsidRDefault="005840E4" w:rsidP="001300EE">
      <w:pPr>
        <w:pStyle w:val="TableDescription"/>
        <w:rPr>
          <w:lang w:eastAsia="en-AU"/>
        </w:rPr>
      </w:pPr>
      <w:r w:rsidRPr="00F80D92">
        <w:rPr>
          <w:lang w:eastAsia="en-AU"/>
        </w:rPr>
        <w:t xml:space="preserve">*The terms PI and CMI, respectively, are used in place of ‘SPC’ (Summary of Product Characteristics) and ‘Patient leaflet’ that appear </w:t>
      </w:r>
      <w:r w:rsidR="00506975" w:rsidRPr="00F80D92">
        <w:rPr>
          <w:lang w:eastAsia="en-AU"/>
        </w:rPr>
        <w:t xml:space="preserve">originally </w:t>
      </w:r>
      <w:r w:rsidRPr="00F80D92">
        <w:rPr>
          <w:lang w:eastAsia="en-AU"/>
        </w:rPr>
        <w:t>in the sponsor’s RMP summary table.</w:t>
      </w:r>
      <w:r w:rsidR="00CA1D20" w:rsidRPr="00F80D92">
        <w:rPr>
          <w:lang w:eastAsia="en-AU"/>
        </w:rPr>
        <w:t xml:space="preserve"> </w:t>
      </w:r>
      <w:r w:rsidR="006C0FA6" w:rsidRPr="00F80D92">
        <w:rPr>
          <w:lang w:eastAsia="en-AU"/>
        </w:rPr>
        <w:t>** NVD SMT: Novartis Vaccines and Dia</w:t>
      </w:r>
      <w:r w:rsidR="001300EE">
        <w:rPr>
          <w:lang w:eastAsia="en-AU"/>
        </w:rPr>
        <w:t>gnostics Safety Management Team</w:t>
      </w:r>
    </w:p>
    <w:p w:rsidR="009609F9" w:rsidRDefault="009609F9" w:rsidP="009609F9">
      <w:pPr>
        <w:rPr>
          <w:lang w:eastAsia="en-AU"/>
        </w:rPr>
        <w:sectPr w:rsidR="009609F9" w:rsidSect="00B452CE">
          <w:headerReference w:type="even" r:id="rId20"/>
          <w:headerReference w:type="default" r:id="rId21"/>
          <w:footerReference w:type="default" r:id="rId22"/>
          <w:headerReference w:type="first" r:id="rId23"/>
          <w:footerReference w:type="first" r:id="rId24"/>
          <w:pgSz w:w="11906" w:h="16838" w:code="9"/>
          <w:pgMar w:top="834" w:right="1701" w:bottom="1191" w:left="1701" w:header="907" w:footer="216" w:gutter="0"/>
          <w:cols w:space="708"/>
          <w:docGrid w:linePitch="360"/>
        </w:sectPr>
      </w:pPr>
      <w:r>
        <w:rPr>
          <w:lang w:eastAsia="en-AU"/>
        </w:rPr>
        <w:t xml:space="preserve">Table </w:t>
      </w:r>
      <w:r w:rsidR="001D7C7D">
        <w:rPr>
          <w:lang w:eastAsia="en-AU"/>
        </w:rPr>
        <w:t>9</w:t>
      </w:r>
      <w:r w:rsidRPr="009609F9">
        <w:rPr>
          <w:lang w:eastAsia="en-AU"/>
        </w:rPr>
        <w:t xml:space="preserve"> summarises the OPR’s evaluation of the RMP, the sponsor’s responses to issues </w:t>
      </w:r>
      <w:proofErr w:type="gramStart"/>
      <w:r w:rsidRPr="009609F9">
        <w:rPr>
          <w:lang w:eastAsia="en-AU"/>
        </w:rPr>
        <w:t>raised</w:t>
      </w:r>
      <w:proofErr w:type="gramEnd"/>
      <w:r w:rsidRPr="009609F9">
        <w:rPr>
          <w:lang w:eastAsia="en-AU"/>
        </w:rPr>
        <w:t xml:space="preserve"> by the OPR</w:t>
      </w:r>
      <w:r w:rsidR="005840E4">
        <w:rPr>
          <w:lang w:eastAsia="en-AU"/>
        </w:rPr>
        <w:t>,</w:t>
      </w:r>
      <w:r w:rsidRPr="009609F9">
        <w:rPr>
          <w:lang w:eastAsia="en-AU"/>
        </w:rPr>
        <w:t xml:space="preserve"> and the second round OPR evaluation of the sponsor’s responses.</w:t>
      </w:r>
    </w:p>
    <w:p w:rsidR="009609F9" w:rsidRPr="002629A2" w:rsidRDefault="009609F9" w:rsidP="001300EE">
      <w:pPr>
        <w:pStyle w:val="TableTitle"/>
      </w:pPr>
      <w:proofErr w:type="gramStart"/>
      <w:r w:rsidRPr="002629A2">
        <w:lastRenderedPageBreak/>
        <w:t xml:space="preserve">Table </w:t>
      </w:r>
      <w:r w:rsidR="001D7C7D">
        <w:t>9</w:t>
      </w:r>
      <w:r w:rsidRPr="002629A2">
        <w:t>.</w:t>
      </w:r>
      <w:proofErr w:type="gramEnd"/>
      <w:r w:rsidRPr="002629A2">
        <w:t xml:space="preserve"> Reconciliation of issues outlined in the RMP report</w:t>
      </w:r>
    </w:p>
    <w:tbl>
      <w:tblPr>
        <w:tblStyle w:val="TableTGAblue"/>
        <w:tblW w:w="5000" w:type="pct"/>
        <w:tblLayout w:type="fixed"/>
        <w:tblLook w:val="04A0"/>
      </w:tblPr>
      <w:tblGrid>
        <w:gridCol w:w="5353"/>
        <w:gridCol w:w="5669"/>
        <w:gridCol w:w="4007"/>
      </w:tblGrid>
      <w:tr w:rsidR="009609F9" w:rsidRPr="002629A2" w:rsidTr="002629A2">
        <w:trPr>
          <w:cnfStyle w:val="100000000000"/>
          <w:tblHeader/>
        </w:trPr>
        <w:tc>
          <w:tcPr>
            <w:tcW w:w="1781" w:type="pct"/>
            <w:noWrap/>
          </w:tcPr>
          <w:p w:rsidR="009609F9" w:rsidRPr="002629A2" w:rsidRDefault="009609F9" w:rsidP="001300EE">
            <w:pPr>
              <w:pStyle w:val="TableHeading1"/>
            </w:pPr>
            <w:r w:rsidRPr="002629A2">
              <w:t>Recommendation in RMP evaluation report</w:t>
            </w:r>
          </w:p>
        </w:tc>
        <w:tc>
          <w:tcPr>
            <w:tcW w:w="1886" w:type="pct"/>
            <w:noWrap/>
          </w:tcPr>
          <w:p w:rsidR="009609F9" w:rsidRPr="002629A2" w:rsidRDefault="009609F9" w:rsidP="001300EE">
            <w:pPr>
              <w:pStyle w:val="TableHeading1"/>
            </w:pPr>
            <w:r w:rsidRPr="002629A2">
              <w:t>Sponsor’s response</w:t>
            </w:r>
          </w:p>
        </w:tc>
        <w:tc>
          <w:tcPr>
            <w:tcW w:w="1333" w:type="pct"/>
            <w:noWrap/>
          </w:tcPr>
          <w:p w:rsidR="009609F9" w:rsidRPr="002629A2" w:rsidRDefault="009609F9" w:rsidP="009609F9">
            <w:pPr>
              <w:spacing w:before="0" w:after="0"/>
              <w:ind w:left="0" w:right="0"/>
              <w:rPr>
                <w:sz w:val="20"/>
                <w:szCs w:val="20"/>
              </w:rPr>
            </w:pPr>
            <w:r w:rsidRPr="002629A2">
              <w:rPr>
                <w:sz w:val="20"/>
                <w:szCs w:val="20"/>
              </w:rPr>
              <w:t>OPR evaluator’s comment</w:t>
            </w:r>
          </w:p>
        </w:tc>
      </w:tr>
      <w:tr w:rsidR="009609F9" w:rsidRPr="002629A2" w:rsidTr="002629A2">
        <w:tc>
          <w:tcPr>
            <w:tcW w:w="1781" w:type="pct"/>
            <w:noWrap/>
          </w:tcPr>
          <w:p w:rsidR="009609F9" w:rsidRPr="002629A2" w:rsidRDefault="009609F9" w:rsidP="009609F9">
            <w:pPr>
              <w:spacing w:before="0" w:after="0"/>
              <w:ind w:left="0" w:right="0"/>
              <w:rPr>
                <w:sz w:val="20"/>
                <w:szCs w:val="20"/>
              </w:rPr>
            </w:pPr>
            <w:r w:rsidRPr="002629A2">
              <w:rPr>
                <w:sz w:val="20"/>
                <w:szCs w:val="20"/>
              </w:rPr>
              <w:t xml:space="preserve">According to the </w:t>
            </w:r>
            <w:r w:rsidR="008A2363">
              <w:rPr>
                <w:sz w:val="20"/>
                <w:szCs w:val="20"/>
              </w:rPr>
              <w:t>European Public Assessment Report (</w:t>
            </w:r>
            <w:r w:rsidRPr="002629A2">
              <w:rPr>
                <w:sz w:val="20"/>
                <w:szCs w:val="20"/>
              </w:rPr>
              <w:t>EPAR</w:t>
            </w:r>
            <w:r w:rsidR="008A2363">
              <w:rPr>
                <w:sz w:val="20"/>
                <w:szCs w:val="20"/>
              </w:rPr>
              <w:t>)</w:t>
            </w:r>
            <w:r w:rsidRPr="002629A2">
              <w:rPr>
                <w:sz w:val="20"/>
                <w:szCs w:val="20"/>
              </w:rPr>
              <w:t xml:space="preserve"> the RMP ac</w:t>
            </w:r>
            <w:r w:rsidR="00523B04">
              <w:rPr>
                <w:sz w:val="20"/>
                <w:szCs w:val="20"/>
              </w:rPr>
              <w:t xml:space="preserve">cepted in the EU is version 4. </w:t>
            </w:r>
            <w:r w:rsidRPr="002629A2">
              <w:rPr>
                <w:sz w:val="20"/>
                <w:szCs w:val="20"/>
              </w:rPr>
              <w:t>The sponsor should confirm if version 4 will be implemented fully in Australia and clarify the key differences between that version and version 2 which is evaluated in this report.</w:t>
            </w:r>
          </w:p>
        </w:tc>
        <w:tc>
          <w:tcPr>
            <w:tcW w:w="1886" w:type="pct"/>
            <w:noWrap/>
          </w:tcPr>
          <w:p w:rsidR="009609F9" w:rsidRPr="002629A2" w:rsidRDefault="009609F9" w:rsidP="009C71D3">
            <w:pPr>
              <w:spacing w:before="0" w:after="0"/>
              <w:ind w:left="0" w:right="0"/>
              <w:rPr>
                <w:sz w:val="20"/>
                <w:szCs w:val="20"/>
              </w:rPr>
            </w:pPr>
            <w:r w:rsidRPr="002629A2">
              <w:rPr>
                <w:sz w:val="20"/>
                <w:szCs w:val="20"/>
              </w:rPr>
              <w:t xml:space="preserve">In their response the sponsor confirmed that they will implement the Bexsero EU RMP version 4 in Australia.  They have provided a list of key differences between version </w:t>
            </w:r>
            <w:r w:rsidR="005840E4" w:rsidRPr="002629A2">
              <w:rPr>
                <w:sz w:val="20"/>
                <w:szCs w:val="20"/>
              </w:rPr>
              <w:t>4 and the evaluated version 2.</w:t>
            </w:r>
          </w:p>
        </w:tc>
        <w:tc>
          <w:tcPr>
            <w:tcW w:w="1333" w:type="pct"/>
            <w:noWrap/>
          </w:tcPr>
          <w:p w:rsidR="009609F9" w:rsidRPr="002629A2" w:rsidRDefault="009609F9" w:rsidP="009609F9">
            <w:pPr>
              <w:spacing w:before="0" w:after="0"/>
              <w:ind w:left="0" w:right="0"/>
              <w:rPr>
                <w:sz w:val="20"/>
                <w:szCs w:val="20"/>
              </w:rPr>
            </w:pPr>
            <w:r w:rsidRPr="002629A2">
              <w:rPr>
                <w:sz w:val="20"/>
                <w:szCs w:val="20"/>
              </w:rPr>
              <w:t>This is acceptable.</w:t>
            </w:r>
          </w:p>
        </w:tc>
      </w:tr>
      <w:tr w:rsidR="009609F9" w:rsidRPr="002629A2" w:rsidTr="002629A2">
        <w:tc>
          <w:tcPr>
            <w:tcW w:w="1781" w:type="pct"/>
            <w:noWrap/>
          </w:tcPr>
          <w:p w:rsidR="009609F9" w:rsidRPr="002629A2" w:rsidRDefault="009609F9" w:rsidP="001300EE">
            <w:pPr>
              <w:spacing w:before="0" w:after="0"/>
              <w:ind w:left="0" w:right="0"/>
              <w:rPr>
                <w:sz w:val="20"/>
                <w:szCs w:val="20"/>
              </w:rPr>
            </w:pPr>
            <w:r w:rsidRPr="002629A2">
              <w:rPr>
                <w:sz w:val="20"/>
                <w:szCs w:val="20"/>
              </w:rPr>
              <w:t>It is recommended that consideration should be made for removal of a potentially misleading statement in the RMP regarding the sponsor’s conclusion for no evidence of an increased risk of seizures.</w:t>
            </w:r>
          </w:p>
        </w:tc>
        <w:tc>
          <w:tcPr>
            <w:tcW w:w="1886" w:type="pct"/>
            <w:noWrap/>
          </w:tcPr>
          <w:p w:rsidR="001300EE" w:rsidRPr="002629A2" w:rsidRDefault="009609F9" w:rsidP="009609F9">
            <w:pPr>
              <w:spacing w:before="0" w:after="0"/>
              <w:ind w:left="0" w:right="0"/>
              <w:rPr>
                <w:i/>
                <w:sz w:val="20"/>
                <w:szCs w:val="20"/>
              </w:rPr>
            </w:pPr>
            <w:r w:rsidRPr="002629A2">
              <w:rPr>
                <w:i/>
                <w:sz w:val="20"/>
                <w:szCs w:val="20"/>
              </w:rPr>
              <w:t>Data from clinical trials do not show an increased risk of febrile or non-febrile seizures associated with Bexsero vaccination compared to the control group.</w:t>
            </w:r>
          </w:p>
          <w:p w:rsidR="009609F9" w:rsidRPr="002629A2" w:rsidRDefault="009609F9" w:rsidP="009609F9">
            <w:pPr>
              <w:spacing w:before="0" w:after="0"/>
              <w:ind w:left="0" w:right="0"/>
              <w:rPr>
                <w:i/>
                <w:sz w:val="20"/>
                <w:szCs w:val="20"/>
              </w:rPr>
            </w:pPr>
            <w:r w:rsidRPr="002629A2">
              <w:rPr>
                <w:i/>
                <w:sz w:val="20"/>
                <w:szCs w:val="20"/>
              </w:rPr>
              <w:t>Although the Clinical Development Plan of Bexsero does not include any study powered to detect a statistical difference for rare and uncommon adverse events (and febrile seizures are just one possible uncommon event), the number and age distribution of febrile seizures observed in these studies is within the expected range in all age populations. In summary, although definitive conclusions based on these observations cannot be made due to the relatively small number of cases, the foregoing analyses provide no evidence of an increased risk of febrile or non-febrile seizures associated with Bexsero vaccination.</w:t>
            </w:r>
          </w:p>
        </w:tc>
        <w:tc>
          <w:tcPr>
            <w:tcW w:w="1333" w:type="pct"/>
            <w:noWrap/>
          </w:tcPr>
          <w:p w:rsidR="001300EE" w:rsidRPr="002629A2" w:rsidRDefault="009609F9" w:rsidP="009609F9">
            <w:pPr>
              <w:spacing w:before="0" w:after="0"/>
              <w:ind w:left="0" w:right="0"/>
              <w:rPr>
                <w:sz w:val="20"/>
                <w:szCs w:val="20"/>
              </w:rPr>
            </w:pPr>
            <w:r w:rsidRPr="002629A2">
              <w:rPr>
                <w:sz w:val="20"/>
                <w:szCs w:val="20"/>
              </w:rPr>
              <w:t>At present the following statement in version 4 of the EU-RMP is considered satisfactory:</w:t>
            </w:r>
          </w:p>
          <w:p w:rsidR="009609F9" w:rsidRPr="002629A2" w:rsidRDefault="009609F9" w:rsidP="009609F9">
            <w:pPr>
              <w:spacing w:before="0" w:after="0"/>
              <w:ind w:left="0" w:right="0"/>
              <w:rPr>
                <w:i/>
                <w:sz w:val="20"/>
                <w:szCs w:val="20"/>
              </w:rPr>
            </w:pPr>
            <w:r w:rsidRPr="002629A2">
              <w:rPr>
                <w:i/>
                <w:sz w:val="20"/>
                <w:szCs w:val="20"/>
              </w:rPr>
              <w:t>In summary, although definitive conclusions based on these observations cannot be made due to the relatively small number of cases, the foregoing analyses provide no evidence of an increased risk of febrile or non-febrile seizures associated with 4CMenB vaccination in infants.</w:t>
            </w:r>
          </w:p>
          <w:p w:rsidR="009609F9" w:rsidRPr="002629A2" w:rsidRDefault="009609F9" w:rsidP="005840E4">
            <w:pPr>
              <w:spacing w:before="0" w:after="0"/>
              <w:ind w:left="0" w:right="0"/>
              <w:rPr>
                <w:i/>
                <w:sz w:val="20"/>
                <w:szCs w:val="20"/>
              </w:rPr>
            </w:pPr>
            <w:r w:rsidRPr="002629A2">
              <w:rPr>
                <w:sz w:val="20"/>
                <w:szCs w:val="20"/>
              </w:rPr>
              <w:t>That said</w:t>
            </w:r>
            <w:proofErr w:type="gramStart"/>
            <w:r w:rsidR="00523B04">
              <w:rPr>
                <w:sz w:val="20"/>
                <w:szCs w:val="20"/>
              </w:rPr>
              <w:t>,</w:t>
            </w:r>
            <w:proofErr w:type="gramEnd"/>
            <w:r w:rsidRPr="002629A2">
              <w:rPr>
                <w:sz w:val="20"/>
                <w:szCs w:val="20"/>
              </w:rPr>
              <w:t xml:space="preserve"> the evaluator still considers that the rates of fever seen in clinical trials should be clearly communicated to prescribers in the PI.</w:t>
            </w:r>
          </w:p>
        </w:tc>
      </w:tr>
      <w:tr w:rsidR="009609F9" w:rsidRPr="002629A2" w:rsidTr="002629A2">
        <w:tc>
          <w:tcPr>
            <w:tcW w:w="1781" w:type="pct"/>
            <w:noWrap/>
          </w:tcPr>
          <w:p w:rsidR="009609F9" w:rsidRPr="002629A2" w:rsidRDefault="009609F9" w:rsidP="009609F9">
            <w:pPr>
              <w:spacing w:before="0" w:after="0"/>
              <w:ind w:left="0" w:right="0"/>
              <w:rPr>
                <w:sz w:val="20"/>
                <w:szCs w:val="20"/>
              </w:rPr>
            </w:pPr>
            <w:r w:rsidRPr="002629A2">
              <w:rPr>
                <w:sz w:val="20"/>
                <w:szCs w:val="20"/>
              </w:rPr>
              <w:t>In the version 4 of the RMP accepted in the EU, there are several additional ongoing safety c</w:t>
            </w:r>
            <w:r w:rsidR="00523B04">
              <w:rPr>
                <w:sz w:val="20"/>
                <w:szCs w:val="20"/>
              </w:rPr>
              <w:t xml:space="preserve">oncerns according to the EPAR. </w:t>
            </w:r>
            <w:r w:rsidRPr="002629A2">
              <w:rPr>
                <w:sz w:val="20"/>
                <w:szCs w:val="20"/>
              </w:rPr>
              <w:t>These include the important potential risk ‘decrease(d) immunogenicity after prophylactic use of paracetamol’ and important missing information ‘elderly’, ‘</w:t>
            </w:r>
            <w:proofErr w:type="spellStart"/>
            <w:r w:rsidRPr="002629A2">
              <w:rPr>
                <w:sz w:val="20"/>
                <w:szCs w:val="20"/>
              </w:rPr>
              <w:t>immunocompromised</w:t>
            </w:r>
            <w:proofErr w:type="spellEnd"/>
            <w:r w:rsidRPr="002629A2">
              <w:rPr>
                <w:sz w:val="20"/>
                <w:szCs w:val="20"/>
              </w:rPr>
              <w:t xml:space="preserve"> subjects’, ‘chronic medical condition patients’ and ‘compliance in adolescent and young adult(s)’.  In the absence of a justification for their exclusion, it is recommended that these risks, and their associated pharmacovigilance and risk minimisation plans as specified in the EPAR are added to the RMP and/or ASA.</w:t>
            </w:r>
          </w:p>
        </w:tc>
        <w:tc>
          <w:tcPr>
            <w:tcW w:w="1886" w:type="pct"/>
            <w:noWrap/>
          </w:tcPr>
          <w:p w:rsidR="009609F9" w:rsidRPr="002629A2" w:rsidRDefault="009609F9" w:rsidP="005840E4">
            <w:pPr>
              <w:spacing w:before="0" w:after="0"/>
              <w:ind w:left="0" w:right="0"/>
              <w:rPr>
                <w:sz w:val="20"/>
                <w:szCs w:val="20"/>
              </w:rPr>
            </w:pPr>
            <w:r w:rsidRPr="002629A2">
              <w:rPr>
                <w:i/>
                <w:sz w:val="20"/>
                <w:szCs w:val="20"/>
              </w:rPr>
              <w:t>Novartis is committed to implementing in Australia the EU RMP version 4, which</w:t>
            </w:r>
            <w:r w:rsidR="005840E4" w:rsidRPr="002629A2">
              <w:rPr>
                <w:i/>
                <w:sz w:val="20"/>
                <w:szCs w:val="20"/>
              </w:rPr>
              <w:t xml:space="preserve"> </w:t>
            </w:r>
            <w:r w:rsidRPr="002629A2">
              <w:rPr>
                <w:i/>
                <w:sz w:val="20"/>
                <w:szCs w:val="20"/>
              </w:rPr>
              <w:t>contains the important potential risk ‘decrease(d) immunogenicity after prophylactic use of paracetamol’ and the important missing information ‘elderly’, ‘</w:t>
            </w:r>
            <w:proofErr w:type="spellStart"/>
            <w:r w:rsidRPr="002629A2">
              <w:rPr>
                <w:i/>
                <w:sz w:val="20"/>
                <w:szCs w:val="20"/>
              </w:rPr>
              <w:t>immunocompromised</w:t>
            </w:r>
            <w:proofErr w:type="spellEnd"/>
            <w:r w:rsidRPr="002629A2">
              <w:rPr>
                <w:i/>
                <w:sz w:val="20"/>
                <w:szCs w:val="20"/>
              </w:rPr>
              <w:t xml:space="preserve"> subjects’, ‘patients with chronic medical conditions’ and ‘compliance in adolescent and young adult(s)’.</w:t>
            </w:r>
          </w:p>
        </w:tc>
        <w:tc>
          <w:tcPr>
            <w:tcW w:w="1333" w:type="pct"/>
            <w:noWrap/>
          </w:tcPr>
          <w:p w:rsidR="009609F9" w:rsidRPr="002629A2" w:rsidRDefault="009609F9" w:rsidP="009609F9">
            <w:pPr>
              <w:spacing w:before="0" w:after="0"/>
              <w:ind w:left="0" w:right="0"/>
              <w:rPr>
                <w:sz w:val="20"/>
                <w:szCs w:val="20"/>
              </w:rPr>
            </w:pPr>
            <w:r w:rsidRPr="002629A2">
              <w:rPr>
                <w:sz w:val="20"/>
                <w:szCs w:val="20"/>
              </w:rPr>
              <w:t>This is acceptable.</w:t>
            </w:r>
          </w:p>
        </w:tc>
      </w:tr>
      <w:tr w:rsidR="009609F9" w:rsidRPr="002629A2" w:rsidTr="002629A2">
        <w:trPr>
          <w:cantSplit/>
        </w:trPr>
        <w:tc>
          <w:tcPr>
            <w:tcW w:w="1781" w:type="pct"/>
            <w:noWrap/>
          </w:tcPr>
          <w:p w:rsidR="009609F9" w:rsidRPr="002629A2" w:rsidRDefault="00F96B62" w:rsidP="001300EE">
            <w:pPr>
              <w:spacing w:before="0" w:after="0"/>
              <w:ind w:left="0" w:right="0"/>
              <w:rPr>
                <w:sz w:val="20"/>
                <w:szCs w:val="20"/>
              </w:rPr>
            </w:pPr>
            <w:r>
              <w:rPr>
                <w:sz w:val="20"/>
                <w:szCs w:val="20"/>
              </w:rPr>
              <w:lastRenderedPageBreak/>
              <w:t>T</w:t>
            </w:r>
            <w:r w:rsidR="009609F9" w:rsidRPr="002629A2">
              <w:rPr>
                <w:sz w:val="20"/>
                <w:szCs w:val="20"/>
              </w:rPr>
              <w:t xml:space="preserve">he sponsor should provide the TGA with a commitment and assurance that the post-license study program will be undertaken as described wherever inclusion on a </w:t>
            </w:r>
            <w:r w:rsidR="008A2363">
              <w:rPr>
                <w:sz w:val="20"/>
                <w:szCs w:val="20"/>
              </w:rPr>
              <w:t>N</w:t>
            </w:r>
            <w:r w:rsidR="008A2363" w:rsidRPr="008A2363">
              <w:rPr>
                <w:iCs/>
                <w:sz w:val="20"/>
                <w:szCs w:val="20"/>
              </w:rPr>
              <w:t xml:space="preserve">ational </w:t>
            </w:r>
            <w:r w:rsidR="008A2363">
              <w:rPr>
                <w:iCs/>
                <w:sz w:val="20"/>
                <w:szCs w:val="20"/>
              </w:rPr>
              <w:t>Immunis</w:t>
            </w:r>
            <w:r w:rsidR="008A2363" w:rsidRPr="008A2363">
              <w:rPr>
                <w:iCs/>
                <w:sz w:val="20"/>
                <w:szCs w:val="20"/>
              </w:rPr>
              <w:t xml:space="preserve">ation </w:t>
            </w:r>
            <w:r w:rsidR="008A2363">
              <w:rPr>
                <w:iCs/>
                <w:sz w:val="20"/>
                <w:szCs w:val="20"/>
              </w:rPr>
              <w:t>P</w:t>
            </w:r>
            <w:r w:rsidR="008A2363" w:rsidRPr="008A2363">
              <w:rPr>
                <w:iCs/>
                <w:sz w:val="20"/>
                <w:szCs w:val="20"/>
              </w:rPr>
              <w:t>rogramme</w:t>
            </w:r>
            <w:r w:rsidR="008A2363" w:rsidRPr="008A2363">
              <w:rPr>
                <w:i/>
                <w:sz w:val="20"/>
                <w:szCs w:val="20"/>
              </w:rPr>
              <w:t xml:space="preserve"> </w:t>
            </w:r>
            <w:r w:rsidR="008A2363" w:rsidRPr="008A2363">
              <w:rPr>
                <w:iCs/>
                <w:sz w:val="20"/>
                <w:szCs w:val="20"/>
              </w:rPr>
              <w:t>(</w:t>
            </w:r>
            <w:r w:rsidR="009609F9" w:rsidRPr="002629A2">
              <w:rPr>
                <w:sz w:val="20"/>
                <w:szCs w:val="20"/>
              </w:rPr>
              <w:t>NIP</w:t>
            </w:r>
            <w:r w:rsidR="008A2363">
              <w:rPr>
                <w:sz w:val="20"/>
                <w:szCs w:val="20"/>
              </w:rPr>
              <w:t>)</w:t>
            </w:r>
            <w:r w:rsidR="009609F9" w:rsidRPr="002629A2">
              <w:rPr>
                <w:sz w:val="20"/>
                <w:szCs w:val="20"/>
              </w:rPr>
              <w:t xml:space="preserve"> may fir</w:t>
            </w:r>
            <w:r w:rsidR="001300EE">
              <w:rPr>
                <w:sz w:val="20"/>
                <w:szCs w:val="20"/>
              </w:rPr>
              <w:t>st occur, including Australia.</w:t>
            </w:r>
          </w:p>
        </w:tc>
        <w:tc>
          <w:tcPr>
            <w:tcW w:w="1886" w:type="pct"/>
            <w:noWrap/>
          </w:tcPr>
          <w:p w:rsidR="009609F9" w:rsidRPr="002629A2" w:rsidRDefault="009609F9" w:rsidP="009609F9">
            <w:pPr>
              <w:spacing w:before="0" w:after="0"/>
              <w:ind w:left="0" w:right="0"/>
              <w:rPr>
                <w:i/>
                <w:sz w:val="20"/>
                <w:szCs w:val="20"/>
              </w:rPr>
            </w:pPr>
            <w:r w:rsidRPr="002629A2">
              <w:rPr>
                <w:i/>
                <w:sz w:val="20"/>
                <w:szCs w:val="20"/>
              </w:rPr>
              <w:t>Novartis has planned safety (V72_36OB) and effectiveness (V72_38OB) studies and a study to monitor use of Bexsero during pregnancy (V72_39OB)</w:t>
            </w:r>
            <w:r w:rsidR="00F96B62">
              <w:rPr>
                <w:i/>
                <w:sz w:val="20"/>
                <w:szCs w:val="20"/>
              </w:rPr>
              <w:t xml:space="preserve"> as part of a </w:t>
            </w:r>
            <w:r w:rsidRPr="002629A2">
              <w:rPr>
                <w:i/>
                <w:sz w:val="20"/>
                <w:szCs w:val="20"/>
              </w:rPr>
              <w:t>nationa</w:t>
            </w:r>
            <w:r w:rsidR="001300EE">
              <w:rPr>
                <w:i/>
                <w:sz w:val="20"/>
                <w:szCs w:val="20"/>
              </w:rPr>
              <w:t>l immunization programme (NIP).</w:t>
            </w:r>
          </w:p>
          <w:p w:rsidR="009609F9" w:rsidRPr="002629A2" w:rsidRDefault="00F96B62" w:rsidP="00F96B62">
            <w:pPr>
              <w:spacing w:before="0" w:after="0"/>
              <w:ind w:left="0" w:right="0"/>
              <w:rPr>
                <w:i/>
                <w:sz w:val="20"/>
                <w:szCs w:val="20"/>
              </w:rPr>
            </w:pPr>
            <w:r>
              <w:rPr>
                <w:i/>
                <w:sz w:val="20"/>
                <w:szCs w:val="20"/>
              </w:rPr>
              <w:t>W</w:t>
            </w:r>
            <w:r w:rsidR="009609F9" w:rsidRPr="002629A2">
              <w:rPr>
                <w:i/>
                <w:sz w:val="20"/>
                <w:szCs w:val="20"/>
              </w:rPr>
              <w:t xml:space="preserve">e agreed to submit proposals for plan B safety and effectiveness studies in another appropriate country with the next version of the updated RMP. The intent would indeed be to perform these plan B studies wherever inclusion on a NIP may first occur or in an “early launching country”, not restricting solely to Europe. </w:t>
            </w:r>
            <w:r w:rsidR="0052637C">
              <w:rPr>
                <w:i/>
                <w:sz w:val="20"/>
                <w:szCs w:val="20"/>
              </w:rPr>
              <w:br/>
            </w:r>
            <w:r w:rsidR="0052637C" w:rsidRPr="0052637C">
              <w:rPr>
                <w:i/>
                <w:sz w:val="20"/>
                <w:szCs w:val="20"/>
              </w:rPr>
              <w:t>However, such proposals would also depend on other factors, such as the vaccine coverage (if outside of a NIP), the number of meningococcal disease cases, the willingness of the public health institute to collaborate with industry for effectiveness, and/or the availability of an appropriate study setting to assess safety; all with the purpose to ensure meaningful results within the shortest feasible time</w:t>
            </w:r>
          </w:p>
        </w:tc>
        <w:tc>
          <w:tcPr>
            <w:tcW w:w="1333" w:type="pct"/>
            <w:noWrap/>
          </w:tcPr>
          <w:p w:rsidR="009609F9" w:rsidRPr="002629A2" w:rsidRDefault="009609F9" w:rsidP="009609F9">
            <w:pPr>
              <w:spacing w:before="0" w:after="0"/>
              <w:ind w:left="0" w:right="0"/>
              <w:rPr>
                <w:sz w:val="20"/>
                <w:szCs w:val="20"/>
              </w:rPr>
            </w:pPr>
            <w:r w:rsidRPr="002629A2">
              <w:rPr>
                <w:sz w:val="20"/>
                <w:szCs w:val="20"/>
              </w:rPr>
              <w:t>The proposed pharmacovigilance program is critica</w:t>
            </w:r>
            <w:r w:rsidR="00036ADA" w:rsidRPr="002629A2">
              <w:rPr>
                <w:sz w:val="20"/>
                <w:szCs w:val="20"/>
              </w:rPr>
              <w:t xml:space="preserve">l to the RMP for this product. </w:t>
            </w:r>
            <w:r w:rsidRPr="002629A2">
              <w:rPr>
                <w:sz w:val="20"/>
                <w:szCs w:val="20"/>
              </w:rPr>
              <w:t>The evaluator accepts that undertaking these activities where uptake of the vaccine is large (</w:t>
            </w:r>
            <w:r w:rsidR="008A2363">
              <w:rPr>
                <w:sz w:val="20"/>
                <w:szCs w:val="20"/>
              </w:rPr>
              <w:t xml:space="preserve">such as </w:t>
            </w:r>
            <w:r w:rsidRPr="002629A2">
              <w:rPr>
                <w:sz w:val="20"/>
                <w:szCs w:val="20"/>
              </w:rPr>
              <w:t>inclusion on a NIP) is necessary to ensure sufficient numbers.</w:t>
            </w:r>
          </w:p>
          <w:p w:rsidR="009609F9" w:rsidRPr="002629A2" w:rsidRDefault="009609F9" w:rsidP="009609F9">
            <w:pPr>
              <w:spacing w:before="0" w:after="0"/>
              <w:ind w:left="0" w:right="0"/>
              <w:rPr>
                <w:sz w:val="20"/>
                <w:szCs w:val="20"/>
              </w:rPr>
            </w:pPr>
            <w:r w:rsidRPr="002629A2">
              <w:rPr>
                <w:sz w:val="20"/>
                <w:szCs w:val="20"/>
              </w:rPr>
              <w:t>It is recommended that a contingency pharmacovigilance plan be provided to and agreed with the TGA if the proposed studies have not commenced within 12 months of product registration.</w:t>
            </w:r>
          </w:p>
          <w:p w:rsidR="009609F9" w:rsidRPr="002629A2" w:rsidRDefault="009609F9" w:rsidP="002629A2">
            <w:pPr>
              <w:spacing w:before="0" w:after="0"/>
              <w:ind w:left="0" w:right="0"/>
              <w:rPr>
                <w:sz w:val="20"/>
                <w:szCs w:val="20"/>
              </w:rPr>
            </w:pPr>
            <w:r w:rsidRPr="002629A2">
              <w:rPr>
                <w:sz w:val="20"/>
                <w:szCs w:val="20"/>
              </w:rPr>
              <w:t>The sponsor should keep the TGA regularly informed of the commencement/</w:t>
            </w:r>
            <w:r w:rsidR="00036ADA" w:rsidRPr="002629A2">
              <w:rPr>
                <w:sz w:val="20"/>
                <w:szCs w:val="20"/>
              </w:rPr>
              <w:t xml:space="preserve"> </w:t>
            </w:r>
            <w:r w:rsidRPr="002629A2">
              <w:rPr>
                <w:sz w:val="20"/>
                <w:szCs w:val="20"/>
              </w:rPr>
              <w:t>progress/deferral of these studies (including the ‘plan b’ studies if applicable).</w:t>
            </w:r>
          </w:p>
        </w:tc>
      </w:tr>
      <w:tr w:rsidR="009609F9" w:rsidRPr="002629A2" w:rsidTr="002629A2">
        <w:tc>
          <w:tcPr>
            <w:tcW w:w="1781" w:type="pct"/>
            <w:noWrap/>
          </w:tcPr>
          <w:p w:rsidR="009609F9" w:rsidRPr="002629A2" w:rsidRDefault="009609F9" w:rsidP="002629A2">
            <w:pPr>
              <w:spacing w:before="0" w:after="0"/>
              <w:ind w:left="0" w:right="0"/>
              <w:rPr>
                <w:sz w:val="20"/>
                <w:szCs w:val="20"/>
              </w:rPr>
            </w:pPr>
            <w:r w:rsidRPr="002629A2">
              <w:rPr>
                <w:sz w:val="20"/>
                <w:szCs w:val="20"/>
              </w:rPr>
              <w:t>Additionally, as noted by the clinical evaluator the sponsor should also provide specific details of the entire confirmed study program including</w:t>
            </w:r>
            <w:r w:rsidR="008A2363">
              <w:rPr>
                <w:sz w:val="20"/>
                <w:szCs w:val="20"/>
              </w:rPr>
              <w:t xml:space="preserve"> anticipated completion dates. </w:t>
            </w:r>
            <w:r w:rsidRPr="002629A2">
              <w:rPr>
                <w:sz w:val="20"/>
                <w:szCs w:val="20"/>
              </w:rPr>
              <w:t>This should also be detailed in an update to the RMP.</w:t>
            </w:r>
          </w:p>
        </w:tc>
        <w:tc>
          <w:tcPr>
            <w:tcW w:w="1886" w:type="pct"/>
            <w:noWrap/>
          </w:tcPr>
          <w:p w:rsidR="009609F9" w:rsidRPr="002629A2" w:rsidRDefault="00B50959" w:rsidP="00F96B62">
            <w:pPr>
              <w:spacing w:before="0" w:after="0"/>
              <w:ind w:left="0" w:right="0"/>
              <w:rPr>
                <w:i/>
                <w:sz w:val="20"/>
                <w:szCs w:val="20"/>
              </w:rPr>
            </w:pPr>
            <w:r w:rsidRPr="00B50959">
              <w:rPr>
                <w:iCs/>
                <w:sz w:val="20"/>
                <w:szCs w:val="20"/>
              </w:rPr>
              <w:t>Requested details were provided</w:t>
            </w:r>
            <w:r w:rsidR="009609F9" w:rsidRPr="002629A2">
              <w:rPr>
                <w:i/>
                <w:sz w:val="20"/>
                <w:szCs w:val="20"/>
              </w:rPr>
              <w:t>.</w:t>
            </w:r>
          </w:p>
        </w:tc>
        <w:tc>
          <w:tcPr>
            <w:tcW w:w="1333" w:type="pct"/>
            <w:noWrap/>
          </w:tcPr>
          <w:p w:rsidR="009609F9" w:rsidRPr="002629A2" w:rsidRDefault="009609F9" w:rsidP="009609F9">
            <w:pPr>
              <w:spacing w:before="0" w:after="0"/>
              <w:ind w:left="0" w:right="0"/>
              <w:rPr>
                <w:sz w:val="20"/>
                <w:szCs w:val="20"/>
              </w:rPr>
            </w:pPr>
            <w:r w:rsidRPr="002629A2">
              <w:rPr>
                <w:sz w:val="20"/>
                <w:szCs w:val="20"/>
              </w:rPr>
              <w:t>The sponsor should keep the TGA regularly informed of the commencement/</w:t>
            </w:r>
            <w:r w:rsidR="00036ADA" w:rsidRPr="002629A2">
              <w:rPr>
                <w:sz w:val="20"/>
                <w:szCs w:val="20"/>
              </w:rPr>
              <w:t xml:space="preserve"> </w:t>
            </w:r>
            <w:r w:rsidRPr="002629A2">
              <w:rPr>
                <w:sz w:val="20"/>
                <w:szCs w:val="20"/>
              </w:rPr>
              <w:t>progress/deferral of these studies (including the ‘plan b’ studies if applicable).</w:t>
            </w:r>
          </w:p>
        </w:tc>
      </w:tr>
      <w:tr w:rsidR="009609F9" w:rsidRPr="002629A2" w:rsidTr="002629A2">
        <w:tc>
          <w:tcPr>
            <w:tcW w:w="1781" w:type="pct"/>
            <w:noWrap/>
          </w:tcPr>
          <w:p w:rsidR="009609F9" w:rsidRDefault="009609F9" w:rsidP="00333273">
            <w:pPr>
              <w:spacing w:before="0" w:after="0"/>
              <w:ind w:left="0" w:right="0"/>
              <w:rPr>
                <w:sz w:val="20"/>
                <w:szCs w:val="20"/>
              </w:rPr>
            </w:pPr>
            <w:r w:rsidRPr="002629A2">
              <w:rPr>
                <w:sz w:val="20"/>
                <w:szCs w:val="20"/>
              </w:rPr>
              <w:t>According to the ASA the sponsor is exploring ways to adopt the V72_38OB eff</w:t>
            </w:r>
            <w:r w:rsidR="008A2363">
              <w:rPr>
                <w:sz w:val="20"/>
                <w:szCs w:val="20"/>
              </w:rPr>
              <w:t xml:space="preserve">ectiveness study in Australia. </w:t>
            </w:r>
            <w:r w:rsidRPr="002629A2">
              <w:rPr>
                <w:sz w:val="20"/>
                <w:szCs w:val="20"/>
              </w:rPr>
              <w:t>If this application is successful it is recommended that this study is conducted in Australia as part of the pharmacovigilance plan.</w:t>
            </w:r>
          </w:p>
          <w:p w:rsidR="009609F9" w:rsidRPr="002629A2" w:rsidRDefault="004F123D" w:rsidP="001300EE">
            <w:pPr>
              <w:spacing w:before="0" w:after="0"/>
              <w:ind w:left="0" w:right="0"/>
              <w:rPr>
                <w:sz w:val="20"/>
                <w:szCs w:val="20"/>
              </w:rPr>
            </w:pPr>
            <w:r>
              <w:rPr>
                <w:sz w:val="20"/>
                <w:szCs w:val="20"/>
              </w:rPr>
              <w:t xml:space="preserve">Other assurances regarding </w:t>
            </w:r>
            <w:r w:rsidRPr="004F123D">
              <w:rPr>
                <w:sz w:val="20"/>
                <w:szCs w:val="20"/>
              </w:rPr>
              <w:t>V72_38OB</w:t>
            </w:r>
            <w:r>
              <w:rPr>
                <w:sz w:val="20"/>
                <w:szCs w:val="20"/>
              </w:rPr>
              <w:t xml:space="preserve"> were also raised.</w:t>
            </w:r>
          </w:p>
        </w:tc>
        <w:tc>
          <w:tcPr>
            <w:tcW w:w="1886" w:type="pct"/>
            <w:noWrap/>
          </w:tcPr>
          <w:p w:rsidR="009609F9" w:rsidRPr="004F123D" w:rsidRDefault="00B50959" w:rsidP="009C71D3">
            <w:pPr>
              <w:spacing w:before="0" w:after="0"/>
              <w:ind w:left="0" w:right="0"/>
              <w:rPr>
                <w:sz w:val="20"/>
                <w:szCs w:val="20"/>
              </w:rPr>
            </w:pPr>
            <w:r w:rsidRPr="00B50959">
              <w:rPr>
                <w:sz w:val="20"/>
                <w:szCs w:val="20"/>
              </w:rPr>
              <w:t xml:space="preserve">Requested details were provided </w:t>
            </w:r>
          </w:p>
        </w:tc>
        <w:tc>
          <w:tcPr>
            <w:tcW w:w="1333" w:type="pct"/>
            <w:noWrap/>
          </w:tcPr>
          <w:p w:rsidR="009609F9" w:rsidRPr="002629A2" w:rsidRDefault="00F96B62" w:rsidP="00F96B62">
            <w:pPr>
              <w:spacing w:before="0" w:after="0"/>
              <w:ind w:left="0" w:right="0"/>
              <w:rPr>
                <w:sz w:val="20"/>
                <w:szCs w:val="20"/>
              </w:rPr>
            </w:pPr>
            <w:r>
              <w:rPr>
                <w:sz w:val="20"/>
                <w:szCs w:val="20"/>
              </w:rPr>
              <w:t xml:space="preserve">Sponsor responses regarding questions </w:t>
            </w:r>
            <w:r w:rsidR="004F123D">
              <w:rPr>
                <w:sz w:val="20"/>
                <w:szCs w:val="20"/>
              </w:rPr>
              <w:t xml:space="preserve">and assurances </w:t>
            </w:r>
            <w:r>
              <w:rPr>
                <w:sz w:val="20"/>
                <w:szCs w:val="20"/>
              </w:rPr>
              <w:t xml:space="preserve">on Study V72_38OB are </w:t>
            </w:r>
            <w:r w:rsidR="009609F9" w:rsidRPr="002629A2">
              <w:rPr>
                <w:sz w:val="20"/>
                <w:szCs w:val="20"/>
              </w:rPr>
              <w:t>acceptable.</w:t>
            </w:r>
          </w:p>
        </w:tc>
      </w:tr>
      <w:tr w:rsidR="009609F9" w:rsidRPr="002629A2" w:rsidTr="002629A2">
        <w:trPr>
          <w:cantSplit/>
        </w:trPr>
        <w:tc>
          <w:tcPr>
            <w:tcW w:w="1781" w:type="pct"/>
            <w:noWrap/>
          </w:tcPr>
          <w:p w:rsidR="009609F9" w:rsidRPr="002629A2" w:rsidRDefault="009609F9" w:rsidP="009609F9">
            <w:pPr>
              <w:spacing w:before="0" w:after="0"/>
              <w:ind w:left="0" w:right="0"/>
              <w:rPr>
                <w:sz w:val="20"/>
                <w:szCs w:val="20"/>
              </w:rPr>
            </w:pPr>
            <w:r w:rsidRPr="002629A2">
              <w:rPr>
                <w:sz w:val="20"/>
                <w:szCs w:val="20"/>
              </w:rPr>
              <w:lastRenderedPageBreak/>
              <w:t>It is recommended that the sponsor formulate and implement an education program for healthcare professi</w:t>
            </w:r>
            <w:r w:rsidR="00036ADA" w:rsidRPr="002629A2">
              <w:rPr>
                <w:sz w:val="20"/>
                <w:szCs w:val="20"/>
              </w:rPr>
              <w:t xml:space="preserve">onals and patients/caregivers. </w:t>
            </w:r>
            <w:r w:rsidRPr="002629A2">
              <w:rPr>
                <w:sz w:val="20"/>
                <w:szCs w:val="20"/>
              </w:rPr>
              <w:t>Given the sponsor has not proposed an education program the Delegate may wish to make implementation of an education program acceptable to the TGA a condition of registration for this product.</w:t>
            </w:r>
          </w:p>
        </w:tc>
        <w:tc>
          <w:tcPr>
            <w:tcW w:w="1886" w:type="pct"/>
            <w:noWrap/>
          </w:tcPr>
          <w:p w:rsidR="009609F9" w:rsidRPr="002629A2" w:rsidRDefault="009609F9" w:rsidP="00F96B62">
            <w:pPr>
              <w:spacing w:before="0" w:after="0"/>
              <w:ind w:left="0" w:right="0"/>
              <w:rPr>
                <w:i/>
                <w:sz w:val="20"/>
                <w:szCs w:val="20"/>
              </w:rPr>
            </w:pPr>
            <w:r w:rsidRPr="002629A2">
              <w:rPr>
                <w:i/>
                <w:sz w:val="20"/>
                <w:szCs w:val="20"/>
              </w:rPr>
              <w:t>Novartis commits to implementing an Australian education programme for Healthcare Professionals (HCPs; i.e. prescribers, pharmacists and nurses) and patients an</w:t>
            </w:r>
            <w:r w:rsidR="001300EE">
              <w:rPr>
                <w:i/>
                <w:sz w:val="20"/>
                <w:szCs w:val="20"/>
              </w:rPr>
              <w:t xml:space="preserve">d their caregivers for </w:t>
            </w:r>
            <w:proofErr w:type="spellStart"/>
            <w:r w:rsidR="001300EE">
              <w:rPr>
                <w:i/>
                <w:sz w:val="20"/>
                <w:szCs w:val="20"/>
              </w:rPr>
              <w:t>Bexsero</w:t>
            </w:r>
            <w:proofErr w:type="spellEnd"/>
            <w:r w:rsidR="001300EE">
              <w:rPr>
                <w:i/>
                <w:sz w:val="20"/>
                <w:szCs w:val="20"/>
              </w:rPr>
              <w:t>.</w:t>
            </w:r>
          </w:p>
        </w:tc>
        <w:tc>
          <w:tcPr>
            <w:tcW w:w="1333" w:type="pct"/>
            <w:noWrap/>
          </w:tcPr>
          <w:p w:rsidR="009609F9" w:rsidRPr="002629A2" w:rsidRDefault="009609F9" w:rsidP="002629A2">
            <w:pPr>
              <w:spacing w:before="0" w:after="0"/>
              <w:ind w:left="0" w:right="0"/>
              <w:rPr>
                <w:sz w:val="20"/>
                <w:szCs w:val="20"/>
              </w:rPr>
            </w:pPr>
            <w:r w:rsidRPr="002629A2">
              <w:rPr>
                <w:sz w:val="20"/>
                <w:szCs w:val="20"/>
              </w:rPr>
              <w:t xml:space="preserve">It is recommended that details of the education programme including education materials should be provided to and agreed with </w:t>
            </w:r>
            <w:r w:rsidR="002629A2" w:rsidRPr="002629A2">
              <w:rPr>
                <w:sz w:val="20"/>
                <w:szCs w:val="20"/>
              </w:rPr>
              <w:t xml:space="preserve">the TGA prior to registration. </w:t>
            </w:r>
            <w:r w:rsidRPr="002629A2">
              <w:rPr>
                <w:sz w:val="20"/>
                <w:szCs w:val="20"/>
              </w:rPr>
              <w:t>Otherwise it is recommended to the Delegate that provision of an education programme satisfactory to the TGA is included a</w:t>
            </w:r>
            <w:r w:rsidR="002629A2" w:rsidRPr="002629A2">
              <w:rPr>
                <w:sz w:val="20"/>
                <w:szCs w:val="20"/>
              </w:rPr>
              <w:t xml:space="preserve">s a condition of registration. </w:t>
            </w:r>
            <w:r w:rsidRPr="002629A2">
              <w:rPr>
                <w:sz w:val="20"/>
                <w:szCs w:val="20"/>
              </w:rPr>
              <w:t>The education programme may be referred to the Advisory Committee on the Safety of Vaccines (ACSOV) regarding its utility as an additional risk minimisation activity.</w:t>
            </w:r>
          </w:p>
        </w:tc>
      </w:tr>
      <w:tr w:rsidR="009609F9" w:rsidRPr="002629A2" w:rsidTr="002629A2">
        <w:tc>
          <w:tcPr>
            <w:tcW w:w="1781" w:type="pct"/>
            <w:noWrap/>
          </w:tcPr>
          <w:p w:rsidR="009609F9" w:rsidRPr="002629A2" w:rsidRDefault="009609F9" w:rsidP="00036ADA">
            <w:pPr>
              <w:spacing w:before="0" w:after="0"/>
              <w:ind w:left="0" w:right="0"/>
              <w:rPr>
                <w:sz w:val="20"/>
                <w:szCs w:val="20"/>
              </w:rPr>
            </w:pPr>
            <w:r w:rsidRPr="002629A2">
              <w:rPr>
                <w:sz w:val="20"/>
                <w:szCs w:val="20"/>
              </w:rPr>
              <w:t>The sponsor should confirm whether the ‘patient leaflet’ refers to the ‘consumer medicine informati</w:t>
            </w:r>
            <w:r w:rsidR="002629A2" w:rsidRPr="002629A2">
              <w:rPr>
                <w:sz w:val="20"/>
                <w:szCs w:val="20"/>
              </w:rPr>
              <w:t>on’ or another</w:t>
            </w:r>
            <w:r w:rsidR="008A2363">
              <w:rPr>
                <w:sz w:val="20"/>
                <w:szCs w:val="20"/>
              </w:rPr>
              <w:t>,</w:t>
            </w:r>
            <w:r w:rsidR="002629A2" w:rsidRPr="002629A2">
              <w:rPr>
                <w:sz w:val="20"/>
                <w:szCs w:val="20"/>
              </w:rPr>
              <w:t xml:space="preserve"> novel document. </w:t>
            </w:r>
            <w:r w:rsidRPr="002629A2">
              <w:rPr>
                <w:sz w:val="20"/>
                <w:szCs w:val="20"/>
              </w:rPr>
              <w:t xml:space="preserve">If it does refer to the </w:t>
            </w:r>
            <w:r w:rsidR="002629A2" w:rsidRPr="002629A2">
              <w:rPr>
                <w:sz w:val="20"/>
                <w:szCs w:val="20"/>
              </w:rPr>
              <w:t xml:space="preserve">CMI this should be made clear. </w:t>
            </w:r>
            <w:r w:rsidRPr="002629A2">
              <w:rPr>
                <w:sz w:val="20"/>
                <w:szCs w:val="20"/>
              </w:rPr>
              <w:t xml:space="preserve">It would be expected that some sort of patient/caregiver document such as that described in response </w:t>
            </w:r>
            <w:r w:rsidR="00036ADA" w:rsidRPr="002629A2">
              <w:rPr>
                <w:sz w:val="20"/>
                <w:szCs w:val="20"/>
              </w:rPr>
              <w:t xml:space="preserve">to the TGA request for information </w:t>
            </w:r>
            <w:r w:rsidRPr="002629A2">
              <w:rPr>
                <w:sz w:val="20"/>
                <w:szCs w:val="20"/>
              </w:rPr>
              <w:t>is included as part of the education program (discussed above).</w:t>
            </w:r>
          </w:p>
        </w:tc>
        <w:tc>
          <w:tcPr>
            <w:tcW w:w="1886" w:type="pct"/>
            <w:noWrap/>
          </w:tcPr>
          <w:p w:rsidR="009609F9" w:rsidRPr="002629A2" w:rsidRDefault="009609F9" w:rsidP="009609F9">
            <w:pPr>
              <w:spacing w:before="0" w:after="0"/>
              <w:ind w:left="0" w:right="0"/>
              <w:rPr>
                <w:i/>
                <w:sz w:val="20"/>
                <w:szCs w:val="20"/>
              </w:rPr>
            </w:pPr>
            <w:r w:rsidRPr="002629A2">
              <w:rPr>
                <w:i/>
                <w:sz w:val="20"/>
                <w:szCs w:val="20"/>
              </w:rPr>
              <w:t>Novartis confirm that the ‘patient leaflet’ does indeed refer to the ‘consumer medicine information’.</w:t>
            </w:r>
          </w:p>
        </w:tc>
        <w:tc>
          <w:tcPr>
            <w:tcW w:w="1333" w:type="pct"/>
            <w:noWrap/>
          </w:tcPr>
          <w:p w:rsidR="009609F9" w:rsidRPr="002629A2" w:rsidRDefault="009609F9" w:rsidP="009609F9">
            <w:pPr>
              <w:spacing w:before="0" w:after="0"/>
              <w:ind w:left="0" w:right="0"/>
              <w:rPr>
                <w:sz w:val="20"/>
                <w:szCs w:val="20"/>
              </w:rPr>
            </w:pPr>
            <w:r w:rsidRPr="002629A2">
              <w:rPr>
                <w:sz w:val="20"/>
                <w:szCs w:val="20"/>
              </w:rPr>
              <w:t>This is acceptable.</w:t>
            </w:r>
          </w:p>
        </w:tc>
      </w:tr>
      <w:tr w:rsidR="009609F9" w:rsidRPr="002629A2" w:rsidTr="002629A2">
        <w:trPr>
          <w:cantSplit/>
        </w:trPr>
        <w:tc>
          <w:tcPr>
            <w:tcW w:w="1781" w:type="pct"/>
            <w:noWrap/>
          </w:tcPr>
          <w:p w:rsidR="009609F9" w:rsidRPr="002629A2" w:rsidRDefault="009609F9" w:rsidP="003075F3">
            <w:pPr>
              <w:spacing w:before="0" w:after="0"/>
              <w:ind w:left="0" w:right="0"/>
              <w:rPr>
                <w:sz w:val="20"/>
                <w:szCs w:val="20"/>
              </w:rPr>
            </w:pPr>
            <w:r w:rsidRPr="002629A2">
              <w:rPr>
                <w:sz w:val="20"/>
                <w:szCs w:val="20"/>
              </w:rPr>
              <w:t>Several changes to the PI were recommended regarding the important identified risk ‘fever’ and important potential risk ‘febrile seizure’ as well as the prophylactic antipyretic statements</w:t>
            </w:r>
            <w:r w:rsidR="00333273" w:rsidRPr="002629A2">
              <w:rPr>
                <w:sz w:val="20"/>
                <w:szCs w:val="20"/>
              </w:rPr>
              <w:t>.</w:t>
            </w:r>
            <w:r w:rsidR="00036ADA" w:rsidRPr="002629A2">
              <w:rPr>
                <w:rStyle w:val="FootnoteReference"/>
                <w:sz w:val="20"/>
                <w:szCs w:val="20"/>
              </w:rPr>
              <w:footnoteReference w:id="35"/>
            </w:r>
          </w:p>
        </w:tc>
        <w:tc>
          <w:tcPr>
            <w:tcW w:w="1886" w:type="pct"/>
            <w:noWrap/>
          </w:tcPr>
          <w:p w:rsidR="009609F9" w:rsidRPr="002629A2" w:rsidRDefault="009609F9" w:rsidP="00036ADA">
            <w:pPr>
              <w:spacing w:before="0" w:after="0"/>
              <w:ind w:left="0" w:right="0"/>
              <w:rPr>
                <w:sz w:val="20"/>
                <w:szCs w:val="20"/>
              </w:rPr>
            </w:pPr>
            <w:r w:rsidRPr="002629A2">
              <w:rPr>
                <w:sz w:val="20"/>
                <w:szCs w:val="20"/>
              </w:rPr>
              <w:t xml:space="preserve">The sponsor’s response </w:t>
            </w:r>
            <w:r w:rsidR="00036ADA" w:rsidRPr="002629A2">
              <w:rPr>
                <w:sz w:val="20"/>
                <w:szCs w:val="20"/>
              </w:rPr>
              <w:t>included discussion of each recommended revision</w:t>
            </w:r>
            <w:r w:rsidR="001300EE">
              <w:rPr>
                <w:sz w:val="20"/>
                <w:szCs w:val="20"/>
              </w:rPr>
              <w:t>.</w:t>
            </w:r>
          </w:p>
        </w:tc>
        <w:tc>
          <w:tcPr>
            <w:tcW w:w="1333" w:type="pct"/>
            <w:noWrap/>
          </w:tcPr>
          <w:p w:rsidR="009609F9" w:rsidRPr="002629A2" w:rsidRDefault="009609F9" w:rsidP="00036ADA">
            <w:pPr>
              <w:spacing w:before="0" w:after="0"/>
              <w:ind w:left="0" w:right="0"/>
              <w:rPr>
                <w:sz w:val="20"/>
                <w:szCs w:val="20"/>
              </w:rPr>
            </w:pPr>
            <w:r w:rsidRPr="002629A2">
              <w:rPr>
                <w:sz w:val="20"/>
                <w:szCs w:val="20"/>
              </w:rPr>
              <w:t>The evaluator’s comment</w:t>
            </w:r>
            <w:r w:rsidR="00036ADA" w:rsidRPr="002629A2">
              <w:rPr>
                <w:sz w:val="20"/>
                <w:szCs w:val="20"/>
              </w:rPr>
              <w:t>s</w:t>
            </w:r>
            <w:r w:rsidRPr="002629A2">
              <w:rPr>
                <w:sz w:val="20"/>
                <w:szCs w:val="20"/>
              </w:rPr>
              <w:t xml:space="preserve"> regarding the sponsor’s response to each PI recommendation </w:t>
            </w:r>
            <w:r w:rsidR="00036ADA" w:rsidRPr="002629A2">
              <w:rPr>
                <w:sz w:val="20"/>
                <w:szCs w:val="20"/>
              </w:rPr>
              <w:t>were conveyed to the Delegate.</w:t>
            </w:r>
          </w:p>
        </w:tc>
      </w:tr>
    </w:tbl>
    <w:p w:rsidR="009609F9" w:rsidRDefault="009609F9" w:rsidP="008E7846">
      <w:pPr>
        <w:rPr>
          <w:lang w:eastAsia="en-AU"/>
        </w:rPr>
        <w:sectPr w:rsidR="009609F9" w:rsidSect="009609F9">
          <w:footerReference w:type="default" r:id="rId25"/>
          <w:pgSz w:w="16838" w:h="11906" w:orient="landscape" w:code="9"/>
          <w:pgMar w:top="1701" w:right="834" w:bottom="1701" w:left="1191" w:header="907" w:footer="216" w:gutter="0"/>
          <w:cols w:space="708"/>
          <w:docGrid w:linePitch="360"/>
        </w:sectPr>
      </w:pPr>
    </w:p>
    <w:p w:rsidR="005F4DE8" w:rsidRPr="00036ADA" w:rsidRDefault="005F4DE8" w:rsidP="00036ADA">
      <w:pPr>
        <w:pStyle w:val="Heading4"/>
      </w:pPr>
      <w:r w:rsidRPr="00036ADA">
        <w:lastRenderedPageBreak/>
        <w:t>Outstanding issues</w:t>
      </w:r>
    </w:p>
    <w:p w:rsidR="005F4DE8" w:rsidRPr="00036ADA" w:rsidRDefault="001300EE" w:rsidP="00036ADA">
      <w:pPr>
        <w:pStyle w:val="Heading5"/>
      </w:pPr>
      <w:r>
        <w:t>Issues in relation to the RMP</w:t>
      </w:r>
    </w:p>
    <w:p w:rsidR="005F4DE8" w:rsidRPr="00036ADA" w:rsidRDefault="005F4DE8" w:rsidP="00036ADA">
      <w:r w:rsidRPr="00036ADA">
        <w:t>The sponsor has agreed to formulate and imp</w:t>
      </w:r>
      <w:r w:rsidR="00036ADA">
        <w:t xml:space="preserve">lement an education programme. </w:t>
      </w:r>
      <w:r w:rsidRPr="00036ADA">
        <w:t xml:space="preserve">The educational materials and other details of the education programme should be provided </w:t>
      </w:r>
      <w:r w:rsidR="00036ADA">
        <w:t xml:space="preserve">to and agreed with the TGA. </w:t>
      </w:r>
      <w:r w:rsidRPr="00036ADA">
        <w:t>This s</w:t>
      </w:r>
      <w:r w:rsidR="00036ADA">
        <w:t xml:space="preserve">hould occur prior to approval. </w:t>
      </w:r>
      <w:r w:rsidRPr="00036ADA">
        <w:t>Otherwise it is recommended to the Delegate that this be made a condition of registration for this product.</w:t>
      </w:r>
    </w:p>
    <w:p w:rsidR="005F4DE8" w:rsidRPr="00036ADA" w:rsidRDefault="005F4DE8" w:rsidP="00036ADA">
      <w:r w:rsidRPr="00036ADA">
        <w:t>The additional pharmacovigilance activities are entirely dependent the inclusion of Bexsero into a National Immunisation Program (NIP). Currently the location and commencement of these studies remains hypothetical. The sponsor should regularly update the TGA of the progress of the implementation of t</w:t>
      </w:r>
      <w:r w:rsidR="00036ADA">
        <w:t xml:space="preserve">he pharmacovigilance plan. </w:t>
      </w:r>
      <w:r w:rsidRPr="00036ADA">
        <w:t>It is recommended that if the proposed studies do not commence within 12 months of approval a contingency pharmacovigilance plan should be provided to and agreed with the TGA.</w:t>
      </w:r>
    </w:p>
    <w:p w:rsidR="005F4DE8" w:rsidRPr="00036ADA" w:rsidRDefault="005F4DE8" w:rsidP="00036ADA">
      <w:r w:rsidRPr="00036ADA">
        <w:t>Regarding routine risk minimisation, the evaluator has recommended PI changes relating to the important identified risk ‘fever’ and important pot</w:t>
      </w:r>
      <w:r w:rsidR="00036ADA">
        <w:t xml:space="preserve">ential risk ‘febrile seizure’. </w:t>
      </w:r>
      <w:r w:rsidRPr="00036ADA">
        <w:t>These recommendations are maintained from the RMP evaluation report.</w:t>
      </w:r>
    </w:p>
    <w:p w:rsidR="005F4DE8" w:rsidRPr="00036ADA" w:rsidRDefault="005F4DE8" w:rsidP="00036ADA">
      <w:pPr>
        <w:pStyle w:val="Heading4"/>
      </w:pPr>
      <w:r w:rsidRPr="00036ADA">
        <w:t>Advice from the Advisory Committee on the Safety of Medicines (ACSOM)</w:t>
      </w:r>
    </w:p>
    <w:p w:rsidR="005F4DE8" w:rsidRPr="005F4DE8" w:rsidRDefault="005F4DE8" w:rsidP="005F4DE8">
      <w:pPr>
        <w:rPr>
          <w:lang w:eastAsia="en-AU"/>
        </w:rPr>
      </w:pPr>
      <w:r w:rsidRPr="005F4DE8">
        <w:rPr>
          <w:lang w:eastAsia="en-AU"/>
        </w:rPr>
        <w:t>ACSOM advice was sought for this submission and was incorporated into the RMP evaluation report.</w:t>
      </w:r>
    </w:p>
    <w:p w:rsidR="005F4DE8" w:rsidRPr="00036ADA" w:rsidRDefault="001300EE" w:rsidP="001300EE">
      <w:pPr>
        <w:pStyle w:val="Heading4"/>
      </w:pPr>
      <w:r>
        <w:t>Key changes to the updated RMP</w:t>
      </w:r>
    </w:p>
    <w:p w:rsidR="005F4DE8" w:rsidRDefault="005F4DE8" w:rsidP="00036ADA">
      <w:r w:rsidRPr="00036ADA">
        <w:t xml:space="preserve">In their response to the RMP evaluation report the sponsor provided an updated RMP (version 4, data lock point 1 September 2012, release date 12 November 2012) and </w:t>
      </w:r>
      <w:r w:rsidR="00036ADA">
        <w:t xml:space="preserve">ASA (dated 6 May 2013). </w:t>
      </w:r>
      <w:r w:rsidRPr="00036ADA">
        <w:t xml:space="preserve">According to the sponsor the following changes </w:t>
      </w:r>
      <w:r w:rsidR="008A2363">
        <w:t xml:space="preserve">were </w:t>
      </w:r>
      <w:r w:rsidRPr="00036ADA">
        <w:t>made in the updated version:</w:t>
      </w:r>
    </w:p>
    <w:p w:rsidR="00CE4C1F" w:rsidRPr="00036ADA" w:rsidRDefault="00CE4C1F" w:rsidP="001300EE">
      <w:pPr>
        <w:pStyle w:val="TableTitle"/>
      </w:pPr>
      <w:proofErr w:type="gramStart"/>
      <w:r>
        <w:t xml:space="preserve">Table </w:t>
      </w:r>
      <w:r w:rsidR="001D7C7D">
        <w:t>10</w:t>
      </w:r>
      <w:r>
        <w:t>.</w:t>
      </w:r>
      <w:proofErr w:type="gramEnd"/>
      <w:r>
        <w:t xml:space="preserve"> </w:t>
      </w:r>
      <w:r w:rsidR="008A2363">
        <w:t xml:space="preserve">RMP version 4 updates from version 2.0 </w:t>
      </w:r>
    </w:p>
    <w:tbl>
      <w:tblPr>
        <w:tblStyle w:val="TableTGAblue"/>
        <w:tblW w:w="0" w:type="auto"/>
        <w:tblInd w:w="108" w:type="dxa"/>
        <w:tblLook w:val="04A0"/>
      </w:tblPr>
      <w:tblGrid>
        <w:gridCol w:w="1976"/>
        <w:gridCol w:w="6518"/>
      </w:tblGrid>
      <w:tr w:rsidR="005F4DE8" w:rsidRPr="00CE4C1F" w:rsidTr="00F438C5">
        <w:trPr>
          <w:cnfStyle w:val="100000000000"/>
          <w:trHeight w:val="270"/>
        </w:trPr>
        <w:tc>
          <w:tcPr>
            <w:tcW w:w="1868" w:type="dxa"/>
            <w:tcBorders>
              <w:right w:val="single" w:sz="8" w:space="0" w:color="000000" w:themeColor="text1"/>
            </w:tcBorders>
            <w:shd w:val="clear" w:color="auto" w:fill="0070B5" w:themeFill="accent1" w:themeFillTint="BF"/>
            <w:hideMark/>
          </w:tcPr>
          <w:p w:rsidR="005F4DE8" w:rsidRPr="002371BE" w:rsidRDefault="005F4DE8" w:rsidP="00036ADA">
            <w:pPr>
              <w:spacing w:before="0" w:after="0"/>
              <w:ind w:left="0" w:right="0"/>
              <w:rPr>
                <w:bCs/>
                <w:sz w:val="20"/>
                <w:szCs w:val="20"/>
              </w:rPr>
            </w:pPr>
            <w:r w:rsidRPr="002371BE">
              <w:rPr>
                <w:bCs/>
                <w:sz w:val="20"/>
                <w:szCs w:val="20"/>
              </w:rPr>
              <w:t>Safety specification</w:t>
            </w:r>
          </w:p>
        </w:tc>
        <w:tc>
          <w:tcPr>
            <w:tcW w:w="6518" w:type="dxa"/>
            <w:tcBorders>
              <w:left w:val="single" w:sz="8" w:space="0" w:color="000000" w:themeColor="text1"/>
            </w:tcBorders>
            <w:shd w:val="clear" w:color="auto" w:fill="auto"/>
            <w:hideMark/>
          </w:tcPr>
          <w:p w:rsidR="005F4DE8" w:rsidRPr="00CE4C1F" w:rsidRDefault="005F4DE8" w:rsidP="00036ADA">
            <w:pPr>
              <w:spacing w:before="0" w:after="0"/>
              <w:ind w:left="0" w:right="0"/>
              <w:rPr>
                <w:b w:val="0"/>
                <w:bCs/>
                <w:color w:val="auto"/>
                <w:sz w:val="20"/>
                <w:szCs w:val="20"/>
              </w:rPr>
            </w:pPr>
            <w:r w:rsidRPr="00CE4C1F">
              <w:rPr>
                <w:b w:val="0"/>
                <w:bCs/>
                <w:color w:val="auto"/>
                <w:sz w:val="20"/>
                <w:szCs w:val="20"/>
              </w:rPr>
              <w:t>Clinical trial exposure data was upd</w:t>
            </w:r>
            <w:r w:rsidR="00036ADA" w:rsidRPr="00CE4C1F">
              <w:rPr>
                <w:b w:val="0"/>
                <w:bCs/>
                <w:color w:val="auto"/>
                <w:sz w:val="20"/>
                <w:szCs w:val="20"/>
              </w:rPr>
              <w:t xml:space="preserve">ated through 1 September 2012. </w:t>
            </w:r>
            <w:r w:rsidRPr="00CE4C1F">
              <w:rPr>
                <w:b w:val="0"/>
                <w:bCs/>
                <w:color w:val="auto"/>
                <w:sz w:val="20"/>
                <w:szCs w:val="20"/>
              </w:rPr>
              <w:t xml:space="preserve">The total number of subjects who received at least </w:t>
            </w:r>
            <w:r w:rsidR="003805DF">
              <w:rPr>
                <w:b w:val="0"/>
                <w:bCs/>
                <w:color w:val="auto"/>
                <w:sz w:val="20"/>
                <w:szCs w:val="20"/>
              </w:rPr>
              <w:t>1</w:t>
            </w:r>
            <w:r w:rsidRPr="00CE4C1F">
              <w:rPr>
                <w:b w:val="0"/>
                <w:bCs/>
                <w:color w:val="auto"/>
                <w:sz w:val="20"/>
                <w:szCs w:val="20"/>
              </w:rPr>
              <w:t xml:space="preserve"> dos</w:t>
            </w:r>
            <w:r w:rsidR="001300EE">
              <w:rPr>
                <w:b w:val="0"/>
                <w:bCs/>
                <w:color w:val="auto"/>
                <w:sz w:val="20"/>
                <w:szCs w:val="20"/>
              </w:rPr>
              <w:t xml:space="preserve">e of </w:t>
            </w:r>
            <w:proofErr w:type="spellStart"/>
            <w:r w:rsidR="001300EE">
              <w:rPr>
                <w:b w:val="0"/>
                <w:bCs/>
                <w:color w:val="auto"/>
                <w:sz w:val="20"/>
                <w:szCs w:val="20"/>
              </w:rPr>
              <w:t>Bexsero</w:t>
            </w:r>
            <w:proofErr w:type="spellEnd"/>
            <w:r w:rsidR="001300EE">
              <w:rPr>
                <w:b w:val="0"/>
                <w:bCs/>
                <w:color w:val="auto"/>
                <w:sz w:val="20"/>
                <w:szCs w:val="20"/>
              </w:rPr>
              <w:t xml:space="preserve"> increased to 7812.</w:t>
            </w:r>
          </w:p>
          <w:p w:rsidR="005F4DE8" w:rsidRPr="00CE4C1F" w:rsidRDefault="005F4DE8" w:rsidP="00036ADA">
            <w:pPr>
              <w:spacing w:before="0" w:after="0"/>
              <w:ind w:left="0" w:right="0"/>
              <w:rPr>
                <w:b w:val="0"/>
                <w:bCs/>
                <w:color w:val="auto"/>
                <w:sz w:val="20"/>
                <w:szCs w:val="20"/>
              </w:rPr>
            </w:pPr>
            <w:r w:rsidRPr="00CE4C1F">
              <w:rPr>
                <w:b w:val="0"/>
                <w:bCs/>
                <w:color w:val="auto"/>
                <w:sz w:val="20"/>
                <w:szCs w:val="20"/>
              </w:rPr>
              <w:t xml:space="preserve">The following potential risks were added: </w:t>
            </w:r>
          </w:p>
          <w:p w:rsidR="005F4DE8" w:rsidRPr="00CE4C1F" w:rsidRDefault="005F4DE8" w:rsidP="00036ADA">
            <w:pPr>
              <w:pStyle w:val="ListBullet"/>
              <w:spacing w:before="0" w:after="0"/>
              <w:ind w:left="357" w:hanging="357"/>
              <w:rPr>
                <w:b w:val="0"/>
                <w:bCs/>
                <w:color w:val="auto"/>
                <w:sz w:val="20"/>
                <w:szCs w:val="20"/>
              </w:rPr>
            </w:pPr>
            <w:r w:rsidRPr="00CE4C1F">
              <w:rPr>
                <w:b w:val="0"/>
                <w:bCs/>
                <w:color w:val="auto"/>
                <w:sz w:val="20"/>
                <w:szCs w:val="20"/>
              </w:rPr>
              <w:t>OMV and aluminium risk</w:t>
            </w:r>
          </w:p>
          <w:p w:rsidR="005F4DE8" w:rsidRPr="00CE4C1F" w:rsidRDefault="005F4DE8" w:rsidP="00036ADA">
            <w:pPr>
              <w:pStyle w:val="ListBullet"/>
              <w:spacing w:before="0" w:after="0"/>
              <w:ind w:left="357" w:hanging="357"/>
              <w:rPr>
                <w:b w:val="0"/>
                <w:bCs/>
                <w:color w:val="auto"/>
                <w:sz w:val="20"/>
                <w:szCs w:val="20"/>
              </w:rPr>
            </w:pPr>
            <w:r w:rsidRPr="00CE4C1F">
              <w:rPr>
                <w:b w:val="0"/>
                <w:bCs/>
                <w:color w:val="auto"/>
                <w:sz w:val="20"/>
                <w:szCs w:val="20"/>
              </w:rPr>
              <w:t>Decrease of immunogenicity secondary to use of paracetamol and other antipyretics.</w:t>
            </w:r>
          </w:p>
          <w:p w:rsidR="005F4DE8" w:rsidRPr="00CE4C1F" w:rsidRDefault="005F4DE8" w:rsidP="00036ADA">
            <w:pPr>
              <w:spacing w:before="0" w:after="0"/>
              <w:ind w:left="0" w:right="0"/>
              <w:rPr>
                <w:b w:val="0"/>
                <w:bCs/>
                <w:color w:val="auto"/>
                <w:sz w:val="20"/>
                <w:szCs w:val="20"/>
              </w:rPr>
            </w:pPr>
            <w:r w:rsidRPr="00CE4C1F">
              <w:rPr>
                <w:b w:val="0"/>
                <w:bCs/>
                <w:color w:val="auto"/>
                <w:sz w:val="20"/>
                <w:szCs w:val="20"/>
              </w:rPr>
              <w:t>The following important missing information was added:</w:t>
            </w:r>
          </w:p>
          <w:p w:rsidR="005F4DE8" w:rsidRPr="00CE4C1F" w:rsidRDefault="005F4DE8" w:rsidP="00036ADA">
            <w:pPr>
              <w:pStyle w:val="ListBullet"/>
              <w:spacing w:before="0" w:after="0" w:line="240" w:lineRule="auto"/>
              <w:ind w:left="357" w:hanging="357"/>
              <w:rPr>
                <w:b w:val="0"/>
                <w:bCs/>
                <w:color w:val="auto"/>
                <w:sz w:val="20"/>
                <w:szCs w:val="20"/>
              </w:rPr>
            </w:pPr>
            <w:r w:rsidRPr="00CE4C1F">
              <w:rPr>
                <w:b w:val="0"/>
                <w:bCs/>
                <w:color w:val="auto"/>
                <w:sz w:val="20"/>
                <w:szCs w:val="20"/>
              </w:rPr>
              <w:t>Elderly subjects</w:t>
            </w:r>
          </w:p>
          <w:p w:rsidR="005F4DE8" w:rsidRPr="00CE4C1F" w:rsidRDefault="005F4DE8" w:rsidP="00036ADA">
            <w:pPr>
              <w:pStyle w:val="ListBullet"/>
              <w:spacing w:before="0" w:after="0" w:line="240" w:lineRule="auto"/>
              <w:ind w:left="357" w:hanging="357"/>
              <w:rPr>
                <w:b w:val="0"/>
                <w:bCs/>
                <w:color w:val="auto"/>
                <w:sz w:val="20"/>
                <w:szCs w:val="20"/>
              </w:rPr>
            </w:pPr>
            <w:proofErr w:type="spellStart"/>
            <w:r w:rsidRPr="00CE4C1F">
              <w:rPr>
                <w:b w:val="0"/>
                <w:bCs/>
                <w:color w:val="auto"/>
                <w:sz w:val="20"/>
                <w:szCs w:val="20"/>
              </w:rPr>
              <w:t>Immunocompromised</w:t>
            </w:r>
            <w:proofErr w:type="spellEnd"/>
            <w:r w:rsidRPr="00CE4C1F">
              <w:rPr>
                <w:b w:val="0"/>
                <w:bCs/>
                <w:color w:val="auto"/>
                <w:sz w:val="20"/>
                <w:szCs w:val="20"/>
              </w:rPr>
              <w:t xml:space="preserve"> subjects</w:t>
            </w:r>
          </w:p>
          <w:p w:rsidR="005F4DE8" w:rsidRPr="00CE4C1F" w:rsidRDefault="005F4DE8" w:rsidP="00036ADA">
            <w:pPr>
              <w:pStyle w:val="ListBullet"/>
              <w:spacing w:before="0" w:after="0" w:line="240" w:lineRule="auto"/>
              <w:ind w:left="357" w:hanging="357"/>
              <w:rPr>
                <w:b w:val="0"/>
                <w:bCs/>
                <w:color w:val="auto"/>
                <w:sz w:val="20"/>
                <w:szCs w:val="20"/>
              </w:rPr>
            </w:pPr>
            <w:r w:rsidRPr="00CE4C1F">
              <w:rPr>
                <w:b w:val="0"/>
                <w:bCs/>
                <w:color w:val="auto"/>
                <w:sz w:val="20"/>
                <w:szCs w:val="20"/>
              </w:rPr>
              <w:t>Chronic medical condition patients</w:t>
            </w:r>
          </w:p>
          <w:p w:rsidR="00DE72F0" w:rsidRPr="00CE4C1F" w:rsidRDefault="005F4DE8" w:rsidP="00036ADA">
            <w:pPr>
              <w:pStyle w:val="ListBullet"/>
              <w:spacing w:before="0" w:after="0" w:line="240" w:lineRule="auto"/>
              <w:ind w:left="357" w:hanging="357"/>
              <w:rPr>
                <w:b w:val="0"/>
                <w:bCs/>
                <w:color w:val="auto"/>
              </w:rPr>
            </w:pPr>
            <w:r w:rsidRPr="00CE4C1F">
              <w:rPr>
                <w:b w:val="0"/>
                <w:bCs/>
                <w:color w:val="auto"/>
                <w:sz w:val="20"/>
                <w:szCs w:val="20"/>
              </w:rPr>
              <w:t>Compliance in adolescent and young adult</w:t>
            </w:r>
          </w:p>
        </w:tc>
      </w:tr>
      <w:tr w:rsidR="005F4DE8" w:rsidRPr="00036ADA" w:rsidTr="00F438C5">
        <w:trPr>
          <w:trHeight w:val="524"/>
        </w:trPr>
        <w:tc>
          <w:tcPr>
            <w:tcW w:w="1868" w:type="dxa"/>
            <w:shd w:val="clear" w:color="auto" w:fill="0070B5" w:themeFill="accent1" w:themeFillTint="BF"/>
            <w:hideMark/>
          </w:tcPr>
          <w:p w:rsidR="005F4DE8" w:rsidRPr="002371BE" w:rsidRDefault="005F4DE8" w:rsidP="00036ADA">
            <w:pPr>
              <w:spacing w:before="0" w:after="0"/>
              <w:ind w:left="0" w:right="0"/>
              <w:rPr>
                <w:b/>
                <w:color w:val="FFFFFF" w:themeColor="background1"/>
                <w:sz w:val="20"/>
                <w:szCs w:val="20"/>
              </w:rPr>
            </w:pPr>
            <w:r w:rsidRPr="002371BE">
              <w:rPr>
                <w:b/>
                <w:color w:val="FFFFFF" w:themeColor="background1"/>
                <w:sz w:val="20"/>
                <w:szCs w:val="20"/>
              </w:rPr>
              <w:t>Pharmacovigilance activities</w:t>
            </w:r>
          </w:p>
        </w:tc>
        <w:tc>
          <w:tcPr>
            <w:tcW w:w="6518" w:type="dxa"/>
            <w:hideMark/>
          </w:tcPr>
          <w:p w:rsidR="005F4DE8" w:rsidRPr="00036ADA" w:rsidRDefault="005F4DE8" w:rsidP="00036ADA">
            <w:pPr>
              <w:spacing w:before="0" w:after="0"/>
              <w:ind w:left="0" w:right="0"/>
              <w:rPr>
                <w:sz w:val="20"/>
                <w:szCs w:val="20"/>
              </w:rPr>
            </w:pPr>
            <w:r w:rsidRPr="00036ADA">
              <w:rPr>
                <w:sz w:val="20"/>
                <w:szCs w:val="20"/>
              </w:rPr>
              <w:t>Nil significant change</w:t>
            </w:r>
          </w:p>
        </w:tc>
      </w:tr>
      <w:tr w:rsidR="005F4DE8" w:rsidRPr="00036ADA" w:rsidTr="00F438C5">
        <w:trPr>
          <w:trHeight w:val="524"/>
        </w:trPr>
        <w:tc>
          <w:tcPr>
            <w:tcW w:w="1868" w:type="dxa"/>
            <w:shd w:val="clear" w:color="auto" w:fill="0070B5" w:themeFill="accent1" w:themeFillTint="BF"/>
            <w:hideMark/>
          </w:tcPr>
          <w:p w:rsidR="005F4DE8" w:rsidRPr="002371BE" w:rsidRDefault="005F4DE8" w:rsidP="00036ADA">
            <w:pPr>
              <w:spacing w:before="0" w:after="0"/>
              <w:ind w:left="0" w:right="0"/>
              <w:rPr>
                <w:b/>
                <w:color w:val="FFFFFF" w:themeColor="background1"/>
                <w:sz w:val="20"/>
                <w:szCs w:val="20"/>
              </w:rPr>
            </w:pPr>
            <w:r w:rsidRPr="002371BE">
              <w:rPr>
                <w:b/>
                <w:color w:val="FFFFFF" w:themeColor="background1"/>
                <w:sz w:val="20"/>
                <w:szCs w:val="20"/>
              </w:rPr>
              <w:t>Risk minimisation activities</w:t>
            </w:r>
          </w:p>
        </w:tc>
        <w:tc>
          <w:tcPr>
            <w:tcW w:w="6518" w:type="dxa"/>
            <w:hideMark/>
          </w:tcPr>
          <w:p w:rsidR="005F4DE8" w:rsidRPr="00036ADA" w:rsidRDefault="005F4DE8" w:rsidP="00036ADA">
            <w:pPr>
              <w:spacing w:before="0" w:after="0"/>
              <w:ind w:left="0" w:right="0"/>
              <w:rPr>
                <w:sz w:val="20"/>
                <w:szCs w:val="20"/>
              </w:rPr>
            </w:pPr>
            <w:r w:rsidRPr="00036ADA">
              <w:rPr>
                <w:sz w:val="20"/>
                <w:szCs w:val="20"/>
              </w:rPr>
              <w:t>Nil significant change</w:t>
            </w:r>
          </w:p>
        </w:tc>
      </w:tr>
    </w:tbl>
    <w:p w:rsidR="005F4DE8" w:rsidRPr="005F4DE8" w:rsidRDefault="005F4DE8" w:rsidP="001300EE">
      <w:pPr>
        <w:pStyle w:val="Heading5"/>
        <w:rPr>
          <w:lang w:eastAsia="en-AU"/>
        </w:rPr>
      </w:pPr>
      <w:r w:rsidRPr="005F4DE8">
        <w:rPr>
          <w:lang w:eastAsia="en-AU"/>
        </w:rPr>
        <w:t>OPR Evaluator’s comments:</w:t>
      </w:r>
    </w:p>
    <w:p w:rsidR="005F4DE8" w:rsidRPr="005F4DE8" w:rsidRDefault="005F4DE8" w:rsidP="005F4DE8">
      <w:pPr>
        <w:rPr>
          <w:lang w:eastAsia="en-AU"/>
        </w:rPr>
      </w:pPr>
      <w:r w:rsidRPr="005F4DE8">
        <w:rPr>
          <w:lang w:eastAsia="en-AU"/>
        </w:rPr>
        <w:t xml:space="preserve">Version 4 of the EU-RMP is the version that was accepted by the EMA at </w:t>
      </w:r>
      <w:r w:rsidR="001300EE">
        <w:rPr>
          <w:lang w:eastAsia="en-AU"/>
        </w:rPr>
        <w:t>the time of approval in the EU.</w:t>
      </w:r>
    </w:p>
    <w:p w:rsidR="005F4DE8" w:rsidRDefault="005F4DE8" w:rsidP="005F4DE8">
      <w:pPr>
        <w:rPr>
          <w:lang w:eastAsia="en-AU"/>
        </w:rPr>
      </w:pPr>
      <w:r w:rsidRPr="005F4DE8">
        <w:rPr>
          <w:lang w:eastAsia="en-AU"/>
        </w:rPr>
        <w:lastRenderedPageBreak/>
        <w:t>According to the sponsor ‘OMV and aluminium risk’ has been added as an important potential risk. Although it is discuss</w:t>
      </w:r>
      <w:r w:rsidR="00A46F38">
        <w:rPr>
          <w:lang w:eastAsia="en-AU"/>
        </w:rPr>
        <w:t xml:space="preserve">ed in the safety specification </w:t>
      </w:r>
      <w:r w:rsidRPr="005F4DE8">
        <w:rPr>
          <w:lang w:eastAsia="en-AU"/>
        </w:rPr>
        <w:t>it does not appear in the summary of ongoing safety concerns in the EU-RMP; this should be amended.</w:t>
      </w:r>
    </w:p>
    <w:p w:rsidR="00A46F38" w:rsidRDefault="00A46F38" w:rsidP="001300EE">
      <w:pPr>
        <w:pStyle w:val="Heading4"/>
        <w:rPr>
          <w:lang w:eastAsia="en-AU"/>
        </w:rPr>
      </w:pPr>
      <w:r>
        <w:rPr>
          <w:lang w:eastAsia="en-AU"/>
        </w:rPr>
        <w:t>Summary of recommendations</w:t>
      </w:r>
    </w:p>
    <w:p w:rsidR="005F4DE8" w:rsidRPr="00A46F38" w:rsidRDefault="00A46F38" w:rsidP="00A46F38">
      <w:r>
        <w:t xml:space="preserve">If approved, the OPR recommended </w:t>
      </w:r>
      <w:r w:rsidR="00CE4C1F">
        <w:t>the following</w:t>
      </w:r>
      <w:r w:rsidR="001300EE">
        <w:t>:</w:t>
      </w:r>
    </w:p>
    <w:p w:rsidR="005F4DE8" w:rsidRPr="005F4DE8" w:rsidRDefault="005F4DE8" w:rsidP="00A46F38">
      <w:pPr>
        <w:pStyle w:val="ListBullet"/>
        <w:rPr>
          <w:lang w:eastAsia="en-AU"/>
        </w:rPr>
      </w:pPr>
      <w:r w:rsidRPr="005F4DE8">
        <w:rPr>
          <w:lang w:eastAsia="en-AU"/>
        </w:rPr>
        <w:t>Implement Bexsero EU-RMP (version 4, data lock point 1 September 2012, release date 12 November 2012) with Australian Specific Annex (dated 6 May 2013) and any future updates as a condition of registration.</w:t>
      </w:r>
    </w:p>
    <w:p w:rsidR="005F4DE8" w:rsidRPr="005F4DE8" w:rsidRDefault="005F4DE8" w:rsidP="00A46F38">
      <w:pPr>
        <w:pStyle w:val="ListBullet"/>
        <w:rPr>
          <w:lang w:eastAsia="en-AU"/>
        </w:rPr>
      </w:pPr>
      <w:r w:rsidRPr="005F4DE8">
        <w:rPr>
          <w:lang w:eastAsia="en-AU"/>
        </w:rPr>
        <w:t>Conditions of registration regarding the education programme and additional pharmacovigilance activities may also be considered (see above).</w:t>
      </w:r>
    </w:p>
    <w:p w:rsidR="005F4DE8" w:rsidRPr="005F4DE8" w:rsidRDefault="00CE4C1F" w:rsidP="00A46F38">
      <w:pPr>
        <w:pStyle w:val="ListBullet"/>
        <w:rPr>
          <w:lang w:eastAsia="en-AU"/>
        </w:rPr>
      </w:pPr>
      <w:r w:rsidRPr="00CE4C1F">
        <w:rPr>
          <w:lang w:eastAsia="en-AU"/>
        </w:rPr>
        <w:t xml:space="preserve">Implement </w:t>
      </w:r>
      <w:r>
        <w:rPr>
          <w:lang w:eastAsia="en-AU"/>
        </w:rPr>
        <w:t>c</w:t>
      </w:r>
      <w:r w:rsidR="00A46F38">
        <w:rPr>
          <w:lang w:eastAsia="en-AU"/>
        </w:rPr>
        <w:t xml:space="preserve">onditions of registration regarding the provision of </w:t>
      </w:r>
      <w:r w:rsidR="005F4DE8" w:rsidRPr="005F4DE8">
        <w:rPr>
          <w:lang w:eastAsia="en-AU"/>
        </w:rPr>
        <w:t>P</w:t>
      </w:r>
      <w:r w:rsidR="00A46F38">
        <w:rPr>
          <w:lang w:eastAsia="en-AU"/>
        </w:rPr>
        <w:t xml:space="preserve">eriodic </w:t>
      </w:r>
      <w:r w:rsidR="005F4DE8" w:rsidRPr="005F4DE8">
        <w:rPr>
          <w:lang w:eastAsia="en-AU"/>
        </w:rPr>
        <w:t>S</w:t>
      </w:r>
      <w:r w:rsidR="00A46F38">
        <w:rPr>
          <w:lang w:eastAsia="en-AU"/>
        </w:rPr>
        <w:t xml:space="preserve">afety </w:t>
      </w:r>
      <w:r w:rsidR="005F4DE8" w:rsidRPr="005F4DE8">
        <w:rPr>
          <w:lang w:eastAsia="en-AU"/>
        </w:rPr>
        <w:t>U</w:t>
      </w:r>
      <w:r w:rsidR="00A46F38">
        <w:rPr>
          <w:lang w:eastAsia="en-AU"/>
        </w:rPr>
        <w:t xml:space="preserve">pdate </w:t>
      </w:r>
      <w:r w:rsidR="005F4DE8" w:rsidRPr="005F4DE8">
        <w:rPr>
          <w:lang w:eastAsia="en-AU"/>
        </w:rPr>
        <w:t>R</w:t>
      </w:r>
      <w:r w:rsidR="00A46F38">
        <w:rPr>
          <w:lang w:eastAsia="en-AU"/>
        </w:rPr>
        <w:t>eports</w:t>
      </w:r>
      <w:r w:rsidR="0028412C">
        <w:rPr>
          <w:lang w:eastAsia="en-AU"/>
        </w:rPr>
        <w:t>.</w:t>
      </w:r>
    </w:p>
    <w:p w:rsidR="008E7846" w:rsidRPr="00792A32" w:rsidRDefault="008E7846" w:rsidP="008E7846">
      <w:pPr>
        <w:pStyle w:val="Heading2"/>
      </w:pPr>
      <w:bookmarkStart w:id="218" w:name="_Toc247691527"/>
      <w:bookmarkStart w:id="219" w:name="_Toc314842510"/>
      <w:bookmarkStart w:id="220" w:name="_Toc370985742"/>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207"/>
      <w:bookmarkEnd w:id="218"/>
      <w:bookmarkEnd w:id="219"/>
      <w:bookmarkEnd w:id="220"/>
    </w:p>
    <w:p w:rsidR="008E7846" w:rsidRDefault="008E7846" w:rsidP="008E7846">
      <w:bookmarkStart w:id="221" w:name="_Toc247691528"/>
      <w:r>
        <w:t xml:space="preserve">The submission was summarised in the following </w:t>
      </w:r>
      <w:r w:rsidRPr="00EF5C48">
        <w:t xml:space="preserve">Delegate’s </w:t>
      </w:r>
      <w:r>
        <w:t>overview</w:t>
      </w:r>
      <w:r w:rsidRPr="00EF5C48">
        <w:t xml:space="preserve"> and recommendation</w:t>
      </w:r>
      <w:r>
        <w:t>s:</w:t>
      </w:r>
    </w:p>
    <w:p w:rsidR="001E107E" w:rsidRDefault="00774F5B" w:rsidP="00774F5B">
      <w:r w:rsidRPr="00774F5B">
        <w:t xml:space="preserve">Novartis Vaccines and Diagnostics Pty Ltd has applied to register </w:t>
      </w:r>
      <w:r>
        <w:t>m</w:t>
      </w:r>
      <w:r w:rsidRPr="00774F5B">
        <w:t>ulti-component meningococcal B vaccine (recombinant, adsorbed) suspension for injection 0.5 ml pre-filled syringe. One dose (0.5</w:t>
      </w:r>
      <w:r w:rsidR="003B141D">
        <w:t xml:space="preserve"> </w:t>
      </w:r>
      <w:r w:rsidRPr="00774F5B">
        <w:t xml:space="preserve">mL) contains 50µg of each of 3 recombinant </w:t>
      </w:r>
      <w:r w:rsidRPr="00774F5B">
        <w:rPr>
          <w:i/>
          <w:iCs/>
        </w:rPr>
        <w:t>N</w:t>
      </w:r>
      <w:r w:rsidR="00B773D7">
        <w:rPr>
          <w:i/>
          <w:iCs/>
        </w:rPr>
        <w:t xml:space="preserve">. </w:t>
      </w:r>
      <w:r w:rsidRPr="00774F5B">
        <w:rPr>
          <w:i/>
          <w:iCs/>
        </w:rPr>
        <w:t>meningitidis</w:t>
      </w:r>
      <w:r w:rsidRPr="00774F5B">
        <w:t xml:space="preserve"> Group B proteins and 25 µg OMV measured as the total amount of protein.</w:t>
      </w:r>
    </w:p>
    <w:p w:rsidR="00774F5B" w:rsidRPr="00774F5B" w:rsidRDefault="00774F5B" w:rsidP="00774F5B">
      <w:r w:rsidRPr="00774F5B">
        <w:t>The proposed therapeutic indications are:</w:t>
      </w:r>
    </w:p>
    <w:p w:rsidR="00774F5B" w:rsidRPr="00774F5B" w:rsidRDefault="00774F5B" w:rsidP="00774F5B">
      <w:pPr>
        <w:ind w:left="720"/>
        <w:rPr>
          <w:i/>
          <w:iCs/>
        </w:rPr>
      </w:pPr>
      <w:r w:rsidRPr="00774F5B">
        <w:rPr>
          <w:i/>
          <w:iCs/>
        </w:rPr>
        <w:t>“BEXSERO is indicated for active immunization against invasive disease caused by N. meningitidis group B strains. See Pharmacology for information on protection against specific group B strains.</w:t>
      </w:r>
    </w:p>
    <w:p w:rsidR="00774F5B" w:rsidRPr="00774F5B" w:rsidRDefault="00774F5B" w:rsidP="00774F5B">
      <w:pPr>
        <w:ind w:left="720"/>
        <w:rPr>
          <w:i/>
          <w:iCs/>
        </w:rPr>
      </w:pPr>
      <w:r w:rsidRPr="00774F5B">
        <w:rPr>
          <w:i/>
          <w:iCs/>
        </w:rPr>
        <w:t>BEXSERO is indicated for vaccination of individuals from 2 months of age and older.</w:t>
      </w:r>
    </w:p>
    <w:p w:rsidR="00774F5B" w:rsidRDefault="00774F5B" w:rsidP="00774F5B">
      <w:pPr>
        <w:ind w:left="720"/>
        <w:rPr>
          <w:i/>
          <w:iCs/>
        </w:rPr>
      </w:pPr>
      <w:r w:rsidRPr="00774F5B">
        <w:rPr>
          <w:i/>
          <w:iCs/>
        </w:rPr>
        <w:t>The use of BEXSERO should be in accordance with official recommendations.”</w:t>
      </w:r>
    </w:p>
    <w:p w:rsidR="00774F5B" w:rsidRDefault="00774F5B" w:rsidP="00774F5B">
      <w:r w:rsidRPr="00774F5B">
        <w:t>The proposed dosage regimen is summarised in the table below:</w:t>
      </w:r>
    </w:p>
    <w:p w:rsidR="00B773D7" w:rsidRDefault="00B773D7" w:rsidP="001300EE">
      <w:pPr>
        <w:pStyle w:val="TableTitle"/>
      </w:pPr>
      <w:proofErr w:type="gramStart"/>
      <w:r>
        <w:t xml:space="preserve">Table </w:t>
      </w:r>
      <w:r w:rsidR="001D7C7D">
        <w:t>11</w:t>
      </w:r>
      <w:r>
        <w:t>.</w:t>
      </w:r>
      <w:proofErr w:type="gramEnd"/>
      <w:r>
        <w:t xml:space="preserve"> Proposed Bexsero dosage regimen</w:t>
      </w:r>
    </w:p>
    <w:p w:rsidR="00B32EA4" w:rsidRPr="00774F5B" w:rsidRDefault="00B32EA4" w:rsidP="00774F5B">
      <w:r w:rsidRPr="00B32EA4">
        <w:rPr>
          <w:noProof/>
          <w:lang w:eastAsia="en-AU"/>
        </w:rPr>
        <w:drawing>
          <wp:inline distT="0" distB="0" distL="0" distR="0">
            <wp:extent cx="3706065" cy="1193479"/>
            <wp:effectExtent l="19050" t="0" r="8685" b="0"/>
            <wp:docPr id="4" name="Picture 1" descr="Table 11. Proposed Bexsero dosage regime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3706065" cy="1193479"/>
                    </a:xfrm>
                    <a:prstGeom prst="rect">
                      <a:avLst/>
                    </a:prstGeom>
                    <a:noFill/>
                    <a:ln w="9525">
                      <a:noFill/>
                      <a:miter lim="800000"/>
                      <a:headEnd/>
                      <a:tailEnd/>
                    </a:ln>
                  </pic:spPr>
                </pic:pic>
              </a:graphicData>
            </a:graphic>
          </wp:inline>
        </w:drawing>
      </w:r>
    </w:p>
    <w:p w:rsidR="00774F5B" w:rsidRDefault="00774F5B" w:rsidP="00774F5B">
      <w:r w:rsidRPr="00774F5B">
        <w:t xml:space="preserve">The vaccine is to be given by deep </w:t>
      </w:r>
      <w:r w:rsidR="00B773D7">
        <w:t xml:space="preserve">IM </w:t>
      </w:r>
      <w:r w:rsidRPr="00774F5B">
        <w:t>injection.</w:t>
      </w:r>
    </w:p>
    <w:p w:rsidR="00774F5B" w:rsidRDefault="00774F5B" w:rsidP="00774F5B">
      <w:pPr>
        <w:pStyle w:val="Heading3"/>
      </w:pPr>
      <w:bookmarkStart w:id="222" w:name="_Toc370985743"/>
      <w:r>
        <w:t>Background</w:t>
      </w:r>
      <w:bookmarkEnd w:id="222"/>
    </w:p>
    <w:p w:rsidR="00774F5B" w:rsidRPr="00774F5B" w:rsidRDefault="00774F5B" w:rsidP="00774F5B">
      <w:r w:rsidRPr="00774F5B">
        <w:t>The current submission seeks registration of Bexsero, a vaccine developed to provide active immunisation for individuals from 2 months of age</w:t>
      </w:r>
      <w:r w:rsidRPr="00774F5B">
        <w:rPr>
          <w:i/>
        </w:rPr>
        <w:t xml:space="preserve"> </w:t>
      </w:r>
      <w:r w:rsidRPr="00774F5B">
        <w:t xml:space="preserve">against invasive disease caused by </w:t>
      </w:r>
      <w:r w:rsidRPr="00774F5B">
        <w:rPr>
          <w:i/>
        </w:rPr>
        <w:t>N</w:t>
      </w:r>
      <w:r w:rsidR="00B773D7">
        <w:rPr>
          <w:i/>
        </w:rPr>
        <w:t xml:space="preserve">. </w:t>
      </w:r>
      <w:r w:rsidRPr="00774F5B">
        <w:rPr>
          <w:i/>
        </w:rPr>
        <w:t xml:space="preserve">meningitidis </w:t>
      </w:r>
      <w:r w:rsidRPr="00774F5B">
        <w:t>serogroup B.</w:t>
      </w:r>
    </w:p>
    <w:p w:rsidR="00774F5B" w:rsidRPr="00774F5B" w:rsidRDefault="00774F5B" w:rsidP="00B773D7">
      <w:pPr>
        <w:pStyle w:val="Heading4"/>
      </w:pPr>
      <w:r w:rsidRPr="00774F5B">
        <w:lastRenderedPageBreak/>
        <w:t>Meningococcal disease</w:t>
      </w:r>
    </w:p>
    <w:p w:rsidR="00B773D7" w:rsidRDefault="00774F5B" w:rsidP="00774F5B">
      <w:r w:rsidRPr="00774F5B">
        <w:rPr>
          <w:i/>
          <w:iCs/>
        </w:rPr>
        <w:t>N</w:t>
      </w:r>
      <w:r w:rsidR="00B773D7">
        <w:rPr>
          <w:i/>
          <w:iCs/>
        </w:rPr>
        <w:t xml:space="preserve">. </w:t>
      </w:r>
      <w:r w:rsidRPr="00774F5B">
        <w:rPr>
          <w:i/>
          <w:iCs/>
        </w:rPr>
        <w:t xml:space="preserve">meningitidis </w:t>
      </w:r>
      <w:r w:rsidRPr="00774F5B">
        <w:rPr>
          <w:iCs/>
        </w:rPr>
        <w:t xml:space="preserve">is a </w:t>
      </w:r>
      <w:r w:rsidRPr="00774F5B">
        <w:t xml:space="preserve">human-specific pathogen that commonly colonises the </w:t>
      </w:r>
      <w:proofErr w:type="spellStart"/>
      <w:r w:rsidRPr="00774F5B">
        <w:t>nasopharynx</w:t>
      </w:r>
      <w:proofErr w:type="spellEnd"/>
      <w:r w:rsidRPr="00774F5B">
        <w:t xml:space="preserve"> of healthy adolescents and adults and produces either mild </w:t>
      </w:r>
      <w:proofErr w:type="spellStart"/>
      <w:r w:rsidRPr="00774F5B">
        <w:t>pharyngitis</w:t>
      </w:r>
      <w:proofErr w:type="spellEnd"/>
      <w:r w:rsidRPr="00774F5B">
        <w:t xml:space="preserve"> or no symptoms at all.</w:t>
      </w:r>
      <w:r w:rsidR="00B66DC3">
        <w:t xml:space="preserve"> </w:t>
      </w:r>
      <w:r w:rsidRPr="00774F5B">
        <w:t>Invasive meningococcal disease (IMD) is a rare and life-threatening disease that occurs when there is transmission of the bacterium to a susceptible individual.</w:t>
      </w:r>
      <w:r w:rsidR="00B66DC3">
        <w:t xml:space="preserve"> </w:t>
      </w:r>
      <w:r w:rsidR="00B773D7" w:rsidRPr="00B773D7">
        <w:t xml:space="preserve">Invasive meningococcal disease </w:t>
      </w:r>
      <w:r w:rsidRPr="00774F5B">
        <w:t>most usually presents as either bacterial meningitis or meningococcal septicaemia, although occult bacteraemia, pneumonia, septic arthritis, conjunctivitis, and chronic meningococcemia can also occur.</w:t>
      </w:r>
      <w:r w:rsidR="00B66DC3">
        <w:t xml:space="preserve"> </w:t>
      </w:r>
      <w:r w:rsidR="00B773D7" w:rsidRPr="00B773D7">
        <w:t>Invasive meningococcal disease</w:t>
      </w:r>
      <w:r w:rsidRPr="00774F5B">
        <w:t xml:space="preserve"> occurs worldwide, with most disease being caused by 5 of the 13 </w:t>
      </w:r>
      <w:proofErr w:type="spellStart"/>
      <w:r w:rsidRPr="00774F5B">
        <w:t>serogroups</w:t>
      </w:r>
      <w:proofErr w:type="spellEnd"/>
      <w:r w:rsidRPr="00774F5B">
        <w:t xml:space="preserve"> of </w:t>
      </w:r>
      <w:r w:rsidRPr="00774F5B">
        <w:rPr>
          <w:i/>
          <w:iCs/>
        </w:rPr>
        <w:t>N</w:t>
      </w:r>
      <w:r w:rsidR="00B773D7">
        <w:rPr>
          <w:i/>
          <w:iCs/>
        </w:rPr>
        <w:t xml:space="preserve">. </w:t>
      </w:r>
      <w:r w:rsidRPr="00774F5B">
        <w:rPr>
          <w:i/>
          <w:iCs/>
        </w:rPr>
        <w:t>meningitidis</w:t>
      </w:r>
      <w:r w:rsidR="00B773D7" w:rsidRPr="00B773D7">
        <w:t>:</w:t>
      </w:r>
      <w:r w:rsidRPr="00774F5B">
        <w:t xml:space="preserve"> A, B, C, W-135 and Y.</w:t>
      </w:r>
    </w:p>
    <w:p w:rsidR="00B773D7" w:rsidRDefault="00774F5B" w:rsidP="00774F5B">
      <w:r w:rsidRPr="00774F5B">
        <w:t xml:space="preserve">Historically, </w:t>
      </w:r>
      <w:r w:rsidRPr="00774F5B">
        <w:rPr>
          <w:i/>
          <w:iCs/>
        </w:rPr>
        <w:t xml:space="preserve">N. </w:t>
      </w:r>
      <w:proofErr w:type="spellStart"/>
      <w:r w:rsidRPr="00774F5B">
        <w:rPr>
          <w:i/>
          <w:iCs/>
        </w:rPr>
        <w:t>meningitidis</w:t>
      </w:r>
      <w:proofErr w:type="spellEnd"/>
      <w:r w:rsidRPr="00774F5B">
        <w:t xml:space="preserve"> </w:t>
      </w:r>
      <w:proofErr w:type="spellStart"/>
      <w:r w:rsidRPr="00774F5B">
        <w:t>serogroups</w:t>
      </w:r>
      <w:proofErr w:type="spellEnd"/>
      <w:r w:rsidRPr="00774F5B">
        <w:t xml:space="preserve"> B and C have been the major cause of IMD in Australia.</w:t>
      </w:r>
      <w:r w:rsidR="00B66DC3">
        <w:t xml:space="preserve"> </w:t>
      </w:r>
      <w:r w:rsidRPr="00774F5B">
        <w:t>The introduction of the conjugate serogroup C meningococcal vaccines has dramatically changed the epidemiology of the disease in many developed countries, including Australia, leaving serogroup B as the predominant cause of invasive disease.</w:t>
      </w:r>
      <w:r w:rsidR="00B66DC3">
        <w:t xml:space="preserve"> </w:t>
      </w:r>
      <w:r w:rsidRPr="00774F5B">
        <w:t xml:space="preserve">According to the National </w:t>
      </w:r>
      <w:proofErr w:type="spellStart"/>
      <w:r w:rsidRPr="00774F5B">
        <w:t>Notifiable</w:t>
      </w:r>
      <w:proofErr w:type="spellEnd"/>
      <w:r w:rsidRPr="00774F5B">
        <w:t xml:space="preserve"> Diseases Surveillance System, in 2009 there were 259 notifications of IMD in Australia (at a rate of 1.2 per 100,000). Eighty-six per cent of those notifications had serogroup data available of which 88% were caused by serogroup B organisms.</w:t>
      </w:r>
      <w:r w:rsidR="00B66DC3">
        <w:t xml:space="preserve"> </w:t>
      </w:r>
      <w:r w:rsidRPr="00774F5B">
        <w:t>The highest rate for serogroup B infection was in the 0–4 years age group (5.2 per 100,000 population) followed by a peak in children from 15–19 years of age (2 per 100,000 population)</w:t>
      </w:r>
      <w:r w:rsidR="00B773D7">
        <w:t>.</w:t>
      </w:r>
      <w:r w:rsidRPr="00774F5B">
        <w:rPr>
          <w:vertAlign w:val="superscript"/>
        </w:rPr>
        <w:footnoteReference w:id="36"/>
      </w:r>
    </w:p>
    <w:p w:rsidR="00774F5B" w:rsidRPr="00774F5B" w:rsidRDefault="00774F5B" w:rsidP="00774F5B">
      <w:r w:rsidRPr="00774F5B">
        <w:t>Mortality rates for serogroup B disease in Australia have been estimated at approximately 0.06 per 100,000</w:t>
      </w:r>
      <w:r w:rsidR="00B773D7">
        <w:t>.</w:t>
      </w:r>
      <w:r w:rsidRPr="00774F5B">
        <w:rPr>
          <w:vertAlign w:val="superscript"/>
        </w:rPr>
        <w:footnoteReference w:id="37"/>
      </w:r>
      <w:r w:rsidR="00B66DC3">
        <w:t xml:space="preserve"> </w:t>
      </w:r>
      <w:r w:rsidRPr="00774F5B">
        <w:t>IMD also results in severe debilitating disease among survivors, with approximately 10-30% of patients suffering permanent sequelae including hearing loss, significant neurological damage, limb amputation, skin scarring, renal failure and cognitive deficits.</w:t>
      </w:r>
      <w:r w:rsidR="00B66DC3">
        <w:t xml:space="preserve"> </w:t>
      </w:r>
      <w:r w:rsidRPr="00774F5B">
        <w:t xml:space="preserve">Accordingly, the absence of a vaccine for </w:t>
      </w:r>
      <w:r w:rsidRPr="00774F5B">
        <w:rPr>
          <w:i/>
        </w:rPr>
        <w:t>N</w:t>
      </w:r>
      <w:r w:rsidR="00B773D7">
        <w:rPr>
          <w:i/>
        </w:rPr>
        <w:t xml:space="preserve">. </w:t>
      </w:r>
      <w:r w:rsidRPr="00774F5B">
        <w:rPr>
          <w:i/>
        </w:rPr>
        <w:t xml:space="preserve">meningitidis </w:t>
      </w:r>
      <w:r w:rsidRPr="00774F5B">
        <w:t>serogroup B remains an unmet public health need.</w:t>
      </w:r>
    </w:p>
    <w:p w:rsidR="00774F5B" w:rsidRPr="00774F5B" w:rsidRDefault="00774F5B" w:rsidP="00B773D7">
      <w:pPr>
        <w:pStyle w:val="Heading4"/>
      </w:pPr>
      <w:r w:rsidRPr="00774F5B">
        <w:t>Bexsero multi-component meningococcal B vaccine</w:t>
      </w:r>
    </w:p>
    <w:p w:rsidR="00B773D7" w:rsidRDefault="00774F5B" w:rsidP="00774F5B">
      <w:r w:rsidRPr="00774F5B">
        <w:t xml:space="preserve">Vaccines against </w:t>
      </w:r>
      <w:proofErr w:type="spellStart"/>
      <w:r w:rsidRPr="00774F5B">
        <w:t>serogroup</w:t>
      </w:r>
      <w:proofErr w:type="spellEnd"/>
      <w:r w:rsidRPr="00774F5B">
        <w:t xml:space="preserve"> B </w:t>
      </w:r>
      <w:proofErr w:type="spellStart"/>
      <w:r w:rsidRPr="00774F5B">
        <w:t>meningococcus</w:t>
      </w:r>
      <w:proofErr w:type="spellEnd"/>
      <w:r w:rsidRPr="00774F5B">
        <w:t xml:space="preserve"> have been difficult to develop because the capsular polysaccharide of serogroup B is poorly immunogenic in humans, possibly due to similarities in serogroup B carbohydrate moieties to carbohydrates widely distributed in the human body.</w:t>
      </w:r>
      <w:r w:rsidR="00B66DC3">
        <w:t xml:space="preserve"> </w:t>
      </w:r>
      <w:r w:rsidRPr="00774F5B">
        <w:t>N-</w:t>
      </w:r>
      <w:proofErr w:type="spellStart"/>
      <w:r w:rsidRPr="00774F5B">
        <w:t>propionylated</w:t>
      </w:r>
      <w:proofErr w:type="spellEnd"/>
      <w:r w:rsidRPr="00774F5B">
        <w:t xml:space="preserve"> polysaccharide conjugates induce antibodies but without functional activity.</w:t>
      </w:r>
      <w:r w:rsidR="00B66DC3">
        <w:t xml:space="preserve"> </w:t>
      </w:r>
      <w:r w:rsidRPr="00774F5B">
        <w:t xml:space="preserve">Consequently, research has focused on proteins in the outer membrane of </w:t>
      </w:r>
      <w:proofErr w:type="spellStart"/>
      <w:r w:rsidRPr="00774F5B">
        <w:t>meningococci</w:t>
      </w:r>
      <w:proofErr w:type="spellEnd"/>
      <w:r w:rsidRPr="00774F5B">
        <w:t xml:space="preserve"> as potential antigens for vaccines.</w:t>
      </w:r>
      <w:r w:rsidR="00B66DC3">
        <w:t xml:space="preserve"> </w:t>
      </w:r>
      <w:r w:rsidRPr="00774F5B">
        <w:t xml:space="preserve">Bexsero has been developed using knowledge gained from other serogroup B vaccines based on protein-containing OMVs used in epidemics in Norway and New Zealand, together with advances from the identification of the </w:t>
      </w:r>
      <w:r w:rsidRPr="00774F5B">
        <w:rPr>
          <w:i/>
          <w:iCs/>
        </w:rPr>
        <w:t xml:space="preserve">N. meningitidis </w:t>
      </w:r>
      <w:proofErr w:type="spellStart"/>
      <w:r w:rsidRPr="00774F5B">
        <w:t>serogroup</w:t>
      </w:r>
      <w:proofErr w:type="spellEnd"/>
      <w:r w:rsidRPr="00774F5B">
        <w:t xml:space="preserve"> B genome sequence.</w:t>
      </w:r>
    </w:p>
    <w:p w:rsidR="00774F5B" w:rsidRPr="00774F5B" w:rsidRDefault="00774F5B" w:rsidP="00B773D7">
      <w:r w:rsidRPr="00774F5B">
        <w:t>Bexsero contains four components that can be considered Drug Substances</w:t>
      </w:r>
      <w:r w:rsidR="00B773D7">
        <w:t>:</w:t>
      </w:r>
      <w:r w:rsidRPr="00774F5B">
        <w:t xml:space="preserve"> three recombinant </w:t>
      </w:r>
      <w:r w:rsidRPr="00774F5B">
        <w:rPr>
          <w:i/>
        </w:rPr>
        <w:t>N</w:t>
      </w:r>
      <w:r w:rsidR="00B773D7">
        <w:rPr>
          <w:i/>
        </w:rPr>
        <w:t xml:space="preserve">. </w:t>
      </w:r>
      <w:r w:rsidRPr="00774F5B">
        <w:rPr>
          <w:i/>
        </w:rPr>
        <w:t>meningitidis</w:t>
      </w:r>
      <w:r w:rsidRPr="00774F5B">
        <w:t xml:space="preserve"> Group B proteins </w:t>
      </w:r>
      <w:r w:rsidR="00D90AC8">
        <w:t xml:space="preserve">identified </w:t>
      </w:r>
      <w:r w:rsidRPr="00774F5B">
        <w:t xml:space="preserve">by reverse </w:t>
      </w:r>
      <w:proofErr w:type="spellStart"/>
      <w:r w:rsidRPr="00774F5B">
        <w:t>vaccinology</w:t>
      </w:r>
      <w:proofErr w:type="spellEnd"/>
      <w:r w:rsidRPr="00774F5B">
        <w:t xml:space="preserve"> (two of which are fused to accessory proteins) and an OMV complex.</w:t>
      </w:r>
    </w:p>
    <w:p w:rsidR="008E7846" w:rsidRDefault="008E7846" w:rsidP="008E7846">
      <w:pPr>
        <w:pStyle w:val="Heading3"/>
      </w:pPr>
      <w:bookmarkStart w:id="223" w:name="_Toc314842511"/>
      <w:bookmarkStart w:id="224" w:name="_Toc370985744"/>
      <w:r>
        <w:t>Quality</w:t>
      </w:r>
      <w:bookmarkEnd w:id="221"/>
      <w:bookmarkEnd w:id="223"/>
      <w:bookmarkEnd w:id="224"/>
    </w:p>
    <w:p w:rsidR="00774F5B" w:rsidRPr="00774F5B" w:rsidRDefault="00774F5B" w:rsidP="00774F5B">
      <w:r w:rsidRPr="00774F5B">
        <w:t>The manufacture of the recombinant proteins used in Bexsero is relatively straightforward.</w:t>
      </w:r>
      <w:r w:rsidR="00B66DC3">
        <w:t xml:space="preserve"> </w:t>
      </w:r>
      <w:r w:rsidRPr="00774F5B">
        <w:t xml:space="preserve">The NHBA and </w:t>
      </w:r>
      <w:proofErr w:type="spellStart"/>
      <w:r w:rsidRPr="00774F5B">
        <w:t>fHBP</w:t>
      </w:r>
      <w:proofErr w:type="spellEnd"/>
      <w:r w:rsidRPr="00774F5B">
        <w:t xml:space="preserve"> fusion proteins and the </w:t>
      </w:r>
      <w:proofErr w:type="spellStart"/>
      <w:r w:rsidRPr="00774F5B">
        <w:t>NadA</w:t>
      </w:r>
      <w:proofErr w:type="spellEnd"/>
      <w:r w:rsidRPr="00774F5B">
        <w:t xml:space="preserve"> are expressed via bacterial fermentation by standard recombinant DNA technology methods in </w:t>
      </w:r>
      <w:r w:rsidRPr="00774F5B">
        <w:rPr>
          <w:i/>
          <w:iCs/>
        </w:rPr>
        <w:t>E.</w:t>
      </w:r>
      <w:r w:rsidRPr="00774F5B">
        <w:t xml:space="preserve"> </w:t>
      </w:r>
      <w:r w:rsidRPr="00774F5B">
        <w:rPr>
          <w:i/>
          <w:iCs/>
        </w:rPr>
        <w:t xml:space="preserve">coli </w:t>
      </w:r>
      <w:r w:rsidRPr="00774F5B">
        <w:t xml:space="preserve">using a </w:t>
      </w:r>
      <w:r w:rsidRPr="00774F5B">
        <w:lastRenderedPageBreak/>
        <w:t>plasmid vector system.</w:t>
      </w:r>
      <w:r w:rsidR="00B66DC3">
        <w:t xml:space="preserve"> </w:t>
      </w:r>
      <w:r w:rsidRPr="00774F5B">
        <w:t xml:space="preserve">The fourth component, OMV, is obtained from </w:t>
      </w:r>
      <w:r w:rsidRPr="00774F5B">
        <w:rPr>
          <w:i/>
          <w:iCs/>
        </w:rPr>
        <w:t>N. meningitidis</w:t>
      </w:r>
      <w:r w:rsidRPr="00774F5B">
        <w:t xml:space="preserve"> through fermentation/culture expansion</w:t>
      </w:r>
      <w:r w:rsidR="00CC5243">
        <w:t>,</w:t>
      </w:r>
      <w:r w:rsidRPr="00774F5B">
        <w:t xml:space="preserve"> inactivation and subsequent purification and filtration.</w:t>
      </w:r>
      <w:r w:rsidR="00B66DC3">
        <w:t xml:space="preserve"> </w:t>
      </w:r>
      <w:r w:rsidRPr="00774F5B">
        <w:t xml:space="preserve">The LPS/endotoxins that result from the fermentation of the </w:t>
      </w:r>
      <w:r w:rsidRPr="00774F5B">
        <w:rPr>
          <w:i/>
          <w:iCs/>
        </w:rPr>
        <w:t xml:space="preserve">N. meningitidis </w:t>
      </w:r>
      <w:r w:rsidRPr="00774F5B">
        <w:t>are part of the vesicles extracted from the bacteria, and play a role in the immunogenicity of the vaccine.</w:t>
      </w:r>
      <w:r w:rsidR="00B66DC3">
        <w:t xml:space="preserve"> </w:t>
      </w:r>
      <w:r w:rsidRPr="00774F5B">
        <w:t>Most LPS is removed during manufacture.</w:t>
      </w:r>
      <w:r w:rsidR="00B66DC3">
        <w:t xml:space="preserve"> </w:t>
      </w:r>
      <w:r w:rsidRPr="00774F5B">
        <w:t>Residual LPS is required to maintain the structural integrity of the proteins.</w:t>
      </w:r>
    </w:p>
    <w:p w:rsidR="00774F5B" w:rsidRPr="00774F5B" w:rsidRDefault="00774F5B" w:rsidP="00774F5B">
      <w:r w:rsidRPr="00774F5B">
        <w:t xml:space="preserve">The evaluation </w:t>
      </w:r>
      <w:r w:rsidR="00B773D7">
        <w:t xml:space="preserve">of quality data </w:t>
      </w:r>
      <w:r w:rsidRPr="00774F5B">
        <w:t>was complicated and protracted mainly because the results of endotoxin testing and potency testing originally submitted to support the proposed shelf-life of Bexsero were generated by unacceptable methods:</w:t>
      </w:r>
    </w:p>
    <w:p w:rsidR="00774F5B" w:rsidRPr="00774F5B" w:rsidRDefault="00774F5B" w:rsidP="002D477B">
      <w:pPr>
        <w:pStyle w:val="ListBullet"/>
        <w:rPr>
          <w:lang w:val="en-GB"/>
        </w:rPr>
      </w:pPr>
      <w:r w:rsidRPr="00774F5B">
        <w:t xml:space="preserve">The </w:t>
      </w:r>
      <w:r w:rsidR="00B773D7">
        <w:t xml:space="preserve">quality </w:t>
      </w:r>
      <w:r w:rsidRPr="00774F5B">
        <w:t xml:space="preserve">evaluator found that the LAL test for endotoxin testing, as it had been performed, was not satisfactorily validated, was too variable and that the proposed </w:t>
      </w:r>
      <w:r w:rsidR="00B773D7">
        <w:t>f</w:t>
      </w:r>
      <w:r w:rsidRPr="00774F5B">
        <w:t xml:space="preserve">inal </w:t>
      </w:r>
      <w:r w:rsidR="00B773D7">
        <w:t>p</w:t>
      </w:r>
      <w:r w:rsidRPr="00774F5B">
        <w:t xml:space="preserve">roduct </w:t>
      </w:r>
      <w:r w:rsidR="00B773D7">
        <w:t>e</w:t>
      </w:r>
      <w:r w:rsidRPr="00774F5B">
        <w:t>ndotoxins specification had not been satisfactorily justified.</w:t>
      </w:r>
      <w:r w:rsidR="00B66DC3">
        <w:t xml:space="preserve"> </w:t>
      </w:r>
      <w:r w:rsidRPr="00774F5B">
        <w:t>Consequently, several</w:t>
      </w:r>
      <w:r w:rsidRPr="00774F5B">
        <w:rPr>
          <w:lang w:val="en-GB"/>
        </w:rPr>
        <w:t xml:space="preserve"> assay parameter changes were made to the LAL assay.</w:t>
      </w:r>
      <w:r w:rsidR="00B66DC3">
        <w:rPr>
          <w:lang w:val="en-GB"/>
        </w:rPr>
        <w:t xml:space="preserve"> </w:t>
      </w:r>
      <w:r w:rsidRPr="00774F5B">
        <w:rPr>
          <w:lang w:val="en-GB"/>
        </w:rPr>
        <w:t>Also, t</w:t>
      </w:r>
      <w:r w:rsidRPr="00774F5B">
        <w:rPr>
          <w:lang w:val="en-US"/>
        </w:rPr>
        <w:t xml:space="preserve">he proposed limit of </w:t>
      </w:r>
      <w:r w:rsidRPr="00774F5B">
        <w:rPr>
          <w:lang w:val="en-GB"/>
        </w:rPr>
        <w:t xml:space="preserve">the </w:t>
      </w:r>
      <w:r w:rsidR="00706806">
        <w:rPr>
          <w:lang w:val="en-GB"/>
        </w:rPr>
        <w:t>f</w:t>
      </w:r>
      <w:r w:rsidRPr="00774F5B">
        <w:rPr>
          <w:lang w:val="en-GB"/>
        </w:rPr>
        <w:t xml:space="preserve">inal </w:t>
      </w:r>
      <w:r w:rsidR="00706806">
        <w:rPr>
          <w:lang w:val="en-GB"/>
        </w:rPr>
        <w:t>p</w:t>
      </w:r>
      <w:r w:rsidRPr="00774F5B">
        <w:rPr>
          <w:lang w:val="en-GB"/>
        </w:rPr>
        <w:t xml:space="preserve">roduct </w:t>
      </w:r>
      <w:r w:rsidR="00706806">
        <w:rPr>
          <w:lang w:val="en-GB"/>
        </w:rPr>
        <w:t>b</w:t>
      </w:r>
      <w:r w:rsidRPr="00774F5B">
        <w:rPr>
          <w:lang w:val="en-GB"/>
        </w:rPr>
        <w:t xml:space="preserve">acterial </w:t>
      </w:r>
      <w:proofErr w:type="spellStart"/>
      <w:r w:rsidR="00706806">
        <w:rPr>
          <w:lang w:val="en-GB"/>
        </w:rPr>
        <w:t>e</w:t>
      </w:r>
      <w:r w:rsidRPr="00774F5B">
        <w:rPr>
          <w:lang w:val="en-GB"/>
        </w:rPr>
        <w:t>ndotoxins</w:t>
      </w:r>
      <w:proofErr w:type="spellEnd"/>
      <w:r w:rsidRPr="00774F5B">
        <w:rPr>
          <w:lang w:val="en-GB"/>
        </w:rPr>
        <w:t xml:space="preserve"> specification </w:t>
      </w:r>
      <w:r w:rsidRPr="00774F5B">
        <w:rPr>
          <w:lang w:val="en-US"/>
        </w:rPr>
        <w:t>was tightened from the previous level.</w:t>
      </w:r>
      <w:r w:rsidR="00B66DC3">
        <w:rPr>
          <w:lang w:val="en-US"/>
        </w:rPr>
        <w:t xml:space="preserve"> </w:t>
      </w:r>
      <w:r w:rsidRPr="00774F5B">
        <w:t xml:space="preserve">The specifications contain a modified </w:t>
      </w:r>
      <w:r w:rsidRPr="00774F5B">
        <w:rPr>
          <w:i/>
        </w:rPr>
        <w:t>in vivo</w:t>
      </w:r>
      <w:r w:rsidRPr="00774F5B">
        <w:t xml:space="preserve"> rabbit </w:t>
      </w:r>
      <w:proofErr w:type="spellStart"/>
      <w:r w:rsidRPr="00774F5B">
        <w:t>pyrogen</w:t>
      </w:r>
      <w:proofErr w:type="spellEnd"/>
      <w:r w:rsidR="00CC5243">
        <w:t xml:space="preserve"> test (RPT) in addition to the e</w:t>
      </w:r>
      <w:r w:rsidRPr="00774F5B">
        <w:t xml:space="preserve">ndotoxin test because of the </w:t>
      </w:r>
      <w:proofErr w:type="spellStart"/>
      <w:r w:rsidRPr="00774F5B">
        <w:t>pyrogenicity</w:t>
      </w:r>
      <w:proofErr w:type="spellEnd"/>
      <w:r w:rsidRPr="00774F5B">
        <w:t xml:space="preserve"> of the OMV component of the vaccine.</w:t>
      </w:r>
      <w:r w:rsidR="00B66DC3">
        <w:t xml:space="preserve"> </w:t>
      </w:r>
      <w:r w:rsidRPr="00774F5B">
        <w:t xml:space="preserve">The </w:t>
      </w:r>
      <w:r w:rsidR="00792A92" w:rsidRPr="00792A92">
        <w:rPr>
          <w:lang w:val="en-US"/>
        </w:rPr>
        <w:t>sponsor</w:t>
      </w:r>
      <w:r w:rsidRPr="00774F5B">
        <w:t xml:space="preserve"> believes this test has the capacity to register the presence of non-</w:t>
      </w:r>
      <w:proofErr w:type="spellStart"/>
      <w:r w:rsidRPr="00774F5B">
        <w:t>end</w:t>
      </w:r>
      <w:r w:rsidR="001300EE">
        <w:t>otoxin</w:t>
      </w:r>
      <w:proofErr w:type="spellEnd"/>
      <w:r w:rsidR="001300EE">
        <w:t xml:space="preserve"> </w:t>
      </w:r>
      <w:proofErr w:type="spellStart"/>
      <w:r w:rsidR="001300EE">
        <w:t>pyrogens</w:t>
      </w:r>
      <w:proofErr w:type="spellEnd"/>
      <w:r w:rsidR="001300EE">
        <w:t xml:space="preserve"> in the product.</w:t>
      </w:r>
    </w:p>
    <w:p w:rsidR="00774F5B" w:rsidRPr="00774F5B" w:rsidRDefault="00774F5B" w:rsidP="002D477B">
      <w:pPr>
        <w:pStyle w:val="ListBullet"/>
      </w:pPr>
      <w:r w:rsidRPr="00774F5B">
        <w:t xml:space="preserve">The immunogenicity (potency) testing on the </w:t>
      </w:r>
      <w:r w:rsidR="00CC5243">
        <w:t>f</w:t>
      </w:r>
      <w:r w:rsidRPr="00774F5B">
        <w:t xml:space="preserve">inal </w:t>
      </w:r>
      <w:r w:rsidR="00CC5243">
        <w:t>p</w:t>
      </w:r>
      <w:r w:rsidRPr="00774F5B">
        <w:t>roduct was originally proposed as a single-dose assay.</w:t>
      </w:r>
      <w:r w:rsidR="00B66DC3">
        <w:t xml:space="preserve"> </w:t>
      </w:r>
      <w:r w:rsidRPr="00774F5B">
        <w:t>The evaluator raised concerns about the ability of such an assay to give reliable differentiation between potent and sub-potent batches of vaccine.</w:t>
      </w:r>
      <w:r w:rsidR="00B66DC3">
        <w:t xml:space="preserve"> </w:t>
      </w:r>
      <w:r w:rsidRPr="00774F5B">
        <w:t xml:space="preserve">The unsuitability of the assay was acknowledged by the </w:t>
      </w:r>
      <w:r w:rsidR="00792A92" w:rsidRPr="00792A92">
        <w:rPr>
          <w:lang w:val="en-US"/>
        </w:rPr>
        <w:t>sponsor</w:t>
      </w:r>
      <w:r w:rsidRPr="00774F5B">
        <w:t xml:space="preserve"> and a new multiple-dose relati</w:t>
      </w:r>
      <w:r w:rsidR="001300EE">
        <w:t>ve potency assay was developed.</w:t>
      </w:r>
    </w:p>
    <w:p w:rsidR="00774F5B" w:rsidRPr="00774F5B" w:rsidRDefault="00774F5B" w:rsidP="00774F5B">
      <w:r w:rsidRPr="00774F5B">
        <w:t xml:space="preserve">The evaluator considered the methodology, </w:t>
      </w:r>
      <w:r w:rsidRPr="00774F5B">
        <w:rPr>
          <w:lang w:val="en-GB"/>
        </w:rPr>
        <w:t>validation and variability</w:t>
      </w:r>
      <w:r w:rsidRPr="00774F5B">
        <w:t xml:space="preserve"> of the new tests was acceptable, and the data confirmed consistency between clinical and commercial lots of vaccine for these tests.</w:t>
      </w:r>
      <w:r w:rsidR="00B66DC3">
        <w:t xml:space="preserve"> </w:t>
      </w:r>
      <w:r w:rsidRPr="00774F5B">
        <w:t>However, the implication of these changes is that there are no real-time or accelerated stability data to support the shelf life using the currently proposed methodologies.</w:t>
      </w:r>
      <w:r w:rsidR="00B66DC3">
        <w:t xml:space="preserve"> </w:t>
      </w:r>
      <w:r w:rsidRPr="00774F5B">
        <w:t xml:space="preserve">The </w:t>
      </w:r>
      <w:r w:rsidR="00792A92" w:rsidRPr="00792A92">
        <w:rPr>
          <w:lang w:val="en-US"/>
        </w:rPr>
        <w:t>sponsor</w:t>
      </w:r>
      <w:r w:rsidRPr="00774F5B">
        <w:t xml:space="preserve"> has argued that several batches of vaccine used in clinical studies V72P16 and V72_41 were clinically effective when used at times in excess of 24 months after manufacture and provide interim evidence to justify the proposed shelf-life until appropriate stability data generated by the new potency and endotoxin tests are available.</w:t>
      </w:r>
      <w:r w:rsidR="00B66DC3">
        <w:t xml:space="preserve"> </w:t>
      </w:r>
      <w:r w:rsidRPr="00774F5B">
        <w:t xml:space="preserve">[Note: an interim Company Study Report (CSR) for </w:t>
      </w:r>
      <w:r w:rsidR="00610E2C">
        <w:t>S</w:t>
      </w:r>
      <w:r w:rsidRPr="00774F5B">
        <w:t xml:space="preserve">tudy V72P16 was submitted to the TGA and evaluated </w:t>
      </w:r>
      <w:r w:rsidR="00C83708">
        <w:t>by the clinical evaluator</w:t>
      </w:r>
      <w:r w:rsidRPr="00774F5B">
        <w:t>.</w:t>
      </w:r>
      <w:r w:rsidR="00B66DC3">
        <w:t xml:space="preserve"> </w:t>
      </w:r>
      <w:r w:rsidRPr="00774F5B">
        <w:t xml:space="preserve">However, the study was evaluated only in the context of rates of fever and the ability of paracetamol to reduce the rate of fever without adversely affecting the immune response in </w:t>
      </w:r>
      <w:proofErr w:type="spellStart"/>
      <w:r w:rsidRPr="00774F5B">
        <w:t>vaccinees</w:t>
      </w:r>
      <w:proofErr w:type="spellEnd"/>
      <w:r w:rsidRPr="00774F5B">
        <w:t>.</w:t>
      </w:r>
      <w:r w:rsidR="00B66DC3">
        <w:t xml:space="preserve"> </w:t>
      </w:r>
      <w:r w:rsidRPr="00774F5B">
        <w:t xml:space="preserve">A CSR for </w:t>
      </w:r>
      <w:r w:rsidR="00610E2C">
        <w:t>S</w:t>
      </w:r>
      <w:r w:rsidRPr="00774F5B">
        <w:t>tudy V72</w:t>
      </w:r>
      <w:r w:rsidR="00C83708">
        <w:rPr>
          <w:u w:val="single"/>
        </w:rPr>
        <w:t>_</w:t>
      </w:r>
      <w:r w:rsidRPr="00774F5B">
        <w:t>41 was not submitted to the TGA as part of the original application and was submitted at the request of the TGA.</w:t>
      </w:r>
      <w:r w:rsidR="00B66DC3">
        <w:t xml:space="preserve"> </w:t>
      </w:r>
      <w:r w:rsidRPr="00774F5B">
        <w:t xml:space="preserve">Consequently, an assessment of both of these studies in respect of the quality issues </w:t>
      </w:r>
      <w:r w:rsidR="00C83708">
        <w:t xml:space="preserve">was </w:t>
      </w:r>
      <w:r w:rsidRPr="00774F5B">
        <w:t xml:space="preserve">undertaken </w:t>
      </w:r>
      <w:r w:rsidR="00C83708">
        <w:t xml:space="preserve">in </w:t>
      </w:r>
      <w:r w:rsidRPr="00774F5B">
        <w:t>a Supplementary CER.</w:t>
      </w:r>
      <w:r w:rsidR="00D90AC8">
        <w:t>]</w:t>
      </w:r>
    </w:p>
    <w:p w:rsidR="00C83708" w:rsidRDefault="00774F5B" w:rsidP="00774F5B">
      <w:r w:rsidRPr="00774F5B">
        <w:t>The eva</w:t>
      </w:r>
      <w:r w:rsidR="00C83708">
        <w:t>luator also noted the proposed f</w:t>
      </w:r>
      <w:r w:rsidRPr="00774F5B">
        <w:t xml:space="preserve">inal </w:t>
      </w:r>
      <w:r w:rsidR="00C83708">
        <w:t>p</w:t>
      </w:r>
      <w:r w:rsidRPr="00774F5B">
        <w:t xml:space="preserve">roduct </w:t>
      </w:r>
      <w:r w:rsidR="00C83708">
        <w:t>e</w:t>
      </w:r>
      <w:r w:rsidRPr="00774F5B">
        <w:t xml:space="preserve">ndotoxins specification, applied in conjugation with the modified </w:t>
      </w:r>
      <w:r w:rsidRPr="00774F5B">
        <w:rPr>
          <w:i/>
        </w:rPr>
        <w:t>in vivo</w:t>
      </w:r>
      <w:r w:rsidRPr="00774F5B">
        <w:t xml:space="preserve"> rabbit </w:t>
      </w:r>
      <w:proofErr w:type="spellStart"/>
      <w:r w:rsidRPr="00774F5B">
        <w:t>pyrogens</w:t>
      </w:r>
      <w:proofErr w:type="spellEnd"/>
      <w:r w:rsidRPr="00774F5B">
        <w:t xml:space="preserve"> test, is orders of magnitude higher than limits applied to most paediatric vaccines.</w:t>
      </w:r>
      <w:r w:rsidR="00B66DC3">
        <w:t xml:space="preserve"> </w:t>
      </w:r>
      <w:r w:rsidRPr="00774F5B">
        <w:t>The endotoxin content of Bexsero derives from the OMV component and is therefore an intrinsic part of the formulation.</w:t>
      </w:r>
      <w:r w:rsidR="00B66DC3">
        <w:t xml:space="preserve"> </w:t>
      </w:r>
      <w:r w:rsidRPr="00774F5B">
        <w:t>In response to questions during the evaluation process about the safety of batches of vaccine w</w:t>
      </w:r>
      <w:r w:rsidR="00C83708">
        <w:t>ith such levels of b</w:t>
      </w:r>
      <w:r w:rsidRPr="00774F5B">
        <w:t xml:space="preserve">acterial </w:t>
      </w:r>
      <w:r w:rsidR="00C83708">
        <w:t>e</w:t>
      </w:r>
      <w:r w:rsidRPr="00774F5B">
        <w:t xml:space="preserve">ndotoxins the </w:t>
      </w:r>
      <w:r w:rsidR="00792A92" w:rsidRPr="00792A92">
        <w:rPr>
          <w:lang w:val="en-US"/>
        </w:rPr>
        <w:t>sponsor</w:t>
      </w:r>
      <w:r w:rsidRPr="00774F5B">
        <w:t xml:space="preserve"> has sought to justify the proposed specification by reference to safety profiles of batches used in clinical studies.</w:t>
      </w:r>
      <w:r w:rsidR="00C83708">
        <w:t xml:space="preserve"> </w:t>
      </w:r>
      <w:r w:rsidRPr="00774F5B">
        <w:t xml:space="preserve">These two issues were considered to be beyond the scope of the </w:t>
      </w:r>
      <w:r w:rsidR="00C83708">
        <w:t xml:space="preserve">Quality </w:t>
      </w:r>
      <w:r w:rsidRPr="00774F5B">
        <w:t>evaluation.</w:t>
      </w:r>
    </w:p>
    <w:p w:rsidR="00774F5B" w:rsidRPr="00774F5B" w:rsidRDefault="00774F5B" w:rsidP="00774F5B">
      <w:r w:rsidRPr="00774F5B">
        <w:t xml:space="preserve">Pending clinical comment on the issues, the </w:t>
      </w:r>
      <w:r w:rsidR="00C83708">
        <w:t xml:space="preserve">quality </w:t>
      </w:r>
      <w:r w:rsidRPr="00774F5B">
        <w:t>evaluator considered the application was approvable on the condition that the sponsor provides the TGA with stability data that will become available from ongoing studies and notifies the TGA of any results that could indicate a trend towards diminished potency over the 24-month storage period.</w:t>
      </w:r>
      <w:r w:rsidR="00B66DC3">
        <w:t xml:space="preserve"> </w:t>
      </w:r>
      <w:r w:rsidRPr="00774F5B">
        <w:t xml:space="preserve">The </w:t>
      </w:r>
      <w:r w:rsidRPr="00774F5B">
        <w:lastRenderedPageBreak/>
        <w:t>PSC considered the retrospective use of the new assays was unacceptable and recommended that the decision regarding registration shou</w:t>
      </w:r>
      <w:r w:rsidR="001300EE">
        <w:t>ld be made on clinical grounds.</w:t>
      </w:r>
    </w:p>
    <w:p w:rsidR="008E7846" w:rsidRDefault="008E7846" w:rsidP="008E7846">
      <w:pPr>
        <w:pStyle w:val="Heading3"/>
      </w:pPr>
      <w:bookmarkStart w:id="225" w:name="_Toc314842512"/>
      <w:bookmarkStart w:id="226" w:name="_Toc370985745"/>
      <w:r>
        <w:t>Nonclinical</w:t>
      </w:r>
      <w:bookmarkEnd w:id="225"/>
      <w:bookmarkEnd w:id="226"/>
    </w:p>
    <w:p w:rsidR="005C5BC8" w:rsidRPr="005C5BC8" w:rsidRDefault="005C5BC8" w:rsidP="005C5BC8">
      <w:r w:rsidRPr="005C5BC8">
        <w:t>The clinical formulation of the vaccine was tested in pivotal toxicity and reproductive and developmental toxicity studies, as well as other related developmental vaccines.</w:t>
      </w:r>
    </w:p>
    <w:p w:rsidR="005C5BC8" w:rsidRPr="005C5BC8" w:rsidRDefault="005C5BC8" w:rsidP="005C5BC8">
      <w:r w:rsidRPr="005C5BC8">
        <w:t>Active protection was not investigated due to the lack of animal models of infection.</w:t>
      </w:r>
      <w:r w:rsidR="00B66DC3">
        <w:t xml:space="preserve"> </w:t>
      </w:r>
      <w:r w:rsidRPr="005C5BC8">
        <w:t>However, administration of the individual antigens and the clinical formulation to mice, guinea pigs, rabbits and non-human primates at doses ranging from a quarter to double the clinical dose proposed for humans demonstrated immunogenicity in terms of serum antibody (ELISA) and/or SBA titres.</w:t>
      </w:r>
      <w:r w:rsidR="00B66DC3">
        <w:t xml:space="preserve"> </w:t>
      </w:r>
      <w:r w:rsidRPr="005C5BC8">
        <w:t>The vaccine protein antigens, with or without OMVs, were immunogenic in rabbits.</w:t>
      </w:r>
      <w:r w:rsidR="00B66DC3">
        <w:t xml:space="preserve"> </w:t>
      </w:r>
      <w:r w:rsidRPr="005C5BC8">
        <w:t xml:space="preserve">Passive protection against bacteraemia by serogroup B strains was shown in infant rats administered </w:t>
      </w:r>
      <w:proofErr w:type="spellStart"/>
      <w:r w:rsidRPr="005C5BC8">
        <w:t>antisera</w:t>
      </w:r>
      <w:proofErr w:type="spellEnd"/>
      <w:r w:rsidRPr="005C5BC8">
        <w:t xml:space="preserve"> from vaccinated mice or guinea pigs.</w:t>
      </w:r>
    </w:p>
    <w:p w:rsidR="005C5BC8" w:rsidRPr="005C5BC8" w:rsidRDefault="005C5BC8" w:rsidP="005C5BC8">
      <w:r w:rsidRPr="005C5BC8">
        <w:t>No evidence of systemic toxicity was found in acute and repeat dose toxicity studies in which the clinical and related vaccine formulations were administered to rabbits at doses 1.3-2.1 times the dose proposed for a 5 kg infant, on the basis of bodyweight.</w:t>
      </w:r>
      <w:r w:rsidR="00B66DC3">
        <w:t xml:space="preserve"> </w:t>
      </w:r>
      <w:r w:rsidRPr="005C5BC8">
        <w:t>However, there were small, significant increases in fibrinogen and globulin levels, and leukocyte and neutrophil counts, indicative of a transient immune/inflammatory response.</w:t>
      </w:r>
      <w:r w:rsidR="00B66DC3">
        <w:t xml:space="preserve"> </w:t>
      </w:r>
      <w:r w:rsidRPr="005C5BC8">
        <w:t xml:space="preserve">Injection site reactions characteristic of an </w:t>
      </w:r>
      <w:proofErr w:type="gramStart"/>
      <w:r w:rsidRPr="005C5BC8">
        <w:t>Al(</w:t>
      </w:r>
      <w:proofErr w:type="gramEnd"/>
      <w:r w:rsidRPr="005C5BC8">
        <w:t>OH)</w:t>
      </w:r>
      <w:r w:rsidRPr="005C5BC8">
        <w:rPr>
          <w:vertAlign w:val="subscript"/>
        </w:rPr>
        <w:t>3</w:t>
      </w:r>
      <w:r w:rsidRPr="005C5BC8">
        <w:t>-adjuvanted vaccine were slightly more frequent and severe in vaccinated rabbits in comparison with controls, but within acceptable levels. Reproductive and developmental toxicity studies in female rabbits did not identify any clinically relevant negative effects.</w:t>
      </w:r>
    </w:p>
    <w:p w:rsidR="005C5BC8" w:rsidRPr="005C5BC8" w:rsidRDefault="005C5BC8" w:rsidP="005C5BC8">
      <w:r w:rsidRPr="005C5BC8">
        <w:t xml:space="preserve">The main toxicity consideration was that the vaccine contains a relatively large amount of LPS, which is highly </w:t>
      </w:r>
      <w:proofErr w:type="spellStart"/>
      <w:r w:rsidRPr="005C5BC8">
        <w:t>pyrogenic</w:t>
      </w:r>
      <w:proofErr w:type="spellEnd"/>
      <w:r w:rsidRPr="005C5BC8">
        <w:t xml:space="preserve"> in its free form.</w:t>
      </w:r>
      <w:r w:rsidR="00B66DC3">
        <w:t xml:space="preserve"> </w:t>
      </w:r>
      <w:r w:rsidR="00C83708">
        <w:t>The non</w:t>
      </w:r>
      <w:r w:rsidRPr="005C5BC8">
        <w:t xml:space="preserve">clinical evaluator noted that the </w:t>
      </w:r>
      <w:proofErr w:type="spellStart"/>
      <w:r w:rsidRPr="005C5BC8">
        <w:t>pyrogenicity</w:t>
      </w:r>
      <w:proofErr w:type="spellEnd"/>
      <w:r w:rsidRPr="005C5BC8">
        <w:t xml:space="preserve"> of LPS is substantially reduced when associated with proteins in OMVs, and further reduced by adsorption of the OMVs to </w:t>
      </w:r>
      <w:proofErr w:type="gramStart"/>
      <w:r w:rsidRPr="005C5BC8">
        <w:t>Al(</w:t>
      </w:r>
      <w:proofErr w:type="gramEnd"/>
      <w:r w:rsidRPr="005C5BC8">
        <w:t>OH)</w:t>
      </w:r>
      <w:r w:rsidRPr="005C5BC8">
        <w:rPr>
          <w:vertAlign w:val="subscript"/>
        </w:rPr>
        <w:t>3</w:t>
      </w:r>
      <w:r w:rsidRPr="005C5BC8">
        <w:t xml:space="preserve"> adjuvant.</w:t>
      </w:r>
      <w:r w:rsidR="00B66DC3">
        <w:t xml:space="preserve"> </w:t>
      </w:r>
      <w:r w:rsidRPr="005C5BC8">
        <w:t xml:space="preserve">However, a toxicity study with a related OMV vaccine reported elevated rectal temperatures in rabbits, indicative of residual </w:t>
      </w:r>
      <w:proofErr w:type="spellStart"/>
      <w:r w:rsidRPr="005C5BC8">
        <w:t>pyrogenicity</w:t>
      </w:r>
      <w:proofErr w:type="spellEnd"/>
      <w:r w:rsidRPr="005C5BC8">
        <w:t>.</w:t>
      </w:r>
      <w:r w:rsidR="00B66DC3">
        <w:t xml:space="preserve"> </w:t>
      </w:r>
      <w:r w:rsidRPr="005C5BC8">
        <w:t>Cons</w:t>
      </w:r>
      <w:r w:rsidR="00C83708">
        <w:t>equently, the non</w:t>
      </w:r>
      <w:r w:rsidRPr="005C5BC8">
        <w:t xml:space="preserve">clinical evaluator recommended that registration should be subject to satisfactory clinical investigation of vaccine </w:t>
      </w:r>
      <w:proofErr w:type="spellStart"/>
      <w:r w:rsidRPr="005C5BC8">
        <w:t>pyrogenic</w:t>
      </w:r>
      <w:proofErr w:type="spellEnd"/>
      <w:r w:rsidRPr="005C5BC8">
        <w:t xml:space="preserve"> potential, particularly in infants.</w:t>
      </w:r>
    </w:p>
    <w:p w:rsidR="008E7846" w:rsidRDefault="008E7846" w:rsidP="008E7846">
      <w:pPr>
        <w:pStyle w:val="Heading3"/>
      </w:pPr>
      <w:bookmarkStart w:id="227" w:name="_Toc247691530"/>
      <w:bookmarkStart w:id="228" w:name="_Toc314842513"/>
      <w:bookmarkStart w:id="229" w:name="_Toc370985746"/>
      <w:r>
        <w:t>Clinical</w:t>
      </w:r>
      <w:bookmarkEnd w:id="227"/>
      <w:bookmarkEnd w:id="228"/>
      <w:bookmarkEnd w:id="229"/>
    </w:p>
    <w:p w:rsidR="00917449" w:rsidRPr="00917449" w:rsidRDefault="00917449" w:rsidP="00917449">
      <w:r w:rsidRPr="00917449">
        <w:t>The clinical evaluator has provided a detailed evaluation of a substantial amount of complex clinical data.</w:t>
      </w:r>
      <w:r w:rsidR="00B66DC3">
        <w:t xml:space="preserve"> </w:t>
      </w:r>
      <w:r w:rsidRPr="00917449">
        <w:t xml:space="preserve">An overview of the studies included in the clinical development program is located at Table </w:t>
      </w:r>
      <w:r w:rsidR="001D7C7D">
        <w:t>4</w:t>
      </w:r>
      <w:r w:rsidR="003F7012">
        <w:t>, above</w:t>
      </w:r>
      <w:r w:rsidRPr="00917449">
        <w:t>.</w:t>
      </w:r>
    </w:p>
    <w:p w:rsidR="00917449" w:rsidRPr="00917449" w:rsidRDefault="00917449" w:rsidP="00917449">
      <w:r w:rsidRPr="00917449">
        <w:t>Early studies (V72P1, V72P1E1, V72P2 and V72P3) were conducted using the first vaccine formulation containing the three recombinant meningococcal proteins, with or without OMV derived from the Norwegian strain 44/76 (OMV NW). Results from these studies were used to guide the subsequent development program and have not been included in the submission.</w:t>
      </w:r>
      <w:r w:rsidR="00B66DC3">
        <w:t xml:space="preserve"> </w:t>
      </w:r>
      <w:r w:rsidRPr="00917449">
        <w:t>Study V72P5 was the first to evaluate safety and immunogenicity of</w:t>
      </w:r>
      <w:r w:rsidR="00D04F44">
        <w:t xml:space="preserve"> the final vaccine formulation.</w:t>
      </w:r>
    </w:p>
    <w:p w:rsidR="00917449" w:rsidRPr="003F7012" w:rsidRDefault="00917449" w:rsidP="003F7012">
      <w:r w:rsidRPr="003F7012">
        <w:t>Studies V72P4, V72P5 and V72P6 provided data for dose finding.</w:t>
      </w:r>
      <w:r w:rsidR="00B66DC3" w:rsidRPr="003F7012">
        <w:t xml:space="preserve"> </w:t>
      </w:r>
      <w:r w:rsidRPr="003F7012">
        <w:t>Nine studies established the immunogenicity of the vaccine: 3 studies (V72P10, V72P4, and V72P5) in subjects 11 years of age and older (adolescents 11 to 17 years of age and adults 18 to 50 years of age); and 6 studies (V72P13, V72P13E1, V72P13E2, V72P12, V72P9, and V72P6) in infants and toddlers.</w:t>
      </w:r>
      <w:r w:rsidR="00B66DC3" w:rsidRPr="003F7012">
        <w:t xml:space="preserve"> </w:t>
      </w:r>
      <w:r w:rsidRPr="003F7012">
        <w:t xml:space="preserve">Overall, data were available for </w:t>
      </w:r>
      <w:r w:rsidR="00D90AC8">
        <w:t>1503</w:t>
      </w:r>
      <w:r w:rsidR="00D90AC8" w:rsidRPr="003F7012">
        <w:t xml:space="preserve"> </w:t>
      </w:r>
      <w:r w:rsidR="0039703B">
        <w:t xml:space="preserve">vaccinated (from 1631 enrolled) </w:t>
      </w:r>
      <w:r w:rsidRPr="003F7012">
        <w:t xml:space="preserve">adolescents 11 to 17 years of age, 81 adults 18 to 50 years of age, and 4843 infants 2 to 23 months of age exposed to at least </w:t>
      </w:r>
      <w:r w:rsidR="003805DF" w:rsidRPr="003F7012">
        <w:t>1</w:t>
      </w:r>
      <w:r w:rsidRPr="003F7012">
        <w:t xml:space="preserve"> dose of the rMenB+OMV NZ vaccine.</w:t>
      </w:r>
      <w:r w:rsidR="00B66DC3" w:rsidRPr="003F7012">
        <w:t xml:space="preserve"> </w:t>
      </w:r>
      <w:r w:rsidRPr="003F7012">
        <w:t xml:space="preserve">Of the 6555 </w:t>
      </w:r>
      <w:r w:rsidRPr="003F7012">
        <w:lastRenderedPageBreak/>
        <w:t>subjects involved in the clinical development program, 1715 received a booster dose (either a third or fourth dose of vaccine).</w:t>
      </w:r>
      <w:r w:rsidR="00B66DC3" w:rsidRPr="003F7012">
        <w:t xml:space="preserve"> </w:t>
      </w:r>
      <w:r w:rsidRPr="003F7012">
        <w:t xml:space="preserve">Three pivotal studies cover the two main intended populations – infants from 2 months of age (V72P13) and 12 to 15 months (booster/catch-up </w:t>
      </w:r>
      <w:r w:rsidR="00610E2C">
        <w:t>S</w:t>
      </w:r>
      <w:r w:rsidRPr="003F7012">
        <w:t xml:space="preserve">tudy V72P13E1); and </w:t>
      </w:r>
      <w:r w:rsidR="0052637C">
        <w:t xml:space="preserve">subjects </w:t>
      </w:r>
      <w:r w:rsidRPr="003F7012">
        <w:t>aged 11 to 17 years (V72P10).</w:t>
      </w:r>
    </w:p>
    <w:p w:rsidR="00917449" w:rsidRPr="00917449" w:rsidRDefault="00917449" w:rsidP="00917449">
      <w:pPr>
        <w:rPr>
          <w:bCs/>
        </w:rPr>
      </w:pPr>
      <w:r w:rsidRPr="00917449">
        <w:t>Immunogenicity has been assessed using a serum bactericidal assay with human serum as the source of exogenous complement (</w:t>
      </w:r>
      <w:proofErr w:type="spellStart"/>
      <w:r w:rsidRPr="00917449">
        <w:t>hSBA</w:t>
      </w:r>
      <w:proofErr w:type="spellEnd"/>
      <w:r w:rsidRPr="00917449">
        <w:t>).</w:t>
      </w:r>
      <w:r w:rsidR="00B66DC3">
        <w:t xml:space="preserve"> </w:t>
      </w:r>
      <w:r w:rsidRPr="00917449">
        <w:t xml:space="preserve">This is a generally accepted scientific method for assessment of human immunity to the </w:t>
      </w:r>
      <w:proofErr w:type="spellStart"/>
      <w:r w:rsidRPr="00917449">
        <w:t>meningococcus</w:t>
      </w:r>
      <w:proofErr w:type="spellEnd"/>
      <w:r w:rsidR="003F7012">
        <w:t>.</w:t>
      </w:r>
      <w:r w:rsidRPr="00917449">
        <w:rPr>
          <w:vertAlign w:val="superscript"/>
        </w:rPr>
        <w:footnoteReference w:id="38"/>
      </w:r>
      <w:r w:rsidR="00B66DC3">
        <w:t xml:space="preserve"> </w:t>
      </w:r>
      <w:r w:rsidRPr="00917449">
        <w:t xml:space="preserve">The SBA measures levels of antibodies that recognise bacterial surface antigens and are capable of directing complement-mediated bacterial </w:t>
      </w:r>
      <w:proofErr w:type="spellStart"/>
      <w:r w:rsidRPr="00917449">
        <w:t>lysis</w:t>
      </w:r>
      <w:proofErr w:type="spellEnd"/>
      <w:r w:rsidRPr="00917449">
        <w:t xml:space="preserve">, the main mechanism by which </w:t>
      </w:r>
      <w:r w:rsidRPr="00917449">
        <w:rPr>
          <w:i/>
        </w:rPr>
        <w:t>N. meningitidis</w:t>
      </w:r>
      <w:r w:rsidRPr="00917449">
        <w:t xml:space="preserve"> serogroup B strains are killed after natural infection.</w:t>
      </w:r>
      <w:r w:rsidR="00B66DC3">
        <w:t xml:space="preserve"> </w:t>
      </w:r>
      <w:r w:rsidRPr="00917449">
        <w:t xml:space="preserve">A panel of 15 strains was used to test functional immune responses by </w:t>
      </w:r>
      <w:proofErr w:type="spellStart"/>
      <w:r w:rsidRPr="00917449">
        <w:t>hSBA</w:t>
      </w:r>
      <w:proofErr w:type="spellEnd"/>
      <w:r w:rsidRPr="00917449">
        <w:t xml:space="preserve"> in the early phase I studies. Subsequently, three “reference me</w:t>
      </w:r>
      <w:r w:rsidR="003F7012">
        <w:t>ningococcal serogroup B strains,</w:t>
      </w:r>
      <w:r w:rsidRPr="00917449">
        <w:t xml:space="preserve"> NZ98/254, 44/76 and 5/99</w:t>
      </w:r>
      <w:r w:rsidR="003F7012">
        <w:t>,</w:t>
      </w:r>
      <w:r w:rsidRPr="00917449">
        <w:t xml:space="preserve"> were used.</w:t>
      </w:r>
      <w:r w:rsidR="00B66DC3">
        <w:t xml:space="preserve"> </w:t>
      </w:r>
      <w:r w:rsidRPr="00917449">
        <w:t>These reference strains are virulent strains isolated from cases of invasive disease.</w:t>
      </w:r>
      <w:r w:rsidR="00B66DC3">
        <w:t xml:space="preserve"> </w:t>
      </w:r>
      <w:r w:rsidRPr="00917449">
        <w:t xml:space="preserve">Strain NZ98/254 assesses bactericidal antibodies induced by the </w:t>
      </w:r>
      <w:proofErr w:type="spellStart"/>
      <w:r w:rsidRPr="00917449">
        <w:t>immunodominant</w:t>
      </w:r>
      <w:proofErr w:type="spellEnd"/>
      <w:r w:rsidRPr="00917449">
        <w:t xml:space="preserve"> PorA1.4 antigen in the OMV NZ; strain 44/76 assesses SBA induced by </w:t>
      </w:r>
      <w:proofErr w:type="spellStart"/>
      <w:r w:rsidRPr="00917449">
        <w:t>fHBP</w:t>
      </w:r>
      <w:proofErr w:type="spellEnd"/>
      <w:r w:rsidRPr="00917449">
        <w:t xml:space="preserve">; and strain 5/99 for assesses SBA induced by </w:t>
      </w:r>
      <w:proofErr w:type="spellStart"/>
      <w:r w:rsidRPr="00917449">
        <w:t>NadA</w:t>
      </w:r>
      <w:proofErr w:type="spellEnd"/>
      <w:r w:rsidRPr="00917449">
        <w:t>.</w:t>
      </w:r>
      <w:r w:rsidR="00B66DC3">
        <w:t xml:space="preserve"> </w:t>
      </w:r>
      <w:r w:rsidRPr="00917449">
        <w:t xml:space="preserve">An NHBA-specific ELISA assay was used to measure antibody responses against the NHBA </w:t>
      </w:r>
      <w:r w:rsidRPr="00917449">
        <w:rPr>
          <w:i/>
        </w:rPr>
        <w:t>in lieu</w:t>
      </w:r>
      <w:r w:rsidRPr="00917449">
        <w:t xml:space="preserve"> of an appropriate, non-recombinant wild type strain.</w:t>
      </w:r>
      <w:r w:rsidR="00B66DC3">
        <w:t xml:space="preserve"> </w:t>
      </w:r>
      <w:r w:rsidRPr="00917449">
        <w:t>However, recently strain M10713 was identified as a suitable reference strain for evaluating NHBA-specific bactericidal killing and these data were presented where available.</w:t>
      </w:r>
    </w:p>
    <w:p w:rsidR="00917449" w:rsidRPr="00917449" w:rsidRDefault="00917449" w:rsidP="00917449">
      <w:r w:rsidRPr="00917449">
        <w:t xml:space="preserve">The primary endpoint of the early clinical studies was the proportion of subjects with </w:t>
      </w:r>
      <w:proofErr w:type="spellStart"/>
      <w:r w:rsidRPr="00917449">
        <w:t>hSBA</w:t>
      </w:r>
      <w:proofErr w:type="spellEnd"/>
      <w:r w:rsidRPr="00917449">
        <w:t xml:space="preserve"> titres ≥ 1:4 against each of the reference strains.</w:t>
      </w:r>
      <w:r w:rsidR="00B66DC3">
        <w:t xml:space="preserve"> </w:t>
      </w:r>
      <w:r w:rsidRPr="00917449">
        <w:t xml:space="preserve">The sponsor chose a threshold of 1:4 because it had been shown that a naturally acquired </w:t>
      </w:r>
      <w:proofErr w:type="spellStart"/>
      <w:r w:rsidRPr="00917449">
        <w:t>hSBA</w:t>
      </w:r>
      <w:proofErr w:type="spellEnd"/>
      <w:r w:rsidRPr="00917449">
        <w:t xml:space="preserve"> titre of ≥ 1:4 provided protection against serogroup C among young adults</w:t>
      </w:r>
      <w:r w:rsidRPr="00917449">
        <w:rPr>
          <w:vertAlign w:val="superscript"/>
        </w:rPr>
        <w:t>3</w:t>
      </w:r>
      <w:r w:rsidRPr="00917449">
        <w:t xml:space="preserve"> and efficacy data from Norwegian OMV vaccine trials suggested that </w:t>
      </w:r>
      <w:proofErr w:type="spellStart"/>
      <w:r w:rsidRPr="00917449">
        <w:t>hSBA</w:t>
      </w:r>
      <w:proofErr w:type="spellEnd"/>
      <w:r w:rsidRPr="00917449">
        <w:t xml:space="preserve"> titres ≥ 1:4 correlate with clinical efficacy</w:t>
      </w:r>
      <w:r w:rsidR="003F7012">
        <w:t>.</w:t>
      </w:r>
      <w:r w:rsidRPr="00917449">
        <w:rPr>
          <w:vertAlign w:val="superscript"/>
        </w:rPr>
        <w:footnoteReference w:id="39"/>
      </w:r>
      <w:r w:rsidR="00B66DC3">
        <w:t xml:space="preserve"> </w:t>
      </w:r>
      <w:r w:rsidR="003F7012">
        <w:t>However, in the P</w:t>
      </w:r>
      <w:r w:rsidRPr="00917449">
        <w:t xml:space="preserve">hase III studies V72P13 and V72P13E1 (but not the recent V72P10 </w:t>
      </w:r>
      <w:r w:rsidR="00610E2C">
        <w:t>S</w:t>
      </w:r>
      <w:r w:rsidRPr="00917449">
        <w:t xml:space="preserve">tudy) the threshold was set to a more conservative 1:5, as validation of the Novartis </w:t>
      </w:r>
      <w:proofErr w:type="spellStart"/>
      <w:r w:rsidRPr="00917449">
        <w:t>hSBA</w:t>
      </w:r>
      <w:proofErr w:type="spellEnd"/>
      <w:r w:rsidRPr="00917449">
        <w:t xml:space="preserve"> showed that the lower limit of the </w:t>
      </w:r>
      <w:r w:rsidR="005B2A9D">
        <w:t>2</w:t>
      </w:r>
      <w:r w:rsidRPr="00917449">
        <w:t xml:space="preserve">-sided 95% </w:t>
      </w:r>
      <w:r w:rsidR="003F7012">
        <w:t xml:space="preserve">CI </w:t>
      </w:r>
      <w:r w:rsidRPr="00917449">
        <w:t xml:space="preserve">for a titre of 1:5 is a titre of 1:4, using linear interpolated </w:t>
      </w:r>
      <w:proofErr w:type="spellStart"/>
      <w:r w:rsidRPr="00917449">
        <w:t>hSBA</w:t>
      </w:r>
      <w:proofErr w:type="spellEnd"/>
      <w:r w:rsidRPr="00917449">
        <w:t xml:space="preserve"> titres.</w:t>
      </w:r>
      <w:r w:rsidR="00B66DC3">
        <w:t xml:space="preserve"> </w:t>
      </w:r>
      <w:r w:rsidRPr="00917449">
        <w:t xml:space="preserve">Other endpoints included </w:t>
      </w:r>
      <w:proofErr w:type="spellStart"/>
      <w:r w:rsidRPr="00917449">
        <w:t>hSBA</w:t>
      </w:r>
      <w:proofErr w:type="spellEnd"/>
      <w:r w:rsidRPr="00917449">
        <w:t xml:space="preserve"> </w:t>
      </w:r>
      <w:r w:rsidR="003F7012">
        <w:t xml:space="preserve">GMT </w:t>
      </w:r>
      <w:r w:rsidRPr="00917449">
        <w:t>response and GMR to baseline.</w:t>
      </w:r>
    </w:p>
    <w:p w:rsidR="00917449" w:rsidRPr="00917449" w:rsidRDefault="00CF4502" w:rsidP="00B31CC0">
      <w:pPr>
        <w:pStyle w:val="Heading4"/>
      </w:pPr>
      <w:r>
        <w:t>Studies in i</w:t>
      </w:r>
      <w:r w:rsidR="00917449" w:rsidRPr="00917449">
        <w:t xml:space="preserve">nfants and </w:t>
      </w:r>
      <w:r>
        <w:t>t</w:t>
      </w:r>
      <w:r w:rsidR="00917449" w:rsidRPr="00917449">
        <w:t>oddlers</w:t>
      </w:r>
    </w:p>
    <w:p w:rsidR="00917449" w:rsidRPr="00917449" w:rsidRDefault="00917449" w:rsidP="00370505">
      <w:pPr>
        <w:pStyle w:val="ListBullet"/>
        <w:rPr>
          <w:bCs/>
        </w:rPr>
      </w:pPr>
      <w:r w:rsidRPr="00917449">
        <w:rPr>
          <w:bCs/>
        </w:rPr>
        <w:t xml:space="preserve">V72P13 was a </w:t>
      </w:r>
      <w:r w:rsidR="003F7012">
        <w:rPr>
          <w:bCs/>
        </w:rPr>
        <w:t>large, well conducted pivotal, P</w:t>
      </w:r>
      <w:r w:rsidRPr="00917449">
        <w:rPr>
          <w:bCs/>
        </w:rPr>
        <w:t>hase III study conducted in 3630 infants aged 2 months at entry.</w:t>
      </w:r>
      <w:r w:rsidR="00B66DC3">
        <w:rPr>
          <w:bCs/>
        </w:rPr>
        <w:t xml:space="preserve"> </w:t>
      </w:r>
      <w:r w:rsidRPr="00917449">
        <w:t xml:space="preserve">Three injections of rMenB+OMV NZ were administered </w:t>
      </w:r>
      <w:r w:rsidR="003F7012">
        <w:t xml:space="preserve">IM </w:t>
      </w:r>
      <w:r w:rsidRPr="00917449">
        <w:t>at 2, 4 and 6 months of age along with routinely administered infant vaccines (</w:t>
      </w:r>
      <w:proofErr w:type="spellStart"/>
      <w:r w:rsidRPr="00917449">
        <w:t>Infanrix</w:t>
      </w:r>
      <w:proofErr w:type="spellEnd"/>
      <w:r w:rsidRPr="00917449">
        <w:t xml:space="preserve"> </w:t>
      </w:r>
      <w:proofErr w:type="spellStart"/>
      <w:r w:rsidRPr="00917449">
        <w:t>Hexa</w:t>
      </w:r>
      <w:proofErr w:type="spellEnd"/>
      <w:r w:rsidRPr="00917449">
        <w:t xml:space="preserve"> and </w:t>
      </w:r>
      <w:proofErr w:type="spellStart"/>
      <w:r w:rsidRPr="00917449">
        <w:t>Prevenar</w:t>
      </w:r>
      <w:proofErr w:type="spellEnd"/>
      <w:r w:rsidRPr="00917449">
        <w:t>).</w:t>
      </w:r>
      <w:r w:rsidR="00B66DC3">
        <w:t xml:space="preserve"> </w:t>
      </w:r>
      <w:r w:rsidRPr="00917449">
        <w:t>The study assessed the immunogenicity (</w:t>
      </w:r>
      <w:proofErr w:type="spellStart"/>
      <w:r w:rsidRPr="00917449">
        <w:t>hSBA</w:t>
      </w:r>
      <w:proofErr w:type="spellEnd"/>
      <w:r w:rsidRPr="00917449">
        <w:t xml:space="preserve"> titre) and safety of rMenB+OMV NZ and the consistency of the antibody response to 3 consecutively produced lots of rMenB+OMV NZ.</w:t>
      </w:r>
      <w:r w:rsidR="00B66DC3">
        <w:t xml:space="preserve"> </w:t>
      </w:r>
      <w:r w:rsidRPr="00917449">
        <w:t xml:space="preserve">Immune responses were considered acceptable if the lower limit of the 95%CI for the proportion of subjects with </w:t>
      </w:r>
      <w:proofErr w:type="spellStart"/>
      <w:r w:rsidRPr="00917449">
        <w:t>hSBA</w:t>
      </w:r>
      <w:proofErr w:type="spellEnd"/>
      <w:r w:rsidRPr="00917449">
        <w:t xml:space="preserve"> titres ≥ 1:5 for the 3 lots combined was ≥ 70%.</w:t>
      </w:r>
      <w:r w:rsidR="00B66DC3">
        <w:t xml:space="preserve"> </w:t>
      </w:r>
      <w:r w:rsidRPr="00917449">
        <w:t>Immunogenicity of the 3 lots was considered equivalent if the 2-sided 95%</w:t>
      </w:r>
      <w:r w:rsidR="003F7012">
        <w:t xml:space="preserve"> </w:t>
      </w:r>
      <w:r w:rsidRPr="00917449">
        <w:t>CI for the ratio of GMTs at 1 months after the 3 vaccinations for each of the 3 strains and each pair of vaccine lots fell within 0.50 to 2.00.</w:t>
      </w:r>
    </w:p>
    <w:p w:rsidR="003F7012" w:rsidRDefault="00917449" w:rsidP="003F7012">
      <w:pPr>
        <w:ind w:left="360"/>
      </w:pPr>
      <w:r w:rsidRPr="00917449">
        <w:t>Robust immunogenicity of rMenB+OMV NZ was observed in all treatment groups for all strains.</w:t>
      </w:r>
      <w:r w:rsidR="00B66DC3">
        <w:t xml:space="preserve"> </w:t>
      </w:r>
      <w:r w:rsidRPr="00917449">
        <w:t xml:space="preserve">The proportion of subjects with an </w:t>
      </w:r>
      <w:proofErr w:type="spellStart"/>
      <w:r w:rsidRPr="00917449">
        <w:t>hSBA</w:t>
      </w:r>
      <w:proofErr w:type="spellEnd"/>
      <w:r w:rsidRPr="00917449">
        <w:t xml:space="preserve"> titre ≥ 1:5 at 1 month following the third vaccination were 100% against each of the 44/76 and 5/99 strains and 84% against the NZ98/254 strain, with a lower limit of the </w:t>
      </w:r>
      <w:r w:rsidR="005B2A9D">
        <w:t>2</w:t>
      </w:r>
      <w:r w:rsidRPr="00917449">
        <w:t xml:space="preserve">-sided 95% CI ≥ 70% for all </w:t>
      </w:r>
      <w:r w:rsidRPr="00917449">
        <w:lastRenderedPageBreak/>
        <w:t>strains for the three lots combined.</w:t>
      </w:r>
      <w:r w:rsidR="00B66DC3">
        <w:t xml:space="preserve"> </w:t>
      </w:r>
      <w:r w:rsidRPr="00917449">
        <w:t>Of particular note, response rates using SBA titres ≥ 1:8 were 72% against NZ98/254 and 100% against the 44/76 and 5/99 strains.</w:t>
      </w:r>
    </w:p>
    <w:p w:rsidR="003F7012" w:rsidRDefault="00917449" w:rsidP="003F7012">
      <w:pPr>
        <w:ind w:left="360"/>
      </w:pPr>
      <w:r w:rsidRPr="00917449">
        <w:t xml:space="preserve">Antibody responses were also consistent from lot-to-lot of the vaccine, with the </w:t>
      </w:r>
      <w:r w:rsidR="005B2A9D">
        <w:t>2</w:t>
      </w:r>
      <w:r w:rsidRPr="00917449">
        <w:t>-sided 95%CI for the ratio of GMTs at 1 month after the third vaccination entirely contained within an interval of 0.74 to 1.33 for all three pairs of rMenB+OMV NZ vaccine lots for each strain.</w:t>
      </w:r>
    </w:p>
    <w:p w:rsidR="00917449" w:rsidRPr="00917449" w:rsidRDefault="00917449" w:rsidP="00A118D7">
      <w:pPr>
        <w:ind w:left="360"/>
      </w:pPr>
      <w:r w:rsidRPr="00917449">
        <w:t>The study was also designed to demonstrate that the immunogenicity and safety of routine infan</w:t>
      </w:r>
      <w:r w:rsidR="003F7012">
        <w:t>t vaccines (</w:t>
      </w:r>
      <w:r w:rsidR="00A118D7">
        <w:t xml:space="preserve">combined diphtheria and tetanus </w:t>
      </w:r>
      <w:proofErr w:type="spellStart"/>
      <w:r w:rsidR="00A118D7">
        <w:t>toxoids</w:t>
      </w:r>
      <w:proofErr w:type="spellEnd"/>
      <w:r w:rsidR="00A118D7">
        <w:t xml:space="preserve">, </w:t>
      </w:r>
      <w:proofErr w:type="spellStart"/>
      <w:r w:rsidR="00A118D7">
        <w:t>acellular</w:t>
      </w:r>
      <w:proofErr w:type="spellEnd"/>
      <w:r w:rsidR="00A118D7">
        <w:t xml:space="preserve"> </w:t>
      </w:r>
      <w:proofErr w:type="spellStart"/>
      <w:r w:rsidR="00A118D7">
        <w:t>pertussis</w:t>
      </w:r>
      <w:proofErr w:type="spellEnd"/>
      <w:r w:rsidR="00A118D7">
        <w:t xml:space="preserve"> adsorbed</w:t>
      </w:r>
      <w:r w:rsidR="000A130E">
        <w:t xml:space="preserve"> (</w:t>
      </w:r>
      <w:proofErr w:type="spellStart"/>
      <w:r w:rsidR="000A130E" w:rsidRPr="000A130E">
        <w:t>DTaP</w:t>
      </w:r>
      <w:proofErr w:type="spellEnd"/>
      <w:r w:rsidR="000A130E">
        <w:t>)</w:t>
      </w:r>
      <w:r w:rsidR="00A118D7">
        <w:t xml:space="preserve">, </w:t>
      </w:r>
      <w:r w:rsidR="00452A2F">
        <w:t xml:space="preserve">inactivated poliovirus (IPV), </w:t>
      </w:r>
      <w:r w:rsidR="00A118D7">
        <w:t>hepatitis B (recombinant)</w:t>
      </w:r>
      <w:r w:rsidR="000A130E">
        <w:t xml:space="preserve"> (HBV)</w:t>
      </w:r>
      <w:r w:rsidR="00A118D7">
        <w:t xml:space="preserve">, </w:t>
      </w:r>
      <w:proofErr w:type="spellStart"/>
      <w:r w:rsidR="00A118D7">
        <w:t>Haemophilus</w:t>
      </w:r>
      <w:proofErr w:type="spellEnd"/>
      <w:r w:rsidR="00A118D7">
        <w:t xml:space="preserve"> influenza type b (</w:t>
      </w:r>
      <w:proofErr w:type="spellStart"/>
      <w:r w:rsidRPr="00917449">
        <w:t>Hib</w:t>
      </w:r>
      <w:proofErr w:type="spellEnd"/>
      <w:r w:rsidR="00A118D7">
        <w:t>)</w:t>
      </w:r>
      <w:r w:rsidRPr="00917449">
        <w:t xml:space="preserve"> </w:t>
      </w:r>
      <w:r w:rsidR="000A130E">
        <w:t xml:space="preserve">(that is, combined </w:t>
      </w:r>
      <w:proofErr w:type="spellStart"/>
      <w:r w:rsidR="000A130E" w:rsidRPr="000A130E">
        <w:t>DTaP</w:t>
      </w:r>
      <w:proofErr w:type="spellEnd"/>
      <w:r w:rsidR="000A130E" w:rsidRPr="000A130E">
        <w:t>-IPV-HBV-</w:t>
      </w:r>
      <w:proofErr w:type="spellStart"/>
      <w:r w:rsidR="000A130E" w:rsidRPr="000A130E">
        <w:t>Hib</w:t>
      </w:r>
      <w:proofErr w:type="spellEnd"/>
      <w:r w:rsidR="000A130E" w:rsidRPr="000A130E">
        <w:t xml:space="preserve"> vaccine</w:t>
      </w:r>
      <w:r w:rsidR="000A130E">
        <w:t>)</w:t>
      </w:r>
      <w:r w:rsidR="000A130E" w:rsidRPr="000A130E">
        <w:t xml:space="preserve"> </w:t>
      </w:r>
      <w:r w:rsidRPr="00917449">
        <w:t>and pneumococcal conjugate vaccine) when given concomitantly with rMenB+OMV NZ at 2, 4 and 6 months of age was non-inferior to that of routine vaccines given without rMenB+OMV NZ, where non-inferiority was defined as a lower limit (LL) of the 2-sided 95%</w:t>
      </w:r>
      <w:r w:rsidR="000A130E">
        <w:t xml:space="preserve"> </w:t>
      </w:r>
      <w:r w:rsidRPr="00917449">
        <w:t xml:space="preserve">CI for the difference in the proportion of subjects with antibody response </w:t>
      </w:r>
      <w:r w:rsidR="000A130E">
        <w:t xml:space="preserve">≥ </w:t>
      </w:r>
      <w:r w:rsidRPr="00917449">
        <w:t xml:space="preserve">a </w:t>
      </w:r>
      <w:proofErr w:type="spellStart"/>
      <w:r w:rsidRPr="00917449">
        <w:t>cut</w:t>
      </w:r>
      <w:r w:rsidR="000A130E">
        <w:noBreakHyphen/>
      </w:r>
      <w:r w:rsidRPr="00917449">
        <w:t>off</w:t>
      </w:r>
      <w:proofErr w:type="spellEnd"/>
      <w:r w:rsidRPr="00917449">
        <w:t xml:space="preserve"> level pre-specified for that antigen was greater than -10%.</w:t>
      </w:r>
      <w:r w:rsidR="00B66DC3">
        <w:t xml:space="preserve"> </w:t>
      </w:r>
      <w:r w:rsidRPr="00917449">
        <w:t>Non-inferiority was demonstrated for diphtheria, teta</w:t>
      </w:r>
      <w:r w:rsidR="00452A2F">
        <w:t xml:space="preserve">nus, </w:t>
      </w:r>
      <w:proofErr w:type="spellStart"/>
      <w:r w:rsidR="00452A2F">
        <w:t>pertussis</w:t>
      </w:r>
      <w:proofErr w:type="spellEnd"/>
      <w:r w:rsidR="00452A2F">
        <w:t xml:space="preserve"> (</w:t>
      </w:r>
      <w:proofErr w:type="spellStart"/>
      <w:r w:rsidR="00452A2F">
        <w:t>pertussis</w:t>
      </w:r>
      <w:proofErr w:type="spellEnd"/>
      <w:r w:rsidR="00452A2F">
        <w:t xml:space="preserve"> toxin and</w:t>
      </w:r>
      <w:r w:rsidRPr="00917449">
        <w:t xml:space="preserve"> </w:t>
      </w:r>
      <w:r w:rsidR="000A130E" w:rsidRPr="000A130E">
        <w:t xml:space="preserve">filamentous </w:t>
      </w:r>
      <w:proofErr w:type="spellStart"/>
      <w:r w:rsidR="000A130E" w:rsidRPr="000A130E">
        <w:t>hemagglutinin</w:t>
      </w:r>
      <w:proofErr w:type="spellEnd"/>
      <w:r w:rsidR="000A130E" w:rsidRPr="000A130E">
        <w:t xml:space="preserve"> </w:t>
      </w:r>
      <w:r w:rsidR="000A130E">
        <w:t>antigens)</w:t>
      </w:r>
      <w:r w:rsidRPr="00917449">
        <w:t xml:space="preserve">, HBV, polio types 1 and 3, </w:t>
      </w:r>
      <w:proofErr w:type="spellStart"/>
      <w:r w:rsidRPr="00917449">
        <w:t>Hib</w:t>
      </w:r>
      <w:proofErr w:type="spellEnd"/>
      <w:r w:rsidRPr="00917449">
        <w:t xml:space="preserve"> antigens contained in </w:t>
      </w:r>
      <w:proofErr w:type="spellStart"/>
      <w:r w:rsidRPr="00917449">
        <w:t>Infanrix</w:t>
      </w:r>
      <w:proofErr w:type="spellEnd"/>
      <w:r w:rsidRPr="00917449">
        <w:t xml:space="preserve"> </w:t>
      </w:r>
      <w:proofErr w:type="spellStart"/>
      <w:r w:rsidRPr="00917449">
        <w:t>Hexa</w:t>
      </w:r>
      <w:proofErr w:type="spellEnd"/>
      <w:r w:rsidRPr="00917449">
        <w:t xml:space="preserve"> and the 7 pneumococcal antigens contained in </w:t>
      </w:r>
      <w:proofErr w:type="spellStart"/>
      <w:r w:rsidRPr="00917449">
        <w:t>Prevenar</w:t>
      </w:r>
      <w:proofErr w:type="spellEnd"/>
      <w:r w:rsidRPr="00917449">
        <w:t>.</w:t>
      </w:r>
      <w:r w:rsidR="00B66DC3">
        <w:t xml:space="preserve"> </w:t>
      </w:r>
      <w:r w:rsidRPr="00917449">
        <w:t xml:space="preserve">However, non-inferiority criteria were not met for the </w:t>
      </w:r>
      <w:proofErr w:type="spellStart"/>
      <w:r w:rsidRPr="00917449">
        <w:t>pertactin</w:t>
      </w:r>
      <w:proofErr w:type="spellEnd"/>
      <w:r w:rsidRPr="00917449">
        <w:t xml:space="preserve"> component of </w:t>
      </w:r>
      <w:proofErr w:type="spellStart"/>
      <w:r w:rsidRPr="00917449">
        <w:t>pertussis</w:t>
      </w:r>
      <w:proofErr w:type="spellEnd"/>
      <w:r w:rsidRPr="00917449">
        <w:t xml:space="preserve"> vaccine (95%CI LL= -16%) and polio type 2 (95%CI LL=-11%).</w:t>
      </w:r>
    </w:p>
    <w:p w:rsidR="00917449" w:rsidRPr="00917449" w:rsidRDefault="00917449" w:rsidP="00370505">
      <w:pPr>
        <w:pStyle w:val="ListBullet"/>
      </w:pPr>
      <w:r w:rsidRPr="00917449">
        <w:t xml:space="preserve">V72P13E1 was </w:t>
      </w:r>
      <w:r w:rsidR="000A130E">
        <w:t xml:space="preserve">a </w:t>
      </w:r>
      <w:r w:rsidRPr="00917449">
        <w:t xml:space="preserve">booster/catch-up study conducted as an extension of </w:t>
      </w:r>
      <w:r w:rsidR="00610E2C">
        <w:t>S</w:t>
      </w:r>
      <w:r w:rsidRPr="00917449">
        <w:t>tudy V72P13.</w:t>
      </w:r>
      <w:r w:rsidR="00B66DC3">
        <w:t xml:space="preserve"> </w:t>
      </w:r>
      <w:r w:rsidRPr="00917449">
        <w:t>A total of 2249 toddlers who completed the parent study and who were then aged 12 months were randomised to receive a fourth (booster) dose of rMenB+OMV NZ with or without concomitant routine MMRV.</w:t>
      </w:r>
      <w:r w:rsidR="00B66DC3">
        <w:t xml:space="preserve"> </w:t>
      </w:r>
      <w:r w:rsidRPr="00917449">
        <w:t xml:space="preserve">Those subjects from the parent study who received routine immunisations only were randomised 3:1 to receive either MMRV alone at 12 months of age followed by </w:t>
      </w:r>
      <w:r w:rsidR="005B2A9D">
        <w:t>2</w:t>
      </w:r>
      <w:r w:rsidRPr="00917449">
        <w:t xml:space="preserve"> doses of rMenB+OMV NZ at 13 and 15 months of age or </w:t>
      </w:r>
      <w:r w:rsidR="005B2A9D">
        <w:t>2</w:t>
      </w:r>
      <w:r w:rsidRPr="00917449">
        <w:t xml:space="preserve"> doses of rMenB+OMV NZ, </w:t>
      </w:r>
      <w:r w:rsidR="003805DF">
        <w:t>1</w:t>
      </w:r>
      <w:r w:rsidRPr="00917449">
        <w:t xml:space="preserve"> at 12 months of age (with concomitant MMRV) and </w:t>
      </w:r>
      <w:r w:rsidR="003805DF">
        <w:t>1</w:t>
      </w:r>
      <w:r w:rsidRPr="00917449">
        <w:t xml:space="preserve"> at 14 months of age. The other control subjects from the parent study who received routine immunisations co-administered with </w:t>
      </w:r>
      <w:proofErr w:type="spellStart"/>
      <w:r w:rsidRPr="00917449">
        <w:t>Menjugate</w:t>
      </w:r>
      <w:proofErr w:type="spellEnd"/>
      <w:r w:rsidRPr="00917449">
        <w:t xml:space="preserve"> were randomised 1:1 to receive either a single dose of rMenB+OMV NZ together with MMRV at 12 months of age or a single dose of rMenB+OMV NZ at 12 months of age, followed by MMRV vaccination at 13 months of age.</w:t>
      </w:r>
      <w:r w:rsidR="00B66DC3">
        <w:t xml:space="preserve"> </w:t>
      </w:r>
      <w:r w:rsidRPr="00917449">
        <w:t>The 12-month booster produced a significant immune response in infants primed with a 3-dose primary course</w:t>
      </w:r>
      <w:r w:rsidR="000A130E">
        <w:t>:</w:t>
      </w:r>
      <w:r w:rsidRPr="00917449">
        <w:t xml:space="preserve"> 100%, 100% and 94%-97% subjects achieved </w:t>
      </w:r>
      <w:proofErr w:type="spellStart"/>
      <w:r w:rsidRPr="00917449">
        <w:t>hSBA</w:t>
      </w:r>
      <w:proofErr w:type="spellEnd"/>
      <w:r w:rsidRPr="00917449">
        <w:t xml:space="preserve"> ≥1:5 against reference strains 44/76, 5/99 and NZ98/254, respectively.</w:t>
      </w:r>
      <w:r w:rsidR="00B66DC3">
        <w:t xml:space="preserve"> </w:t>
      </w:r>
      <w:r w:rsidRPr="00917449">
        <w:t>The primary criterion for sufficient immune response (</w:t>
      </w:r>
      <w:r w:rsidR="000A130E">
        <w:t>LL</w:t>
      </w:r>
      <w:r w:rsidRPr="00917449">
        <w:t xml:space="preserve"> of the </w:t>
      </w:r>
      <w:r w:rsidR="005B2A9D">
        <w:t>2</w:t>
      </w:r>
      <w:r w:rsidRPr="00917449">
        <w:t>-sided 95% CI ≥ 75%) was achieved for all three reference strains.</w:t>
      </w:r>
      <w:r w:rsidR="00B66DC3">
        <w:t xml:space="preserve"> </w:t>
      </w:r>
      <w:r w:rsidR="000A130E">
        <w:t>Also, both 2</w:t>
      </w:r>
      <w:r w:rsidR="000A130E">
        <w:noBreakHyphen/>
      </w:r>
      <w:r w:rsidRPr="00917449">
        <w:t>dose schedules in naïve infants produced a response similar to that seen in the boosted primed infants.</w:t>
      </w:r>
      <w:r w:rsidR="00B66DC3">
        <w:t xml:space="preserve"> </w:t>
      </w:r>
      <w:r w:rsidRPr="00917449">
        <w:t>There was no interference with the responses to MMR</w:t>
      </w:r>
      <w:r w:rsidR="0007306A">
        <w:t>V</w:t>
      </w:r>
      <w:r w:rsidRPr="00917449">
        <w:t>.</w:t>
      </w:r>
      <w:r w:rsidR="00B66DC3">
        <w:t xml:space="preserve"> </w:t>
      </w:r>
      <w:r w:rsidRPr="00917449">
        <w:t xml:space="preserve">Non-inferiority was not met for </w:t>
      </w:r>
      <w:proofErr w:type="spellStart"/>
      <w:r w:rsidRPr="00917449">
        <w:t>varicella</w:t>
      </w:r>
      <w:proofErr w:type="spellEnd"/>
      <w:r w:rsidRPr="00917449">
        <w:t xml:space="preserve"> using the </w:t>
      </w:r>
      <w:proofErr w:type="spellStart"/>
      <w:r w:rsidRPr="00917449">
        <w:t>seroprotection</w:t>
      </w:r>
      <w:proofErr w:type="spellEnd"/>
      <w:r w:rsidRPr="00917449">
        <w:t xml:space="preserve"> cut-off, although the difference in rates between groups was only 2%. The evaluator concluded that, as subjects had </w:t>
      </w:r>
      <w:r w:rsidR="005B2A9D">
        <w:t xml:space="preserve">received </w:t>
      </w:r>
      <w:r w:rsidRPr="00917449">
        <w:t xml:space="preserve">only </w:t>
      </w:r>
      <w:r w:rsidR="005B2A9D">
        <w:t xml:space="preserve">1 </w:t>
      </w:r>
      <w:r w:rsidRPr="00917449">
        <w:t xml:space="preserve">of the </w:t>
      </w:r>
      <w:r w:rsidR="005B2A9D">
        <w:t xml:space="preserve">2 </w:t>
      </w:r>
      <w:r w:rsidRPr="00917449">
        <w:t xml:space="preserve">recommended MMRV doses, this finding is unlikely to be clinically important as the difference in </w:t>
      </w:r>
      <w:proofErr w:type="spellStart"/>
      <w:r w:rsidRPr="00917449">
        <w:t>seroprotection</w:t>
      </w:r>
      <w:proofErr w:type="spellEnd"/>
      <w:r w:rsidRPr="00917449">
        <w:t xml:space="preserve"> rates is minimal.</w:t>
      </w:r>
    </w:p>
    <w:p w:rsidR="00917449" w:rsidRPr="00917449" w:rsidRDefault="00917449" w:rsidP="00370505">
      <w:pPr>
        <w:pStyle w:val="ListBullet"/>
      </w:pPr>
      <w:r w:rsidRPr="00917449">
        <w:t xml:space="preserve">V72P13E2 enrolled 508 subjects, comprising 392 subjects who had participated in the open-label extension </w:t>
      </w:r>
      <w:r w:rsidR="00610E2C">
        <w:t>S</w:t>
      </w:r>
      <w:r w:rsidRPr="00917449">
        <w:t xml:space="preserve">tudy V72P13E1. The study investigated antibody persistence </w:t>
      </w:r>
      <w:r w:rsidR="003805DF">
        <w:t>1</w:t>
      </w:r>
      <w:r w:rsidRPr="00917449">
        <w:t xml:space="preserve"> year after the booster dose given in V72P13E1, and booster response in toddlers </w:t>
      </w:r>
      <w:r w:rsidR="003805DF">
        <w:t>1</w:t>
      </w:r>
      <w:r w:rsidRPr="00917449">
        <w:t xml:space="preserve"> year after a 2-dose schedule administered in the second year of life.</w:t>
      </w:r>
      <w:r w:rsidR="00B66DC3">
        <w:t xml:space="preserve"> </w:t>
      </w:r>
      <w:r w:rsidRPr="00917449">
        <w:t>An additional group of 116 naïve subjects (defined as subjects who had never previously received any meningococcal B vaccine) approximately 24 months of age were recruited at the same study sites.</w:t>
      </w:r>
      <w:r w:rsidR="00B66DC3">
        <w:t xml:space="preserve"> </w:t>
      </w:r>
      <w:r w:rsidRPr="00917449">
        <w:t xml:space="preserve">Interim results demonstrated persistence of bactericidal antibodies at </w:t>
      </w:r>
      <w:r w:rsidR="003805DF">
        <w:t>1</w:t>
      </w:r>
      <w:r w:rsidRPr="00917449">
        <w:t xml:space="preserve"> year after the booster (fourth) dose of rMenB+OMV NZ administered at 12 months of age, as well as after </w:t>
      </w:r>
      <w:r w:rsidR="005B2A9D">
        <w:t>2</w:t>
      </w:r>
      <w:r w:rsidRPr="00917449">
        <w:t xml:space="preserve"> catch-up doses of rMenB+OMV NZ administered to toddlers at either 12 and 14 or 13 and 15 months of age.</w:t>
      </w:r>
      <w:r w:rsidR="00B66DC3">
        <w:t xml:space="preserve"> </w:t>
      </w:r>
      <w:proofErr w:type="gramStart"/>
      <w:r w:rsidRPr="00917449">
        <w:t>rMenB+</w:t>
      </w:r>
      <w:proofErr w:type="gramEnd"/>
      <w:r w:rsidRPr="00917449">
        <w:t xml:space="preserve">OMV NZ was also found to be </w:t>
      </w:r>
      <w:r w:rsidRPr="00917449">
        <w:lastRenderedPageBreak/>
        <w:t xml:space="preserve">highly immunogenic when given as a booster (third) dose at </w:t>
      </w:r>
      <w:r w:rsidR="003805DF">
        <w:t>1</w:t>
      </w:r>
      <w:r w:rsidRPr="00917449">
        <w:t xml:space="preserve"> year after a </w:t>
      </w:r>
      <w:r w:rsidR="005B2A9D">
        <w:t>2</w:t>
      </w:r>
      <w:r w:rsidRPr="00917449">
        <w:t>-dose catch-up schedule in toddlers.</w:t>
      </w:r>
    </w:p>
    <w:p w:rsidR="00917449" w:rsidRPr="00917449" w:rsidRDefault="00917449" w:rsidP="00370505">
      <w:pPr>
        <w:pStyle w:val="ListBullet"/>
      </w:pPr>
      <w:r w:rsidRPr="00917449">
        <w:t xml:space="preserve">V72P12 </w:t>
      </w:r>
      <w:r w:rsidR="00CD50BB">
        <w:t>was a large, well conducted P</w:t>
      </w:r>
      <w:r w:rsidRPr="00917449">
        <w:t xml:space="preserve">hase </w:t>
      </w:r>
      <w:proofErr w:type="spellStart"/>
      <w:r w:rsidRPr="00917449">
        <w:t>IIb</w:t>
      </w:r>
      <w:proofErr w:type="spellEnd"/>
      <w:r w:rsidRPr="00917449">
        <w:t xml:space="preserve"> study comparing different vaccination schedules and non-interference with routine vaccinations, involving 1885 infants aged 2 months at entry.</w:t>
      </w:r>
      <w:r w:rsidR="00B66DC3">
        <w:t xml:space="preserve"> </w:t>
      </w:r>
      <w:proofErr w:type="gramStart"/>
      <w:r w:rsidRPr="00917449">
        <w:t>rMenB+</w:t>
      </w:r>
      <w:proofErr w:type="gramEnd"/>
      <w:r w:rsidRPr="00917449">
        <w:t xml:space="preserve">OMV NZ was administered using doses either </w:t>
      </w:r>
      <w:r w:rsidR="003805DF">
        <w:t>1</w:t>
      </w:r>
      <w:r w:rsidRPr="00917449">
        <w:t xml:space="preserve"> or </w:t>
      </w:r>
      <w:r w:rsidR="005B2A9D">
        <w:t>2</w:t>
      </w:r>
      <w:r w:rsidRPr="00917449">
        <w:t xml:space="preserve"> months apart, commencing at 2 months, either concomitantly or separated from other childhood vaccinations. Overall, there was a robust and sufficient bactericidal antibody response observed after 3 doses of rMenB+OMV NZ in all groups. The immunogenicity results were considered to support the use of rMenB+OMV NZ, either with or without concomitant routine infant vaccines, using either the 2, 4 and 6-month schedule or the accelerated 2, 3 and 4-month schedule.</w:t>
      </w:r>
    </w:p>
    <w:p w:rsidR="00917449" w:rsidRPr="00917449" w:rsidRDefault="00917449" w:rsidP="008D7E22">
      <w:pPr>
        <w:pStyle w:val="ListBullet"/>
      </w:pPr>
      <w:r w:rsidRPr="00917449">
        <w:t xml:space="preserve">V72P9 was a small supporting </w:t>
      </w:r>
      <w:r w:rsidR="00CD50BB">
        <w:t>P</w:t>
      </w:r>
      <w:r w:rsidRPr="00917449">
        <w:t xml:space="preserve">hase II study in which 60 older infants aged 6-8 months at entry were randomised 1:1 to receive 3 doses of </w:t>
      </w:r>
      <w:proofErr w:type="spellStart"/>
      <w:r w:rsidRPr="00917449">
        <w:t>rMenB</w:t>
      </w:r>
      <w:proofErr w:type="spellEnd"/>
      <w:r w:rsidRPr="00917449">
        <w:t xml:space="preserve"> either with or without OMV NZ at enrolment, </w:t>
      </w:r>
      <w:r w:rsidR="005B2A9D">
        <w:t>2</w:t>
      </w:r>
      <w:r w:rsidRPr="00917449">
        <w:t xml:space="preserve"> months later and at 12 months of age.</w:t>
      </w:r>
      <w:r w:rsidR="00B66DC3">
        <w:t xml:space="preserve"> </w:t>
      </w:r>
      <w:r w:rsidRPr="00917449">
        <w:t xml:space="preserve">rMenB+OMV NZ was shown to effectively induce bactericidal antibodies following </w:t>
      </w:r>
      <w:r w:rsidR="005B2A9D">
        <w:t>2</w:t>
      </w:r>
      <w:r w:rsidRPr="00917449">
        <w:t xml:space="preserve"> doses at approximately 6 and 8 months of age, as measured by </w:t>
      </w:r>
      <w:proofErr w:type="spellStart"/>
      <w:r w:rsidRPr="00917449">
        <w:t>hSBA</w:t>
      </w:r>
      <w:proofErr w:type="spellEnd"/>
      <w:r w:rsidRPr="00917449">
        <w:t xml:space="preserve"> against strains 44/76, 5/99 and NZ98/254. The third dose administered at 12 months of age resulted in higher GMTs compared to the second dose for strains 5/99 and NZ98/254.</w:t>
      </w:r>
    </w:p>
    <w:p w:rsidR="00917449" w:rsidRPr="00917449" w:rsidRDefault="00917449" w:rsidP="008D7E22">
      <w:pPr>
        <w:pStyle w:val="ListBullet"/>
        <w:rPr>
          <w:bCs/>
        </w:rPr>
      </w:pPr>
      <w:r w:rsidRPr="00917449">
        <w:rPr>
          <w:bCs/>
        </w:rPr>
        <w:t xml:space="preserve">V72P6 </w:t>
      </w:r>
      <w:r w:rsidR="00CD50BB">
        <w:rPr>
          <w:bCs/>
        </w:rPr>
        <w:t>was a small supporting P</w:t>
      </w:r>
      <w:r w:rsidRPr="00917449">
        <w:rPr>
          <w:bCs/>
        </w:rPr>
        <w:t xml:space="preserve">hase II study in which 147 infants aged 2 months at entry </w:t>
      </w:r>
      <w:r w:rsidRPr="00917449">
        <w:t xml:space="preserve">were enrolled and randomised 2:2:1:1 ratio to receive either </w:t>
      </w:r>
      <w:proofErr w:type="spellStart"/>
      <w:r w:rsidRPr="00917449">
        <w:t>rMenB</w:t>
      </w:r>
      <w:proofErr w:type="spellEnd"/>
      <w:r w:rsidRPr="00917449">
        <w:t xml:space="preserve"> or </w:t>
      </w:r>
      <w:proofErr w:type="spellStart"/>
      <w:r w:rsidRPr="00917449">
        <w:t>rMenB+OMV</w:t>
      </w:r>
      <w:proofErr w:type="spellEnd"/>
      <w:r w:rsidRPr="00917449">
        <w:t xml:space="preserve"> NZ (administered at 2, 4, 6, and 12 months of age) or a single dose of </w:t>
      </w:r>
      <w:proofErr w:type="spellStart"/>
      <w:r w:rsidRPr="00917449">
        <w:t>rMenB</w:t>
      </w:r>
      <w:proofErr w:type="spellEnd"/>
      <w:r w:rsidRPr="00917449">
        <w:t xml:space="preserve"> or </w:t>
      </w:r>
      <w:proofErr w:type="spellStart"/>
      <w:r w:rsidRPr="00917449">
        <w:t>rMenB+OMV</w:t>
      </w:r>
      <w:proofErr w:type="spellEnd"/>
      <w:r w:rsidRPr="00917449">
        <w:t xml:space="preserve"> NZ at 12 months of age. Six months after the third dose the subjects received a fourth dose and w</w:t>
      </w:r>
      <w:r w:rsidR="00CD50BB">
        <w:t xml:space="preserve">ere followed up for a further 6 </w:t>
      </w:r>
      <w:r w:rsidRPr="00917449">
        <w:t xml:space="preserve">month period. </w:t>
      </w:r>
      <w:proofErr w:type="gramStart"/>
      <w:r w:rsidRPr="00917449">
        <w:t>rMenB+</w:t>
      </w:r>
      <w:proofErr w:type="gramEnd"/>
      <w:r w:rsidRPr="00917449">
        <w:t xml:space="preserve">OMV NZ was shown to effectively induce bactericidal antibodies in infants following </w:t>
      </w:r>
      <w:r w:rsidR="00605E32">
        <w:t>3</w:t>
      </w:r>
      <w:r w:rsidRPr="00917449">
        <w:t xml:space="preserve"> doses at 2, 4 and 6 months of age. The responses could be further boosted with a 4</w:t>
      </w:r>
      <w:r w:rsidRPr="00CD50BB">
        <w:rPr>
          <w:vertAlign w:val="superscript"/>
        </w:rPr>
        <w:t>th</w:t>
      </w:r>
      <w:r w:rsidR="00CD50BB">
        <w:t xml:space="preserve"> </w:t>
      </w:r>
      <w:r w:rsidRPr="00917449">
        <w:t xml:space="preserve">dose of rMenB+OMV NZ at 12 months of age, demonstrating that the infants had been primed with the </w:t>
      </w:r>
      <w:r w:rsidR="00605E32">
        <w:t>3</w:t>
      </w:r>
      <w:r w:rsidRPr="00917449">
        <w:t xml:space="preserve"> doses and immunological memory had been generated. This study provided sufficient evidence of immune responses to warrant the further development and evaluation of the rMenB+OMV NZ vaccine in infants in the phase 3 studies.</w:t>
      </w:r>
    </w:p>
    <w:p w:rsidR="00917449" w:rsidRPr="00917449" w:rsidRDefault="00CF4502" w:rsidP="00160D76">
      <w:pPr>
        <w:pStyle w:val="Heading4"/>
      </w:pPr>
      <w:r>
        <w:t>Studies in a</w:t>
      </w:r>
      <w:r w:rsidR="00917449" w:rsidRPr="00917449">
        <w:t>doles</w:t>
      </w:r>
      <w:r w:rsidR="00917449" w:rsidRPr="00B31CC0">
        <w:t>c</w:t>
      </w:r>
      <w:r w:rsidR="00917449" w:rsidRPr="00917449">
        <w:t xml:space="preserve">ents and </w:t>
      </w:r>
      <w:r>
        <w:t>a</w:t>
      </w:r>
      <w:r w:rsidR="00917449" w:rsidRPr="00917449">
        <w:t>dults</w:t>
      </w:r>
    </w:p>
    <w:p w:rsidR="00917449" w:rsidRPr="00917449" w:rsidRDefault="00917449" w:rsidP="008D7E22">
      <w:pPr>
        <w:pStyle w:val="ListBullet"/>
      </w:pPr>
      <w:r w:rsidRPr="00917449">
        <w:t>V72P10 was a large, well conducted</w:t>
      </w:r>
      <w:r w:rsidR="00CD50BB">
        <w:t>,</w:t>
      </w:r>
      <w:r w:rsidRPr="00917449">
        <w:t xml:space="preserve"> pivotal</w:t>
      </w:r>
      <w:r w:rsidR="00CD50BB">
        <w:t>,</w:t>
      </w:r>
      <w:r w:rsidRPr="00917449">
        <w:t xml:space="preserve"> </w:t>
      </w:r>
      <w:r w:rsidR="00CD50BB">
        <w:t>P</w:t>
      </w:r>
      <w:r w:rsidRPr="00917449">
        <w:t xml:space="preserve">hase </w:t>
      </w:r>
      <w:proofErr w:type="spellStart"/>
      <w:r w:rsidRPr="00917449">
        <w:t>IIb</w:t>
      </w:r>
      <w:proofErr w:type="spellEnd"/>
      <w:r w:rsidRPr="00917449">
        <w:t xml:space="preserve">/III study in which 1631 adolescents (11 to 17 years of age) were randomised to receive either placebo or rMenB+OMV NZ in a 1-, 2- or 3-dose schedule in order to evaluate the optimal vaccination schedule in an adolescent population. The </w:t>
      </w:r>
      <w:proofErr w:type="spellStart"/>
      <w:r w:rsidRPr="00917449">
        <w:t>multidose</w:t>
      </w:r>
      <w:proofErr w:type="spellEnd"/>
      <w:r w:rsidRPr="00917449">
        <w:t xml:space="preserve"> schedules investigated were 2 doses given 1, 2 or 6 months apart, 3 doses given </w:t>
      </w:r>
      <w:r w:rsidR="003805DF">
        <w:t>1</w:t>
      </w:r>
      <w:r w:rsidRPr="00917449">
        <w:t xml:space="preserve"> month apart, or 3 doses given at months 0, 1 and 6 or months 0, 2 and 6. </w:t>
      </w:r>
      <w:proofErr w:type="gramStart"/>
      <w:r w:rsidRPr="00917449">
        <w:t>rMenB+</w:t>
      </w:r>
      <w:proofErr w:type="gramEnd"/>
      <w:r w:rsidRPr="00917449">
        <w:t>OMV NZ was highly immunogenic for all vaccination schedules.</w:t>
      </w:r>
      <w:r w:rsidR="00B66DC3">
        <w:t xml:space="preserve"> </w:t>
      </w:r>
      <w:r w:rsidRPr="00917449">
        <w:t xml:space="preserve">The response was lower with a </w:t>
      </w:r>
      <w:r w:rsidR="003805DF">
        <w:t>1-</w:t>
      </w:r>
      <w:r w:rsidRPr="00917449">
        <w:t xml:space="preserve">dose schedule, whilst a </w:t>
      </w:r>
      <w:r w:rsidR="00605E32">
        <w:t>3-</w:t>
      </w:r>
      <w:r w:rsidRPr="00917449">
        <w:t xml:space="preserve">dose schedule did not add to the responses seen with the </w:t>
      </w:r>
      <w:r w:rsidR="005B2A9D">
        <w:t>2-</w:t>
      </w:r>
      <w:r w:rsidRPr="00917449">
        <w:t xml:space="preserve">dose schedule, both in terms of proportions of subjects with </w:t>
      </w:r>
      <w:proofErr w:type="spellStart"/>
      <w:r w:rsidRPr="00917449">
        <w:t>hSBA</w:t>
      </w:r>
      <w:proofErr w:type="spellEnd"/>
      <w:r w:rsidRPr="00917449">
        <w:t xml:space="preserve">≥ 1.4 and for </w:t>
      </w:r>
      <w:proofErr w:type="spellStart"/>
      <w:r w:rsidRPr="00917449">
        <w:t>hSBA</w:t>
      </w:r>
      <w:proofErr w:type="spellEnd"/>
      <w:r w:rsidRPr="00917449">
        <w:t xml:space="preserve"> GMTs, thus providing the basis for the proposed 2-</w:t>
      </w:r>
      <w:r w:rsidR="00B31CC0">
        <w:t>dose regimen in this age group.</w:t>
      </w:r>
    </w:p>
    <w:p w:rsidR="00917449" w:rsidRPr="00917449" w:rsidRDefault="00917449" w:rsidP="008D7E22">
      <w:pPr>
        <w:pStyle w:val="ListBullet"/>
        <w:rPr>
          <w:i/>
          <w:iCs/>
        </w:rPr>
      </w:pPr>
      <w:r w:rsidRPr="00917449">
        <w:t xml:space="preserve">V72P4 was a small </w:t>
      </w:r>
      <w:r w:rsidR="00CF4502">
        <w:t>P</w:t>
      </w:r>
      <w:r w:rsidRPr="00917449">
        <w:t xml:space="preserve">hase II, open-label study conducted in 54 at-risk laboratory workers aged 18 to 50 years routinely exposed to </w:t>
      </w:r>
      <w:r w:rsidRPr="00917449">
        <w:rPr>
          <w:i/>
          <w:iCs/>
        </w:rPr>
        <w:t>N.</w:t>
      </w:r>
      <w:r w:rsidR="00CF4502">
        <w:rPr>
          <w:i/>
          <w:iCs/>
        </w:rPr>
        <w:t xml:space="preserve"> </w:t>
      </w:r>
      <w:r w:rsidRPr="00917449">
        <w:rPr>
          <w:i/>
          <w:iCs/>
        </w:rPr>
        <w:t>meningitidis</w:t>
      </w:r>
      <w:r w:rsidRPr="00917449">
        <w:rPr>
          <w:iCs/>
        </w:rPr>
        <w:t>.</w:t>
      </w:r>
      <w:r w:rsidR="00B66DC3">
        <w:rPr>
          <w:iCs/>
        </w:rPr>
        <w:t xml:space="preserve"> </w:t>
      </w:r>
      <w:r w:rsidRPr="00917449">
        <w:rPr>
          <w:iCs/>
        </w:rPr>
        <w:t>T</w:t>
      </w:r>
      <w:r w:rsidRPr="00917449">
        <w:t xml:space="preserve">hree formulations of </w:t>
      </w:r>
      <w:proofErr w:type="spellStart"/>
      <w:r w:rsidRPr="00917449">
        <w:t>MenB</w:t>
      </w:r>
      <w:proofErr w:type="spellEnd"/>
      <w:r w:rsidRPr="00917449">
        <w:t xml:space="preserve"> vaccination were compared using a 3-dose schedule at 0, 2 and 6 months.</w:t>
      </w:r>
      <w:r w:rsidR="00B66DC3">
        <w:t xml:space="preserve"> </w:t>
      </w:r>
      <w:r w:rsidRPr="00917449">
        <w:t xml:space="preserve">rMenB+OMV NZ was shown to effectively induce bactericidal antibodies (irrespective of baseline titres) in adults following </w:t>
      </w:r>
      <w:r w:rsidR="005B2A9D">
        <w:t>2</w:t>
      </w:r>
      <w:r w:rsidRPr="00917449">
        <w:t xml:space="preserve"> doses at 0, and 2 months, as measured by </w:t>
      </w:r>
      <w:proofErr w:type="spellStart"/>
      <w:r w:rsidRPr="00917449">
        <w:t>hSBA</w:t>
      </w:r>
      <w:proofErr w:type="spellEnd"/>
      <w:r w:rsidRPr="00917449">
        <w:t xml:space="preserve"> against the three </w:t>
      </w:r>
      <w:proofErr w:type="spellStart"/>
      <w:r w:rsidRPr="00917449">
        <w:t>MenB</w:t>
      </w:r>
      <w:proofErr w:type="spellEnd"/>
      <w:r w:rsidRPr="00917449">
        <w:t xml:space="preserve"> reference strains, and that a third dose at 6 months may not provide added benefit.</w:t>
      </w:r>
      <w:r w:rsidR="00B66DC3">
        <w:t xml:space="preserve"> </w:t>
      </w:r>
      <w:r w:rsidRPr="00917449">
        <w:t>However, 59% subjects had major protocol deviations (including missing blood draws (56%), vaccination outside the window (20%) and missing any Men B vaccination (7%)).</w:t>
      </w:r>
    </w:p>
    <w:p w:rsidR="00917449" w:rsidRPr="00917449" w:rsidRDefault="00917449" w:rsidP="008D7E22">
      <w:pPr>
        <w:pStyle w:val="ListBullet"/>
        <w:rPr>
          <w:i/>
          <w:iCs/>
        </w:rPr>
      </w:pPr>
      <w:r w:rsidRPr="00917449">
        <w:lastRenderedPageBreak/>
        <w:t xml:space="preserve">V72P5 was a small </w:t>
      </w:r>
      <w:r w:rsidR="00CF4502">
        <w:t>P</w:t>
      </w:r>
      <w:r w:rsidRPr="00917449">
        <w:t>hase I study conducted in 70 adults 18 to 4</w:t>
      </w:r>
      <w:r w:rsidR="00556F7A">
        <w:t>0 years of age who were randomis</w:t>
      </w:r>
      <w:r w:rsidRPr="00917449">
        <w:t xml:space="preserve">ed 2:2:1 to receive </w:t>
      </w:r>
      <w:r w:rsidR="00605E32">
        <w:t>3</w:t>
      </w:r>
      <w:r w:rsidRPr="00917449">
        <w:t xml:space="preserve"> doses of rMenB+OMV NZ, </w:t>
      </w:r>
      <w:proofErr w:type="spellStart"/>
      <w:r w:rsidRPr="00917449">
        <w:t>rMenB+OMV</w:t>
      </w:r>
      <w:proofErr w:type="spellEnd"/>
      <w:r w:rsidRPr="00917449">
        <w:t xml:space="preserve"> NW, or </w:t>
      </w:r>
      <w:proofErr w:type="spellStart"/>
      <w:r w:rsidRPr="00917449">
        <w:t>rMenB</w:t>
      </w:r>
      <w:proofErr w:type="spellEnd"/>
      <w:r w:rsidRPr="00917449">
        <w:t xml:space="preserve"> administered on a 0, 1-, and 2-month schedule.</w:t>
      </w:r>
      <w:r w:rsidR="00B66DC3">
        <w:t xml:space="preserve"> </w:t>
      </w:r>
      <w:r w:rsidRPr="00917449">
        <w:t xml:space="preserve">Immunogenicity was evaluated against a panel of fifteen </w:t>
      </w:r>
      <w:r w:rsidRPr="00917449">
        <w:rPr>
          <w:i/>
          <w:iCs/>
        </w:rPr>
        <w:t xml:space="preserve">N. meningitidis </w:t>
      </w:r>
      <w:r w:rsidRPr="00917449">
        <w:t>serogroup B strains including the 3 re</w:t>
      </w:r>
      <w:r w:rsidR="00CF4502">
        <w:t>ference strains chosen for the P</w:t>
      </w:r>
      <w:r w:rsidRPr="00917449">
        <w:t xml:space="preserve">hase II and phase III studies. The proposed commercial formulation </w:t>
      </w:r>
      <w:proofErr w:type="spellStart"/>
      <w:r w:rsidRPr="00917449">
        <w:t>rMenB</w:t>
      </w:r>
      <w:proofErr w:type="spellEnd"/>
      <w:r w:rsidRPr="00917449">
        <w:t xml:space="preserve"> OMV NZ was more immunogenic than </w:t>
      </w:r>
      <w:proofErr w:type="spellStart"/>
      <w:r w:rsidRPr="00917449">
        <w:t>rMenB</w:t>
      </w:r>
      <w:proofErr w:type="spellEnd"/>
      <w:r w:rsidRPr="00917449">
        <w:t xml:space="preserve"> OMV NW, and both were more immunogenic than the vaccine without OMV. This was the basis for the use of </w:t>
      </w:r>
      <w:proofErr w:type="spellStart"/>
      <w:r w:rsidRPr="00917449">
        <w:t>rMenB</w:t>
      </w:r>
      <w:proofErr w:type="spellEnd"/>
      <w:r w:rsidRPr="00917449">
        <w:t xml:space="preserve"> OMV NZ in subsequent studies.</w:t>
      </w:r>
    </w:p>
    <w:p w:rsidR="00917449" w:rsidRPr="00917449" w:rsidRDefault="00917449" w:rsidP="00160D76">
      <w:pPr>
        <w:pStyle w:val="Heading4"/>
      </w:pPr>
      <w:r w:rsidRPr="00917449">
        <w:t>Safety</w:t>
      </w:r>
    </w:p>
    <w:p w:rsidR="00917449" w:rsidRPr="00917449" w:rsidRDefault="00917449" w:rsidP="00917449">
      <w:r w:rsidRPr="00917449">
        <w:t xml:space="preserve">Events of special interest occurring within 6 days after the day of injection (and assumed to be at least possibly related to the administration of the study vaccine) were solicited and used as indicators of </w:t>
      </w:r>
      <w:proofErr w:type="spellStart"/>
      <w:r w:rsidRPr="00917449">
        <w:t>reactogenicity</w:t>
      </w:r>
      <w:proofErr w:type="spellEnd"/>
      <w:r w:rsidRPr="00917449">
        <w:t>.</w:t>
      </w:r>
      <w:r w:rsidR="00B66DC3">
        <w:t xml:space="preserve"> </w:t>
      </w:r>
      <w:r w:rsidRPr="00917449">
        <w:t xml:space="preserve">These included </w:t>
      </w:r>
      <w:r w:rsidRPr="00917449">
        <w:rPr>
          <w:i/>
          <w:iCs/>
        </w:rPr>
        <w:t>local reactions</w:t>
      </w:r>
      <w:r w:rsidR="00160D76">
        <w:rPr>
          <w:i/>
          <w:iCs/>
        </w:rPr>
        <w:t>:</w:t>
      </w:r>
      <w:r w:rsidRPr="00917449">
        <w:rPr>
          <w:iCs/>
        </w:rPr>
        <w:t xml:space="preserve"> t</w:t>
      </w:r>
      <w:r w:rsidRPr="00917449">
        <w:t xml:space="preserve">enderness, erythema, swelling and induration; </w:t>
      </w:r>
      <w:r w:rsidRPr="00917449">
        <w:rPr>
          <w:i/>
          <w:iCs/>
        </w:rPr>
        <w:t>systemic reactions</w:t>
      </w:r>
      <w:r w:rsidR="00160D76">
        <w:rPr>
          <w:i/>
          <w:iCs/>
        </w:rPr>
        <w:t>:</w:t>
      </w:r>
      <w:r w:rsidRPr="00917449">
        <w:rPr>
          <w:iCs/>
        </w:rPr>
        <w:t xml:space="preserve"> c</w:t>
      </w:r>
      <w:r w:rsidRPr="00917449">
        <w:t xml:space="preserve">hange in eating habits, sleepiness, unusual crying, vomiting, diarrhoea, and irritability, rash; and </w:t>
      </w:r>
      <w:r w:rsidRPr="00917449">
        <w:rPr>
          <w:i/>
        </w:rPr>
        <w:t xml:space="preserve">other indicators of </w:t>
      </w:r>
      <w:proofErr w:type="spellStart"/>
      <w:r w:rsidRPr="00917449">
        <w:rPr>
          <w:i/>
        </w:rPr>
        <w:t>reactogenicity</w:t>
      </w:r>
      <w:proofErr w:type="spellEnd"/>
      <w:r w:rsidR="00160D76">
        <w:rPr>
          <w:i/>
        </w:rPr>
        <w:t>:</w:t>
      </w:r>
      <w:r w:rsidRPr="00917449">
        <w:t xml:space="preserve">  body temperature (and fever defined as </w:t>
      </w:r>
      <w:proofErr w:type="spellStart"/>
      <w:r w:rsidRPr="00917449">
        <w:t>axillary</w:t>
      </w:r>
      <w:proofErr w:type="spellEnd"/>
      <w:r w:rsidRPr="00917449">
        <w:t xml:space="preserve"> temperature ≥38.0°C), and use of analgesic/ antipyretics.</w:t>
      </w:r>
    </w:p>
    <w:p w:rsidR="00917449" w:rsidRPr="008D7E22" w:rsidRDefault="00917449" w:rsidP="008D7E22">
      <w:r w:rsidRPr="008D7E22">
        <w:t xml:space="preserve">The key safety findings in the </w:t>
      </w:r>
      <w:r w:rsidR="008D7E22" w:rsidRPr="008D7E22">
        <w:t>infant and</w:t>
      </w:r>
      <w:r w:rsidRPr="008D7E22">
        <w:t xml:space="preserve"> toddler studies were:</w:t>
      </w:r>
    </w:p>
    <w:p w:rsidR="00917449" w:rsidRPr="00917449" w:rsidRDefault="00917449" w:rsidP="008D7E22">
      <w:pPr>
        <w:pStyle w:val="ListBullet"/>
      </w:pPr>
      <w:proofErr w:type="gramStart"/>
      <w:r w:rsidRPr="00917449">
        <w:t>a</w:t>
      </w:r>
      <w:proofErr w:type="gramEnd"/>
      <w:r w:rsidRPr="00917449">
        <w:t xml:space="preserve"> very high incidence of mild or moderate local reactions at the injection site, comprising tenderness, erythema and induration. However, most of these reactions were transient and resolved within the 7 day observation window.</w:t>
      </w:r>
      <w:r w:rsidR="00B66DC3">
        <w:t xml:space="preserve"> </w:t>
      </w:r>
      <w:r w:rsidRPr="00917449">
        <w:t>Other than for tenderness, severe local reactions were infrequent;</w:t>
      </w:r>
    </w:p>
    <w:p w:rsidR="00917449" w:rsidRPr="00917449" w:rsidRDefault="00917449" w:rsidP="008D7E22">
      <w:pPr>
        <w:pStyle w:val="ListBullet"/>
      </w:pPr>
      <w:r w:rsidRPr="00917449">
        <w:t>injection site reactions were more frequently reported in infants receiving rMenB+OMV NZ with concomitant routine vaccines (</w:t>
      </w:r>
      <w:proofErr w:type="spellStart"/>
      <w:r w:rsidRPr="00917449">
        <w:t>Infanrix</w:t>
      </w:r>
      <w:proofErr w:type="spellEnd"/>
      <w:r w:rsidRPr="00917449">
        <w:t xml:space="preserve"> </w:t>
      </w:r>
      <w:proofErr w:type="spellStart"/>
      <w:r w:rsidRPr="00917449">
        <w:t>Hexa</w:t>
      </w:r>
      <w:proofErr w:type="spellEnd"/>
      <w:r w:rsidRPr="00917449">
        <w:t xml:space="preserve"> and </w:t>
      </w:r>
      <w:proofErr w:type="spellStart"/>
      <w:r w:rsidRPr="00917449">
        <w:t>Prevenar</w:t>
      </w:r>
      <w:proofErr w:type="spellEnd"/>
      <w:r w:rsidRPr="00917449">
        <w:t xml:space="preserve">) than those receiving </w:t>
      </w:r>
      <w:proofErr w:type="spellStart"/>
      <w:r w:rsidRPr="00917449">
        <w:t>MenC</w:t>
      </w:r>
      <w:proofErr w:type="spellEnd"/>
      <w:r w:rsidRPr="00917449">
        <w:t xml:space="preserve"> vaccine with concomitant routine vaccine or routine vaccines only;</w:t>
      </w:r>
    </w:p>
    <w:p w:rsidR="00917449" w:rsidRPr="00917449" w:rsidRDefault="00917449" w:rsidP="008D7E22">
      <w:pPr>
        <w:pStyle w:val="ListBullet"/>
      </w:pPr>
      <w:r w:rsidRPr="00917449">
        <w:t>local reaction rates for rMenB+OMV NZ were consistent across dose number in the schedule;</w:t>
      </w:r>
    </w:p>
    <w:p w:rsidR="00917449" w:rsidRPr="00917449" w:rsidRDefault="00917449" w:rsidP="008D7E22">
      <w:pPr>
        <w:pStyle w:val="ListBullet"/>
      </w:pPr>
      <w:proofErr w:type="gramStart"/>
      <w:r w:rsidRPr="00917449">
        <w:t>systemic</w:t>
      </w:r>
      <w:proofErr w:type="gramEnd"/>
      <w:r w:rsidRPr="00917449">
        <w:t xml:space="preserve"> reactions were very common following vaccination with rMenB+OMV NZ, although most were mild or moderate in nature.</w:t>
      </w:r>
      <w:r w:rsidR="00B66DC3">
        <w:t xml:space="preserve"> </w:t>
      </w:r>
      <w:r w:rsidRPr="00917449">
        <w:t xml:space="preserve">Apart from rash, the rates of solicited systemic reactions were higher in infants administered rMenB+OMV NZ concomitantly with routine vaccines at the 2, 4, 6-month schedule (up to 86%) compared to those subjects receiving </w:t>
      </w:r>
      <w:proofErr w:type="spellStart"/>
      <w:r w:rsidRPr="00917449">
        <w:t>MenC</w:t>
      </w:r>
      <w:proofErr w:type="spellEnd"/>
      <w:r w:rsidRPr="00917449">
        <w:t xml:space="preserve"> vaccine with routine vaccines or routine vaccines alone.</w:t>
      </w:r>
      <w:r w:rsidR="00B66DC3">
        <w:t xml:space="preserve"> </w:t>
      </w:r>
      <w:r w:rsidRPr="00917449">
        <w:t xml:space="preserve">Most of the systemic reactions occurred within the first </w:t>
      </w:r>
      <w:r w:rsidR="00605E32">
        <w:t>3</w:t>
      </w:r>
      <w:r w:rsidRPr="00917449">
        <w:t xml:space="preserve"> days and were transient, with few continuing past the day 7 observation window. As for the local reactions, there was no apparent cumulative effect of the booster dose of rMenB+OMV NZ; and</w:t>
      </w:r>
    </w:p>
    <w:p w:rsidR="005D787C" w:rsidRDefault="00917449" w:rsidP="00917449">
      <w:pPr>
        <w:pStyle w:val="ListBullet"/>
      </w:pPr>
      <w:r w:rsidRPr="00917449">
        <w:t>fever</w:t>
      </w:r>
      <w:r w:rsidR="00B66DC3">
        <w:t xml:space="preserve"> </w:t>
      </w:r>
      <w:r w:rsidRPr="00917449">
        <w:t xml:space="preserve">was reported in a high percentage of infants and was more frequently reported after receiving rMenB+OMV NZ with routine vaccinations (69-79%) than after routine vaccinations only (44-59%) and after routine vaccinations concomitantly administered with </w:t>
      </w:r>
      <w:proofErr w:type="spellStart"/>
      <w:r w:rsidRPr="00917449">
        <w:t>MenC</w:t>
      </w:r>
      <w:proofErr w:type="spellEnd"/>
      <w:r w:rsidRPr="00917449">
        <w:t xml:space="preserve"> vaccine (42-63%) across studies V72P12 and V72P13.</w:t>
      </w:r>
      <w:r w:rsidR="00B66DC3">
        <w:t xml:space="preserve"> </w:t>
      </w:r>
      <w:r w:rsidRPr="00917449">
        <w:t>Of note, in infants, the highest rate of fever after rMenB+OMV NZ was observed at 6 h</w:t>
      </w:r>
      <w:r w:rsidR="005D787C">
        <w:t xml:space="preserve"> </w:t>
      </w:r>
      <w:r w:rsidRPr="00917449">
        <w:t>post-vaccination and its duration was transient, resolving for most of the subjects by 48 h</w:t>
      </w:r>
      <w:r w:rsidR="005D787C">
        <w:t xml:space="preserve"> </w:t>
      </w:r>
      <w:r w:rsidRPr="00917449">
        <w:t>after vaccination on day 3.</w:t>
      </w:r>
      <w:r w:rsidR="00B66DC3">
        <w:t xml:space="preserve"> </w:t>
      </w:r>
      <w:r w:rsidRPr="00917449">
        <w:t>Also of note, in these studies parents were discouraged from administering prophylactic antipyretics in order to derive more accurate fever rates.</w:t>
      </w:r>
    </w:p>
    <w:p w:rsidR="00917449" w:rsidRPr="00917449" w:rsidRDefault="00917449" w:rsidP="005D787C">
      <w:pPr>
        <w:pStyle w:val="ListBullet"/>
        <w:numPr>
          <w:ilvl w:val="0"/>
          <w:numId w:val="0"/>
        </w:numPr>
        <w:ind w:left="360"/>
      </w:pPr>
      <w:r w:rsidRPr="00917449">
        <w:t>An interim report for Study V72P16 (submitted during the course of the TGA’s evaluation) suggested that fever associated with rMenB+OMV NZ can be reduced by prophylactic use of paracetamol just before administration of rMenB+OMV NZ + routine vaccines.</w:t>
      </w:r>
      <w:r w:rsidR="00B66DC3">
        <w:t xml:space="preserve"> </w:t>
      </w:r>
      <w:r w:rsidRPr="00917449">
        <w:t xml:space="preserve">The percentage of subjects reporting fever after any dose (fever ≥ 38.0°C) reduced from 88% to 76%, and fevers ≥ 38.5°C and ≥ 39.0°C were reduced </w:t>
      </w:r>
      <w:r w:rsidRPr="00917449">
        <w:lastRenderedPageBreak/>
        <w:t>from 69% to 39% and 30% to 13% of subjects, respectively.</w:t>
      </w:r>
      <w:r w:rsidR="00B66DC3">
        <w:t xml:space="preserve"> </w:t>
      </w:r>
      <w:r w:rsidRPr="00917449">
        <w:t xml:space="preserve">Importantly, prophylactic paracetamol had no clinically significant impact on the immune response to rMenB+OMV NZ or to the antigens in the routine vaccines </w:t>
      </w:r>
      <w:proofErr w:type="spellStart"/>
      <w:r w:rsidRPr="00917449">
        <w:t>InfanrixHexa</w:t>
      </w:r>
      <w:proofErr w:type="spellEnd"/>
      <w:r w:rsidRPr="00917449">
        <w:t xml:space="preserve"> and </w:t>
      </w:r>
      <w:proofErr w:type="spellStart"/>
      <w:r w:rsidRPr="00917449">
        <w:t>Prevenar</w:t>
      </w:r>
      <w:proofErr w:type="spellEnd"/>
      <w:r w:rsidRPr="00917449">
        <w:t>.</w:t>
      </w:r>
    </w:p>
    <w:p w:rsidR="00917449" w:rsidRPr="00917449" w:rsidRDefault="00917449" w:rsidP="00917449">
      <w:r w:rsidRPr="00917449">
        <w:t xml:space="preserve">Other adverse events of significance observed in the infant/toddler studies (discussed in detail in </w:t>
      </w:r>
      <w:r w:rsidR="005D787C">
        <w:t>the attached extract from the</w:t>
      </w:r>
      <w:r w:rsidRPr="00917449">
        <w:t xml:space="preserve"> CER) were Kawasaki Disease, hypotonic episodes, and febrile and non-febrile seizures, as follows:</w:t>
      </w:r>
    </w:p>
    <w:p w:rsidR="005D787C" w:rsidRDefault="00917449" w:rsidP="008D7E22">
      <w:pPr>
        <w:pStyle w:val="ListBullet"/>
      </w:pPr>
      <w:r w:rsidRPr="00917449">
        <w:t xml:space="preserve">7 cases of suspected </w:t>
      </w:r>
      <w:r w:rsidR="005D787C" w:rsidRPr="005D787C">
        <w:t>Kawasaki Disease</w:t>
      </w:r>
      <w:r w:rsidRPr="00917449">
        <w:t xml:space="preserve"> were reported (6 in subjects who received rMenB+OMV NZ and 1 in a control subject who received </w:t>
      </w:r>
      <w:proofErr w:type="spellStart"/>
      <w:r w:rsidRPr="00917449">
        <w:t>MenC</w:t>
      </w:r>
      <w:proofErr w:type="spellEnd"/>
      <w:r w:rsidRPr="00917449">
        <w:t>).</w:t>
      </w:r>
      <w:r w:rsidR="00B66DC3">
        <w:t xml:space="preserve"> </w:t>
      </w:r>
      <w:r w:rsidRPr="00917449">
        <w:t xml:space="preserve">Of the 6 cases occurring after vaccination with rMenB+OMV NZ, 3 were confirmed as </w:t>
      </w:r>
      <w:r w:rsidR="005D787C" w:rsidRPr="005D787C">
        <w:t>Kawasaki Disease</w:t>
      </w:r>
      <w:r w:rsidRPr="00917449">
        <w:t xml:space="preserve"> cases</w:t>
      </w:r>
      <w:r w:rsidRPr="00917449">
        <w:rPr>
          <w:vertAlign w:val="superscript"/>
        </w:rPr>
        <w:footnoteReference w:id="40"/>
      </w:r>
      <w:r w:rsidRPr="00917449">
        <w:t xml:space="preserve"> by a panel of </w:t>
      </w:r>
      <w:r w:rsidR="005D787C" w:rsidRPr="005D787C">
        <w:t>Kawasaki Disease</w:t>
      </w:r>
      <w:r w:rsidRPr="00917449">
        <w:t xml:space="preserve"> experts and of these, 2 cases occurred within the 30-day post vaccination risk window used by the panel to attribute a biologically plausible causal association with vaccination and 1 of these 2 cases received rMenB+OMV NZ alone.</w:t>
      </w:r>
      <w:r w:rsidR="00B66DC3">
        <w:t xml:space="preserve"> </w:t>
      </w:r>
      <w:r w:rsidRPr="00917449">
        <w:t xml:space="preserve">Of the 3 remaining suspected cases, 1 was thought to be probable </w:t>
      </w:r>
      <w:r w:rsidR="005D787C" w:rsidRPr="005D787C">
        <w:t>Kawasaki Disease</w:t>
      </w:r>
      <w:r w:rsidRPr="00917449">
        <w:t xml:space="preserve">, 1 was likely </w:t>
      </w:r>
      <w:r w:rsidR="005D787C" w:rsidRPr="005D787C">
        <w:t>Kawasaki Disease</w:t>
      </w:r>
      <w:r w:rsidRPr="00917449">
        <w:t xml:space="preserve"> and 1 was unlikely to be </w:t>
      </w:r>
      <w:r w:rsidR="005D787C" w:rsidRPr="005D787C">
        <w:t>Kawasaki Disease</w:t>
      </w:r>
      <w:r w:rsidRPr="00917449">
        <w:t xml:space="preserve"> and none were considered causally associated with vaccination (2 occurred more than 30 days after vaccination and 1 had onset of illness prior to vaccination with the first dose).</w:t>
      </w:r>
    </w:p>
    <w:p w:rsidR="00917449" w:rsidRPr="00917449" w:rsidRDefault="00917449" w:rsidP="005D787C">
      <w:pPr>
        <w:pStyle w:val="ListBullet"/>
        <w:numPr>
          <w:ilvl w:val="0"/>
          <w:numId w:val="0"/>
        </w:numPr>
        <w:ind w:left="360"/>
      </w:pPr>
      <w:r w:rsidRPr="00917449">
        <w:t>Overall, the cases did not allow a definitive assessment of the causal relationship. The co-administration of rMenB+OMV NZ with other vaccines was a confounding factor in 5 cases.</w:t>
      </w:r>
    </w:p>
    <w:p w:rsidR="00917449" w:rsidRPr="00917449" w:rsidRDefault="00917449" w:rsidP="008D7E22">
      <w:pPr>
        <w:pStyle w:val="ListBullet"/>
      </w:pPr>
      <w:r w:rsidRPr="00917449">
        <w:t xml:space="preserve">2 cases of hypotonic </w:t>
      </w:r>
      <w:proofErr w:type="spellStart"/>
      <w:r w:rsidRPr="00917449">
        <w:t>hyporesponsive</w:t>
      </w:r>
      <w:proofErr w:type="spellEnd"/>
      <w:r w:rsidRPr="00917449">
        <w:t xml:space="preserve"> episodes met the Brighton Collaboration case definition</w:t>
      </w:r>
      <w:r w:rsidR="003E01D5">
        <w:t>.</w:t>
      </w:r>
      <w:r w:rsidR="003E01D5">
        <w:rPr>
          <w:rStyle w:val="FootnoteReference"/>
        </w:rPr>
        <w:footnoteReference w:id="41"/>
      </w:r>
      <w:r w:rsidR="00B66DC3">
        <w:t xml:space="preserve"> </w:t>
      </w:r>
      <w:r w:rsidRPr="00917449">
        <w:t xml:space="preserve">One occurred within </w:t>
      </w:r>
      <w:r w:rsidR="003805DF">
        <w:t>1</w:t>
      </w:r>
      <w:r w:rsidRPr="00917449">
        <w:t xml:space="preserve"> day of vaccination with rMenB+OMV NZ co-administered with other vaccines and the other on the day of vaccination with routine vaccines </w:t>
      </w:r>
      <w:proofErr w:type="spellStart"/>
      <w:r w:rsidRPr="00917449">
        <w:t>Infanrix</w:t>
      </w:r>
      <w:proofErr w:type="spellEnd"/>
      <w:r w:rsidR="005D787C">
        <w:t xml:space="preserve"> </w:t>
      </w:r>
      <w:proofErr w:type="spellStart"/>
      <w:r w:rsidRPr="00917449">
        <w:t>Hexa</w:t>
      </w:r>
      <w:proofErr w:type="spellEnd"/>
      <w:r w:rsidRPr="00917449">
        <w:t xml:space="preserve"> and </w:t>
      </w:r>
      <w:proofErr w:type="spellStart"/>
      <w:r w:rsidRPr="00917449">
        <w:t>Prevenar</w:t>
      </w:r>
      <w:proofErr w:type="spellEnd"/>
      <w:r w:rsidRPr="00917449">
        <w:t xml:space="preserve"> only.</w:t>
      </w:r>
      <w:r w:rsidR="00B66DC3">
        <w:t xml:space="preserve"> </w:t>
      </w:r>
      <w:r w:rsidRPr="00917449">
        <w:t>This gives rates of 8.4 episodes per 100,000 doses of rMenB+OMV NZ (administered with routine vaccines) and 16.3 episodes per 100,000 doses of the routine vaccines, which are both within the expected range for this condition in infants.</w:t>
      </w:r>
    </w:p>
    <w:p w:rsidR="00917449" w:rsidRPr="00511680" w:rsidRDefault="00917449" w:rsidP="008D7E22">
      <w:pPr>
        <w:pStyle w:val="ListBullet"/>
      </w:pPr>
      <w:r w:rsidRPr="005D787C">
        <w:t>8 febrile seizures were observed in infants who received rMenB+OMV NZ (v</w:t>
      </w:r>
      <w:r w:rsidR="005D787C">
        <w:t xml:space="preserve">ersus </w:t>
      </w:r>
      <w:r w:rsidR="003E01D5">
        <w:t>2 in the control groups) in S</w:t>
      </w:r>
      <w:r w:rsidRPr="005D787C">
        <w:t>tudies V72P12 and V72P13.</w:t>
      </w:r>
      <w:r w:rsidR="00B66DC3" w:rsidRPr="005D787C">
        <w:t xml:space="preserve"> </w:t>
      </w:r>
      <w:r w:rsidRPr="005D787C">
        <w:t>This is within the expected range for both groups.</w:t>
      </w:r>
      <w:r w:rsidR="00B66DC3" w:rsidRPr="005D787C">
        <w:t xml:space="preserve"> </w:t>
      </w:r>
      <w:r w:rsidRPr="005D787C">
        <w:t>In the rMenB+OMV NZ group, 3 febrile seizures occurred within 2 days of vaccination with rMenB+OMV NZ and the remainder &gt; 14 days post vaccination.</w:t>
      </w:r>
      <w:r w:rsidR="00B66DC3" w:rsidRPr="005D787C">
        <w:t xml:space="preserve"> </w:t>
      </w:r>
      <w:r w:rsidRPr="005D787C">
        <w:t xml:space="preserve">rMenB+OMV NZ was co-administered with </w:t>
      </w:r>
      <w:proofErr w:type="spellStart"/>
      <w:r w:rsidRPr="005D787C">
        <w:t>Infanrix</w:t>
      </w:r>
      <w:proofErr w:type="spellEnd"/>
      <w:r w:rsidR="003E01D5">
        <w:t xml:space="preserve"> </w:t>
      </w:r>
      <w:proofErr w:type="spellStart"/>
      <w:r w:rsidRPr="005D787C">
        <w:t>Hexa</w:t>
      </w:r>
      <w:proofErr w:type="spellEnd"/>
      <w:r w:rsidRPr="005D787C">
        <w:t xml:space="preserve"> and </w:t>
      </w:r>
      <w:proofErr w:type="spellStart"/>
      <w:r w:rsidRPr="005D787C">
        <w:t>Prevenar</w:t>
      </w:r>
      <w:proofErr w:type="spellEnd"/>
      <w:r w:rsidRPr="005D787C">
        <w:t xml:space="preserve"> in 2 of the 3 cases occurring within 2 days of vaccination (one case also had underlying neurological abnormalities); and rMenB+OMV NZ was given alone in the other.</w:t>
      </w:r>
      <w:r w:rsidR="00B66DC3" w:rsidRPr="005D787C">
        <w:t xml:space="preserve"> </w:t>
      </w:r>
      <w:r w:rsidRPr="005D787C">
        <w:t>The number of non-febrile seizures (10 cases for both treatment groups) was also consistent with what would have been expected in this population.</w:t>
      </w:r>
      <w:r w:rsidR="00B66DC3" w:rsidRPr="005D787C">
        <w:t xml:space="preserve"> </w:t>
      </w:r>
      <w:r w:rsidRPr="005D787C">
        <w:t>In the rMenB+OMV NZ groups, 4 of the seizures occurred within 3 days of vaccination - 3 where rMenB+OMV NZ was administered in combination with routine vaccines and 1 where rMenB+OMV NZ was administered alone; and 6 occurred &gt;30 days post vaccination</w:t>
      </w:r>
      <w:r w:rsidR="003E01D5">
        <w:t>:</w:t>
      </w:r>
      <w:r w:rsidRPr="005D787C">
        <w:t xml:space="preserve"> 1 where rMenB+OMV NZ was administered in combination with routine vaccines (this child was subsequently found to have a </w:t>
      </w:r>
      <w:proofErr w:type="spellStart"/>
      <w:r w:rsidRPr="005D787C">
        <w:t>ganglioglioma</w:t>
      </w:r>
      <w:proofErr w:type="spellEnd"/>
      <w:r w:rsidRPr="005D787C">
        <w:t>) and 5 where rMenB+OMV NZ was administered alone).</w:t>
      </w:r>
      <w:r w:rsidR="00B66DC3" w:rsidRPr="005D787C">
        <w:t xml:space="preserve"> </w:t>
      </w:r>
      <w:r w:rsidRPr="005D787C">
        <w:t xml:space="preserve">Six febrile seizures and 1 non febrile seizure were observed in toddlers who received rMenB+OMV NZ with or without MMRV in the booster/catch-up </w:t>
      </w:r>
      <w:r w:rsidR="00610E2C">
        <w:t>S</w:t>
      </w:r>
      <w:r w:rsidRPr="005D787C">
        <w:t>tudy V72P13E1.</w:t>
      </w:r>
      <w:r w:rsidR="00B66DC3" w:rsidRPr="005D787C">
        <w:t xml:space="preserve"> </w:t>
      </w:r>
      <w:r w:rsidRPr="005D787C">
        <w:t>Three of the febrile convulsions occurred between 9 and 10 days post vaccination (2 with concomitant MMRV and 1 without).</w:t>
      </w:r>
      <w:r w:rsidR="00B66DC3" w:rsidRPr="005D787C">
        <w:t xml:space="preserve"> </w:t>
      </w:r>
      <w:r w:rsidRPr="005D787C">
        <w:t>The</w:t>
      </w:r>
      <w:r w:rsidRPr="00511680">
        <w:t xml:space="preserve"> remaining 3 febrile </w:t>
      </w:r>
      <w:r w:rsidRPr="00511680">
        <w:lastRenderedPageBreak/>
        <w:t>convulsions all occurred between 20-46 days post vaccination with rMenB+OMV NZ + MMRV.</w:t>
      </w:r>
      <w:r w:rsidR="00B66DC3" w:rsidRPr="00511680">
        <w:t xml:space="preserve"> </w:t>
      </w:r>
      <w:r w:rsidRPr="00511680">
        <w:t>The non-febrile seizure occurred within 3 days of first vaccination w</w:t>
      </w:r>
      <w:r w:rsidR="00B31CC0">
        <w:t>ithout MMRV.</w:t>
      </w:r>
    </w:p>
    <w:p w:rsidR="00917449" w:rsidRPr="008D7E22" w:rsidRDefault="00917449" w:rsidP="008D7E22">
      <w:r w:rsidRPr="008D7E22">
        <w:t xml:space="preserve">In the </w:t>
      </w:r>
      <w:r w:rsidR="008D7E22">
        <w:t>adolescent and</w:t>
      </w:r>
      <w:r w:rsidRPr="008D7E22">
        <w:t xml:space="preserve"> adult studies, the key findings were:</w:t>
      </w:r>
    </w:p>
    <w:p w:rsidR="00917449" w:rsidRPr="00917449" w:rsidRDefault="00917449" w:rsidP="008D7E22">
      <w:pPr>
        <w:pStyle w:val="ListBullet"/>
      </w:pPr>
      <w:proofErr w:type="gramStart"/>
      <w:r w:rsidRPr="00917449">
        <w:t>injection</w:t>
      </w:r>
      <w:proofErr w:type="gramEnd"/>
      <w:r w:rsidRPr="00917449">
        <w:t xml:space="preserve"> site pain was the most commonly reported local reaction after any rMenB+OMV NZ dose in both adults and adolescents, followed by erythema in adolescents and induration in adults.</w:t>
      </w:r>
      <w:r w:rsidR="00B66DC3">
        <w:t xml:space="preserve"> </w:t>
      </w:r>
      <w:r w:rsidRPr="00917449">
        <w:t xml:space="preserve">In the adolescent </w:t>
      </w:r>
      <w:r w:rsidR="00610E2C">
        <w:t>S</w:t>
      </w:r>
      <w:r w:rsidRPr="00917449">
        <w:t>tudy V72P10, all local reactions were reported less frequently after placebo than after rMenB+OMV NZ except for pain, which was similarly reported;</w:t>
      </w:r>
    </w:p>
    <w:p w:rsidR="00917449" w:rsidRPr="00917449" w:rsidRDefault="00917449" w:rsidP="008D7E22">
      <w:pPr>
        <w:pStyle w:val="ListBullet"/>
      </w:pPr>
      <w:proofErr w:type="gramStart"/>
      <w:r w:rsidRPr="00917449">
        <w:t>malaise</w:t>
      </w:r>
      <w:proofErr w:type="gramEnd"/>
      <w:r w:rsidRPr="00917449">
        <w:t>, myalgia and headache were the most commonly reported systemic reactions after any rMenB+OMV NZ dose in both adults and adolescents.</w:t>
      </w:r>
      <w:r w:rsidR="00B66DC3">
        <w:t xml:space="preserve"> </w:t>
      </w:r>
      <w:r w:rsidRPr="00917449">
        <w:t xml:space="preserve">In the adolescent </w:t>
      </w:r>
      <w:r w:rsidR="003E01D5">
        <w:t>S</w:t>
      </w:r>
      <w:r w:rsidRPr="00917449">
        <w:t>tudy V72P10, each systemic reaction was similarly or slightly less frequently reported after placebo than after rMenB+OMV NZ.</w:t>
      </w:r>
      <w:r w:rsidR="00B66DC3">
        <w:t xml:space="preserve"> </w:t>
      </w:r>
      <w:r w:rsidRPr="00917449">
        <w:t>Fever was similarly reported in the rMenB+OMV NZ and placebo groups (3%-5% and 2%-4% across vaccinations, respectively) and rates were low and similar f</w:t>
      </w:r>
      <w:r w:rsidR="00B31CC0">
        <w:t>or both adolescents and adults;</w:t>
      </w:r>
    </w:p>
    <w:p w:rsidR="00917449" w:rsidRPr="00917449" w:rsidRDefault="00917449" w:rsidP="008D7E22">
      <w:pPr>
        <w:pStyle w:val="ListBullet"/>
      </w:pPr>
      <w:r w:rsidRPr="00917449">
        <w:t>the frequency of reports for local and systemic reactions was generally lower with subsequent administrations;</w:t>
      </w:r>
    </w:p>
    <w:p w:rsidR="00917449" w:rsidRPr="00917449" w:rsidRDefault="00917449" w:rsidP="008D7E22">
      <w:pPr>
        <w:pStyle w:val="ListBullet"/>
      </w:pPr>
      <w:r w:rsidRPr="00917449">
        <w:t>most of the local and systemic reactions were mild or moderate in severity and were transient; and</w:t>
      </w:r>
    </w:p>
    <w:p w:rsidR="00917449" w:rsidRPr="00917449" w:rsidRDefault="00917449" w:rsidP="008D7E22">
      <w:pPr>
        <w:pStyle w:val="ListBullet"/>
      </w:pPr>
      <w:proofErr w:type="gramStart"/>
      <w:r w:rsidRPr="00917449">
        <w:t>notwithstanding</w:t>
      </w:r>
      <w:proofErr w:type="gramEnd"/>
      <w:r w:rsidRPr="00917449">
        <w:t xml:space="preserve"> the limited numbers of adult subjects (</w:t>
      </w:r>
      <w:r w:rsidR="003E01D5">
        <w:t xml:space="preserve">that is, </w:t>
      </w:r>
      <w:r w:rsidRPr="00917449">
        <w:t>&gt;18 years age) enrolled in the clinical program, the safety profile in adults appeared to be similar to that of adolescents.</w:t>
      </w:r>
    </w:p>
    <w:p w:rsidR="00917449" w:rsidRPr="007B6BE1" w:rsidRDefault="008D7E22" w:rsidP="007B6BE1">
      <w:pPr>
        <w:pStyle w:val="Heading4"/>
      </w:pPr>
      <w:r w:rsidRPr="007B6BE1">
        <w:t xml:space="preserve">Clinical evaluator’s </w:t>
      </w:r>
      <w:r w:rsidR="00917449" w:rsidRPr="007B6BE1">
        <w:t>recommendation</w:t>
      </w:r>
    </w:p>
    <w:p w:rsidR="00917449" w:rsidRPr="00917449" w:rsidRDefault="00917449" w:rsidP="00917449">
      <w:r w:rsidRPr="00917449">
        <w:t>The clinical evaluator considered there were sufficient immunogenicity and safety data to support regis</w:t>
      </w:r>
      <w:r w:rsidR="007F1E6E">
        <w:t>tration of rMenB+OMV NZ vaccine</w:t>
      </w:r>
      <w:r w:rsidRPr="00917449">
        <w:t xml:space="preserve"> but with some caveats:</w:t>
      </w:r>
    </w:p>
    <w:p w:rsidR="00917449" w:rsidRPr="00917449" w:rsidRDefault="00917449" w:rsidP="008D7E22">
      <w:pPr>
        <w:pStyle w:val="ListBullet"/>
      </w:pPr>
      <w:r w:rsidRPr="00917449">
        <w:t>that ‘enhanced pharmacovigilance’ studies are necessary to provide assessment of specific adverse events such as Kawasaki Disease and febrile seizures;</w:t>
      </w:r>
    </w:p>
    <w:p w:rsidR="00917449" w:rsidRPr="00917449" w:rsidRDefault="00917449" w:rsidP="008D7E22">
      <w:pPr>
        <w:pStyle w:val="ListBullet"/>
      </w:pPr>
      <w:r w:rsidRPr="00917449">
        <w:t>a history of neurological disease, seizures and, in particular, febrile seizures should be included as precautions in the PI</w:t>
      </w:r>
      <w:r w:rsidR="007B6BE1">
        <w:t xml:space="preserve"> </w:t>
      </w:r>
      <w:r w:rsidRPr="00917449">
        <w:t>and under such circumstances the vaccine should only be given under close medical attention; and</w:t>
      </w:r>
    </w:p>
    <w:p w:rsidR="00917449" w:rsidRPr="00917449" w:rsidRDefault="00917449" w:rsidP="008D7E22">
      <w:pPr>
        <w:pStyle w:val="ListBullet"/>
      </w:pPr>
      <w:proofErr w:type="gramStart"/>
      <w:r w:rsidRPr="00917449">
        <w:t>the</w:t>
      </w:r>
      <w:proofErr w:type="gramEnd"/>
      <w:r w:rsidRPr="00917449">
        <w:t xml:space="preserve"> collection of Australian MATS data should be extended and more data provided to confirm the likely relevance of the vaccine </w:t>
      </w:r>
      <w:r w:rsidR="00E23599">
        <w:t xml:space="preserve">strains </w:t>
      </w:r>
      <w:r w:rsidRPr="00917449">
        <w:t xml:space="preserve">in Australia (this is covered further under </w:t>
      </w:r>
      <w:r w:rsidRPr="00CB11E2">
        <w:rPr>
          <w:i/>
          <w:iCs/>
        </w:rPr>
        <w:t>D</w:t>
      </w:r>
      <w:r w:rsidR="00CB11E2">
        <w:rPr>
          <w:i/>
          <w:iCs/>
        </w:rPr>
        <w:t>elegate considerations</w:t>
      </w:r>
      <w:r w:rsidRPr="00917449">
        <w:t xml:space="preserve">, below). </w:t>
      </w:r>
    </w:p>
    <w:p w:rsidR="00917449" w:rsidRPr="00917449" w:rsidRDefault="00917449" w:rsidP="00917449">
      <w:r w:rsidRPr="00917449">
        <w:t>In reaching this position the evaluator considered that rMenB+OMV NZ appears to be highly effective in inducing bactericidal antibodies in humans beginning from 2 months of age (although NHBA-specific bactericidal killing was only directly assessed in a small subset of participants in V72P13/ V72P13E1).</w:t>
      </w:r>
      <w:r w:rsidR="00B66DC3">
        <w:t xml:space="preserve"> </w:t>
      </w:r>
      <w:r w:rsidRPr="00917449">
        <w:t>These studies showed a high level of efficacy at 1 month following primary course of vaccination and there were data showing persistence of antibodies 12 months after the primary course in infants and toddlers.</w:t>
      </w:r>
    </w:p>
    <w:p w:rsidR="008E7846" w:rsidRDefault="00917449" w:rsidP="008E7846">
      <w:r w:rsidRPr="00917449">
        <w:t>Regarding risks, the evaluator noted the high rates of local and systemic reactions, and fever in infants when rMenB+OMV NZ was given with routine vaccines whereas when the rMenB+OMV NZ vaccine was given separately from routine vaccines the rates of local and systemic reactions appeared similar in both groups.</w:t>
      </w:r>
      <w:r w:rsidR="00B66DC3">
        <w:t xml:space="preserve"> </w:t>
      </w:r>
      <w:r w:rsidRPr="00917449">
        <w:t xml:space="preserve">Most cases of </w:t>
      </w:r>
      <w:r w:rsidR="00556F7A">
        <w:t>fever were noted to be categoris</w:t>
      </w:r>
      <w:r w:rsidRPr="00917449">
        <w:t>ed as mild or moderate, were transient, and did not lead to increased rates of health care utilisation or specific medical sequelae.</w:t>
      </w:r>
      <w:r w:rsidR="00B66DC3">
        <w:t xml:space="preserve"> </w:t>
      </w:r>
      <w:r w:rsidRPr="00917449">
        <w:t>Nevertheless it was considered important that fevers are adequately managed because febrile seizures peak in the toddler age group.</w:t>
      </w:r>
      <w:r w:rsidR="00B66DC3">
        <w:t xml:space="preserve"> </w:t>
      </w:r>
      <w:r w:rsidRPr="00917449">
        <w:t xml:space="preserve">The evaluator considered that the risk of fever could be managed in healthy </w:t>
      </w:r>
      <w:r w:rsidRPr="00917449">
        <w:lastRenderedPageBreak/>
        <w:t xml:space="preserve">individuals through appropriate communication with the care giver and/or the use of prophylactic antipyretics, whilst in infants with a history of febrile convulsions, vaccination should be given </w:t>
      </w:r>
      <w:r w:rsidRPr="00917449">
        <w:rPr>
          <w:iCs/>
        </w:rPr>
        <w:t>under close medical attention</w:t>
      </w:r>
      <w:r w:rsidRPr="00917449">
        <w:t xml:space="preserve"> and it may be worth taking special measures to further lower the risk of fever (such as separation from other vaccines).</w:t>
      </w:r>
      <w:r w:rsidR="00B66DC3">
        <w:t xml:space="preserve"> </w:t>
      </w:r>
      <w:r w:rsidRPr="00917449">
        <w:t>It was also concluded that large-scale post-marketing studies are needed for more definitive evidence of an absence of an increased risk of febrile convulsions.</w:t>
      </w:r>
    </w:p>
    <w:p w:rsidR="008E7846" w:rsidRDefault="00386150" w:rsidP="008E7846">
      <w:pPr>
        <w:pStyle w:val="Heading3"/>
        <w:rPr>
          <w:lang w:eastAsia="en-AU"/>
        </w:rPr>
      </w:pPr>
      <w:bookmarkStart w:id="230" w:name="_Toc314842514"/>
      <w:bookmarkStart w:id="231" w:name="_Toc370985747"/>
      <w:r>
        <w:rPr>
          <w:lang w:eastAsia="en-AU"/>
        </w:rPr>
        <w:t>Risk m</w:t>
      </w:r>
      <w:r w:rsidR="008E7846">
        <w:rPr>
          <w:lang w:eastAsia="en-AU"/>
        </w:rPr>
        <w:t xml:space="preserve">anagement </w:t>
      </w:r>
      <w:r>
        <w:rPr>
          <w:lang w:eastAsia="en-AU"/>
        </w:rPr>
        <w:t>p</w:t>
      </w:r>
      <w:r w:rsidR="008E7846">
        <w:rPr>
          <w:lang w:eastAsia="en-AU"/>
        </w:rPr>
        <w:t>lan</w:t>
      </w:r>
      <w:bookmarkEnd w:id="230"/>
      <w:bookmarkEnd w:id="231"/>
    </w:p>
    <w:p w:rsidR="000A6D78" w:rsidRPr="000A6D78" w:rsidRDefault="000A6D78" w:rsidP="000A6D78">
      <w:r w:rsidRPr="000A6D78">
        <w:t>The TGA’s OPR conducted an evaluation of the RMP proposed by the sponsor and referred the submission to the ACSOM for consideration.</w:t>
      </w:r>
    </w:p>
    <w:p w:rsidR="000A6D78" w:rsidRPr="000A6D78" w:rsidRDefault="000A6D78" w:rsidP="000A6D78">
      <w:r w:rsidRPr="000A6D78">
        <w:t xml:space="preserve">Concerns were raised about the rates of fever and the potential for febrile seizures and </w:t>
      </w:r>
      <w:r w:rsidR="005D787C" w:rsidRPr="005D787C">
        <w:t>Kawasaki Disease</w:t>
      </w:r>
      <w:r w:rsidRPr="000A6D78">
        <w:t xml:space="preserve"> with Bexsero.</w:t>
      </w:r>
      <w:r w:rsidR="00B66DC3">
        <w:t xml:space="preserve"> </w:t>
      </w:r>
      <w:r w:rsidRPr="000A6D78">
        <w:t>Specifically with regard to fever rates, the ACSOM noted that subjects had received concomitant immunisation with 7-valent pneumococcal conjugate vaccine (7vPCV) rather that 13-valent pneumococcal conjugate vaccine (13vPCV) which is used on Australia’s NIP.</w:t>
      </w:r>
      <w:r w:rsidR="00B66DC3">
        <w:t xml:space="preserve"> </w:t>
      </w:r>
      <w:r w:rsidRPr="000A6D78">
        <w:t>ACSOM advised there is evidence to suggest that 13vPCV has been associated with an increased risk of febrile seizures when given concomitantly with influenza vaccine in post marketing studies in the USA.</w:t>
      </w:r>
      <w:r w:rsidR="00B66DC3">
        <w:t xml:space="preserve"> </w:t>
      </w:r>
      <w:r w:rsidRPr="000A6D78">
        <w:t>Therefore there is a concern that, in the real world, the risk of febrile seizures could be increased if Bexsero is concomitantly administered with 13vPCV.</w:t>
      </w:r>
      <w:r w:rsidR="00B66DC3">
        <w:t xml:space="preserve"> </w:t>
      </w:r>
      <w:r w:rsidRPr="000A6D78">
        <w:t>It was also noted that there was an imbalance in the reporting of non-febrile seizures in the trials in which the risk of febrile seizures had been assessed and that the trials largely involved recipients who were infants and not toddlers (12-23 month olds)</w:t>
      </w:r>
      <w:r w:rsidR="00CB11E2">
        <w:t>,</w:t>
      </w:r>
      <w:r w:rsidRPr="000A6D78">
        <w:t xml:space="preserve"> toddlers being most at risk of febrile seizures.</w:t>
      </w:r>
      <w:r w:rsidR="00B66DC3">
        <w:t xml:space="preserve"> </w:t>
      </w:r>
      <w:r w:rsidRPr="000A6D78">
        <w:t>In light of this and the foregoing point, the ACSOM concluded that the sponsor’s proposed comment in the RMP that ‘analyses provide no evidence of an increased risk of febrile or non-febrile seizures associated with 4CMenB vaccination in infants’ was misleading.</w:t>
      </w:r>
      <w:r w:rsidR="00B66DC3">
        <w:t xml:space="preserve"> </w:t>
      </w:r>
      <w:r w:rsidRPr="000A6D78">
        <w:t>ACSOM concluded that, given the high proportion of subjects who experienced a high fever, the prophylactic use of antipyretics could be an appropriate measure to mitigate the risk of fever but it would not mitigate the risk of febrile seizures.</w:t>
      </w:r>
      <w:r w:rsidR="00B66DC3">
        <w:t xml:space="preserve"> </w:t>
      </w:r>
      <w:r w:rsidRPr="000A6D78">
        <w:t>It also advised that an educational program should be undertaken to inform health professionals of the risks associated with Bexsero, especially if the sponsor intends to market the vaccine prior to, or in the absence of, NIP listing.</w:t>
      </w:r>
      <w:r w:rsidR="00B66DC3">
        <w:t xml:space="preserve"> </w:t>
      </w:r>
      <w:r w:rsidRPr="000A6D78">
        <w:t>The sponsor has since indicated it is committed to implementing an educational program in Australia under the A</w:t>
      </w:r>
      <w:r w:rsidR="00CB11E2">
        <w:t xml:space="preserve">SA </w:t>
      </w:r>
      <w:r w:rsidRPr="000A6D78">
        <w:t>to the RMP.</w:t>
      </w:r>
    </w:p>
    <w:p w:rsidR="008E7846" w:rsidRDefault="000A6D78" w:rsidP="008E7846">
      <w:r w:rsidRPr="000A6D78">
        <w:t xml:space="preserve">The sponsor has also proposed that seizure and febrile seizure, </w:t>
      </w:r>
      <w:r w:rsidR="005D787C" w:rsidRPr="005D787C">
        <w:t>Kawasaki Disease</w:t>
      </w:r>
      <w:r w:rsidRPr="000A6D78">
        <w:t xml:space="preserve">, anaphylaxis/anaphylactic shock, </w:t>
      </w:r>
      <w:proofErr w:type="spellStart"/>
      <w:r w:rsidRPr="000A6D78">
        <w:t>Guillain-Barré</w:t>
      </w:r>
      <w:proofErr w:type="spellEnd"/>
      <w:r w:rsidRPr="000A6D78">
        <w:t xml:space="preserve"> syndrome and acute disseminated encephalomyelitis will each be the subject of enhanced pharmacovigilance activities (using questionnaire and adjudication) as well as a post-licensure observational safety surveillance study.</w:t>
      </w:r>
      <w:r w:rsidR="00B66DC3">
        <w:t xml:space="preserve"> </w:t>
      </w:r>
      <w:r w:rsidRPr="000A6D78">
        <w:t xml:space="preserve">The </w:t>
      </w:r>
      <w:bookmarkStart w:id="232" w:name="_Toc354407662"/>
      <w:r w:rsidRPr="000A6D78">
        <w:t xml:space="preserve">RMP evaluator’s comments in regard to the pharmacovigilance plan </w:t>
      </w:r>
      <w:r w:rsidR="00CB11E2">
        <w:t xml:space="preserve">in this context </w:t>
      </w:r>
      <w:bookmarkEnd w:id="232"/>
      <w:r w:rsidR="00CB11E2">
        <w:t xml:space="preserve">were </w:t>
      </w:r>
      <w:r w:rsidRPr="000A6D78">
        <w:t xml:space="preserve">endorsed by </w:t>
      </w:r>
      <w:r w:rsidR="00CB11E2">
        <w:t xml:space="preserve">the </w:t>
      </w:r>
      <w:r w:rsidRPr="000A6D78">
        <w:t>Delegate.</w:t>
      </w:r>
    </w:p>
    <w:p w:rsidR="008E7846" w:rsidRDefault="00AA0ED0" w:rsidP="008E7846">
      <w:pPr>
        <w:pStyle w:val="Heading3"/>
      </w:pPr>
      <w:bookmarkStart w:id="233" w:name="_Toc247691531"/>
      <w:bookmarkStart w:id="234" w:name="_Toc314842515"/>
      <w:bookmarkStart w:id="235" w:name="_Toc370985748"/>
      <w:bookmarkStart w:id="236" w:name="_Toc196046505"/>
      <w:bookmarkStart w:id="237" w:name="_Toc196046949"/>
      <w:r>
        <w:t>Risk-benefit a</w:t>
      </w:r>
      <w:r w:rsidR="008E7846">
        <w:t>nalysis</w:t>
      </w:r>
      <w:bookmarkEnd w:id="233"/>
      <w:bookmarkEnd w:id="234"/>
      <w:bookmarkEnd w:id="235"/>
    </w:p>
    <w:p w:rsidR="008E7846" w:rsidRDefault="008E7846" w:rsidP="00B31CC0">
      <w:pPr>
        <w:pStyle w:val="Heading4"/>
      </w:pPr>
      <w:r>
        <w:t xml:space="preserve">Delegate </w:t>
      </w:r>
      <w:r w:rsidR="00ED3CAD">
        <w:t>c</w:t>
      </w:r>
      <w:r>
        <w:t>onsiderations</w:t>
      </w:r>
    </w:p>
    <w:p w:rsidR="000A6D78" w:rsidRPr="000A6D78" w:rsidRDefault="000A6D78" w:rsidP="000A6D78">
      <w:r w:rsidRPr="000A6D78">
        <w:t>There are a number of limitations and issues with the clinical data:</w:t>
      </w:r>
    </w:p>
    <w:p w:rsidR="00401258" w:rsidRDefault="000A6D78" w:rsidP="00CF3310">
      <w:pPr>
        <w:pStyle w:val="ListBullet"/>
      </w:pPr>
      <w:r w:rsidRPr="000A6D78">
        <w:rPr>
          <w:b/>
        </w:rPr>
        <w:t xml:space="preserve">No efficacy data have been submitted </w:t>
      </w:r>
      <w:r w:rsidRPr="000A6D78">
        <w:t xml:space="preserve">and the efficacy of rMenB+OMV NZ in preventing IMD has been inferred from its ability to induce functional bactericidal antibodies directed against </w:t>
      </w:r>
      <w:proofErr w:type="spellStart"/>
      <w:r w:rsidRPr="000A6D78">
        <w:t>serogroup</w:t>
      </w:r>
      <w:proofErr w:type="spellEnd"/>
      <w:r w:rsidRPr="000A6D78">
        <w:t xml:space="preserve"> B </w:t>
      </w:r>
      <w:proofErr w:type="spellStart"/>
      <w:r w:rsidRPr="000A6D78">
        <w:t>meningococci</w:t>
      </w:r>
      <w:proofErr w:type="spellEnd"/>
      <w:r w:rsidRPr="000A6D78">
        <w:t>.</w:t>
      </w:r>
      <w:r w:rsidR="00B66DC3">
        <w:t xml:space="preserve"> </w:t>
      </w:r>
      <w:r w:rsidRPr="000A6D78">
        <w:t>Th</w:t>
      </w:r>
      <w:r w:rsidR="00401258">
        <w:t>e D</w:t>
      </w:r>
      <w:r w:rsidRPr="000A6D78">
        <w:t>elegate accepts that efficacy trials are not feasible because IMD is rare and there are &gt; 3,000 circulating strains of the bacterium.</w:t>
      </w:r>
      <w:r w:rsidR="00B66DC3">
        <w:t xml:space="preserve"> </w:t>
      </w:r>
      <w:r w:rsidRPr="000A6D78">
        <w:t xml:space="preserve">Thus, the challenge is one of predicting the potential effectiveness of the vaccine, or in other words how to show that </w:t>
      </w:r>
      <w:proofErr w:type="spellStart"/>
      <w:r w:rsidRPr="000A6D78">
        <w:t>rMenB</w:t>
      </w:r>
      <w:proofErr w:type="spellEnd"/>
      <w:r w:rsidRPr="000A6D78">
        <w:t xml:space="preserve"> + OMV NZ can kill meningococcal B bacteria, particularly those strains prevalent in Australia.</w:t>
      </w:r>
      <w:r w:rsidR="00B66DC3">
        <w:t xml:space="preserve"> </w:t>
      </w:r>
      <w:r w:rsidRPr="000A6D78">
        <w:t xml:space="preserve">The </w:t>
      </w:r>
      <w:r w:rsidRPr="000A6D78">
        <w:lastRenderedPageBreak/>
        <w:t xml:space="preserve">gold standard, </w:t>
      </w:r>
      <w:proofErr w:type="spellStart"/>
      <w:r w:rsidRPr="000A6D78">
        <w:t>hSBA</w:t>
      </w:r>
      <w:proofErr w:type="spellEnd"/>
      <w:r w:rsidRPr="000A6D78">
        <w:t xml:space="preserve">, is not feasible for routine screening because serum of </w:t>
      </w:r>
      <w:proofErr w:type="spellStart"/>
      <w:r w:rsidRPr="000A6D78">
        <w:t>vaccinees</w:t>
      </w:r>
      <w:proofErr w:type="spellEnd"/>
      <w:r w:rsidRPr="000A6D78">
        <w:t xml:space="preserve"> is limited and because of strain diversity.</w:t>
      </w:r>
      <w:r w:rsidR="00B66DC3">
        <w:t xml:space="preserve"> </w:t>
      </w:r>
      <w:r w:rsidRPr="000A6D78">
        <w:t>The sponsor developed MATS to predict whether a strain will be killed by antibodies induced by rMenB+OMV NZ.</w:t>
      </w:r>
      <w:r w:rsidR="00B66DC3">
        <w:t xml:space="preserve"> </w:t>
      </w:r>
      <w:r w:rsidRPr="000A6D78">
        <w:t xml:space="preserve">Preliminary MATS data from a survey of 172 invasive meningococcal serogroup B isolates collected during 2009-June 2011 showed that </w:t>
      </w:r>
      <w:r w:rsidRPr="000A6D78">
        <w:rPr>
          <w:bCs/>
        </w:rPr>
        <w:t xml:space="preserve">76% (95%CI: 59 to 87%) </w:t>
      </w:r>
      <w:r w:rsidRPr="000A6D78">
        <w:t xml:space="preserve">of isolates had an antigen type covered by </w:t>
      </w:r>
      <w:proofErr w:type="spellStart"/>
      <w:r w:rsidRPr="000A6D78">
        <w:t>rMenB+OMV</w:t>
      </w:r>
      <w:proofErr w:type="spellEnd"/>
      <w:r w:rsidRPr="000A6D78">
        <w:t xml:space="preserve"> NZ.</w:t>
      </w:r>
    </w:p>
    <w:p w:rsidR="000A6D78" w:rsidRPr="000A6D78" w:rsidRDefault="000A6D78" w:rsidP="00401258">
      <w:pPr>
        <w:pStyle w:val="ListBullet"/>
        <w:numPr>
          <w:ilvl w:val="0"/>
          <w:numId w:val="0"/>
        </w:numPr>
        <w:ind w:left="360"/>
      </w:pPr>
      <w:r w:rsidRPr="000A6D78">
        <w:t xml:space="preserve">More recent information provided by the sponsor </w:t>
      </w:r>
      <w:r w:rsidR="00401258">
        <w:t xml:space="preserve">following receipt of the TGA </w:t>
      </w:r>
      <w:r w:rsidRPr="000A6D78">
        <w:t>CER indicates that 76% (95%CI: 63 to 87%) of 373 invasive isolates collected between January 2007 and December 2011 across 5 Australian States (excluding V</w:t>
      </w:r>
      <w:r w:rsidR="00401258">
        <w:t>ictoria</w:t>
      </w:r>
      <w:r w:rsidRPr="000A6D78">
        <w:t xml:space="preserve">) and 2 Territories were predicted to be killed in </w:t>
      </w:r>
      <w:proofErr w:type="spellStart"/>
      <w:r w:rsidRPr="000A6D78">
        <w:t>hSBA</w:t>
      </w:r>
      <w:proofErr w:type="spellEnd"/>
      <w:r w:rsidRPr="000A6D78">
        <w:t xml:space="preserve"> based on their MATS vaccine antigen type.</w:t>
      </w:r>
      <w:r w:rsidR="00B66DC3">
        <w:t xml:space="preserve"> </w:t>
      </w:r>
      <w:r w:rsidRPr="000A6D78">
        <w:t>Although the number of isolates tested to date remains low</w:t>
      </w:r>
      <w:r w:rsidR="00E23599">
        <w:rPr>
          <w:rStyle w:val="FootnoteReference"/>
        </w:rPr>
        <w:footnoteReference w:id="42"/>
      </w:r>
      <w:r w:rsidRPr="000A6D78">
        <w:t xml:space="preserve">, it appears the vaccine will be effective against the majority of </w:t>
      </w:r>
      <w:r w:rsidR="00E23599">
        <w:t>strains</w:t>
      </w:r>
      <w:r w:rsidRPr="000A6D78">
        <w:t>.</w:t>
      </w:r>
      <w:r w:rsidR="00B66DC3">
        <w:t xml:space="preserve"> </w:t>
      </w:r>
      <w:r w:rsidRPr="000A6D78">
        <w:t>Importantly, a vaccine effectiveness study is planned by the sponsor.</w:t>
      </w:r>
    </w:p>
    <w:p w:rsidR="000A6D78" w:rsidRPr="000A6D78" w:rsidRDefault="000A6D78" w:rsidP="00CF3310">
      <w:pPr>
        <w:pStyle w:val="ListBullet"/>
      </w:pPr>
      <w:r w:rsidRPr="000A6D78">
        <w:t xml:space="preserve">The </w:t>
      </w:r>
      <w:r w:rsidRPr="000A6D78">
        <w:rPr>
          <w:b/>
        </w:rPr>
        <w:t>duration of protection is currently unknown</w:t>
      </w:r>
      <w:r w:rsidRPr="000A6D78">
        <w:t xml:space="preserve"> as long term immunogenicity data are unavailable.</w:t>
      </w:r>
      <w:r w:rsidR="00B66DC3">
        <w:t xml:space="preserve"> </w:t>
      </w:r>
      <w:r w:rsidRPr="000A6D78">
        <w:t xml:space="preserve">Antibody levels against the </w:t>
      </w:r>
      <w:proofErr w:type="spellStart"/>
      <w:r w:rsidRPr="000A6D78">
        <w:t>PorA</w:t>
      </w:r>
      <w:proofErr w:type="spellEnd"/>
      <w:r w:rsidRPr="000A6D78">
        <w:t xml:space="preserve"> antigen (as assessed by </w:t>
      </w:r>
      <w:proofErr w:type="spellStart"/>
      <w:r w:rsidRPr="000A6D78">
        <w:t>hSBA</w:t>
      </w:r>
      <w:proofErr w:type="spellEnd"/>
      <w:r w:rsidRPr="000A6D78">
        <w:t xml:space="preserve"> ≥ 1:4 or 1:5 against reference strain NZ98/254) in infants and toddlers fall considerably from 1 month post third vaccine dose to 6 months post vaccine dose (Studies V72P6 and V72P13).</w:t>
      </w:r>
      <w:r w:rsidR="00B66DC3">
        <w:t xml:space="preserve"> </w:t>
      </w:r>
      <w:r w:rsidRPr="000A6D78">
        <w:t xml:space="preserve">The antibody levels against </w:t>
      </w:r>
      <w:proofErr w:type="spellStart"/>
      <w:r w:rsidRPr="000A6D78">
        <w:t>fHBP</w:t>
      </w:r>
      <w:proofErr w:type="spellEnd"/>
      <w:r w:rsidRPr="000A6D78">
        <w:t xml:space="preserve"> (measured by response against reference strain 44/76) also fall but to a lesser extent.</w:t>
      </w:r>
      <w:r w:rsidR="00B66DC3">
        <w:t xml:space="preserve"> </w:t>
      </w:r>
      <w:r w:rsidRPr="000A6D78">
        <w:t xml:space="preserve">However, there is clear evidence of immunological memory in subjects at 12 months of age </w:t>
      </w:r>
      <w:proofErr w:type="spellStart"/>
      <w:proofErr w:type="gramStart"/>
      <w:r w:rsidRPr="000A6D78">
        <w:rPr>
          <w:i/>
        </w:rPr>
        <w:t>vis</w:t>
      </w:r>
      <w:proofErr w:type="spellEnd"/>
      <w:proofErr w:type="gramEnd"/>
      <w:r w:rsidRPr="000A6D78">
        <w:rPr>
          <w:i/>
        </w:rPr>
        <w:t xml:space="preserve"> a </w:t>
      </w:r>
      <w:proofErr w:type="spellStart"/>
      <w:r w:rsidRPr="000A6D78">
        <w:rPr>
          <w:i/>
        </w:rPr>
        <w:t>vis</w:t>
      </w:r>
      <w:proofErr w:type="spellEnd"/>
      <w:r w:rsidRPr="000A6D78">
        <w:t xml:space="preserve"> the return to high antibody levels 1 month after the booster dose (Study V72P13).</w:t>
      </w:r>
      <w:r w:rsidR="00B66DC3">
        <w:t xml:space="preserve"> </w:t>
      </w:r>
      <w:r w:rsidRPr="000A6D78">
        <w:t>Importantly, immunological memory has not been demonstrated in older age groups or after a 2-dose priming schedule or over longer periods and, consequently, there is uncertainty as to whether the vaccine will provide adequate levels of immunity for the full period over which infants/toddlers and adolescents are at greatest risk of IMD.</w:t>
      </w:r>
    </w:p>
    <w:p w:rsidR="000A6D78" w:rsidRPr="000A6D78" w:rsidRDefault="000A6D78" w:rsidP="00CF3310">
      <w:pPr>
        <w:pStyle w:val="ListBullet"/>
      </w:pPr>
      <w:r w:rsidRPr="000A6D78">
        <w:t>The sponsor has proposed a 2-dose schedule administered at least 2 months apart for children from 6 months of age up to 10 years of age.</w:t>
      </w:r>
      <w:r w:rsidR="00B66DC3">
        <w:t xml:space="preserve"> </w:t>
      </w:r>
      <w:r w:rsidRPr="000A6D78">
        <w:t xml:space="preserve">However, apart from a limited number of rMenB+OMV NZ </w:t>
      </w:r>
      <w:r w:rsidRPr="000A6D78">
        <w:rPr>
          <w:bCs/>
        </w:rPr>
        <w:t>naïve</w:t>
      </w:r>
      <w:r w:rsidRPr="000A6D78">
        <w:t xml:space="preserve"> subjects in Study V72P13E2 who received 2 doses of rMenB+OMV NZ 2 months apart at approximately 24 months of age (window 23-27 months), there were </w:t>
      </w:r>
      <w:r w:rsidRPr="000A6D78">
        <w:rPr>
          <w:b/>
        </w:rPr>
        <w:t>no immunogenicity data for children aged between 2 and 10 years of age</w:t>
      </w:r>
      <w:r w:rsidRPr="000A6D78">
        <w:t>.</w:t>
      </w:r>
      <w:r w:rsidR="00B66DC3">
        <w:t xml:space="preserve"> </w:t>
      </w:r>
      <w:r w:rsidRPr="000A6D78">
        <w:t xml:space="preserve">However, there were very similar robust responses to all vaccine antigens observed after a </w:t>
      </w:r>
      <w:r w:rsidR="005B2A9D">
        <w:t>2-</w:t>
      </w:r>
      <w:r w:rsidRPr="000A6D78">
        <w:t>dose schedule across older infants (Study V72P9); toddlers in their second year of life (Study V72P13E1) and adolescents (Study V72P10) and thus it seems reasonable that the same regimen could be used in children aged 2 to 10 years of age.</w:t>
      </w:r>
    </w:p>
    <w:p w:rsidR="000A6D78" w:rsidRPr="000A6D78" w:rsidRDefault="000A6D78" w:rsidP="00CF3310">
      <w:pPr>
        <w:pStyle w:val="ListBullet"/>
      </w:pPr>
      <w:r w:rsidRPr="001A3C0B">
        <w:rPr>
          <w:b/>
          <w:bCs/>
        </w:rPr>
        <w:t>Very limited data are available in adults.</w:t>
      </w:r>
      <w:r w:rsidR="00B66DC3" w:rsidRPr="001A3C0B">
        <w:rPr>
          <w:b/>
          <w:bCs/>
        </w:rPr>
        <w:t xml:space="preserve"> </w:t>
      </w:r>
      <w:r w:rsidRPr="001A3C0B">
        <w:rPr>
          <w:b/>
          <w:bCs/>
        </w:rPr>
        <w:t xml:space="preserve">Also, no data are available in the elderly or </w:t>
      </w:r>
      <w:proofErr w:type="spellStart"/>
      <w:r w:rsidRPr="001A3C0B">
        <w:rPr>
          <w:b/>
          <w:bCs/>
        </w:rPr>
        <w:t>immunosuppressed</w:t>
      </w:r>
      <w:proofErr w:type="spellEnd"/>
      <w:r w:rsidRPr="001A3C0B">
        <w:rPr>
          <w:b/>
          <w:bCs/>
        </w:rPr>
        <w:t xml:space="preserve"> individuals or those with chronic medical conditions</w:t>
      </w:r>
      <w:r w:rsidRPr="000A6D78">
        <w:t>, the concern being that such individuals may either not mount a protective antibody response or have a differing safety profile.</w:t>
      </w:r>
      <w:r w:rsidR="00B66DC3">
        <w:t xml:space="preserve"> </w:t>
      </w:r>
      <w:r w:rsidRPr="000A6D78">
        <w:t>The absence of such data is mentioned in the proposed PI and RMP.</w:t>
      </w:r>
    </w:p>
    <w:p w:rsidR="000A6D78" w:rsidRPr="000A6D78" w:rsidRDefault="000A6D78" w:rsidP="00CF3310">
      <w:pPr>
        <w:pStyle w:val="ListBullet"/>
      </w:pPr>
      <w:proofErr w:type="gramStart"/>
      <w:r w:rsidRPr="000A6D78">
        <w:rPr>
          <w:b/>
        </w:rPr>
        <w:t>the</w:t>
      </w:r>
      <w:proofErr w:type="gramEnd"/>
      <w:r w:rsidRPr="000A6D78">
        <w:rPr>
          <w:b/>
        </w:rPr>
        <w:t xml:space="preserve"> proposed recommended dosage regimen in the 2-5 month age group allows for an accelerated schedule</w:t>
      </w:r>
      <w:r w:rsidRPr="000A6D78">
        <w:t xml:space="preserve"> with not less 1 month between doses (</w:t>
      </w:r>
      <w:r w:rsidR="001A3C0B">
        <w:t xml:space="preserve">that is, </w:t>
      </w:r>
      <w:r w:rsidRPr="000A6D78">
        <w:t>using a 2, 3 and 4-month schedule).</w:t>
      </w:r>
      <w:r w:rsidR="00B66DC3">
        <w:t xml:space="preserve"> </w:t>
      </w:r>
      <w:r w:rsidRPr="000A6D78">
        <w:t>Immunogenicity data were acceptable with such a regimen and the safety profile appeared similar to that for the 2, 4 and 6-month dosing schedule.</w:t>
      </w:r>
      <w:r w:rsidR="00B66DC3">
        <w:t xml:space="preserve"> </w:t>
      </w:r>
      <w:r w:rsidRPr="000A6D78">
        <w:t xml:space="preserve">However, the number of subjects exposed to accelerated administration of rMenB+OMV NZ in that </w:t>
      </w:r>
      <w:r w:rsidR="001A3C0B">
        <w:t>age group was only 318 (all in S</w:t>
      </w:r>
      <w:r w:rsidRPr="000A6D78">
        <w:t>tudy V72P12), which is a small safety population large enough to detect common adverse events (those occurring with frequency greater than 1%) but not large enough to detect uncommon or rare events.</w:t>
      </w:r>
    </w:p>
    <w:p w:rsidR="000A6D78" w:rsidRPr="000A6D78" w:rsidRDefault="000A6D78" w:rsidP="00CF3310">
      <w:pPr>
        <w:pStyle w:val="ListBullet"/>
      </w:pPr>
      <w:r w:rsidRPr="000A6D78">
        <w:rPr>
          <w:b/>
        </w:rPr>
        <w:lastRenderedPageBreak/>
        <w:t>There are no data on strain-serotype replacement</w:t>
      </w:r>
      <w:r w:rsidRPr="000A6D78">
        <w:t>.</w:t>
      </w:r>
      <w:r w:rsidR="00B66DC3">
        <w:t xml:space="preserve"> </w:t>
      </w:r>
      <w:r w:rsidRPr="000A6D78">
        <w:t>A nasopharyngeal carriage study has been proposed as a first step as part of the RMP.</w:t>
      </w:r>
    </w:p>
    <w:p w:rsidR="000A6D78" w:rsidRPr="00CF3310" w:rsidRDefault="000A6D78" w:rsidP="00CF3310">
      <w:r w:rsidRPr="00CF3310">
        <w:t xml:space="preserve">Specifically with regard to safety, there is a high rate of mild to moderate local and systemic side effects indicative of </w:t>
      </w:r>
      <w:proofErr w:type="spellStart"/>
      <w:r w:rsidRPr="00CF3310">
        <w:t>reactogenicity</w:t>
      </w:r>
      <w:proofErr w:type="spellEnd"/>
      <w:r w:rsidRPr="00CF3310">
        <w:t xml:space="preserve"> following vaccination with rMenB+OMV NZ.</w:t>
      </w:r>
      <w:r w:rsidR="00B66DC3" w:rsidRPr="00CF3310">
        <w:t xml:space="preserve"> </w:t>
      </w:r>
      <w:r w:rsidRPr="00CF3310">
        <w:t>As noted by the quality evaluator, the high endotoxin content of Bexsero derives from the OMV component and is therefore an intrinsic part of the formulation, with levels much higher than present in most paediatric vaccines.</w:t>
      </w:r>
      <w:r w:rsidR="00B66DC3" w:rsidRPr="00CF3310">
        <w:t xml:space="preserve"> </w:t>
      </w:r>
      <w:r w:rsidRPr="00CF3310">
        <w:t>Fever ≥ 38°C oc</w:t>
      </w:r>
      <w:r w:rsidR="001A3C0B">
        <w:t>curs commonly with rMenB+OMV NZ</w:t>
      </w:r>
      <w:r w:rsidRPr="00CF3310">
        <w:t xml:space="preserve"> and </w:t>
      </w:r>
      <w:r w:rsidRPr="001A3C0B">
        <w:rPr>
          <w:b/>
          <w:bCs/>
        </w:rPr>
        <w:t>rates of fever are very high when the vaccine is co-administered with routine childhood vaccinations</w:t>
      </w:r>
      <w:r w:rsidRPr="00CF3310">
        <w:t xml:space="preserve"> (in the order of 70-80%).</w:t>
      </w:r>
      <w:r w:rsidR="00B66DC3" w:rsidRPr="00CF3310">
        <w:t xml:space="preserve"> </w:t>
      </w:r>
      <w:r w:rsidRPr="00CF3310">
        <w:t>The ACSOM had cause for concern that the rates could be even higher in the context of co-administration with 13vPCV.</w:t>
      </w:r>
      <w:r w:rsidR="00B66DC3" w:rsidRPr="00CF3310">
        <w:t xml:space="preserve"> </w:t>
      </w:r>
      <w:r w:rsidRPr="00CF3310">
        <w:t xml:space="preserve">Of note, there are no clinical data on the concomitant use of </w:t>
      </w:r>
      <w:proofErr w:type="spellStart"/>
      <w:r w:rsidRPr="00CF3310">
        <w:t>Bexsero</w:t>
      </w:r>
      <w:proofErr w:type="spellEnd"/>
      <w:r w:rsidRPr="00CF3310">
        <w:t xml:space="preserve"> and 13vPCV.</w:t>
      </w:r>
    </w:p>
    <w:p w:rsidR="000A6D78" w:rsidRPr="000A6D78" w:rsidRDefault="000A6D78" w:rsidP="000A6D78">
      <w:r w:rsidRPr="000A6D78">
        <w:t>This is a significant safety signal because of the consequent risk of febrile convulsions, particularly in toddlers being the age group most at risk of febrile convulsions.</w:t>
      </w:r>
      <w:r w:rsidR="00B66DC3">
        <w:t xml:space="preserve"> </w:t>
      </w:r>
      <w:r w:rsidRPr="000A6D78">
        <w:t>Febrile convulsions have the potential to disrupt the routine immunisation schedule and undermine confidence in the vaccine and in immunisation (and the NIP) more generally.</w:t>
      </w:r>
      <w:r w:rsidR="00B66DC3">
        <w:t xml:space="preserve"> </w:t>
      </w:r>
      <w:r w:rsidRPr="000A6D78">
        <w:t>The clinical evaluator considered there were two options for minimising the risk of fever</w:t>
      </w:r>
      <w:r w:rsidR="001A3C0B">
        <w:t>:</w:t>
      </w:r>
      <w:r w:rsidRPr="000A6D78">
        <w:t xml:space="preserve"> to inclu</w:t>
      </w:r>
      <w:r w:rsidR="003075F3">
        <w:t>de the prophylactic use of anti</w:t>
      </w:r>
      <w:r w:rsidRPr="000A6D78">
        <w:t>pyretics; or by alternating the administration of rMenB+OMV NZ and other routine childhood vaccinations.</w:t>
      </w:r>
      <w:r w:rsidR="00B66DC3">
        <w:t xml:space="preserve"> </w:t>
      </w:r>
      <w:r w:rsidRPr="000A6D78">
        <w:t>However, the ACSOM considered the use of an intercalated schedule was not practical.</w:t>
      </w:r>
      <w:r w:rsidR="00B66DC3">
        <w:t xml:space="preserve"> </w:t>
      </w:r>
      <w:r w:rsidRPr="000A6D78">
        <w:t xml:space="preserve">Furthermore, ACSOM </w:t>
      </w:r>
      <w:r w:rsidR="001A3C0B">
        <w:t>considered that the results of S</w:t>
      </w:r>
      <w:r w:rsidRPr="000A6D78">
        <w:t>tudy V72P16, in which fever rates were reduced by concomitant administration of paracetamol</w:t>
      </w:r>
      <w:r w:rsidR="001A3C0B">
        <w:t>,</w:t>
      </w:r>
      <w:r w:rsidRPr="000A6D78">
        <w:t xml:space="preserve"> may not be readily achieved in the real world because of the dosing regimen (</w:t>
      </w:r>
      <w:r w:rsidR="001A3C0B">
        <w:t xml:space="preserve">6 hourly </w:t>
      </w:r>
      <w:r w:rsidRPr="000A6D78">
        <w:t>dosing) required but agreed that, in the absence of any other identifiable risk minimisation measures, the use of prophylactic antipyretics seems unavoidable.</w:t>
      </w:r>
    </w:p>
    <w:p w:rsidR="000A6D78" w:rsidRPr="000A6D78" w:rsidRDefault="000A6D78" w:rsidP="000A6D78">
      <w:r w:rsidRPr="000A6D78">
        <w:t>The main point of contention is how the information about the potential for febrile reactions is to be presented in the PI and how the risks can be managed under the RMP through its risk minimisation activities.</w:t>
      </w:r>
      <w:r w:rsidR="00B66DC3">
        <w:t xml:space="preserve"> </w:t>
      </w:r>
      <w:r w:rsidRPr="000A6D78">
        <w:t>The sponsor has argued that although the risk of fever was increased, there was no evidence of an increased risk of febrile convulsions and therefore no specific advice was needed in the PI or RMP.</w:t>
      </w:r>
      <w:r w:rsidR="00B66DC3">
        <w:t xml:space="preserve"> </w:t>
      </w:r>
      <w:r w:rsidRPr="000A6D78">
        <w:t>However, as pointed out by both the clinical evaluator and the ACSOM, this situation is one of an absence of evidence rather than evidence of absence of risk.</w:t>
      </w:r>
      <w:r w:rsidR="00B66DC3">
        <w:t xml:space="preserve"> </w:t>
      </w:r>
      <w:r w:rsidRPr="000A6D78">
        <w:t xml:space="preserve">Indeed, the ACSOM stated “the data do not provide evidence of no </w:t>
      </w:r>
      <w:proofErr w:type="gramStart"/>
      <w:r w:rsidRPr="000A6D78">
        <w:t>risk,</w:t>
      </w:r>
      <w:proofErr w:type="gramEnd"/>
      <w:r w:rsidRPr="000A6D78">
        <w:t xml:space="preserve"> rather they are suggestive of risk, which prima facie is likely given the high frequency of high fever.” Th</w:t>
      </w:r>
      <w:r w:rsidR="001A3C0B">
        <w:t>e Delegate agreed</w:t>
      </w:r>
      <w:r w:rsidRPr="000A6D78">
        <w:t xml:space="preserve"> wi</w:t>
      </w:r>
      <w:r w:rsidR="001A3C0B">
        <w:t>th ACSOM’s position and requested</w:t>
      </w:r>
      <w:r w:rsidRPr="000A6D78">
        <w:t xml:space="preserve"> the sponsor to amend the PI and RMP to contain the information recommended </w:t>
      </w:r>
      <w:r w:rsidR="006D6989">
        <w:t>by the RMP evaluator and ACSOM.</w:t>
      </w:r>
    </w:p>
    <w:p w:rsidR="000A6D78" w:rsidRPr="000A6D78" w:rsidRDefault="000A6D78" w:rsidP="000A6D78">
      <w:r w:rsidRPr="000A6D78">
        <w:t>The remaining concern relates to the absence of real-time stability data to support the proposed shelf life of 24 months.</w:t>
      </w:r>
      <w:r w:rsidR="00B66DC3">
        <w:t xml:space="preserve"> </w:t>
      </w:r>
      <w:r w:rsidRPr="000A6D78">
        <w:t>Such data are not expected to be available until July 2013.</w:t>
      </w:r>
      <w:r w:rsidR="00B66DC3">
        <w:t xml:space="preserve"> </w:t>
      </w:r>
      <w:r w:rsidRPr="000A6D78">
        <w:t>However, the sponsor claims that clinical data from two studies</w:t>
      </w:r>
      <w:r w:rsidR="001A3C0B">
        <w:t>,</w:t>
      </w:r>
      <w:r w:rsidRPr="000A6D78">
        <w:t xml:space="preserve"> V72P16 and V72_41</w:t>
      </w:r>
      <w:r w:rsidR="001A3C0B">
        <w:t>,</w:t>
      </w:r>
      <w:r w:rsidRPr="000A6D78">
        <w:t xml:space="preserve"> provide interim evidence of the potency of the vaccine over the duration of the proposed shelf-life.</w:t>
      </w:r>
      <w:r w:rsidR="00B66DC3">
        <w:t xml:space="preserve"> </w:t>
      </w:r>
      <w:r w:rsidRPr="000A6D78">
        <w:t>These claims were assessed in a Supplementary CER.</w:t>
      </w:r>
      <w:r w:rsidR="00B66DC3">
        <w:t xml:space="preserve"> </w:t>
      </w:r>
      <w:r w:rsidRPr="000A6D78">
        <w:t>The key conclusions of that evaluation were:</w:t>
      </w:r>
    </w:p>
    <w:p w:rsidR="000A6D78" w:rsidRPr="000A6D78" w:rsidRDefault="000A6D78" w:rsidP="0078007F">
      <w:pPr>
        <w:pStyle w:val="ListBullet"/>
      </w:pPr>
      <w:r w:rsidRPr="000A6D78">
        <w:t xml:space="preserve">Vaccine from an older lot (median age 27 months) when administered as a full dose to infants gave an acceptable immune response as measured by the proportions of subjects with </w:t>
      </w:r>
      <w:proofErr w:type="spellStart"/>
      <w:r w:rsidRPr="000A6D78">
        <w:t>hSBA</w:t>
      </w:r>
      <w:proofErr w:type="spellEnd"/>
      <w:r w:rsidRPr="000A6D78">
        <w:t xml:space="preserve"> titres ≥ 1:5 against each of the 3 reference strains 44/76, 5/99 and NZ98/254 at 1 month post vaccination, and GMTs and GMRs at the same time point.</w:t>
      </w:r>
      <w:r w:rsidR="00B66DC3">
        <w:t xml:space="preserve"> </w:t>
      </w:r>
      <w:r w:rsidRPr="000A6D78">
        <w:t>The results were also consistent with those observed when vaccine from a lot with median age 16 months was administered under similar conditions in Study V72P12.</w:t>
      </w:r>
    </w:p>
    <w:p w:rsidR="000A6D78" w:rsidRPr="000A6D78" w:rsidRDefault="000A6D78" w:rsidP="0078007F">
      <w:pPr>
        <w:pStyle w:val="ListBullet"/>
      </w:pPr>
      <w:r w:rsidRPr="000A6D78">
        <w:t>Administration of a full dose of an older lot (</w:t>
      </w:r>
      <w:r w:rsidR="00E23599">
        <w:t>reference lot</w:t>
      </w:r>
      <w:r w:rsidRPr="000A6D78">
        <w:t xml:space="preserve">; median age 29 months) to adolescents in Study V72_41 gave an immune response comparable to that of a younger lot (median age 15 months) used in the same study, as indicated by ratios of GMTs for the 2 lots falling within the requisite equivalence interval of 0.5 to 2.0 for </w:t>
      </w:r>
      <w:r w:rsidRPr="000A6D78">
        <w:lastRenderedPageBreak/>
        <w:t>each of the 3 reference strains.</w:t>
      </w:r>
      <w:r w:rsidR="00B66DC3">
        <w:t xml:space="preserve"> </w:t>
      </w:r>
      <w:r w:rsidRPr="000A6D78">
        <w:t>The GMT and GMR responses for the older lot against the reference strains were also comparable to that of the younger lot.</w:t>
      </w:r>
      <w:r w:rsidR="00B66DC3">
        <w:t xml:space="preserve"> </w:t>
      </w:r>
      <w:r w:rsidRPr="000A6D78">
        <w:t>Whilst the overall results for the older lot were consistent with an acceptable immune response, some aspects of the immunogenicity of the younger lot (</w:t>
      </w:r>
      <w:r w:rsidR="00E23599">
        <w:t>reference lot</w:t>
      </w:r>
      <w:r w:rsidRPr="000A6D78">
        <w:t>) were of concern.</w:t>
      </w:r>
      <w:r w:rsidR="00B66DC3">
        <w:t xml:space="preserve"> </w:t>
      </w:r>
      <w:r w:rsidRPr="000A6D78">
        <w:t>In particular, the lower bound of the 95%</w:t>
      </w:r>
      <w:r w:rsidR="001A3C0B">
        <w:t xml:space="preserve"> </w:t>
      </w:r>
      <w:r w:rsidRPr="000A6D78">
        <w:t xml:space="preserve">CI for the proportion of subjects achieving a titre ≥ 1:5 against reference strain NZ98/254 with </w:t>
      </w:r>
      <w:r w:rsidR="00E23599">
        <w:t xml:space="preserve">the </w:t>
      </w:r>
      <w:r w:rsidR="00E23599" w:rsidRPr="00E23599">
        <w:t xml:space="preserve">reference lot </w:t>
      </w:r>
      <w:r w:rsidRPr="000A6D78">
        <w:t xml:space="preserve">was only 62% (below the 70% threshold considered to be an acceptable immune response in the pivotal study in infants) and the proportion of subjects with a 4-fold increase in </w:t>
      </w:r>
      <w:proofErr w:type="spellStart"/>
      <w:r w:rsidRPr="000A6D78">
        <w:t>hSBA</w:t>
      </w:r>
      <w:proofErr w:type="spellEnd"/>
      <w:r w:rsidRPr="000A6D78">
        <w:t xml:space="preserve"> titre from baseline against NZ98/254 was 74% compared to 85% for the older lot.</w:t>
      </w:r>
      <w:r w:rsidR="00B66DC3">
        <w:t xml:space="preserve"> </w:t>
      </w:r>
      <w:r w:rsidR="00E23599">
        <w:t xml:space="preserve">The </w:t>
      </w:r>
      <w:r w:rsidR="00E23599" w:rsidRPr="00E23599">
        <w:t xml:space="preserve">reference lot </w:t>
      </w:r>
      <w:r w:rsidRPr="000A6D78">
        <w:t xml:space="preserve">has been chosen as the reference standard for the modified potency assay and </w:t>
      </w:r>
      <w:r w:rsidR="00610E2C">
        <w:t>S</w:t>
      </w:r>
      <w:r w:rsidRPr="000A6D78">
        <w:t>tudy V72_41 was the first clinical study in which it had been used.</w:t>
      </w:r>
      <w:r w:rsidR="00B66DC3">
        <w:t xml:space="preserve"> </w:t>
      </w:r>
      <w:r w:rsidRPr="000A6D78">
        <w:t xml:space="preserve">It is also of note that the results achieved with respect to immunogenicity against reference strain with NZ98/254 in </w:t>
      </w:r>
      <w:r w:rsidR="00610E2C">
        <w:t>S</w:t>
      </w:r>
      <w:r w:rsidRPr="000A6D78">
        <w:t>tudy V72_41 were much lower than observed in the only other study involving adolescents (V72P10), even when the much higher prevalence of functional antibodies at baseline in that study was discounted.</w:t>
      </w:r>
      <w:r w:rsidR="00B66DC3">
        <w:t xml:space="preserve"> </w:t>
      </w:r>
      <w:r w:rsidRPr="000A6D78">
        <w:t xml:space="preserve">Importantly, the sponsor should comment on the immunogenicity results obtained for </w:t>
      </w:r>
      <w:r w:rsidR="00E23599" w:rsidRPr="00E23599">
        <w:t>reference lot</w:t>
      </w:r>
      <w:r w:rsidR="00E23599" w:rsidRPr="00E23599" w:rsidDel="00E23599">
        <w:t xml:space="preserve"> </w:t>
      </w:r>
      <w:r w:rsidRPr="000A6D78">
        <w:t xml:space="preserve">and the implications of this for its use as the reference standard for the </w:t>
      </w:r>
      <w:r w:rsidR="00E23599">
        <w:t xml:space="preserve">potency </w:t>
      </w:r>
      <w:r w:rsidRPr="000A6D78">
        <w:t>assay.</w:t>
      </w:r>
    </w:p>
    <w:p w:rsidR="000A6D78" w:rsidRPr="000A6D78" w:rsidRDefault="000A6D78" w:rsidP="000A6D78">
      <w:r w:rsidRPr="000A6D78">
        <w:t>The clinical data for aged lots of Bexsero, albeit quite limited, appear generally supportive of the proposed 24 month shelf life in that older lots gave acceptable protective immune responses and no additional safety issues were evident with their use.</w:t>
      </w:r>
      <w:r w:rsidR="00B66DC3">
        <w:t xml:space="preserve"> </w:t>
      </w:r>
      <w:r w:rsidRPr="000A6D78">
        <w:t>Overall, there are sufficient clinical data to justify the proposed shelf-life in the absence of real time stability data.</w:t>
      </w:r>
      <w:r w:rsidR="00B66DC3">
        <w:t xml:space="preserve"> </w:t>
      </w:r>
      <w:r w:rsidRPr="000A6D78">
        <w:t>In the event of product approval, the conditions of registration proposed by the quality evaluator will be impos</w:t>
      </w:r>
      <w:r w:rsidR="006D6989">
        <w:t>ed.</w:t>
      </w:r>
    </w:p>
    <w:p w:rsidR="000A6D78" w:rsidRPr="000A6D78" w:rsidRDefault="000A6D78" w:rsidP="001A3C0B">
      <w:pPr>
        <w:pStyle w:val="Heading5"/>
      </w:pPr>
      <w:r w:rsidRPr="000A6D78">
        <w:t>Benefit-risk balance</w:t>
      </w:r>
    </w:p>
    <w:p w:rsidR="000A6D78" w:rsidRPr="000A6D78" w:rsidRDefault="000A6D78" w:rsidP="000A6D78">
      <w:r w:rsidRPr="000A6D78">
        <w:t>The exact benefits of Bexsero in relation to its proposed indication can only be elucidated in the post marketing setting where a number of the uncertainties outlined above can be addressed in line with activities proposed in the RMP.</w:t>
      </w:r>
      <w:r w:rsidR="00B66DC3">
        <w:t xml:space="preserve"> </w:t>
      </w:r>
      <w:r w:rsidRPr="000A6D78">
        <w:t>Furthermore, the benefit is likely to be relatively small given that IMD is a rare disease in Australia.</w:t>
      </w:r>
      <w:r w:rsidR="00B66DC3">
        <w:t xml:space="preserve"> </w:t>
      </w:r>
      <w:r w:rsidRPr="000A6D78">
        <w:t>However, the impacts of the disease are significant, and the benefit of having a vaccine available in the event of outbreaks of disease would be greater.</w:t>
      </w:r>
      <w:r w:rsidR="00B66DC3">
        <w:t xml:space="preserve"> </w:t>
      </w:r>
      <w:r w:rsidRPr="000A6D78">
        <w:t xml:space="preserve">The available data indicates that Bexsero results in robust functional immune responses as measured by </w:t>
      </w:r>
      <w:proofErr w:type="spellStart"/>
      <w:r w:rsidRPr="000A6D78">
        <w:t>hSBA</w:t>
      </w:r>
      <w:proofErr w:type="spellEnd"/>
      <w:r w:rsidRPr="000A6D78">
        <w:t xml:space="preserve"> and from this and MATS data it is reasonable to expect the vaccine will be effective against the majority of </w:t>
      </w:r>
      <w:r w:rsidR="00E23599">
        <w:t>strains</w:t>
      </w:r>
      <w:r w:rsidRPr="000A6D78">
        <w:t>.</w:t>
      </w:r>
    </w:p>
    <w:p w:rsidR="000A6D78" w:rsidRDefault="000A6D78" w:rsidP="000A6D78">
      <w:r w:rsidRPr="000A6D78">
        <w:t xml:space="preserve">Balanced against this is the fact that </w:t>
      </w:r>
      <w:proofErr w:type="spellStart"/>
      <w:r w:rsidRPr="000A6D78">
        <w:t>Bexsero</w:t>
      </w:r>
      <w:proofErr w:type="spellEnd"/>
      <w:r w:rsidRPr="000A6D78">
        <w:t xml:space="preserve"> is clearly </w:t>
      </w:r>
      <w:proofErr w:type="spellStart"/>
      <w:r w:rsidRPr="000A6D78">
        <w:t>pyrogenic</w:t>
      </w:r>
      <w:proofErr w:type="spellEnd"/>
      <w:r w:rsidRPr="000A6D78">
        <w:t>, particularly when administered with routine childhood vaccinations.</w:t>
      </w:r>
      <w:r w:rsidR="00B66DC3">
        <w:t xml:space="preserve"> </w:t>
      </w:r>
      <w:r w:rsidRPr="000A6D78">
        <w:t>However, the available clinical data have shown that most cases of fever are mild or moderate and transient in nature.</w:t>
      </w:r>
      <w:r w:rsidR="00B66DC3">
        <w:t xml:space="preserve"> </w:t>
      </w:r>
      <w:r w:rsidRPr="000A6D78">
        <w:t>Nevertheless, fever needs to be adequately managed because of the consequent risk of febrile convulsions.</w:t>
      </w:r>
      <w:r w:rsidR="00B66DC3">
        <w:t xml:space="preserve"> </w:t>
      </w:r>
      <w:r w:rsidRPr="000A6D78">
        <w:t>This can be achieved through appropriate guidance for prescribers and education of and communication with care givers about the us</w:t>
      </w:r>
      <w:r w:rsidR="006D6989">
        <w:t>e of prophylactic antipyretics.</w:t>
      </w:r>
    </w:p>
    <w:p w:rsidR="007F1E6E" w:rsidRPr="006D6989" w:rsidRDefault="007F1E6E" w:rsidP="006D6989">
      <w:pPr>
        <w:pStyle w:val="Heading4"/>
      </w:pPr>
      <w:r w:rsidRPr="007F1E6E">
        <w:t xml:space="preserve">Proposed </w:t>
      </w:r>
      <w:r w:rsidR="006D6989">
        <w:t>action</w:t>
      </w:r>
    </w:p>
    <w:p w:rsidR="000A6D78" w:rsidRPr="00317F17" w:rsidRDefault="000A6D78" w:rsidP="00317F17">
      <w:r w:rsidRPr="000A6D78">
        <w:t>Overall, th</w:t>
      </w:r>
      <w:r w:rsidR="001A3C0B">
        <w:t xml:space="preserve">e </w:t>
      </w:r>
      <w:r w:rsidRPr="000A6D78">
        <w:t>Delegate is of the view that the product has a favourable benefit-risk balance.</w:t>
      </w:r>
      <w:r w:rsidR="00B66DC3">
        <w:t xml:space="preserve"> </w:t>
      </w:r>
      <w:r w:rsidRPr="000A6D78">
        <w:t>However, this is dependent on there being comprehensive information about the risks and management of fever and its sequelae in the PI and appropriate risk minimisation activities such as educational and communication programs implemented under the RMP.</w:t>
      </w:r>
      <w:r w:rsidR="00B66DC3">
        <w:t xml:space="preserve"> </w:t>
      </w:r>
      <w:r w:rsidRPr="00317F17">
        <w:t>With reg</w:t>
      </w:r>
      <w:r w:rsidR="001A3C0B">
        <w:t>ard to the latter, the sponsor wa</w:t>
      </w:r>
      <w:r w:rsidRPr="00317F17">
        <w:t>s requested to negotiate a version of the RMP to the satisfaction of the OPR prior to finalisation of the application.</w:t>
      </w:r>
      <w:r w:rsidR="00B66DC3">
        <w:t xml:space="preserve"> </w:t>
      </w:r>
      <w:r w:rsidRPr="00317F17">
        <w:t>Implementation of the final agreed version of the RMP will be imposed as a condition of registration in</w:t>
      </w:r>
      <w:r w:rsidR="006D6989">
        <w:t xml:space="preserve"> the event of product approval.</w:t>
      </w:r>
    </w:p>
    <w:p w:rsidR="000A6D78" w:rsidRDefault="000A6D78" w:rsidP="006D6989">
      <w:pPr>
        <w:pStyle w:val="Heading4"/>
      </w:pPr>
      <w:r>
        <w:lastRenderedPageBreak/>
        <w:t>Request for ACPM advice</w:t>
      </w:r>
    </w:p>
    <w:p w:rsidR="000A6D78" w:rsidRPr="000A6D78" w:rsidRDefault="00317F17" w:rsidP="000A6D78">
      <w:r>
        <w:t xml:space="preserve">The Delegate sought general advice on this application from the </w:t>
      </w:r>
      <w:r w:rsidR="000A6D78" w:rsidRPr="000A6D78">
        <w:t xml:space="preserve">ACPM </w:t>
      </w:r>
      <w:r>
        <w:t>and requested the committee provide</w:t>
      </w:r>
      <w:r w:rsidR="000A6D78" w:rsidRPr="000A6D78">
        <w:t xml:space="preserve"> advice on the following issues</w:t>
      </w:r>
      <w:r>
        <w:t xml:space="preserve"> in particular</w:t>
      </w:r>
      <w:r w:rsidR="000A6D78" w:rsidRPr="000A6D78">
        <w:t>:</w:t>
      </w:r>
    </w:p>
    <w:p w:rsidR="000A6D78" w:rsidRPr="000A6D78" w:rsidRDefault="000A6D78" w:rsidP="00317F17">
      <w:pPr>
        <w:pStyle w:val="ListBullet"/>
      </w:pPr>
      <w:proofErr w:type="gramStart"/>
      <w:r w:rsidRPr="000A6D78">
        <w:t>whether</w:t>
      </w:r>
      <w:proofErr w:type="gramEnd"/>
      <w:r w:rsidRPr="000A6D78">
        <w:t xml:space="preserve"> the immune responses measured by </w:t>
      </w:r>
      <w:proofErr w:type="spellStart"/>
      <w:r w:rsidRPr="000A6D78">
        <w:t>hSBA</w:t>
      </w:r>
      <w:proofErr w:type="spellEnd"/>
      <w:r w:rsidRPr="000A6D78">
        <w:t xml:space="preserve"> are sufficient to infer there will be acceptable protective efficacy against IMD.</w:t>
      </w:r>
      <w:r w:rsidR="00B66DC3">
        <w:t xml:space="preserve"> </w:t>
      </w:r>
      <w:r w:rsidR="00BA1634">
        <w:t>The ACPM was also requested to</w:t>
      </w:r>
      <w:r w:rsidRPr="000A6D78">
        <w:t xml:space="preserve"> comment on the role and utility of MATS, a new tool unique to Bexsero, as a predictor of strain coverage;</w:t>
      </w:r>
    </w:p>
    <w:p w:rsidR="000A6D78" w:rsidRPr="000A6D78" w:rsidRDefault="000A6D78" w:rsidP="00317F17">
      <w:pPr>
        <w:pStyle w:val="ListBullet"/>
      </w:pPr>
      <w:r w:rsidRPr="000A6D78">
        <w:t>noting the absence of immunogenicity data for subjects aged 2 to 10 years, whether the use of regimen 2-dose regimen can be supported using data generated in younger and older age groups;</w:t>
      </w:r>
    </w:p>
    <w:p w:rsidR="000A6D78" w:rsidRPr="000A6D78" w:rsidRDefault="000A6D78" w:rsidP="00317F17">
      <w:pPr>
        <w:pStyle w:val="ListBullet"/>
      </w:pPr>
      <w:r w:rsidRPr="000A6D78">
        <w:t>whether there is sufficient evidence of immunogenicity and safety to support the use of an accelerated regimen (with dosing at 2, 3, and 4 months)</w:t>
      </w:r>
      <w:r w:rsidR="006D6989">
        <w:t xml:space="preserve"> in the 2 to 5 month age group;</w:t>
      </w:r>
    </w:p>
    <w:p w:rsidR="000A6D78" w:rsidRPr="000A6D78" w:rsidRDefault="000A6D78" w:rsidP="00317F17">
      <w:pPr>
        <w:pStyle w:val="ListBullet"/>
      </w:pPr>
      <w:r w:rsidRPr="000A6D78">
        <w:t>whether there is sufficient information about the risk of fever with Bexsero and the increased risk of febrile seizures following fever within the PI and RMP to ensure the safe use of Bexsero; and</w:t>
      </w:r>
    </w:p>
    <w:p w:rsidR="000A6D78" w:rsidRPr="000A6D78" w:rsidRDefault="000A6D78" w:rsidP="00317F17">
      <w:pPr>
        <w:pStyle w:val="ListBullet"/>
      </w:pPr>
      <w:proofErr w:type="gramStart"/>
      <w:r w:rsidRPr="000A6D78">
        <w:t>whether</w:t>
      </w:r>
      <w:proofErr w:type="gramEnd"/>
      <w:r w:rsidRPr="000A6D78">
        <w:t xml:space="preserve">, </w:t>
      </w:r>
      <w:r w:rsidRPr="000A6D78">
        <w:rPr>
          <w:i/>
        </w:rPr>
        <w:t>in lieu</w:t>
      </w:r>
      <w:r w:rsidRPr="000A6D78">
        <w:t xml:space="preserve"> of real time stability data, the clinical data from studies V72P16 and V72_41 provide sufficient assurance that the potency and stability of the vaccine remains adequate over the proposed shelf life of the product.</w:t>
      </w:r>
    </w:p>
    <w:p w:rsidR="008E7846" w:rsidRDefault="008E7846" w:rsidP="006D6989">
      <w:pPr>
        <w:pStyle w:val="Heading4"/>
      </w:pPr>
      <w:r>
        <w:t xml:space="preserve">Response from </w:t>
      </w:r>
      <w:r w:rsidR="006D6989">
        <w:t>s</w:t>
      </w:r>
      <w:r>
        <w:t>ponsor</w:t>
      </w:r>
    </w:p>
    <w:p w:rsidR="009036C9" w:rsidRDefault="009036C9" w:rsidP="009036C9">
      <w:pPr>
        <w:pStyle w:val="Heading5"/>
      </w:pPr>
      <w:r>
        <w:t>I</w:t>
      </w:r>
      <w:r w:rsidR="006D6989">
        <w:t>ntroduction</w:t>
      </w:r>
    </w:p>
    <w:p w:rsidR="000019F0" w:rsidRDefault="009036C9" w:rsidP="00CF2D70">
      <w:r w:rsidRPr="00CF2D70">
        <w:t>Consistent with the assessment from the clinical evaluator, the Delegate acknowledges that the risk</w:t>
      </w:r>
      <w:r w:rsidR="00C06847">
        <w:t>-</w:t>
      </w:r>
      <w:r w:rsidRPr="00CF2D70">
        <w:t>benefit balance of Bexsero, given the proposed usage, is favourable. In parti</w:t>
      </w:r>
      <w:r w:rsidR="006D6989">
        <w:t>cular, the Delegate notes that:</w:t>
      </w:r>
    </w:p>
    <w:p w:rsidR="000019F0" w:rsidRDefault="009036C9" w:rsidP="00CF2D70">
      <w:r w:rsidRPr="00CF2D70">
        <w:t xml:space="preserve">(a) the quality evaluator considers the application approvable on the condition that Novartis provides the TGA with stability data that will become available from ongoing stability studies and notifies the TGA of any results that could indicate a trend towards diminished potency </w:t>
      </w:r>
      <w:r>
        <w:t xml:space="preserve">over the 24 </w:t>
      </w:r>
      <w:r w:rsidR="006D6989">
        <w:t>month storage period;</w:t>
      </w:r>
    </w:p>
    <w:p w:rsidR="000019F0" w:rsidRDefault="009036C9" w:rsidP="00CF2D70">
      <w:r w:rsidRPr="00CF2D70">
        <w:t xml:space="preserve">(b) </w:t>
      </w:r>
      <w:proofErr w:type="gramStart"/>
      <w:r w:rsidRPr="00CF2D70">
        <w:t>the</w:t>
      </w:r>
      <w:proofErr w:type="gramEnd"/>
      <w:r w:rsidRPr="00CF2D70">
        <w:t xml:space="preserve"> clinical evidence included in the </w:t>
      </w:r>
      <w:r>
        <w:t xml:space="preserve">submission </w:t>
      </w:r>
      <w:r w:rsidRPr="00CF2D70">
        <w:t>presented sufficient immunogenicity and safety data to sup</w:t>
      </w:r>
      <w:r w:rsidR="006D6989">
        <w:t>port registration provided that</w:t>
      </w:r>
    </w:p>
    <w:p w:rsidR="000019F0" w:rsidRDefault="009036C9" w:rsidP="005A2D21">
      <w:pPr>
        <w:ind w:left="567"/>
      </w:pPr>
      <w:proofErr w:type="spellStart"/>
      <w:r w:rsidRPr="00CF2D70">
        <w:t>i</w:t>
      </w:r>
      <w:proofErr w:type="spellEnd"/>
      <w:r w:rsidRPr="00CF2D70">
        <w:t>.</w:t>
      </w:r>
      <w:r>
        <w:t>)</w:t>
      </w:r>
      <w:r w:rsidRPr="00CF2D70">
        <w:t xml:space="preserve"> enhanced pharmacovigilance studies were planned for specific adverse events (AEs) such as Kawasak</w:t>
      </w:r>
      <w:r w:rsidR="006D6989">
        <w:t>i Disease and febrile seizures,</w:t>
      </w:r>
    </w:p>
    <w:p w:rsidR="000019F0" w:rsidRDefault="009036C9" w:rsidP="005A2D21">
      <w:pPr>
        <w:ind w:left="567"/>
      </w:pPr>
      <w:r w:rsidRPr="00CF2D70">
        <w:t>ii.</w:t>
      </w:r>
      <w:r>
        <w:t>)</w:t>
      </w:r>
      <w:r w:rsidRPr="00CF2D70">
        <w:t xml:space="preserve"> </w:t>
      </w:r>
      <w:proofErr w:type="gramStart"/>
      <w:r w:rsidRPr="00CF2D70">
        <w:t>the</w:t>
      </w:r>
      <w:proofErr w:type="gramEnd"/>
      <w:r w:rsidRPr="00CF2D70">
        <w:t xml:space="preserve"> </w:t>
      </w:r>
      <w:r>
        <w:t xml:space="preserve">PI </w:t>
      </w:r>
      <w:r w:rsidRPr="00CF2D70">
        <w:t xml:space="preserve">includes wording about history of neurological disease, seizures and febrile seizures in the </w:t>
      </w:r>
      <w:r w:rsidRPr="005A2D21">
        <w:t>Precautions</w:t>
      </w:r>
      <w:r w:rsidR="006D6989">
        <w:t xml:space="preserve"> section, and that</w:t>
      </w:r>
    </w:p>
    <w:p w:rsidR="000019F0" w:rsidRDefault="009036C9" w:rsidP="005A2D21">
      <w:pPr>
        <w:ind w:left="567"/>
      </w:pPr>
      <w:r w:rsidRPr="00CF2D70">
        <w:t>iii.</w:t>
      </w:r>
      <w:r>
        <w:t>)</w:t>
      </w:r>
      <w:r w:rsidR="00BA1634">
        <w:t xml:space="preserve"> </w:t>
      </w:r>
      <w:proofErr w:type="gramStart"/>
      <w:r w:rsidR="00BA1634">
        <w:t>the</w:t>
      </w:r>
      <w:proofErr w:type="gramEnd"/>
      <w:r w:rsidR="00BA1634">
        <w:t xml:space="preserve"> collection of Australian </w:t>
      </w:r>
      <w:r w:rsidR="006D6989">
        <w:t>MATS data be extended; and that</w:t>
      </w:r>
    </w:p>
    <w:p w:rsidR="009036C9" w:rsidRDefault="009036C9" w:rsidP="00CF2D70">
      <w:r w:rsidRPr="00CF2D70">
        <w:t xml:space="preserve">(c) </w:t>
      </w:r>
      <w:proofErr w:type="gramStart"/>
      <w:r w:rsidRPr="00CF2D70">
        <w:t>in</w:t>
      </w:r>
      <w:proofErr w:type="gramEnd"/>
      <w:r w:rsidRPr="00CF2D70">
        <w:t xml:space="preserve"> line with the RMP evaluator recommendation, Novartis is committed to implementing an educational program in Australia to inform health professionals of the risks associated with the use of Bexsero. Novartis welcomes the Delegate’s conclusions with regards to the Bexsero benefit risk balance and addresses below the comments and concerns raised in the D</w:t>
      </w:r>
      <w:r>
        <w:t xml:space="preserve">elegate’s </w:t>
      </w:r>
      <w:r w:rsidRPr="00CF2D70">
        <w:t>O</w:t>
      </w:r>
      <w:r>
        <w:t>verview</w:t>
      </w:r>
      <w:r w:rsidRPr="00CF2D70">
        <w:t xml:space="preserve">. For the sake of clarity and convenience, the Delegate’s comments are transcribed in italics throughout </w:t>
      </w:r>
      <w:r>
        <w:t xml:space="preserve">the </w:t>
      </w:r>
      <w:r w:rsidRPr="00CF2D70">
        <w:t>response</w:t>
      </w:r>
      <w:r>
        <w:t xml:space="preserve"> below</w:t>
      </w:r>
      <w:r w:rsidR="006D6989">
        <w:t>.</w:t>
      </w:r>
    </w:p>
    <w:p w:rsidR="00AD1BA1" w:rsidRPr="006D6989" w:rsidRDefault="00AD1BA1" w:rsidP="006D6989">
      <w:pPr>
        <w:pStyle w:val="Heading5"/>
      </w:pPr>
      <w:r>
        <w:t>R</w:t>
      </w:r>
      <w:r w:rsidRPr="00CF2D70">
        <w:t xml:space="preserve">esponses to comments and issues raised in the </w:t>
      </w:r>
      <w:r w:rsidR="00CA2640">
        <w:t>D</w:t>
      </w:r>
      <w:r w:rsidR="006D6989">
        <w:t>elegate’s overview</w:t>
      </w:r>
    </w:p>
    <w:p w:rsidR="009036C9" w:rsidRDefault="00AD1BA1" w:rsidP="00AD1BA1">
      <w:pPr>
        <w:pStyle w:val="Heading6"/>
      </w:pPr>
      <w:r>
        <w:t>E</w:t>
      </w:r>
      <w:r w:rsidR="006D6989">
        <w:t>fficacy</w:t>
      </w:r>
    </w:p>
    <w:p w:rsidR="000019F0" w:rsidRDefault="009036C9" w:rsidP="00CF2D70">
      <w:r w:rsidRPr="00CF2D70">
        <w:t xml:space="preserve">Overall the Delegate acknowledges that the benefits of Bexsero in relation to its proposed indication can only be elucidated in the post marketing setting, and that given that no </w:t>
      </w:r>
      <w:r w:rsidRPr="00CF2D70">
        <w:lastRenderedPageBreak/>
        <w:t xml:space="preserve">efficacy data were submitted, </w:t>
      </w:r>
      <w:r w:rsidRPr="00AD1BA1">
        <w:rPr>
          <w:i/>
          <w:iCs/>
        </w:rPr>
        <w:t xml:space="preserve">the efficacy of rMenB+OMV NZ [Bexsero] in preventing IMD has been inferred from its ability to induce functional bactericidal antibodies directed against </w:t>
      </w:r>
      <w:proofErr w:type="spellStart"/>
      <w:r w:rsidRPr="00AD1BA1">
        <w:rPr>
          <w:i/>
          <w:iCs/>
        </w:rPr>
        <w:t>serogroup</w:t>
      </w:r>
      <w:proofErr w:type="spellEnd"/>
      <w:r w:rsidRPr="00AD1BA1">
        <w:rPr>
          <w:i/>
          <w:iCs/>
        </w:rPr>
        <w:t xml:space="preserve"> B </w:t>
      </w:r>
      <w:proofErr w:type="spellStart"/>
      <w:r w:rsidRPr="00AD1BA1">
        <w:rPr>
          <w:i/>
          <w:iCs/>
        </w:rPr>
        <w:t>meningococci</w:t>
      </w:r>
      <w:proofErr w:type="spellEnd"/>
      <w:r w:rsidRPr="00CF2D70">
        <w:t xml:space="preserve">. The Delegate however requests the ACPM to comment on </w:t>
      </w:r>
      <w:r w:rsidRPr="00AD1BA1">
        <w:rPr>
          <w:i/>
          <w:iCs/>
        </w:rPr>
        <w:t xml:space="preserve">whether the immune responses measured by </w:t>
      </w:r>
      <w:proofErr w:type="spellStart"/>
      <w:r w:rsidRPr="00AD1BA1">
        <w:rPr>
          <w:i/>
          <w:iCs/>
        </w:rPr>
        <w:t>hSBA</w:t>
      </w:r>
      <w:proofErr w:type="spellEnd"/>
      <w:r w:rsidRPr="00AD1BA1">
        <w:rPr>
          <w:i/>
          <w:iCs/>
        </w:rPr>
        <w:t xml:space="preserve"> [human serum bactericidal antibodies] are sufficient to infer there will be acceptable protective efficacy against IMD</w:t>
      </w:r>
      <w:r w:rsidRPr="00CF2D70">
        <w:t xml:space="preserve"> and on </w:t>
      </w:r>
      <w:r w:rsidRPr="00AD1BA1">
        <w:rPr>
          <w:i/>
          <w:iCs/>
        </w:rPr>
        <w:t>the role and utility of MATS, a new tool unique to Bexsero, as a predictor of strain coverage</w:t>
      </w:r>
      <w:r w:rsidRPr="00CF2D70">
        <w:t xml:space="preserve">. </w:t>
      </w:r>
      <w:proofErr w:type="gramStart"/>
      <w:r w:rsidRPr="00CF2D70">
        <w:t>A</w:t>
      </w:r>
      <w:proofErr w:type="gramEnd"/>
      <w:r w:rsidRPr="00CF2D70">
        <w:t xml:space="preserve"> </w:t>
      </w:r>
      <w:proofErr w:type="spellStart"/>
      <w:r w:rsidRPr="00CF2D70">
        <w:t>hSBA</w:t>
      </w:r>
      <w:proofErr w:type="spellEnd"/>
      <w:r w:rsidRPr="00CF2D70">
        <w:t xml:space="preserve"> </w:t>
      </w:r>
      <w:proofErr w:type="spellStart"/>
      <w:r w:rsidRPr="00CF2D70">
        <w:t>titer</w:t>
      </w:r>
      <w:proofErr w:type="spellEnd"/>
      <w:r w:rsidRPr="00CF2D70">
        <w:t xml:space="preserve"> </w:t>
      </w:r>
      <w:r w:rsidR="00AD1BA1" w:rsidRPr="00AD1BA1">
        <w:t xml:space="preserve">≥ </w:t>
      </w:r>
      <w:r w:rsidRPr="00CF2D70">
        <w:t>1:4 has been historically defined as the threshold titer that correlates to clinical protection against meningococcal disease. Evidence that support the importance of bactericidal activity in protection comes prima</w:t>
      </w:r>
      <w:r w:rsidR="006D6989">
        <w:t>rily from several observations:</w:t>
      </w:r>
    </w:p>
    <w:p w:rsidR="000019F0" w:rsidRDefault="009036C9" w:rsidP="00CF2D70">
      <w:r w:rsidRPr="00CF2D70">
        <w:t xml:space="preserve">(a) in the seminal study by </w:t>
      </w:r>
      <w:proofErr w:type="spellStart"/>
      <w:r w:rsidRPr="00CF2D70">
        <w:t>Goldschneider</w:t>
      </w:r>
      <w:proofErr w:type="spellEnd"/>
      <w:r w:rsidRPr="00CF2D70">
        <w:t xml:space="preserve"> and colleagues, investigators observed that subjects with </w:t>
      </w:r>
      <w:proofErr w:type="spellStart"/>
      <w:r w:rsidRPr="00CF2D70">
        <w:t>hSBA</w:t>
      </w:r>
      <w:proofErr w:type="spellEnd"/>
      <w:r w:rsidRPr="00CF2D70">
        <w:t xml:space="preserve"> </w:t>
      </w:r>
      <w:proofErr w:type="spellStart"/>
      <w:r w:rsidRPr="00CF2D70">
        <w:t>titers</w:t>
      </w:r>
      <w:proofErr w:type="spellEnd"/>
      <w:r w:rsidRPr="00CF2D70">
        <w:t xml:space="preserve"> of ≥</w:t>
      </w:r>
      <w:r w:rsidR="00BA1634">
        <w:t xml:space="preserve"> </w:t>
      </w:r>
      <w:r w:rsidRPr="00CF2D70">
        <w:t xml:space="preserve">1:4 who were exposed to a group C meningococcal epidemic did not develop disease while virtually all cases occurred in individuals whose baseline </w:t>
      </w:r>
      <w:proofErr w:type="spellStart"/>
      <w:r w:rsidRPr="00CF2D70">
        <w:t>hSBA</w:t>
      </w:r>
      <w:proofErr w:type="spellEnd"/>
      <w:r w:rsidRPr="00CF2D70">
        <w:t xml:space="preserve"> </w:t>
      </w:r>
      <w:proofErr w:type="spellStart"/>
      <w:r w:rsidRPr="00CF2D70">
        <w:t>titers</w:t>
      </w:r>
      <w:proofErr w:type="spellEnd"/>
      <w:r w:rsidRPr="00CF2D70">
        <w:t xml:space="preserve"> were &lt;</w:t>
      </w:r>
      <w:r w:rsidR="00BA1634">
        <w:t xml:space="preserve"> </w:t>
      </w:r>
      <w:r w:rsidR="006D6989">
        <w:t>1:4;</w:t>
      </w:r>
    </w:p>
    <w:p w:rsidR="000019F0" w:rsidRDefault="009036C9" w:rsidP="00CF2D70">
      <w:r w:rsidRPr="00CF2D70">
        <w:t xml:space="preserve">(b) this same group reported an inverse relationship between the average age of acquisition of naturally acquired serum bactericidal antibody against </w:t>
      </w:r>
      <w:proofErr w:type="spellStart"/>
      <w:r w:rsidRPr="00CF2D70">
        <w:t>serogroups</w:t>
      </w:r>
      <w:proofErr w:type="spellEnd"/>
      <w:r w:rsidRPr="00CF2D70">
        <w:t xml:space="preserve"> A, B and C and the inci</w:t>
      </w:r>
      <w:r w:rsidR="006D6989">
        <w:t>dence of meningococcal disease;</w:t>
      </w:r>
    </w:p>
    <w:p w:rsidR="00096C09" w:rsidRDefault="009036C9" w:rsidP="00CF2D70">
      <w:r w:rsidRPr="00CF2D70">
        <w:t xml:space="preserve">(c) </w:t>
      </w:r>
      <w:proofErr w:type="gramStart"/>
      <w:r w:rsidRPr="00CF2D70">
        <w:t>the</w:t>
      </w:r>
      <w:proofErr w:type="gramEnd"/>
      <w:r w:rsidRPr="00CF2D70">
        <w:t xml:space="preserve"> importance of serum bactericidal antibody in protection against meningococcal disease also is underscored by the greatly increased risk of acquiring meningococcal disease in persons with inherited complement deficiencies who la</w:t>
      </w:r>
      <w:r w:rsidR="006D6989">
        <w:t>ck serum bactericidal activity.</w:t>
      </w:r>
    </w:p>
    <w:p w:rsidR="00096C09" w:rsidRDefault="009036C9" w:rsidP="00CF2D70">
      <w:r w:rsidRPr="00CF2D70">
        <w:t>An evaluation of strain coverage afforded by Bexsero immunisation is hampered by the inability of current typing systems to account for the diversity in sequence and level of expression of the surface proteins used in the vaccine. Novartis therefore developed the MATS platform which combines conventional geno</w:t>
      </w:r>
      <w:r w:rsidR="00556F7A">
        <w:t xml:space="preserve">typing for </w:t>
      </w:r>
      <w:proofErr w:type="spellStart"/>
      <w:r w:rsidR="00556F7A">
        <w:t>PorA</w:t>
      </w:r>
      <w:proofErr w:type="spellEnd"/>
      <w:r w:rsidR="00556F7A">
        <w:t xml:space="preserve"> with a specialis</w:t>
      </w:r>
      <w:r w:rsidRPr="00CF2D70">
        <w:t>ed sandwich ELISA that quantifies the relative expression and cross-reactivity of antigenic variants by Bexsero</w:t>
      </w:r>
      <w:r w:rsidR="00096C09">
        <w:t>-</w:t>
      </w:r>
      <w:r w:rsidRPr="00CF2D70">
        <w:t xml:space="preserve">induced antibody. The readout of the MATS ELISA is a relative potency (RP) against </w:t>
      </w:r>
      <w:proofErr w:type="spellStart"/>
      <w:r w:rsidRPr="00CF2D70">
        <w:t>fH</w:t>
      </w:r>
      <w:r w:rsidR="00BA1634">
        <w:t>BP</w:t>
      </w:r>
      <w:proofErr w:type="spellEnd"/>
      <w:r w:rsidRPr="00CF2D70">
        <w:t xml:space="preserve">, </w:t>
      </w:r>
      <w:proofErr w:type="spellStart"/>
      <w:r w:rsidRPr="00CF2D70">
        <w:t>NadA</w:t>
      </w:r>
      <w:proofErr w:type="spellEnd"/>
      <w:r w:rsidRPr="00CF2D70">
        <w:t>, and NHBA on individual strains. By correlating the killing of a panel of serogroup</w:t>
      </w:r>
      <w:r w:rsidR="00BA1634">
        <w:t xml:space="preserve"> </w:t>
      </w:r>
      <w:r w:rsidRPr="00CF2D70">
        <w:t xml:space="preserve">B strains with the MATS RP values, the he MATS method established a minimum level of RP for </w:t>
      </w:r>
      <w:proofErr w:type="spellStart"/>
      <w:r w:rsidRPr="00CF2D70">
        <w:t>fH</w:t>
      </w:r>
      <w:r w:rsidR="00BA1634">
        <w:t>BP</w:t>
      </w:r>
      <w:proofErr w:type="spellEnd"/>
      <w:r w:rsidRPr="00CF2D70">
        <w:t xml:space="preserve">, </w:t>
      </w:r>
      <w:proofErr w:type="spellStart"/>
      <w:r w:rsidRPr="00CF2D70">
        <w:t>NadA</w:t>
      </w:r>
      <w:proofErr w:type="spellEnd"/>
      <w:r w:rsidRPr="00CF2D70">
        <w:t xml:space="preserve">, and NHBA (the positive bactericidal threshold or PBT), which predicts whether a given </w:t>
      </w:r>
      <w:proofErr w:type="spellStart"/>
      <w:r w:rsidRPr="00CF2D70">
        <w:t>MenB</w:t>
      </w:r>
      <w:proofErr w:type="spellEnd"/>
      <w:r w:rsidRPr="00CF2D70">
        <w:t xml:space="preserve"> isolate would be susceptible to killing in the </w:t>
      </w:r>
      <w:proofErr w:type="spellStart"/>
      <w:r w:rsidRPr="00CF2D70">
        <w:t>hSBA</w:t>
      </w:r>
      <w:proofErr w:type="spellEnd"/>
      <w:r w:rsidRPr="00CF2D70">
        <w:t xml:space="preserve"> assay by</w:t>
      </w:r>
      <w:r w:rsidR="006D6989">
        <w:t xml:space="preserve"> antibodies induced by </w:t>
      </w:r>
      <w:proofErr w:type="spellStart"/>
      <w:r w:rsidR="006D6989">
        <w:t>Bexsero</w:t>
      </w:r>
      <w:proofErr w:type="spellEnd"/>
      <w:r w:rsidR="006D6989">
        <w:t>.</w:t>
      </w:r>
    </w:p>
    <w:p w:rsidR="00096C09" w:rsidRPr="00096C09" w:rsidRDefault="009036C9" w:rsidP="00096C09">
      <w:r w:rsidRPr="00096C09">
        <w:t>To date, a survey of 373 invasive meningococcal group B isolates collected between January 2007 and December 2011 from five Australian states and two Territories showed that 76% (95% C</w:t>
      </w:r>
      <w:r w:rsidR="00BA1634">
        <w:t>I</w:t>
      </w:r>
      <w:r w:rsidRPr="00096C09">
        <w:t xml:space="preserve"> 63%-87%) of meningococcal group B isolates were predicted to be killed in </w:t>
      </w:r>
      <w:proofErr w:type="spellStart"/>
      <w:r w:rsidRPr="00096C09">
        <w:t>hSBA</w:t>
      </w:r>
      <w:proofErr w:type="spellEnd"/>
      <w:r w:rsidRPr="00096C09">
        <w:t xml:space="preserve"> based on their MATS vaccine antigen type. Novartis is committed to collect and test further Australian isolates to monitor the predictability of the vaccine effectiveness as well as to conduct a vaccine effectivene</w:t>
      </w:r>
      <w:r w:rsidR="006D6989">
        <w:t>ss study.</w:t>
      </w:r>
    </w:p>
    <w:p w:rsidR="00096C09" w:rsidRDefault="00096C09" w:rsidP="00096C09">
      <w:pPr>
        <w:pStyle w:val="Heading6"/>
      </w:pPr>
      <w:r>
        <w:t>D</w:t>
      </w:r>
      <w:r w:rsidRPr="00CF2D70">
        <w:t>ata i</w:t>
      </w:r>
      <w:r w:rsidR="006D6989">
        <w:t>n subjects 2 to 10 years of age</w:t>
      </w:r>
    </w:p>
    <w:p w:rsidR="00141BDC" w:rsidRDefault="009036C9" w:rsidP="00141BDC">
      <w:r w:rsidRPr="00CF2D70">
        <w:t>Novartis acknowledges that only limited data (116 subject</w:t>
      </w:r>
      <w:r w:rsidR="00BA1634">
        <w:t>s 24 months of age enrolled in S</w:t>
      </w:r>
      <w:r w:rsidRPr="00CF2D70">
        <w:t xml:space="preserve">tudy V72P13E2) for individuals aged 2 to 10 years was presented in </w:t>
      </w:r>
      <w:r w:rsidR="00BA1634">
        <w:t>the submission</w:t>
      </w:r>
      <w:r w:rsidRPr="00CF2D70">
        <w:t xml:space="preserve">. However, as the Delegate also recognises, </w:t>
      </w:r>
      <w:r w:rsidRPr="00096C09">
        <w:rPr>
          <w:i/>
          <w:iCs/>
        </w:rPr>
        <w:t>there were very similar robust responses to all vaccine antigens observed after a two dose schedule across older infants (Study V72P9); toddlers in their second year of life (Study V72P13El) and adolescents (Study V72P10) and thus it seems reasonable that the same regimen could be used in children aged 2 to 10 years of age</w:t>
      </w:r>
      <w:r w:rsidRPr="00CF2D70">
        <w:t xml:space="preserve">. Immune responses to all vaccine antigens following a 2-dose primary schedule were consistently high in the younger (older infants and toddlers) and older (adolescents) contiguous age groups suggesting no reason to expect that the response in the 2 to 10 years of age would be greatly different. Consistent with this, recent data from extension studies not submitted to TGA (available upon request) which enrolled, among others, </w:t>
      </w:r>
      <w:r w:rsidR="00BA1634">
        <w:t xml:space="preserve">naïve </w:t>
      </w:r>
      <w:r w:rsidRPr="00CF2D70">
        <w:t xml:space="preserve">subjects aged </w:t>
      </w:r>
      <w:r w:rsidR="00BA1634">
        <w:t>24-26 months (56 subjects from S</w:t>
      </w:r>
      <w:r w:rsidRPr="00CF2D70">
        <w:t xml:space="preserve">tudy V72P12E1), 40-42 months (84 subjects </w:t>
      </w:r>
      <w:r w:rsidR="00BA1634">
        <w:t>from S</w:t>
      </w:r>
      <w:r w:rsidR="00141BDC">
        <w:t xml:space="preserve">tudies V72P6E1 and V72P9E1), or </w:t>
      </w:r>
      <w:r w:rsidR="00BA1634">
        <w:t>60-62 months (99 subjects from S</w:t>
      </w:r>
      <w:r w:rsidR="00141BDC">
        <w:t xml:space="preserve">tudies </w:t>
      </w:r>
      <w:r w:rsidR="00141BDC">
        <w:lastRenderedPageBreak/>
        <w:t xml:space="preserve">V72P6E1 and V72P9E1) </w:t>
      </w:r>
      <w:r w:rsidRPr="00CF2D70">
        <w:t>reconfirmed that bactericidal immune responses following the second vaccine dose were consistent with those reported in subjects from study V72P13E2 and in the range across the contiguous age groups. Overall, the data reviewed by the TGA sufficiently support a 2-dose schedule in the 2</w:t>
      </w:r>
      <w:r w:rsidR="006D6989">
        <w:t xml:space="preserve"> to 10 years of age population.</w:t>
      </w:r>
    </w:p>
    <w:p w:rsidR="00141BDC" w:rsidRDefault="006C1357" w:rsidP="006C1357">
      <w:pPr>
        <w:pStyle w:val="Heading6"/>
      </w:pPr>
      <w:r>
        <w:t>S</w:t>
      </w:r>
      <w:r w:rsidRPr="00CF2D70">
        <w:t xml:space="preserve">chedule 2, 3, 4 </w:t>
      </w:r>
      <w:r w:rsidR="006D6989">
        <w:t>in infants 2 to 5 months of age</w:t>
      </w:r>
    </w:p>
    <w:p w:rsidR="006C1357" w:rsidRDefault="009036C9" w:rsidP="00141BDC">
      <w:r w:rsidRPr="00CF2D70">
        <w:t xml:space="preserve">The Delegate acknowledges that the efficacy data available at the time of submission demonstrated acceptable immunogenicity on the accelerated schedule (2, 3, and 4 months of age schedule; Schedule 1) in infants 2 to 5 months of age but also highlights that </w:t>
      </w:r>
      <w:r w:rsidRPr="006C1357">
        <w:rPr>
          <w:i/>
          <w:iCs/>
        </w:rPr>
        <w:t xml:space="preserve">the number of subjects exposed to accelerated administration of rMenB+OMV NZ in that age group was only 318 (all in </w:t>
      </w:r>
      <w:r w:rsidR="00BA1634">
        <w:rPr>
          <w:i/>
          <w:iCs/>
        </w:rPr>
        <w:t>S</w:t>
      </w:r>
      <w:r w:rsidRPr="006C1357">
        <w:rPr>
          <w:i/>
          <w:iCs/>
        </w:rPr>
        <w:t>tudy V72P12), which is a small safety population</w:t>
      </w:r>
      <w:r w:rsidR="00BA1634">
        <w:rPr>
          <w:i/>
          <w:iCs/>
        </w:rPr>
        <w:t xml:space="preserve">, </w:t>
      </w:r>
      <w:r w:rsidRPr="006C1357">
        <w:rPr>
          <w:i/>
          <w:iCs/>
        </w:rPr>
        <w:t>large enough to detect common adverse events (those occurring with frequency greater than 1%) but not large enough to detect uncommon or rare events</w:t>
      </w:r>
      <w:r w:rsidR="006D6989">
        <w:t>.</w:t>
      </w:r>
    </w:p>
    <w:p w:rsidR="000019F0" w:rsidRDefault="009036C9" w:rsidP="00141BDC">
      <w:r w:rsidRPr="00CF2D70">
        <w:t xml:space="preserve">It should be noted that further immunogenicity and safety data for infants vaccinated according to Schedule 1 have been generated in </w:t>
      </w:r>
      <w:r w:rsidR="00610E2C">
        <w:t>S</w:t>
      </w:r>
      <w:r w:rsidRPr="00CF2D70">
        <w:t>tudy V72P16 which was submitted to the Delegate during the cou</w:t>
      </w:r>
      <w:r w:rsidR="00291528">
        <w:t>rse of the evaluation. In this S</w:t>
      </w:r>
      <w:r w:rsidRPr="00CF2D70">
        <w:t xml:space="preserve">tudy, an additional overall 552 subjects were exposed to Bexsero with (N=183) or without prophylactic paracetamol treatment (N=369). Overall the immune responses at </w:t>
      </w:r>
      <w:r w:rsidR="003805DF">
        <w:t>1</w:t>
      </w:r>
      <w:r w:rsidRPr="00CF2D70">
        <w:t xml:space="preserve"> month after the third vaccination as measured by </w:t>
      </w:r>
      <w:proofErr w:type="spellStart"/>
      <w:r w:rsidRPr="00CF2D70">
        <w:t>hSBA</w:t>
      </w:r>
      <w:proofErr w:type="spellEnd"/>
      <w:r w:rsidRPr="00CF2D70">
        <w:t xml:space="preserve"> in terms of percen</w:t>
      </w:r>
      <w:r w:rsidR="00A7417E">
        <w:t xml:space="preserve">tages of subjects with a titer </w:t>
      </w:r>
      <w:r w:rsidR="00A7417E" w:rsidRPr="00A7417E">
        <w:t>≥</w:t>
      </w:r>
      <w:r w:rsidRPr="00CF2D70">
        <w:t xml:space="preserve">1:5 and of geometric mean </w:t>
      </w:r>
      <w:proofErr w:type="spellStart"/>
      <w:r w:rsidRPr="00CF2D70">
        <w:t>titers</w:t>
      </w:r>
      <w:proofErr w:type="spellEnd"/>
      <w:r w:rsidRPr="00CF2D70">
        <w:t xml:space="preserve"> for the three indicator strains H44/76, 5/99, NZ98/254 and by ELISA geometric mean concentrations for the NHBA vaccine antigen were very similar between subjects who received Schedule 1 with concomitant routine vaccines in studies V72P12 and V72P16 and the subjects who received a 2, 4, 6 schedule (Schedule 2) both in the sa</w:t>
      </w:r>
      <w:r w:rsidR="00291528">
        <w:t>me S</w:t>
      </w:r>
      <w:r w:rsidRPr="00CF2D70">
        <w:t xml:space="preserve">tudy V72P12 and in </w:t>
      </w:r>
      <w:r w:rsidR="00291528">
        <w:t>S</w:t>
      </w:r>
      <w:r w:rsidRPr="00CF2D70">
        <w:t>tudy V72P13. In particular, for each of the 3 indicator strains the lower limit of the 2-sided 95% CI for the perce</w:t>
      </w:r>
      <w:r w:rsidR="00A7417E">
        <w:t xml:space="preserve">ntages of subjects with </w:t>
      </w:r>
      <w:proofErr w:type="gramStart"/>
      <w:r w:rsidR="00A7417E">
        <w:t>a</w:t>
      </w:r>
      <w:proofErr w:type="gramEnd"/>
      <w:r w:rsidR="00A7417E">
        <w:t xml:space="preserve"> </w:t>
      </w:r>
      <w:proofErr w:type="spellStart"/>
      <w:r w:rsidR="00A7417E">
        <w:t>hSBA</w:t>
      </w:r>
      <w:proofErr w:type="spellEnd"/>
      <w:r w:rsidR="00A7417E">
        <w:t xml:space="preserve"> </w:t>
      </w:r>
      <w:r w:rsidR="00A7417E" w:rsidRPr="00A7417E">
        <w:t>≥</w:t>
      </w:r>
      <w:r w:rsidRPr="00CF2D70">
        <w:t>1:5 was above the pr</w:t>
      </w:r>
      <w:r w:rsidR="00EA608B">
        <w:t xml:space="preserve">otocol </w:t>
      </w:r>
      <w:proofErr w:type="spellStart"/>
      <w:r w:rsidR="00EA608B">
        <w:t>prespecified</w:t>
      </w:r>
      <w:proofErr w:type="spellEnd"/>
      <w:r w:rsidR="00EA608B">
        <w:t xml:space="preserve"> cut-off (that is</w:t>
      </w:r>
      <w:r w:rsidR="00291528">
        <w:t>, ≥70% for S</w:t>
      </w:r>
      <w:r w:rsidRPr="00CF2D70">
        <w:t xml:space="preserve">tudies </w:t>
      </w:r>
      <w:r w:rsidR="00291528">
        <w:t>V72P12 and V72P13 and ≥65% for S</w:t>
      </w:r>
      <w:r w:rsidRPr="00CF2D70">
        <w:t>tudy V72P16) associated with the pr</w:t>
      </w:r>
      <w:r w:rsidR="006D6989">
        <w:t>imary immunogenicity objective.</w:t>
      </w:r>
    </w:p>
    <w:p w:rsidR="000019F0" w:rsidRDefault="009036C9" w:rsidP="00141BDC">
      <w:r w:rsidRPr="00CF2D70">
        <w:t>The tole</w:t>
      </w:r>
      <w:r w:rsidR="00291528">
        <w:t>rability profile of Bexsero in S</w:t>
      </w:r>
      <w:r w:rsidRPr="00CF2D70">
        <w:t xml:space="preserve">tudy V72P16 was similar to that seen with Schedule 2 in V72P12. However, in the V72P16 group receiving paracetamol, percentages of subjects with local and systemic reactions were lower than those who did not receive the prophylactic paracetamol. Importantly, data from this study provide evidence that when paracetamol is adopted </w:t>
      </w:r>
      <w:proofErr w:type="spellStart"/>
      <w:r w:rsidRPr="00CF2D70">
        <w:t>prophylactically</w:t>
      </w:r>
      <w:proofErr w:type="spellEnd"/>
      <w:r w:rsidRPr="00CF2D70">
        <w:t xml:space="preserve"> there is a statistically significant reduction in the percentage of subjects reporting fever following concomitant administration of Bexsero with routine infant vaccines. Rates of unsolicited AEs observed were similar between subjects who received Schedule 1 and Schedule 2. In particular, rates of serious </w:t>
      </w:r>
      <w:r w:rsidRPr="00EA608B">
        <w:t>AEs and of events of particular clinical interest such as seizures were observed with similarly low frequencies. Based on the above results, Novartis believes that the currently available data for Schedule 1 for overall 870 subjects exposed to Bexsero provides</w:t>
      </w:r>
      <w:r w:rsidRPr="00CF2D70">
        <w:t xml:space="preserve"> sufficient evidence to support the use of either of the proposed dosing regimen in this age group given the close similarity to the results obtained in infants vaccinated with the </w:t>
      </w:r>
      <w:r w:rsidR="005B2A9D">
        <w:t>two</w:t>
      </w:r>
      <w:r w:rsidR="006D6989">
        <w:t xml:space="preserve"> schedules.</w:t>
      </w:r>
    </w:p>
    <w:p w:rsidR="00EA608B" w:rsidRDefault="009036C9" w:rsidP="00141BDC">
      <w:r w:rsidRPr="00CF2D70">
        <w:t xml:space="preserve">Importantly, Novartis received </w:t>
      </w:r>
      <w:r w:rsidR="00291528">
        <w:t xml:space="preserve">advice from the </w:t>
      </w:r>
      <w:r w:rsidR="00291528" w:rsidRPr="00291528">
        <w:t xml:space="preserve">Australian Technical Advisory Group on Immunisation </w:t>
      </w:r>
      <w:r w:rsidR="00291528">
        <w:t>(ATAGI)</w:t>
      </w:r>
      <w:r w:rsidRPr="00CF2D70">
        <w:t xml:space="preserve"> on the schedule on 17 May 2013. The Australian advisory group on immunisation considers that, should Bexsero be included in the local NIP, concurrent administration with those vaccines currently used in the NIP at the schedule points of 2, 4, 6 and 12 months of age (</w:t>
      </w:r>
      <w:r w:rsidR="00EA608B">
        <w:t xml:space="preserve">that is, </w:t>
      </w:r>
      <w:r w:rsidRPr="00CF2D70">
        <w:t>S</w:t>
      </w:r>
      <w:r w:rsidR="006D6989">
        <w:t>chedule 2) is most appropriate.</w:t>
      </w:r>
    </w:p>
    <w:p w:rsidR="00EF43E6" w:rsidRDefault="009036C9" w:rsidP="00EF43E6">
      <w:pPr>
        <w:pStyle w:val="Heading5"/>
      </w:pPr>
      <w:r w:rsidRPr="00CF2D70">
        <w:t>S</w:t>
      </w:r>
      <w:r w:rsidR="00EF43E6">
        <w:t>afety</w:t>
      </w:r>
    </w:p>
    <w:p w:rsidR="00002138" w:rsidRDefault="009036C9" w:rsidP="00141BDC">
      <w:r w:rsidRPr="00CF2D70">
        <w:t>The safety of Bexsero was evaluated i</w:t>
      </w:r>
      <w:r w:rsidR="00291528">
        <w:t>n 9 studies including 7 randomis</w:t>
      </w:r>
      <w:r w:rsidRPr="00CF2D70">
        <w:t>ed</w:t>
      </w:r>
      <w:r w:rsidR="00291528">
        <w:t>,</w:t>
      </w:r>
      <w:r w:rsidRPr="00CF2D70">
        <w:t xml:space="preserve"> controlled clinical trials with 6555 subjects (from 2 months of age) who received at least </w:t>
      </w:r>
      <w:r w:rsidR="003805DF">
        <w:t>1</w:t>
      </w:r>
      <w:r w:rsidRPr="00CF2D70">
        <w:t xml:space="preserve"> dose of Bexsero. Among Bexsero recipients, 4843 were infants and toddlers, and 1712 were adolescents and adults. In infants and toddlers the most common local and systemic adverse reactions observed in clinical trials were tenderness and erythema at the injectio</w:t>
      </w:r>
      <w:r w:rsidR="006D6989">
        <w:t>n site, fever and irritability.</w:t>
      </w:r>
    </w:p>
    <w:p w:rsidR="00002138" w:rsidRDefault="009036C9" w:rsidP="00141BDC">
      <w:r w:rsidRPr="00CF2D70">
        <w:lastRenderedPageBreak/>
        <w:t xml:space="preserve">Information on fever is currently included in the PI and the RMP. Considering the predictable characteristics of fever associated with Bexsero vaccination, </w:t>
      </w:r>
      <w:r w:rsidR="00291528">
        <w:t>that is</w:t>
      </w:r>
      <w:r w:rsidRPr="00CF2D70">
        <w:t>, mostly mild or moderate, with early onset upon vaccination and of short duration, which was confirmed by the very low rates of medically attended fever observed in the clinical trials, Novartis is convinced that the risk of fever</w:t>
      </w:r>
      <w:r w:rsidR="00291528">
        <w:t>,</w:t>
      </w:r>
      <w:r w:rsidRPr="00CF2D70">
        <w:t xml:space="preserve"> and consequently of febrile seizures, can be adequately highlighted and managed through appropriate communication to Healthcare Professionals (HCPs). Given the relevance of the topic it is Novartis intention to continue to conduct further observations; a post-licensure observational safety surveillance study is already planned with the aim of identifying and characterising, among </w:t>
      </w:r>
      <w:r w:rsidR="006D6989">
        <w:t>other events, rates of seizure.</w:t>
      </w:r>
    </w:p>
    <w:p w:rsidR="00002138" w:rsidRDefault="009036C9" w:rsidP="00141BDC">
      <w:r w:rsidRPr="00002138">
        <w:t>Novartis believes the RMP and its Australian implementation adequately ensure the safe use of Bexsero and an update of the PI is not considered necessary. Novartis commits to implementing an educational program for HCPs (</w:t>
      </w:r>
      <w:r w:rsidR="00002138" w:rsidRPr="00002138">
        <w:t xml:space="preserve">that is, </w:t>
      </w:r>
      <w:r w:rsidRPr="00002138">
        <w:t>prescribers, pharmacists and nurses) and patients and their caregivers as an additional risk minimisation activity. Educational material for HCPs will highlight the risk of fever and potential risk of febrile seizure. In addition, this material will also highlight guidance for prophylactic antipyretic treatment, including a statement that antipyretics other than paracetamol have not been studied for their impact upon immunogenicity, advice for patients on what to do if they experience adverse events following vaccine administration and information that Bexsero has not been specifically studied when given in combination with 13-valent pneumococcal</w:t>
      </w:r>
      <w:r w:rsidR="006D6989">
        <w:t xml:space="preserve"> vaccine will also be included.</w:t>
      </w:r>
    </w:p>
    <w:p w:rsidR="00002138" w:rsidRDefault="009036C9" w:rsidP="00141BDC">
      <w:r w:rsidRPr="00002138">
        <w:t>Novartis will provide the TGA O</w:t>
      </w:r>
      <w:r w:rsidR="00291528">
        <w:t xml:space="preserve">PR </w:t>
      </w:r>
      <w:r w:rsidRPr="00002138">
        <w:t xml:space="preserve">with an updated version of the Australia RMP for review and approval. In the meantime, </w:t>
      </w:r>
      <w:r w:rsidR="00291528">
        <w:t xml:space="preserve">note that </w:t>
      </w:r>
      <w:r w:rsidRPr="00002138">
        <w:t>the proposed ASA</w:t>
      </w:r>
      <w:r w:rsidR="00291528">
        <w:t xml:space="preserve"> </w:t>
      </w:r>
      <w:r w:rsidRPr="00002138">
        <w:t xml:space="preserve">of the </w:t>
      </w:r>
      <w:r w:rsidR="006D6989">
        <w:t>RMP includes:</w:t>
      </w:r>
    </w:p>
    <w:p w:rsidR="00002138" w:rsidRDefault="009036C9" w:rsidP="00002138">
      <w:pPr>
        <w:tabs>
          <w:tab w:val="left" w:pos="426"/>
        </w:tabs>
        <w:ind w:left="426"/>
      </w:pPr>
      <w:r w:rsidRPr="00002138">
        <w:t>“As with many</w:t>
      </w:r>
      <w:r w:rsidRPr="00CF2D70">
        <w:t xml:space="preserve"> vaccines, the health care professional should be aware that a temperature elevation may occur following vaccination of infants and toddlers. In infant </w:t>
      </w:r>
      <w:r w:rsidR="00291528">
        <w:t>S</w:t>
      </w:r>
      <w:r w:rsidRPr="00CF2D70">
        <w:t>tudy V72P13, fever ≥</w:t>
      </w:r>
      <w:r w:rsidR="00291528">
        <w:t xml:space="preserve"> </w:t>
      </w:r>
      <w:r w:rsidRPr="00CF2D70">
        <w:t xml:space="preserve">38.0°C was reported by 78%, 84% and 73% of subjects after dose 1, 2 and 3, respectively, in the Bexsero vaccine group, compared with 44%, 59% and 50% of subjects receiving the routine vaccines alone. The rate of fever was decreased by the use of prophylactic antipyretics (as demonstrated in </w:t>
      </w:r>
      <w:r w:rsidR="00291528">
        <w:t>S</w:t>
      </w:r>
      <w:r w:rsidRPr="00CF2D70">
        <w:t>tudy V72P16). Prophylactic administration of antipyretics at the time of and closely after vaccination can reduce the incidence and intensity of post</w:t>
      </w:r>
      <w:r w:rsidR="00291528">
        <w:t>-</w:t>
      </w:r>
      <w:r w:rsidRPr="00CF2D70">
        <w:t>vaccination febrile reactions. Antipyretic medication should be initiated according to local guidelines in infants and toddlers. Preliminary advice received from ATAGI favours a recommendation for prophylactic use of paracetamol in infants. The safety profiles of the co</w:t>
      </w:r>
      <w:r w:rsidR="00291528">
        <w:t>-</w:t>
      </w:r>
      <w:r w:rsidRPr="00CF2D70">
        <w:t>administered vaccines were unaffected by concomitant administration of Bexsero with the exception of more frequent occurrence of fever, tenderness at the injection site, change in eating habits and irritability. Prophylactic use of paracetamol reduces the incidence and severity of fever without affecting the immunogenicity of either Bexsero or routine vaccines. The effect of antipyretics other than paracetamol on the immune</w:t>
      </w:r>
      <w:r w:rsidR="006D6989">
        <w:t xml:space="preserve"> response has not been studied.</w:t>
      </w:r>
    </w:p>
    <w:p w:rsidR="00002138" w:rsidRDefault="009036C9" w:rsidP="00002138">
      <w:pPr>
        <w:tabs>
          <w:tab w:val="left" w:pos="426"/>
        </w:tabs>
        <w:ind w:left="426"/>
      </w:pPr>
      <w:r w:rsidRPr="00CF2D70">
        <w:t xml:space="preserve">While no evidence of increased risk for febrile seizures was seen in clinical trials for Bexsero, several other vaccines with a fever profile have been shown to increase the risk of febrile seizure in post-marketing settings; therefore, caution should be employed in administration of Bexsero to persons with individual or family history of convulsions, </w:t>
      </w:r>
      <w:r w:rsidR="006D6989">
        <w:t>including febrile convulsions.”</w:t>
      </w:r>
    </w:p>
    <w:p w:rsidR="00002138" w:rsidRDefault="009036C9" w:rsidP="00141BDC">
      <w:r w:rsidRPr="00CF2D70">
        <w:t>Finally, Novartis acknowledges that the implementation of the final agreed version of the RMP will be imposed as a condition of registration in</w:t>
      </w:r>
      <w:r w:rsidR="00C21BA2">
        <w:t xml:space="preserve"> the event of product approval.</w:t>
      </w:r>
    </w:p>
    <w:p w:rsidR="00002138" w:rsidRDefault="00002138" w:rsidP="00002138">
      <w:pPr>
        <w:pStyle w:val="Heading5"/>
      </w:pPr>
      <w:r>
        <w:t>S</w:t>
      </w:r>
      <w:r w:rsidRPr="00CF2D70">
        <w:t xml:space="preserve">helf-life and reference standard for </w:t>
      </w:r>
      <w:r w:rsidR="00071743">
        <w:t xml:space="preserve">potency </w:t>
      </w:r>
      <w:r w:rsidR="00C21BA2">
        <w:t>assay</w:t>
      </w:r>
    </w:p>
    <w:p w:rsidR="0069312C" w:rsidRDefault="009036C9" w:rsidP="00141BDC">
      <w:r w:rsidRPr="00CF2D70">
        <w:t xml:space="preserve">Upon review of the clinical data provided, the Delegate acknowledged that </w:t>
      </w:r>
      <w:r w:rsidRPr="0069312C">
        <w:rPr>
          <w:i/>
          <w:iCs/>
        </w:rPr>
        <w:t xml:space="preserve">the clinical data for aged lots of Bexsero, albeit quite limited, appear generally supportive of the proposed 24 month shelf-life in that older lots gave acceptable protective immune responses and no </w:t>
      </w:r>
      <w:r w:rsidRPr="0069312C">
        <w:rPr>
          <w:i/>
          <w:iCs/>
        </w:rPr>
        <w:lastRenderedPageBreak/>
        <w:t>additional safety issues were evident with their use. Overall, there are sufficient clinical data to justify the proposed shelf-life in the absence of real time stability data</w:t>
      </w:r>
      <w:r w:rsidRPr="00CF2D70">
        <w:t xml:space="preserve">. Nonetheless, with regards to the data in </w:t>
      </w:r>
      <w:r w:rsidR="00610E2C">
        <w:t>S</w:t>
      </w:r>
      <w:r w:rsidRPr="00CF2D70">
        <w:t xml:space="preserve">tudy V72_41 showing a decrease in responders to the reference strain NZ98/254 among the subjects vaccinated with </w:t>
      </w:r>
      <w:r w:rsidR="00071743">
        <w:t xml:space="preserve">the reference </w:t>
      </w:r>
      <w:r w:rsidRPr="00CF2D70">
        <w:t xml:space="preserve">lot (“Lot A”), it was suggested that </w:t>
      </w:r>
      <w:r w:rsidRPr="0069312C">
        <w:rPr>
          <w:i/>
          <w:iCs/>
        </w:rPr>
        <w:t xml:space="preserve">the sponsor should comment on the immunogenicity results obtained for Lot </w:t>
      </w:r>
      <w:r w:rsidR="00071743">
        <w:rPr>
          <w:i/>
          <w:iCs/>
        </w:rPr>
        <w:t xml:space="preserve">A </w:t>
      </w:r>
      <w:r w:rsidRPr="0069312C">
        <w:rPr>
          <w:i/>
          <w:iCs/>
        </w:rPr>
        <w:t xml:space="preserve">and the implications of this for its use as the reference standard for the </w:t>
      </w:r>
      <w:r w:rsidR="00071743">
        <w:rPr>
          <w:i/>
          <w:iCs/>
        </w:rPr>
        <w:t xml:space="preserve">potency </w:t>
      </w:r>
      <w:r w:rsidRPr="0069312C">
        <w:rPr>
          <w:i/>
          <w:iCs/>
        </w:rPr>
        <w:t>assay</w:t>
      </w:r>
      <w:r w:rsidR="00C21BA2">
        <w:t>.</w:t>
      </w:r>
    </w:p>
    <w:p w:rsidR="0069312C" w:rsidRDefault="009036C9" w:rsidP="00141BDC">
      <w:r w:rsidRPr="00CF2D70">
        <w:t>Lot A wa</w:t>
      </w:r>
      <w:r w:rsidR="0069312C">
        <w:t xml:space="preserve">s used in a clinical </w:t>
      </w:r>
      <w:r w:rsidR="00610E2C">
        <w:t>S</w:t>
      </w:r>
      <w:r w:rsidR="0069312C">
        <w:t>tudy, V72_</w:t>
      </w:r>
      <w:r w:rsidRPr="00CF2D70">
        <w:t xml:space="preserve">41, designed to assess the consistency of the immune response between two lots of Bexsero with OMV manufactured at two different sites. Equivalence of the lots is demonstrated for all four vaccine antigens. However, despite the good reproducibility of the serum bactericidal assay, a certain degree of variability is expected considering a variety of factors, not the least the exogenous human complement source. Lot A has not been used in other clinical studies, however “Lot B”, used as a comparator in this study, had also been used previously in other studies conducted in infants, toddlers and children (V72P6E1, V72P9E1, V72P12E1 and V72P13E2). Of note, regardless of the study and of the age population the lower limit of the </w:t>
      </w:r>
      <w:r w:rsidR="005B2A9D">
        <w:t>2</w:t>
      </w:r>
      <w:r w:rsidRPr="00CF2D70">
        <w:t xml:space="preserve">-sided 95% CI for the percentages of subject with </w:t>
      </w:r>
      <w:proofErr w:type="spellStart"/>
      <w:r w:rsidRPr="00CF2D70">
        <w:t>hSBA</w:t>
      </w:r>
      <w:proofErr w:type="spellEnd"/>
      <w:r w:rsidRPr="00CF2D70">
        <w:t xml:space="preserve"> ≥1:4/1:5 for strain NZ98/254 after primary vaccination in these studies was higher than that observed in </w:t>
      </w:r>
      <w:r w:rsidR="00610E2C">
        <w:t>S</w:t>
      </w:r>
      <w:r w:rsidRPr="00CF2D70">
        <w:t>tudy V72_41 (range: from 74% to 96% v</w:t>
      </w:r>
      <w:r w:rsidR="00610E2C">
        <w:t xml:space="preserve">ersus </w:t>
      </w:r>
      <w:r w:rsidRPr="00CF2D70">
        <w:t xml:space="preserve">72%). Therefore the immunogenicity results to this strain for both vaccine lots as measured in this study were in the low range and as a consequence </w:t>
      </w:r>
      <w:r w:rsidR="00291528">
        <w:t xml:space="preserve">Novartis </w:t>
      </w:r>
      <w:r w:rsidRPr="00CF2D70">
        <w:t>conclude</w:t>
      </w:r>
      <w:r w:rsidR="00291528">
        <w:t>s</w:t>
      </w:r>
      <w:r w:rsidRPr="00CF2D70">
        <w:t xml:space="preserve"> that the results observed with Lot A would also be lower than what would be generally expected. Finally, please note that in a </w:t>
      </w:r>
      <w:proofErr w:type="spellStart"/>
      <w:r w:rsidRPr="00CF2D70">
        <w:t>multicomponent</w:t>
      </w:r>
      <w:proofErr w:type="spellEnd"/>
      <w:r w:rsidRPr="00CF2D70">
        <w:t xml:space="preserve"> vaccine, such as Bexsero, the response to a single vaccine antigen is not the sole predictor of protection as antibodies to multiple antigens may act synergistically to enhance the</w:t>
      </w:r>
      <w:r w:rsidR="00C21BA2">
        <w:t xml:space="preserve"> vaccine’s protective activity.</w:t>
      </w:r>
    </w:p>
    <w:p w:rsidR="009E4E82" w:rsidRDefault="009036C9" w:rsidP="00141BDC">
      <w:r w:rsidRPr="00CF2D70">
        <w:t xml:space="preserve">During development of the </w:t>
      </w:r>
      <w:r w:rsidR="00071743">
        <w:t xml:space="preserve">potency </w:t>
      </w:r>
      <w:r w:rsidRPr="00CF2D70">
        <w:t>assay, a number of selected batches were used in a preapproved investigational plan in order to gain more information about the immunogenicity of the older clinical lots compared to the current reference standard (Lot A</w:t>
      </w:r>
      <w:r w:rsidR="00291528">
        <w:t>,</w:t>
      </w:r>
      <w:r w:rsidRPr="00CF2D70">
        <w:t xml:space="preserve"> manufactured in 2010) and commercial batches. The clinical batches</w:t>
      </w:r>
      <w:r w:rsidR="00184272">
        <w:t xml:space="preserve"> </w:t>
      </w:r>
      <w:r w:rsidRPr="00CF2D70">
        <w:t>tested were “Clinical Lots"</w:t>
      </w:r>
      <w:r w:rsidR="00291528">
        <w:t>,</w:t>
      </w:r>
      <w:r w:rsidRPr="00CF2D70">
        <w:t xml:space="preserve"> manufactured in 2007. The assays were performed using 2 groups of 8 mice allocated in two different cages per dose level performed in </w:t>
      </w:r>
      <w:r w:rsidR="003805DF">
        <w:t>one</w:t>
      </w:r>
      <w:r w:rsidRPr="00CF2D70">
        <w:t xml:space="preserve"> immunisation session. For both repetitions of the assay, the CI for the relative potency values for the OMV antigen included 1.0. This is the expected result if the samples are of equivalent potency. In addition, an analysis of the individual mouse </w:t>
      </w:r>
      <w:proofErr w:type="spellStart"/>
      <w:r w:rsidRPr="00CF2D70">
        <w:t>titers</w:t>
      </w:r>
      <w:proofErr w:type="spellEnd"/>
      <w:r w:rsidRPr="00CF2D70">
        <w:t xml:space="preserve"> for each of the three lots at all 6 dose levels demonstrates a similar response. Based on these results, Novartis concludes that the OMV in Lot A generates a comparable immune response in mice when compared to the Clinical Lots. It is recognised that there is potential for some degradation of potency over time but, when tested in 2012, the three lots demonstrated again compa</w:t>
      </w:r>
      <w:r w:rsidR="00C21BA2">
        <w:t>rable immune responses in mice.</w:t>
      </w:r>
    </w:p>
    <w:p w:rsidR="009E4E82" w:rsidRDefault="009036C9" w:rsidP="00141BDC">
      <w:r w:rsidRPr="00CF2D70">
        <w:t xml:space="preserve">In conclusion, although the immunogenicity results obtained for strain NZ98/254 for Lot A were lower than expected, overall clinical study results showed that subjects vaccinated with Lot A had an acceptable protective immune response against </w:t>
      </w:r>
      <w:r w:rsidRPr="009E4E82">
        <w:rPr>
          <w:i/>
          <w:iCs/>
        </w:rPr>
        <w:t>N. meningitidis</w:t>
      </w:r>
      <w:r w:rsidRPr="00CF2D70">
        <w:t xml:space="preserve"> serogroup B strains for the Bexsero antigens and Novartis considers Lot A as clinically qualified. In addition, the good </w:t>
      </w:r>
      <w:proofErr w:type="spellStart"/>
      <w:r w:rsidRPr="00CF2D70">
        <w:t>physico</w:t>
      </w:r>
      <w:proofErr w:type="spellEnd"/>
      <w:r w:rsidRPr="00CF2D70">
        <w:t xml:space="preserve">-chemical comparability of Lot A with older lots used in the clinic supports the choice of using it as a reference standard for the </w:t>
      </w:r>
      <w:r w:rsidR="004F33C1">
        <w:t xml:space="preserve">potency </w:t>
      </w:r>
      <w:r w:rsidR="00C21BA2">
        <w:t>assay.</w:t>
      </w:r>
    </w:p>
    <w:p w:rsidR="009E4E82" w:rsidRDefault="009036C9" w:rsidP="00141BDC">
      <w:r w:rsidRPr="00CF2D70">
        <w:t>Currently, due to its expiration, Novartis has c</w:t>
      </w:r>
      <w:r w:rsidR="009E4E82">
        <w:t xml:space="preserve">hanged from reference Lot A to </w:t>
      </w:r>
      <w:r w:rsidRPr="00CF2D70">
        <w:t xml:space="preserve">"Lot C". The new reference standard was extensively tested during the validation of the </w:t>
      </w:r>
      <w:r w:rsidRPr="009E4E82">
        <w:rPr>
          <w:i/>
          <w:iCs/>
        </w:rPr>
        <w:t>in vivo</w:t>
      </w:r>
      <w:r w:rsidRPr="00CF2D70">
        <w:t xml:space="preserve"> assay. Results from assay validation have been used as part of the qualification of the new reference standard. Potency values for each of the four antigens were assigned to Lot C using Lot A as a comparator and based on the confidence interval. Novartis would like to confirm that the qualification of Lot C as the new reference standard is done based on </w:t>
      </w:r>
      <w:proofErr w:type="spellStart"/>
      <w:r w:rsidRPr="00CF2D70">
        <w:t>physico</w:t>
      </w:r>
      <w:proofErr w:type="spellEnd"/>
      <w:r w:rsidRPr="00CF2D70">
        <w:t xml:space="preserve">-chemical characterisation (pre-approved protocol provided to TGA). Nonetheless, </w:t>
      </w:r>
      <w:r w:rsidRPr="00CF2D70">
        <w:lastRenderedPageBreak/>
        <w:t xml:space="preserve">Novartis is using Lot C in </w:t>
      </w:r>
      <w:r w:rsidR="00610E2C">
        <w:t>S</w:t>
      </w:r>
      <w:r w:rsidRPr="00CF2D70">
        <w:t>tudy V72P12E2 in order to confirm the expected immune response in naive 4 years of age children. Results from this study are expected to be available by the end of</w:t>
      </w:r>
      <w:r w:rsidR="00610E2C">
        <w:t xml:space="preserve"> </w:t>
      </w:r>
      <w:r w:rsidR="00C21BA2">
        <w:t>2013.</w:t>
      </w:r>
    </w:p>
    <w:p w:rsidR="009E4E82" w:rsidRDefault="009E4E82" w:rsidP="009E4E82">
      <w:pPr>
        <w:pStyle w:val="Heading5"/>
      </w:pPr>
      <w:r>
        <w:t>C</w:t>
      </w:r>
      <w:r w:rsidRPr="00CF2D70">
        <w:t>oncluding r</w:t>
      </w:r>
      <w:r w:rsidR="00C21BA2">
        <w:t>emarks</w:t>
      </w:r>
    </w:p>
    <w:p w:rsidR="009036C9" w:rsidRPr="00CF2D70" w:rsidRDefault="009036C9" w:rsidP="00141BDC">
      <w:r w:rsidRPr="00CF2D70">
        <w:t xml:space="preserve">As noted by the Delegate, the impacts of invasive meningococcal disease are significant and the public health benefits of having a vaccine available would be invaluable. Novartis is of the view that, given (a) the comprehensive information about the risks and management of fever and its sequelae included in the proposed education program; (b) the commitment to implement under the Australian RMP appropriate risk minimisation activities; and (c) the commitment to provide the TGA with stability data for 5 recently produced commercial batches, starting with the T=6 months </w:t>
      </w:r>
      <w:proofErr w:type="spellStart"/>
      <w:r w:rsidRPr="00CF2D70">
        <w:t>timepoint</w:t>
      </w:r>
      <w:proofErr w:type="spellEnd"/>
      <w:r w:rsidRPr="00CF2D70">
        <w:t xml:space="preserve"> expected to be available in Q4 2013 and to notify the TGA of any results that could indicate a trend towards diminished potency over the 24-month storage period; there should be no objection to the approval o</w:t>
      </w:r>
      <w:r w:rsidR="00905559">
        <w:t>f Bexsero for the active immunis</w:t>
      </w:r>
      <w:r w:rsidRPr="00CF2D70">
        <w:t xml:space="preserve">ation against invasive disease caused by </w:t>
      </w:r>
      <w:r w:rsidRPr="009E4E82">
        <w:rPr>
          <w:i/>
          <w:iCs/>
        </w:rPr>
        <w:t>N.</w:t>
      </w:r>
      <w:r w:rsidR="009E4E82">
        <w:rPr>
          <w:i/>
          <w:iCs/>
        </w:rPr>
        <w:t xml:space="preserve"> </w:t>
      </w:r>
      <w:r w:rsidRPr="009E4E82">
        <w:rPr>
          <w:i/>
          <w:iCs/>
        </w:rPr>
        <w:t>meningitidis</w:t>
      </w:r>
      <w:r w:rsidRPr="00CF2D70">
        <w:t xml:space="preserve"> serogroup B strains in individuals from 2 months of age and older, regardless of the preferred dosing schedule in the 2 to 5 month age</w:t>
      </w:r>
      <w:r w:rsidR="00C21BA2">
        <w:t xml:space="preserve"> group.</w:t>
      </w:r>
    </w:p>
    <w:p w:rsidR="008E7846" w:rsidRDefault="00C21BA2" w:rsidP="008E7846">
      <w:pPr>
        <w:pStyle w:val="Heading4"/>
      </w:pPr>
      <w:r>
        <w:t>Advisory c</w:t>
      </w:r>
      <w:r w:rsidR="008E7846">
        <w:t xml:space="preserve">ommittee </w:t>
      </w:r>
      <w:r>
        <w:t>c</w:t>
      </w:r>
      <w:r w:rsidR="008E7846">
        <w:t>onsiderations</w:t>
      </w:r>
    </w:p>
    <w:p w:rsidR="008E7846" w:rsidRDefault="008E7846" w:rsidP="008E7846">
      <w:pPr>
        <w:rPr>
          <w:bCs/>
        </w:rPr>
      </w:pPr>
      <w:r>
        <w:rPr>
          <w:bCs/>
        </w:rPr>
        <w:t>The Advisory Committee on Prescription Medicines (</w:t>
      </w:r>
      <w:r w:rsidRPr="001C5DFC">
        <w:rPr>
          <w:bCs/>
        </w:rPr>
        <w:t>AC</w:t>
      </w:r>
      <w:r>
        <w:rPr>
          <w:bCs/>
        </w:rPr>
        <w:t>PM</w:t>
      </w:r>
      <w:r w:rsidR="009A7DDD">
        <w:rPr>
          <w:bCs/>
        </w:rPr>
        <w:t xml:space="preserve">), </w:t>
      </w:r>
      <w:r>
        <w:rPr>
          <w:bCs/>
        </w:rPr>
        <w:t>having considered the evaluations and the Delegate’s overview,</w:t>
      </w:r>
      <w:r w:rsidRPr="001C5DFC">
        <w:rPr>
          <w:bCs/>
        </w:rPr>
        <w:t xml:space="preserve"> </w:t>
      </w:r>
      <w:r>
        <w:rPr>
          <w:bCs/>
        </w:rPr>
        <w:t>as well as the sponsor’s response to these documents, advised the following:</w:t>
      </w:r>
    </w:p>
    <w:p w:rsidR="009A7DDD" w:rsidRPr="009A7DDD" w:rsidRDefault="009A7DDD" w:rsidP="009A7DDD">
      <w:pPr>
        <w:rPr>
          <w:bCs/>
        </w:rPr>
      </w:pPr>
      <w:r w:rsidRPr="009A7DDD">
        <w:rPr>
          <w:bCs/>
        </w:rPr>
        <w:t>The ACPM, taking into account the submitted evidence of efficacy, safet</w:t>
      </w:r>
      <w:r>
        <w:rPr>
          <w:bCs/>
        </w:rPr>
        <w:t>y and quality, agreed with the D</w:t>
      </w:r>
      <w:r w:rsidRPr="009A7DDD">
        <w:rPr>
          <w:bCs/>
        </w:rPr>
        <w:t>e</w:t>
      </w:r>
      <w:r>
        <w:rPr>
          <w:bCs/>
        </w:rPr>
        <w:t>legate and considered B</w:t>
      </w:r>
      <w:r w:rsidR="00816174">
        <w:rPr>
          <w:bCs/>
        </w:rPr>
        <w:t xml:space="preserve">exsero </w:t>
      </w:r>
      <w:r>
        <w:rPr>
          <w:bCs/>
        </w:rPr>
        <w:t>(</w:t>
      </w:r>
      <w:r w:rsidRPr="00816174">
        <w:rPr>
          <w:bCs/>
          <w:i/>
          <w:iCs/>
        </w:rPr>
        <w:t>Neisseria meningitidis</w:t>
      </w:r>
      <w:r w:rsidRPr="009A7DDD">
        <w:rPr>
          <w:bCs/>
        </w:rPr>
        <w:t xml:space="preserve"> Group B Neisseria Heparin Binding Antigen fusion protein (</w:t>
      </w:r>
      <w:proofErr w:type="spellStart"/>
      <w:r w:rsidRPr="009A7DDD">
        <w:rPr>
          <w:bCs/>
        </w:rPr>
        <w:t>rbe</w:t>
      </w:r>
      <w:proofErr w:type="spellEnd"/>
      <w:r w:rsidRPr="009A7DDD">
        <w:rPr>
          <w:bCs/>
        </w:rPr>
        <w:t xml:space="preserve">) / </w:t>
      </w:r>
      <w:proofErr w:type="spellStart"/>
      <w:r w:rsidRPr="009A7DDD">
        <w:rPr>
          <w:bCs/>
        </w:rPr>
        <w:t>Neisseria</w:t>
      </w:r>
      <w:proofErr w:type="spellEnd"/>
      <w:r w:rsidRPr="009A7DDD">
        <w:rPr>
          <w:bCs/>
        </w:rPr>
        <w:t xml:space="preserve"> </w:t>
      </w:r>
      <w:proofErr w:type="spellStart"/>
      <w:r w:rsidRPr="009A7DDD">
        <w:rPr>
          <w:bCs/>
        </w:rPr>
        <w:t>meningitidis</w:t>
      </w:r>
      <w:proofErr w:type="spellEnd"/>
      <w:r w:rsidRPr="009A7DDD">
        <w:rPr>
          <w:bCs/>
        </w:rPr>
        <w:t xml:space="preserve"> Group B </w:t>
      </w:r>
      <w:proofErr w:type="spellStart"/>
      <w:r w:rsidRPr="009A7DDD">
        <w:rPr>
          <w:bCs/>
        </w:rPr>
        <w:t>Neisseria</w:t>
      </w:r>
      <w:proofErr w:type="spellEnd"/>
      <w:r w:rsidRPr="009A7DDD">
        <w:rPr>
          <w:bCs/>
        </w:rPr>
        <w:t xml:space="preserve"> </w:t>
      </w:r>
      <w:proofErr w:type="spellStart"/>
      <w:r w:rsidRPr="009A7DDD">
        <w:rPr>
          <w:bCs/>
        </w:rPr>
        <w:t>Adhesin</w:t>
      </w:r>
      <w:proofErr w:type="spellEnd"/>
      <w:r w:rsidRPr="009A7DDD">
        <w:rPr>
          <w:bCs/>
        </w:rPr>
        <w:t xml:space="preserve"> A protein (</w:t>
      </w:r>
      <w:proofErr w:type="spellStart"/>
      <w:r w:rsidRPr="009A7DDD">
        <w:rPr>
          <w:bCs/>
        </w:rPr>
        <w:t>rbe</w:t>
      </w:r>
      <w:proofErr w:type="spellEnd"/>
      <w:r w:rsidRPr="009A7DDD">
        <w:rPr>
          <w:bCs/>
        </w:rPr>
        <w:t>) / Neisseria meningitidis Group B Factor H Binding Protein fusion protein (</w:t>
      </w:r>
      <w:proofErr w:type="spellStart"/>
      <w:r w:rsidRPr="009A7DDD">
        <w:rPr>
          <w:bCs/>
        </w:rPr>
        <w:t>rbe</w:t>
      </w:r>
      <w:proofErr w:type="spellEnd"/>
      <w:r w:rsidRPr="009A7DDD">
        <w:rPr>
          <w:bCs/>
        </w:rPr>
        <w:t xml:space="preserve">) / </w:t>
      </w:r>
      <w:proofErr w:type="spellStart"/>
      <w:r w:rsidRPr="009A7DDD">
        <w:rPr>
          <w:bCs/>
        </w:rPr>
        <w:t>Neisseria</w:t>
      </w:r>
      <w:proofErr w:type="spellEnd"/>
      <w:r w:rsidRPr="009A7DDD">
        <w:rPr>
          <w:bCs/>
        </w:rPr>
        <w:t xml:space="preserve"> </w:t>
      </w:r>
      <w:proofErr w:type="spellStart"/>
      <w:r w:rsidRPr="009A7DDD">
        <w:rPr>
          <w:bCs/>
        </w:rPr>
        <w:t>meningitidis</w:t>
      </w:r>
      <w:proofErr w:type="spellEnd"/>
      <w:r w:rsidRPr="009A7DDD">
        <w:rPr>
          <w:bCs/>
        </w:rPr>
        <w:t xml:space="preserve"> serogroup B outer membrane vesicles) to have an overall positive benefit–risk profi</w:t>
      </w:r>
      <w:r w:rsidR="00C21BA2">
        <w:rPr>
          <w:bCs/>
        </w:rPr>
        <w:t>le for the proposed indication;</w:t>
      </w:r>
    </w:p>
    <w:p w:rsidR="009A7DDD" w:rsidRPr="009A7DDD" w:rsidRDefault="009A7DDD" w:rsidP="009A7DDD">
      <w:pPr>
        <w:ind w:left="720"/>
        <w:rPr>
          <w:bCs/>
          <w:i/>
          <w:iCs/>
        </w:rPr>
      </w:pPr>
      <w:r w:rsidRPr="009A7DDD">
        <w:rPr>
          <w:bCs/>
          <w:i/>
          <w:iCs/>
        </w:rPr>
        <w:t>B</w:t>
      </w:r>
      <w:r w:rsidR="00816174">
        <w:rPr>
          <w:bCs/>
          <w:i/>
          <w:iCs/>
        </w:rPr>
        <w:t xml:space="preserve">exsero </w:t>
      </w:r>
      <w:r w:rsidRPr="009A7DDD">
        <w:rPr>
          <w:bCs/>
          <w:i/>
          <w:iCs/>
        </w:rPr>
        <w:t xml:space="preserve">is indicated for active immunisation of individuals from 2 months of age and older against invasive disease caused by </w:t>
      </w:r>
      <w:proofErr w:type="spellStart"/>
      <w:r w:rsidRPr="009A7DDD">
        <w:rPr>
          <w:bCs/>
          <w:i/>
          <w:iCs/>
        </w:rPr>
        <w:t>Neisseria</w:t>
      </w:r>
      <w:proofErr w:type="spellEnd"/>
      <w:r w:rsidRPr="009A7DDD">
        <w:rPr>
          <w:bCs/>
          <w:i/>
          <w:iCs/>
        </w:rPr>
        <w:t xml:space="preserve"> </w:t>
      </w:r>
      <w:proofErr w:type="spellStart"/>
      <w:r w:rsidRPr="009A7DDD">
        <w:rPr>
          <w:bCs/>
          <w:i/>
          <w:iCs/>
        </w:rPr>
        <w:t>meningitidies</w:t>
      </w:r>
      <w:proofErr w:type="spellEnd"/>
      <w:r w:rsidRPr="009A7DDD">
        <w:rPr>
          <w:bCs/>
          <w:i/>
          <w:iCs/>
        </w:rPr>
        <w:t xml:space="preserve"> group B strains</w:t>
      </w:r>
    </w:p>
    <w:p w:rsidR="009A7DDD" w:rsidRPr="009A7DDD" w:rsidRDefault="009A7DDD" w:rsidP="009A7DDD">
      <w:pPr>
        <w:ind w:left="720"/>
        <w:rPr>
          <w:bCs/>
          <w:i/>
          <w:iCs/>
        </w:rPr>
      </w:pPr>
      <w:r w:rsidRPr="009A7DDD">
        <w:rPr>
          <w:bCs/>
          <w:i/>
          <w:iCs/>
        </w:rPr>
        <w:t>This indication is based on short term immune responses</w:t>
      </w:r>
    </w:p>
    <w:p w:rsidR="009A7DDD" w:rsidRPr="009A7DDD" w:rsidRDefault="009A7DDD" w:rsidP="009A7DDD">
      <w:pPr>
        <w:ind w:left="720"/>
        <w:rPr>
          <w:bCs/>
          <w:i/>
          <w:iCs/>
        </w:rPr>
      </w:pPr>
      <w:r w:rsidRPr="009A7DDD">
        <w:rPr>
          <w:bCs/>
          <w:i/>
          <w:iCs/>
        </w:rPr>
        <w:t>The use of B</w:t>
      </w:r>
      <w:r w:rsidR="00816174">
        <w:rPr>
          <w:bCs/>
          <w:i/>
          <w:iCs/>
        </w:rPr>
        <w:t xml:space="preserve">exsero </w:t>
      </w:r>
      <w:r w:rsidRPr="009A7DDD">
        <w:rPr>
          <w:bCs/>
          <w:i/>
          <w:iCs/>
        </w:rPr>
        <w:t>should be in accordance with official recommendations</w:t>
      </w:r>
    </w:p>
    <w:p w:rsidR="009A7DDD" w:rsidRPr="009A7DDD" w:rsidRDefault="009A7DDD" w:rsidP="009A7DDD">
      <w:pPr>
        <w:pStyle w:val="Heading5"/>
        <w:rPr>
          <w:rFonts w:eastAsia="MS Mincho"/>
        </w:rPr>
      </w:pPr>
      <w:r w:rsidRPr="009A7DDD">
        <w:rPr>
          <w:rFonts w:eastAsia="MS Mincho"/>
        </w:rPr>
        <w:t>Proposed conditions of registration:</w:t>
      </w:r>
    </w:p>
    <w:p w:rsidR="009A7DDD" w:rsidRPr="009A7DDD" w:rsidRDefault="009A7DDD" w:rsidP="009A7DDD">
      <w:r w:rsidRPr="009A7DDD">
        <w:t>T</w:t>
      </w:r>
      <w:r>
        <w:t>he ACPM agreed with the D</w:t>
      </w:r>
      <w:r w:rsidRPr="009A7DDD">
        <w:t>elegate on the proposed conditions of registration and specifically advised on the inclusion of the following:</w:t>
      </w:r>
    </w:p>
    <w:p w:rsidR="009A7DDD" w:rsidRPr="009A7DDD" w:rsidRDefault="009A7DDD" w:rsidP="009A7DDD">
      <w:pPr>
        <w:pStyle w:val="ListBullet"/>
      </w:pPr>
      <w:r w:rsidRPr="009A7DDD">
        <w:t>The submission of results of ongoing studies as soon as practicable.</w:t>
      </w:r>
    </w:p>
    <w:p w:rsidR="009A7DDD" w:rsidRPr="009A7DDD" w:rsidRDefault="00C21BA2" w:rsidP="009A7DDD">
      <w:pPr>
        <w:pStyle w:val="Heading5"/>
        <w:rPr>
          <w:rFonts w:eastAsia="MS Mincho"/>
        </w:rPr>
      </w:pPr>
      <w:r>
        <w:rPr>
          <w:rFonts w:eastAsia="MS Mincho"/>
        </w:rPr>
        <w:t>Proposed PI/CMI amendments:</w:t>
      </w:r>
    </w:p>
    <w:p w:rsidR="009A7DDD" w:rsidRPr="009A7DDD" w:rsidRDefault="009A7DDD" w:rsidP="009A7DDD">
      <w:r>
        <w:t>The ACPM agreed with the D</w:t>
      </w:r>
      <w:r w:rsidRPr="009A7DDD">
        <w:t>elegate to the proposed amendments to the P</w:t>
      </w:r>
      <w:r>
        <w:t xml:space="preserve">I </w:t>
      </w:r>
      <w:r w:rsidRPr="009A7DDD">
        <w:t xml:space="preserve">and CMI and specifically advised on </w:t>
      </w:r>
      <w:r w:rsidR="00C21BA2">
        <w:t>the inclusion of the following:</w:t>
      </w:r>
    </w:p>
    <w:p w:rsidR="009A7DDD" w:rsidRPr="009A7DDD" w:rsidRDefault="009A7DDD" w:rsidP="009A7DDD">
      <w:pPr>
        <w:pStyle w:val="ListBullet"/>
      </w:pPr>
      <w:r w:rsidRPr="009A7DDD">
        <w:t xml:space="preserve">Statement in the </w:t>
      </w:r>
      <w:r w:rsidRPr="009A7DDD">
        <w:rPr>
          <w:i/>
          <w:iCs/>
        </w:rPr>
        <w:t xml:space="preserve">Precautions </w:t>
      </w:r>
      <w:r w:rsidRPr="009A7DDD">
        <w:t>section of the PI and relevant sections of the CMI to accurately reflect the comprehensive information about the risks and management of fever and its sequelae.</w:t>
      </w:r>
    </w:p>
    <w:p w:rsidR="009A7DDD" w:rsidRPr="009A7DDD" w:rsidRDefault="009A7DDD" w:rsidP="009A7DDD">
      <w:r w:rsidRPr="009A7DDD">
        <w:t>The ACPM advised that the implementation by the sponsor of the recommendations outlined above to the satisfaction of the TGA, in addition to the evidence of efficacy and safety provided would support the safe and</w:t>
      </w:r>
      <w:r w:rsidR="00C21BA2">
        <w:t xml:space="preserve"> effective use of this product.</w:t>
      </w:r>
    </w:p>
    <w:p w:rsidR="008E7846" w:rsidRPr="002E238E" w:rsidRDefault="008E7846" w:rsidP="008E7846">
      <w:pPr>
        <w:pStyle w:val="Heading3"/>
      </w:pPr>
      <w:bookmarkStart w:id="238" w:name="_Toc247691532"/>
      <w:bookmarkStart w:id="239" w:name="_Toc314842516"/>
      <w:bookmarkStart w:id="240" w:name="_Toc370985749"/>
      <w:bookmarkEnd w:id="208"/>
      <w:bookmarkEnd w:id="236"/>
      <w:bookmarkEnd w:id="237"/>
      <w:r>
        <w:lastRenderedPageBreak/>
        <w:t>Outcome</w:t>
      </w:r>
      <w:bookmarkEnd w:id="238"/>
      <w:bookmarkEnd w:id="239"/>
      <w:bookmarkEnd w:id="240"/>
    </w:p>
    <w:p w:rsidR="00E76A54" w:rsidRPr="00E76A54" w:rsidRDefault="008E7846" w:rsidP="00E76A54">
      <w:r w:rsidRPr="00E76A54">
        <w:t xml:space="preserve">Based on a review of quality, safety and efficacy, TGA approved the registration of </w:t>
      </w:r>
      <w:r w:rsidR="00E76A54" w:rsidRPr="00E76A54">
        <w:t>B</w:t>
      </w:r>
      <w:r w:rsidR="00816174">
        <w:t xml:space="preserve">exsero </w:t>
      </w:r>
      <w:r w:rsidR="00E76A54" w:rsidRPr="00E76A54">
        <w:t>multi-component Meningococcal B vaccine (recombinant, adsorbed) suspension for injection 0.5 m</w:t>
      </w:r>
      <w:r w:rsidR="00E76A54">
        <w:t>L</w:t>
      </w:r>
      <w:r w:rsidR="00E76A54" w:rsidRPr="00E76A54">
        <w:t xml:space="preserve"> pre-filled syringe</w:t>
      </w:r>
      <w:r w:rsidR="00E76A54">
        <w:t>.</w:t>
      </w:r>
      <w:r w:rsidR="00E76A54" w:rsidRPr="00E76A54">
        <w:t xml:space="preserve"> The approved indication </w:t>
      </w:r>
      <w:r w:rsidR="00C21BA2">
        <w:t>for these therapeutic goods is:</w:t>
      </w:r>
    </w:p>
    <w:p w:rsidR="00E76A54" w:rsidRPr="00E76A54" w:rsidRDefault="00E76A54" w:rsidP="00E76A54">
      <w:pPr>
        <w:ind w:left="720"/>
        <w:rPr>
          <w:i/>
          <w:iCs/>
        </w:rPr>
      </w:pPr>
      <w:r w:rsidRPr="00E76A54">
        <w:rPr>
          <w:i/>
          <w:iCs/>
        </w:rPr>
        <w:t>B</w:t>
      </w:r>
      <w:r w:rsidR="00816174">
        <w:rPr>
          <w:i/>
          <w:iCs/>
        </w:rPr>
        <w:t xml:space="preserve">exsero </w:t>
      </w:r>
      <w:r w:rsidRPr="00E76A54">
        <w:rPr>
          <w:i/>
          <w:iCs/>
        </w:rPr>
        <w:t>is indicated for active immunisation against invasive disease caused by N. meningitidis group B strains. See PHARMACOLOGY for information on protection against specific group B strains.</w:t>
      </w:r>
    </w:p>
    <w:p w:rsidR="00E76A54" w:rsidRPr="00E76A54" w:rsidRDefault="00E76A54" w:rsidP="00E76A54">
      <w:pPr>
        <w:ind w:left="720"/>
        <w:rPr>
          <w:i/>
          <w:iCs/>
        </w:rPr>
      </w:pPr>
      <w:r w:rsidRPr="00E76A54">
        <w:rPr>
          <w:i/>
          <w:iCs/>
        </w:rPr>
        <w:t>B</w:t>
      </w:r>
      <w:r w:rsidR="00816174">
        <w:rPr>
          <w:i/>
          <w:iCs/>
        </w:rPr>
        <w:t xml:space="preserve">exsero </w:t>
      </w:r>
      <w:r w:rsidRPr="00E76A54">
        <w:rPr>
          <w:i/>
          <w:iCs/>
        </w:rPr>
        <w:t>is indicated for vaccination of individuals from 2 months of age and older.</w:t>
      </w:r>
    </w:p>
    <w:p w:rsidR="00E76A54" w:rsidRPr="00E76A54" w:rsidRDefault="00E76A54" w:rsidP="00C21BA2">
      <w:pPr>
        <w:pStyle w:val="Heading4"/>
      </w:pPr>
      <w:r>
        <w:t>S</w:t>
      </w:r>
      <w:r w:rsidRPr="00E76A54">
        <w:t>pecific conditions applying to these therapeutic goods</w:t>
      </w:r>
      <w:r>
        <w:t>:</w:t>
      </w:r>
    </w:p>
    <w:p w:rsidR="00816174" w:rsidRPr="00816174" w:rsidRDefault="00816174" w:rsidP="007C377F">
      <w:pPr>
        <w:pStyle w:val="ListBullet"/>
        <w:rPr>
          <w:b/>
          <w:bCs/>
        </w:rPr>
      </w:pPr>
      <w:r w:rsidRPr="00816174">
        <w:rPr>
          <w:b/>
          <w:bCs/>
        </w:rPr>
        <w:t>Post marketing activities</w:t>
      </w:r>
    </w:p>
    <w:p w:rsidR="00E76A54" w:rsidRPr="00E76A54" w:rsidRDefault="00E76A54" w:rsidP="00816174">
      <w:pPr>
        <w:pStyle w:val="ListBullet"/>
        <w:numPr>
          <w:ilvl w:val="0"/>
          <w:numId w:val="0"/>
        </w:numPr>
        <w:ind w:left="360"/>
      </w:pPr>
      <w:r w:rsidRPr="00E76A54">
        <w:t>The B</w:t>
      </w:r>
      <w:r w:rsidR="00816174">
        <w:t xml:space="preserve">exsero </w:t>
      </w:r>
      <w:r w:rsidRPr="00E76A54">
        <w:t>(multi-component Meningococcal B vaccine) RMP, Version 4 (dated 12 November 2012) DLP 1 September 2012 with ASA Version 1.1 (dated 6 May 2013)</w:t>
      </w:r>
      <w:proofErr w:type="gramStart"/>
      <w:r w:rsidRPr="00E76A54">
        <w:t>,</w:t>
      </w:r>
      <w:proofErr w:type="gramEnd"/>
      <w:r w:rsidRPr="00E76A54">
        <w:t xml:space="preserve"> included with submission PM-2012-02486-3-2, and any subsequent future revisions, as agreed with the TGA will be implemented in Australia. Also prior to product launch</w:t>
      </w:r>
      <w:r w:rsidR="007C377F">
        <w:t xml:space="preserve">, the Health Care Professional </w:t>
      </w:r>
      <w:r w:rsidRPr="00E76A54">
        <w:t>Booklet (Version 1, dated 1 August 2013) and Patient Leaflet (Version 1, dated 31 July 2013) are t</w:t>
      </w:r>
      <w:r w:rsidR="00C21BA2">
        <w:t>o be incorporated into the RMP.</w:t>
      </w:r>
    </w:p>
    <w:p w:rsidR="00816174" w:rsidRDefault="00816174" w:rsidP="007C377F">
      <w:pPr>
        <w:pStyle w:val="ListBullet"/>
        <w:numPr>
          <w:ilvl w:val="0"/>
          <w:numId w:val="0"/>
        </w:numPr>
        <w:ind w:left="360"/>
      </w:pPr>
      <w:r>
        <w:t xml:space="preserve">Additional </w:t>
      </w:r>
      <w:r w:rsidR="007C377F">
        <w:t xml:space="preserve">RMP </w:t>
      </w:r>
      <w:r w:rsidR="00A2328D">
        <w:t xml:space="preserve">and other post market </w:t>
      </w:r>
      <w:r w:rsidR="007C377F">
        <w:t xml:space="preserve">requirements are those applicable generally to </w:t>
      </w:r>
      <w:r w:rsidR="00A2328D">
        <w:t xml:space="preserve">most </w:t>
      </w:r>
      <w:r w:rsidR="00C21BA2">
        <w:t>new chemical entities.</w:t>
      </w:r>
    </w:p>
    <w:p w:rsidR="00E76A54" w:rsidRPr="00E76A54" w:rsidRDefault="00E76A54" w:rsidP="007C377F">
      <w:pPr>
        <w:pStyle w:val="ListBullet"/>
        <w:numPr>
          <w:ilvl w:val="0"/>
          <w:numId w:val="0"/>
        </w:numPr>
        <w:ind w:left="360"/>
      </w:pPr>
      <w:r w:rsidRPr="00A2328D">
        <w:rPr>
          <w:b/>
          <w:bCs/>
        </w:rPr>
        <w:t>Other specific conditions for this product are</w:t>
      </w:r>
      <w:r w:rsidRPr="00E76A54">
        <w:t>:</w:t>
      </w:r>
    </w:p>
    <w:p w:rsidR="00E76A54" w:rsidRPr="00E76A54" w:rsidRDefault="00E76A54" w:rsidP="00816174">
      <w:pPr>
        <w:pStyle w:val="ListBullet2"/>
        <w:numPr>
          <w:ilvl w:val="0"/>
          <w:numId w:val="0"/>
        </w:numPr>
        <w:ind w:left="360"/>
      </w:pPr>
      <w:r w:rsidRPr="00E76A54">
        <w:t>The sponsor is to update the TGA of the progress of the implementation of the pharmacovigilance plan no later than 6 months from the date of th</w:t>
      </w:r>
      <w:r w:rsidR="00816174">
        <w:t xml:space="preserve">e </w:t>
      </w:r>
      <w:r w:rsidRPr="00E76A54">
        <w:t>appr</w:t>
      </w:r>
      <w:r w:rsidR="00A2328D">
        <w:t xml:space="preserve">oval letter. </w:t>
      </w:r>
      <w:r w:rsidRPr="00E76A54">
        <w:t>If the proposed studies do not commence within 6 months of approval a contingency pharmacovigilance plan is to be provided to and agreed with the TGA (The additional pharmacovigilance activities are entirely dependent the inclusion of Bexsero into a Nation</w:t>
      </w:r>
      <w:r w:rsidR="000821F0">
        <w:t xml:space="preserve">al Immunisation Program . </w:t>
      </w:r>
      <w:r w:rsidRPr="00E76A54">
        <w:t>Currently the location and commencement of these studies remains hypothetical).</w:t>
      </w:r>
    </w:p>
    <w:p w:rsidR="00E76A54" w:rsidRPr="00E76A54" w:rsidRDefault="00E76A54" w:rsidP="00816174">
      <w:pPr>
        <w:pStyle w:val="ListBullet2"/>
        <w:numPr>
          <w:ilvl w:val="0"/>
          <w:numId w:val="0"/>
        </w:numPr>
        <w:ind w:left="360"/>
      </w:pPr>
      <w:r w:rsidRPr="00E76A54">
        <w:t>The sponsor is to submit to the TGA the results of currently ongoing clinical studies as soon as practicable after completion.</w:t>
      </w:r>
    </w:p>
    <w:p w:rsidR="00E76A54" w:rsidRPr="00816174" w:rsidRDefault="00E76A54" w:rsidP="007C377F">
      <w:pPr>
        <w:pStyle w:val="ListBullet"/>
        <w:rPr>
          <w:b/>
          <w:bCs/>
        </w:rPr>
      </w:pPr>
      <w:r w:rsidRPr="00816174">
        <w:rPr>
          <w:b/>
          <w:bCs/>
        </w:rPr>
        <w:t xml:space="preserve">Batch </w:t>
      </w:r>
      <w:r w:rsidR="00C21BA2">
        <w:rPr>
          <w:b/>
          <w:bCs/>
        </w:rPr>
        <w:t>r</w:t>
      </w:r>
      <w:r w:rsidRPr="00816174">
        <w:rPr>
          <w:b/>
          <w:bCs/>
        </w:rPr>
        <w:t xml:space="preserve">elease </w:t>
      </w:r>
      <w:r w:rsidR="00C21BA2">
        <w:rPr>
          <w:b/>
          <w:bCs/>
        </w:rPr>
        <w:t>t</w:t>
      </w:r>
      <w:r w:rsidRPr="00816174">
        <w:rPr>
          <w:b/>
          <w:bCs/>
        </w:rPr>
        <w:t>esti</w:t>
      </w:r>
      <w:r w:rsidR="00C21BA2">
        <w:rPr>
          <w:b/>
          <w:bCs/>
        </w:rPr>
        <w:t>ng:</w:t>
      </w:r>
    </w:p>
    <w:p w:rsidR="00E76A54" w:rsidRPr="00E76A54" w:rsidRDefault="00E76A54" w:rsidP="00816174">
      <w:pPr>
        <w:pStyle w:val="ListBullet2"/>
        <w:numPr>
          <w:ilvl w:val="0"/>
          <w:numId w:val="0"/>
        </w:numPr>
        <w:ind w:left="360"/>
      </w:pPr>
      <w:r w:rsidRPr="00E76A54">
        <w:t>It is a condition of registration that all independent batches of Bexsero Multi-component Meningococcal B vaccine (recombinant, adsorbed) suspension for injection 0.5</w:t>
      </w:r>
      <w:r w:rsidR="00816174">
        <w:t xml:space="preserve"> </w:t>
      </w:r>
      <w:r w:rsidRPr="00E76A54">
        <w:t xml:space="preserve">mL pre-filled syringe imported into Australia are not released for sale until samples and the manufacturer’s release data have been assessed and endorsed for release by the TGA Office of Laboratories </w:t>
      </w:r>
      <w:r w:rsidR="00C21BA2">
        <w:t>and Scientific Services (OLSS).</w:t>
      </w:r>
    </w:p>
    <w:p w:rsidR="00E76A54" w:rsidRPr="00816174" w:rsidRDefault="00C21BA2" w:rsidP="000821F0">
      <w:pPr>
        <w:pStyle w:val="ListBullet"/>
        <w:keepNext/>
        <w:rPr>
          <w:b/>
          <w:bCs/>
        </w:rPr>
      </w:pPr>
      <w:r>
        <w:rPr>
          <w:b/>
          <w:bCs/>
        </w:rPr>
        <w:t>Lot r</w:t>
      </w:r>
      <w:r w:rsidR="00E76A54" w:rsidRPr="00816174">
        <w:rPr>
          <w:b/>
          <w:bCs/>
        </w:rPr>
        <w:t>elease:</w:t>
      </w:r>
    </w:p>
    <w:p w:rsidR="00E76A54" w:rsidRPr="00E76A54" w:rsidRDefault="00E76A54" w:rsidP="00816174">
      <w:pPr>
        <w:pStyle w:val="ListBullet2"/>
        <w:numPr>
          <w:ilvl w:val="0"/>
          <w:numId w:val="0"/>
        </w:numPr>
        <w:ind w:left="360"/>
      </w:pPr>
      <w:r w:rsidRPr="00E76A54">
        <w:t>For each batch of vaccine imported into Australia the Sponsor should supply the following:</w:t>
      </w:r>
    </w:p>
    <w:p w:rsidR="00E76A54" w:rsidRPr="00E76A54" w:rsidRDefault="00E76A54" w:rsidP="007C377F">
      <w:pPr>
        <w:pStyle w:val="ListBullet2"/>
      </w:pPr>
      <w:r w:rsidRPr="00E76A54">
        <w:t>Complete summary protocols for manufacture and Q</w:t>
      </w:r>
      <w:r w:rsidR="00816174">
        <w:t xml:space="preserve">uality </w:t>
      </w:r>
      <w:r w:rsidRPr="00E76A54">
        <w:t>C</w:t>
      </w:r>
      <w:r w:rsidR="00816174">
        <w:t>ontrol</w:t>
      </w:r>
      <w:r w:rsidRPr="00E76A54">
        <w:t>, inc</w:t>
      </w:r>
      <w:r w:rsidR="00C21BA2">
        <w:t>luding all steps in production.</w:t>
      </w:r>
    </w:p>
    <w:p w:rsidR="00E76A54" w:rsidRPr="00E76A54" w:rsidRDefault="00E76A54" w:rsidP="007C377F">
      <w:pPr>
        <w:pStyle w:val="ListBullet2"/>
      </w:pPr>
      <w:r w:rsidRPr="00E76A54">
        <w:t>Number of doses to be released in Australia from each shipment</w:t>
      </w:r>
      <w:r w:rsidR="00C21BA2">
        <w:t>.</w:t>
      </w:r>
    </w:p>
    <w:p w:rsidR="00E76A54" w:rsidRPr="00E76A54" w:rsidRDefault="00E76A54" w:rsidP="007C377F">
      <w:pPr>
        <w:pStyle w:val="ListBullet2"/>
      </w:pPr>
      <w:r w:rsidRPr="00E76A54">
        <w:t>Evidence of maintenance of satisfactory transport conditions between the manufacturer and Australia, such as graphs of temperature recordings, and a statement that the approved st</w:t>
      </w:r>
      <w:r w:rsidR="00C21BA2">
        <w:t>orage conditions have been met.</w:t>
      </w:r>
    </w:p>
    <w:p w:rsidR="00E76A54" w:rsidRPr="00E76A54" w:rsidRDefault="00E76A54" w:rsidP="007C377F">
      <w:pPr>
        <w:pStyle w:val="ListBullet2"/>
      </w:pPr>
      <w:r w:rsidRPr="00E76A54">
        <w:t xml:space="preserve">At least 20 doses of each first consignment of product lot with the Australian approved labels, PI and packaging. 3 doses of any further consignment of already </w:t>
      </w:r>
      <w:r w:rsidRPr="00E76A54">
        <w:lastRenderedPageBreak/>
        <w:t>released product (including diluents) with the Australian app</w:t>
      </w:r>
      <w:r w:rsidR="00C21BA2">
        <w:t>roved labels, PI and packaging.</w:t>
      </w:r>
    </w:p>
    <w:p w:rsidR="00E76A54" w:rsidRPr="00E76A54" w:rsidRDefault="00E76A54" w:rsidP="007C377F">
      <w:pPr>
        <w:pStyle w:val="ListBullet2"/>
      </w:pPr>
      <w:r w:rsidRPr="00E76A54">
        <w:t>Certificate of Release from the regulatory agency acting for the country of origin (OMCL).</w:t>
      </w:r>
    </w:p>
    <w:p w:rsidR="00E76A54" w:rsidRPr="00E76A54" w:rsidRDefault="00E76A54" w:rsidP="007C377F">
      <w:pPr>
        <w:pStyle w:val="ListBullet2"/>
      </w:pPr>
      <w:r w:rsidRPr="00E76A54">
        <w:t>Any reagents, reference material and standards required to undertake testing, as requested by OLSS.</w:t>
      </w:r>
    </w:p>
    <w:p w:rsidR="00E76A54" w:rsidRPr="00E76A54" w:rsidRDefault="00E76A54" w:rsidP="007C377F">
      <w:pPr>
        <w:pStyle w:val="ListBullet"/>
        <w:numPr>
          <w:ilvl w:val="0"/>
          <w:numId w:val="0"/>
        </w:numPr>
        <w:ind w:left="360"/>
      </w:pPr>
      <w:r w:rsidRPr="00E76A54">
        <w:t>Distribution of each shipment of each batch of vaccine is conditional upon fulfilment of these conditions and receipt of a letter from the OLSS allowing release. Arrangement for delivery of the requested items will be provided.</w:t>
      </w:r>
    </w:p>
    <w:p w:rsidR="00E76A54" w:rsidRPr="00816174" w:rsidRDefault="00E76A54" w:rsidP="00816174">
      <w:pPr>
        <w:pStyle w:val="ListBullet"/>
        <w:rPr>
          <w:b/>
          <w:bCs/>
        </w:rPr>
      </w:pPr>
      <w:r w:rsidRPr="00816174">
        <w:rPr>
          <w:b/>
          <w:bCs/>
        </w:rPr>
        <w:t>Additional conditions recom</w:t>
      </w:r>
      <w:r w:rsidR="00C21BA2">
        <w:rPr>
          <w:b/>
          <w:bCs/>
        </w:rPr>
        <w:t>mended by the quality evaluator</w:t>
      </w:r>
    </w:p>
    <w:p w:rsidR="00E76A54" w:rsidRPr="007C377F" w:rsidRDefault="00E76A54" w:rsidP="00816174">
      <w:pPr>
        <w:pStyle w:val="ListBullet"/>
        <w:numPr>
          <w:ilvl w:val="0"/>
          <w:numId w:val="0"/>
        </w:numPr>
        <w:ind w:left="360"/>
      </w:pPr>
      <w:r w:rsidRPr="007C377F">
        <w:t>Novartis is to provide, at the earliest opportunity, finished product stability data for the 5 recently produced commercial batches of Bexsero currently on Stability testing (referred to in correspondence dated April 2013), starting with the T= 6 months time point followed by updates of the results at each testing time-point until the data package is considered adequate. Data on these batches of Bexsero should include identification and manufacturing dates of the drug substance lots used in their formulation.</w:t>
      </w:r>
    </w:p>
    <w:p w:rsidR="00E76A54" w:rsidRPr="007C377F" w:rsidRDefault="00E76A54" w:rsidP="00816174">
      <w:pPr>
        <w:pStyle w:val="ListBullet"/>
        <w:numPr>
          <w:ilvl w:val="0"/>
          <w:numId w:val="0"/>
        </w:numPr>
        <w:ind w:left="360"/>
      </w:pPr>
      <w:r w:rsidRPr="007C377F">
        <w:t xml:space="preserve">Before release of the first batch of Bexsero onto the Australian market, the </w:t>
      </w:r>
      <w:r w:rsidR="00410B08" w:rsidRPr="00410B08">
        <w:rPr>
          <w:lang w:val="en-US"/>
        </w:rPr>
        <w:t>sponsor</w:t>
      </w:r>
      <w:r w:rsidR="00C21BA2">
        <w:t xml:space="preserve"> should provide TGA with:</w:t>
      </w:r>
    </w:p>
    <w:p w:rsidR="00E76A54" w:rsidRPr="007C377F" w:rsidRDefault="00E76A54" w:rsidP="007C377F">
      <w:pPr>
        <w:pStyle w:val="ListBullet2"/>
      </w:pPr>
      <w:proofErr w:type="gramStart"/>
      <w:r w:rsidRPr="007C377F">
        <w:t>results</w:t>
      </w:r>
      <w:proofErr w:type="gramEnd"/>
      <w:r w:rsidRPr="007C377F">
        <w:t xml:space="preserve"> of testing of three commercial batches of Bexsero tested at Release to the current finished product specifications (i.e. including </w:t>
      </w:r>
      <w:r w:rsidR="00B54249">
        <w:t>M</w:t>
      </w:r>
      <w:r w:rsidRPr="007C377F">
        <w:t xml:space="preserve">odified LAL, </w:t>
      </w:r>
      <w:r w:rsidR="00B54249">
        <w:t xml:space="preserve">potency </w:t>
      </w:r>
      <w:r w:rsidRPr="007C377F">
        <w:t>&amp; Visible Particles) and evidence of release by the regulatory agency acting for the country of origin (OMCL).</w:t>
      </w:r>
    </w:p>
    <w:p w:rsidR="00E76A54" w:rsidRDefault="00E76A54" w:rsidP="007C377F">
      <w:pPr>
        <w:pStyle w:val="ListBullet2"/>
      </w:pPr>
      <w:proofErr w:type="gramStart"/>
      <w:r w:rsidRPr="007C377F">
        <w:t>an</w:t>
      </w:r>
      <w:proofErr w:type="gramEnd"/>
      <w:r w:rsidRPr="007C377F">
        <w:t xml:space="preserve"> assurance that the reference standard used in Immunogenicity testing of the batch has been appropriately clinically qualified.</w:t>
      </w:r>
    </w:p>
    <w:p w:rsidR="008E7846" w:rsidRDefault="008E7846" w:rsidP="008E7846">
      <w:pPr>
        <w:pStyle w:val="Heading2"/>
      </w:pPr>
      <w:bookmarkStart w:id="241" w:name="_Toc247691533"/>
      <w:bookmarkStart w:id="242" w:name="_Toc314842517"/>
      <w:bookmarkStart w:id="243" w:name="_Toc370985750"/>
      <w:proofErr w:type="gramStart"/>
      <w:r>
        <w:t>Attachment 1.</w:t>
      </w:r>
      <w:proofErr w:type="gramEnd"/>
      <w:r>
        <w:tab/>
        <w:t xml:space="preserve">Product </w:t>
      </w:r>
      <w:r w:rsidR="00AA0ED0">
        <w:t>I</w:t>
      </w:r>
      <w:r>
        <w:t>nformation</w:t>
      </w:r>
      <w:bookmarkEnd w:id="241"/>
      <w:bookmarkEnd w:id="242"/>
      <w:bookmarkEnd w:id="243"/>
    </w:p>
    <w:p w:rsidR="00C80137" w:rsidRDefault="00C80137" w:rsidP="00C80137">
      <w:pPr>
        <w:rPr>
          <w:color w:val="000000"/>
          <w:lang w:eastAsia="en-AU"/>
        </w:rPr>
      </w:pPr>
      <w:r w:rsidRPr="0037352E">
        <w:t>The Product Information approved at the time this AusPAR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27" w:history="1">
        <w:r w:rsidR="00722B57" w:rsidRPr="00625A6E">
          <w:rPr>
            <w:rStyle w:val="Hyperlink"/>
          </w:rPr>
          <w:t>http://www.tga.gov.au/hp/information-medicines-pi.htm</w:t>
        </w:r>
      </w:hyperlink>
      <w:hyperlink w:history="1"/>
      <w:r w:rsidR="008F6943">
        <w:rPr>
          <w:color w:val="000000"/>
          <w:lang w:eastAsia="en-AU"/>
        </w:rPr>
        <w:t>&gt;.</w:t>
      </w:r>
    </w:p>
    <w:p w:rsidR="000F78BC" w:rsidRDefault="007C377F" w:rsidP="00C80137">
      <w:pPr>
        <w:pStyle w:val="Heading2"/>
        <w:rPr>
          <w:lang w:eastAsia="en-AU"/>
        </w:rPr>
      </w:pPr>
      <w:bookmarkStart w:id="244" w:name="_Toc370985751"/>
      <w:proofErr w:type="gramStart"/>
      <w:r>
        <w:rPr>
          <w:lang w:eastAsia="en-AU"/>
        </w:rPr>
        <w:t>Attachment 2.</w:t>
      </w:r>
      <w:proofErr w:type="gramEnd"/>
      <w:r>
        <w:rPr>
          <w:lang w:eastAsia="en-AU"/>
        </w:rPr>
        <w:tab/>
      </w:r>
      <w:r w:rsidR="00C80137">
        <w:rPr>
          <w:lang w:eastAsia="en-AU"/>
        </w:rPr>
        <w:t>Extract from the Clinical Evaluation Report</w:t>
      </w:r>
      <w:bookmarkEnd w:id="244"/>
    </w:p>
    <w:p w:rsidR="00C80137" w:rsidRPr="001D043B" w:rsidRDefault="00C80137" w:rsidP="003A7F6C">
      <w:pPr>
        <w:pStyle w:val="TableTitle"/>
        <w:sectPr w:rsidR="00C80137" w:rsidRPr="001D043B" w:rsidSect="00B452CE">
          <w:footerReference w:type="default" r:id="rId28"/>
          <w:pgSz w:w="11906" w:h="16838" w:code="9"/>
          <w:pgMar w:top="834" w:right="1701" w:bottom="1191" w:left="1701" w:header="907" w:footer="216" w:gutter="0"/>
          <w:cols w:space="708"/>
          <w:docGrid w:linePitch="360"/>
        </w:sectPr>
      </w:pPr>
    </w:p>
    <w:p w:rsidR="00774E1D" w:rsidRPr="008A5E0B" w:rsidRDefault="00774E1D" w:rsidP="004C239D"/>
    <w:sectPr w:rsidR="00774E1D" w:rsidRPr="008A5E0B" w:rsidSect="004C239D">
      <w:headerReference w:type="even" r:id="rId29"/>
      <w:headerReference w:type="default" r:id="rId30"/>
      <w:footerReference w:type="default" r:id="rId31"/>
      <w:headerReference w:type="first" r:id="rId32"/>
      <w:footerReference w:type="first" r:id="rId33"/>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00EE" w:rsidRDefault="001300EE" w:rsidP="00C40A36">
      <w:pPr>
        <w:spacing w:after="0"/>
      </w:pPr>
      <w:r>
        <w:separator/>
      </w:r>
    </w:p>
  </w:endnote>
  <w:endnote w:type="continuationSeparator" w:id="0">
    <w:p w:rsidR="001300EE" w:rsidRDefault="001300EE"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MT">
    <w:altName w:val="Arial Unicode MS"/>
    <w:panose1 w:val="00000000000000000000"/>
    <w:charset w:val="81"/>
    <w:family w:val="auto"/>
    <w:notTrueType/>
    <w:pitch w:val="default"/>
    <w:sig w:usb0="00000001" w:usb1="090E0000" w:usb2="00000010" w:usb3="00000000" w:csb0="00180000" w:csb1="00000000"/>
  </w:font>
  <w:font w:name="DokChampa">
    <w:panose1 w:val="020B0604020202020204"/>
    <w:charset w:val="00"/>
    <w:family w:val="swiss"/>
    <w:pitch w:val="variable"/>
    <w:sig w:usb0="03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797"/>
      <w:gridCol w:w="1064"/>
    </w:tblGrid>
    <w:tr w:rsidR="001300EE" w:rsidRPr="00487162" w:rsidTr="00755B54">
      <w:trPr>
        <w:trHeight w:val="269"/>
      </w:trPr>
      <w:tc>
        <w:tcPr>
          <w:tcW w:w="7797" w:type="dxa"/>
          <w:tcMar>
            <w:top w:w="142" w:type="dxa"/>
            <w:bottom w:w="0" w:type="dxa"/>
          </w:tcMar>
        </w:tcPr>
        <w:p w:rsidR="001300EE" w:rsidRPr="00487162" w:rsidRDefault="001300EE" w:rsidP="00EA3FF9">
          <w:pPr>
            <w:pStyle w:val="Footer"/>
          </w:pPr>
          <w:r w:rsidRPr="00487162">
            <w:t xml:space="preserve">AusPAR </w:t>
          </w:r>
          <w:r>
            <w:t xml:space="preserve">Bexsero; Multi-Component Meningococcal B Vaccine; </w:t>
          </w:r>
          <w:r w:rsidRPr="00A7153E">
            <w:t>Novartis Vaccines and Diagnostics Pty Ltd</w:t>
          </w:r>
          <w:proofErr w:type="gramStart"/>
          <w:r>
            <w:t>;</w:t>
          </w:r>
          <w:proofErr w:type="gramEnd"/>
          <w:r>
            <w:br/>
          </w:r>
          <w:r w:rsidRPr="00487162">
            <w:t>PM-2</w:t>
          </w:r>
          <w:r>
            <w:t>011</w:t>
          </w:r>
          <w:r w:rsidRPr="00487162">
            <w:t>-</w:t>
          </w:r>
          <w:r>
            <w:t>02486</w:t>
          </w:r>
          <w:r w:rsidRPr="00487162">
            <w:t>-</w:t>
          </w:r>
          <w:r>
            <w:t>3</w:t>
          </w:r>
          <w:r w:rsidRPr="00487162">
            <w:t>-</w:t>
          </w:r>
          <w:r>
            <w:t xml:space="preserve">2. Date of finalisation 31 October 2013 </w:t>
          </w:r>
        </w:p>
      </w:tc>
      <w:tc>
        <w:tcPr>
          <w:tcW w:w="1064" w:type="dxa"/>
          <w:tcMar>
            <w:top w:w="142" w:type="dxa"/>
            <w:bottom w:w="0" w:type="dxa"/>
          </w:tcMar>
        </w:tcPr>
        <w:p w:rsidR="001300EE" w:rsidRPr="00487162" w:rsidRDefault="001300EE" w:rsidP="00D855D4">
          <w:pPr>
            <w:pStyle w:val="Footer"/>
            <w:jc w:val="right"/>
          </w:pPr>
          <w:r w:rsidRPr="00487162">
            <w:t xml:space="preserve">Page </w:t>
          </w:r>
          <w:r>
            <w:t>2</w:t>
          </w:r>
          <w:r w:rsidRPr="00487162">
            <w:t xml:space="preserve"> of </w:t>
          </w:r>
          <w:fldSimple w:instr=" NUMPAGES  \* Arabic ">
            <w:r>
              <w:rPr>
                <w:noProof/>
              </w:rPr>
              <w:t>67</w:t>
            </w:r>
          </w:fldSimple>
        </w:p>
      </w:tc>
    </w:tr>
  </w:tbl>
  <w:p w:rsidR="001300EE" w:rsidRDefault="001300EE"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797"/>
      <w:gridCol w:w="1064"/>
    </w:tblGrid>
    <w:tr w:rsidR="001300EE" w:rsidRPr="00487162" w:rsidTr="00755B54">
      <w:trPr>
        <w:trHeight w:val="269"/>
      </w:trPr>
      <w:tc>
        <w:tcPr>
          <w:tcW w:w="7797" w:type="dxa"/>
          <w:tcMar>
            <w:top w:w="142" w:type="dxa"/>
            <w:bottom w:w="0" w:type="dxa"/>
          </w:tcMar>
        </w:tcPr>
        <w:p w:rsidR="001300EE" w:rsidRPr="00487162" w:rsidRDefault="001300EE" w:rsidP="00EA3FF9">
          <w:pPr>
            <w:pStyle w:val="Footer"/>
          </w:pPr>
          <w:r w:rsidRPr="00A7153E">
            <w:t xml:space="preserve">AusPAR Bexsero; Multi-Component Meningococcal B </w:t>
          </w:r>
          <w:r>
            <w:t>V</w:t>
          </w:r>
          <w:r w:rsidRPr="00A7153E">
            <w:t xml:space="preserve">accine; Novartis Vaccines and Diagnostics Pty Ltd; </w:t>
          </w:r>
          <w:r>
            <w:br/>
          </w:r>
          <w:r w:rsidRPr="00A7153E">
            <w:t xml:space="preserve">PM-2011-02486-3-2. </w:t>
          </w:r>
          <w:r>
            <w:t xml:space="preserve">Date of finalisation 31 October </w:t>
          </w:r>
          <w:r w:rsidRPr="00A7153E">
            <w:t>2013</w:t>
          </w:r>
        </w:p>
      </w:tc>
      <w:tc>
        <w:tcPr>
          <w:tcW w:w="1064" w:type="dxa"/>
          <w:tcMar>
            <w:top w:w="142" w:type="dxa"/>
            <w:bottom w:w="0" w:type="dxa"/>
          </w:tcMar>
        </w:tcPr>
        <w:p w:rsidR="001300EE" w:rsidRPr="00487162" w:rsidRDefault="001300EE" w:rsidP="00E45619">
          <w:pPr>
            <w:pStyle w:val="Footer"/>
            <w:jc w:val="right"/>
          </w:pPr>
          <w:r w:rsidRPr="00487162">
            <w:t xml:space="preserve">Page </w:t>
          </w:r>
          <w:fldSimple w:instr="PAGE">
            <w:r w:rsidR="00FF4D13">
              <w:rPr>
                <w:noProof/>
              </w:rPr>
              <w:t>8</w:t>
            </w:r>
          </w:fldSimple>
          <w:r w:rsidRPr="00487162">
            <w:t xml:space="preserve"> of </w:t>
          </w:r>
          <w:fldSimple w:instr=" NUMPAGES  \* Arabic ">
            <w:r w:rsidR="00FF4D13">
              <w:rPr>
                <w:noProof/>
              </w:rPr>
              <w:t>67</w:t>
            </w:r>
          </w:fldSimple>
        </w:p>
      </w:tc>
    </w:tr>
  </w:tbl>
  <w:p w:rsidR="001300EE" w:rsidRDefault="001300EE"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1300EE" w:rsidRPr="00487162" w:rsidTr="00E45619">
      <w:trPr>
        <w:trHeight w:val="269"/>
      </w:trPr>
      <w:tc>
        <w:tcPr>
          <w:tcW w:w="4519" w:type="dxa"/>
          <w:tcBorders>
            <w:top w:val="single" w:sz="4" w:space="0" w:color="auto"/>
          </w:tcBorders>
          <w:tcMar>
            <w:top w:w="142" w:type="dxa"/>
            <w:bottom w:w="0" w:type="dxa"/>
          </w:tcMar>
        </w:tcPr>
        <w:p w:rsidR="001300EE" w:rsidRPr="00487162" w:rsidRDefault="001300EE" w:rsidP="00FE1DEE">
          <w:pPr>
            <w:pStyle w:val="Footer"/>
          </w:pPr>
          <w:r w:rsidRPr="00487162">
            <w:t>Document title, Part #, Section # - Section title</w:t>
          </w:r>
        </w:p>
        <w:p w:rsidR="001300EE" w:rsidRPr="00487162" w:rsidRDefault="001300EE" w:rsidP="00FE1DEE">
          <w:pPr>
            <w:pStyle w:val="Footer"/>
          </w:pPr>
          <w:r w:rsidRPr="00487162">
            <w:t>V1.0 October 2010</w:t>
          </w:r>
        </w:p>
      </w:tc>
      <w:tc>
        <w:tcPr>
          <w:tcW w:w="4342" w:type="dxa"/>
          <w:tcBorders>
            <w:top w:val="single" w:sz="4" w:space="0" w:color="auto"/>
          </w:tcBorders>
          <w:tcMar>
            <w:top w:w="142" w:type="dxa"/>
            <w:bottom w:w="0" w:type="dxa"/>
          </w:tcMar>
        </w:tcPr>
        <w:p w:rsidR="001300EE" w:rsidRPr="00487162" w:rsidRDefault="001300EE"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3</w:t>
            </w:r>
          </w:fldSimple>
        </w:p>
      </w:tc>
    </w:tr>
  </w:tbl>
  <w:p w:rsidR="001300EE" w:rsidRDefault="001300E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406" w:type="dxa"/>
      <w:tblBorders>
        <w:top w:val="single" w:sz="4" w:space="0" w:color="auto"/>
      </w:tblBorders>
      <w:tblLayout w:type="fixed"/>
      <w:tblCellMar>
        <w:top w:w="170" w:type="dxa"/>
        <w:left w:w="0" w:type="dxa"/>
        <w:bottom w:w="170" w:type="dxa"/>
        <w:right w:w="0" w:type="dxa"/>
      </w:tblCellMar>
      <w:tblLook w:val="04A0"/>
    </w:tblPr>
    <w:tblGrid>
      <w:gridCol w:w="12676"/>
      <w:gridCol w:w="1730"/>
    </w:tblGrid>
    <w:tr w:rsidR="001300EE" w:rsidRPr="00487162" w:rsidTr="001300EE">
      <w:trPr>
        <w:trHeight w:val="312"/>
      </w:trPr>
      <w:tc>
        <w:tcPr>
          <w:tcW w:w="12676" w:type="dxa"/>
          <w:tcMar>
            <w:top w:w="142" w:type="dxa"/>
            <w:bottom w:w="0" w:type="dxa"/>
          </w:tcMar>
        </w:tcPr>
        <w:p w:rsidR="001300EE" w:rsidRPr="00487162" w:rsidRDefault="001300EE" w:rsidP="00EA3FF9">
          <w:pPr>
            <w:pStyle w:val="Footer"/>
          </w:pPr>
          <w:proofErr w:type="spellStart"/>
          <w:r w:rsidRPr="00A7153E">
            <w:t>AusPAR</w:t>
          </w:r>
          <w:proofErr w:type="spellEnd"/>
          <w:r w:rsidRPr="00A7153E">
            <w:t xml:space="preserve"> </w:t>
          </w:r>
          <w:proofErr w:type="spellStart"/>
          <w:r w:rsidRPr="00A7153E">
            <w:t>Bexsero</w:t>
          </w:r>
          <w:proofErr w:type="spellEnd"/>
          <w:r w:rsidRPr="00A7153E">
            <w:t xml:space="preserve">; Multi-Component Meningococcal B </w:t>
          </w:r>
          <w:r>
            <w:t>V</w:t>
          </w:r>
          <w:r w:rsidRPr="00A7153E">
            <w:t xml:space="preserve">accine; Novartis Vaccines and Diagnostics Pty Ltd; </w:t>
          </w:r>
          <w:r>
            <w:br/>
          </w:r>
          <w:r w:rsidRPr="00A7153E">
            <w:t xml:space="preserve">PM-2011-02486-3-2. </w:t>
          </w:r>
          <w:r>
            <w:t xml:space="preserve">Date of finalisation 31 October </w:t>
          </w:r>
          <w:r w:rsidRPr="00A7153E">
            <w:t>2013</w:t>
          </w:r>
        </w:p>
      </w:tc>
      <w:tc>
        <w:tcPr>
          <w:tcW w:w="1730" w:type="dxa"/>
          <w:tcMar>
            <w:top w:w="142" w:type="dxa"/>
            <w:bottom w:w="0" w:type="dxa"/>
          </w:tcMar>
        </w:tcPr>
        <w:p w:rsidR="001300EE" w:rsidRPr="00487162" w:rsidRDefault="001300EE" w:rsidP="00E45619">
          <w:pPr>
            <w:pStyle w:val="Footer"/>
            <w:jc w:val="right"/>
          </w:pPr>
          <w:r w:rsidRPr="00487162">
            <w:t xml:space="preserve">Page </w:t>
          </w:r>
          <w:fldSimple w:instr="PAGE">
            <w:r w:rsidR="00FF4D13">
              <w:rPr>
                <w:noProof/>
              </w:rPr>
              <w:t>43</w:t>
            </w:r>
          </w:fldSimple>
          <w:r w:rsidRPr="00487162">
            <w:t xml:space="preserve"> of </w:t>
          </w:r>
          <w:fldSimple w:instr=" NUMPAGES  \* Arabic ">
            <w:r w:rsidR="00FF4D13">
              <w:rPr>
                <w:noProof/>
              </w:rPr>
              <w:t>67</w:t>
            </w:r>
          </w:fldSimple>
        </w:p>
      </w:tc>
    </w:tr>
  </w:tbl>
  <w:p w:rsidR="001300EE" w:rsidRDefault="001300EE" w:rsidP="00E2613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797"/>
      <w:gridCol w:w="1064"/>
    </w:tblGrid>
    <w:tr w:rsidR="001300EE" w:rsidRPr="00487162" w:rsidTr="00755B54">
      <w:trPr>
        <w:trHeight w:val="269"/>
      </w:trPr>
      <w:tc>
        <w:tcPr>
          <w:tcW w:w="7797" w:type="dxa"/>
          <w:tcMar>
            <w:top w:w="142" w:type="dxa"/>
            <w:bottom w:w="0" w:type="dxa"/>
          </w:tcMar>
        </w:tcPr>
        <w:p w:rsidR="001300EE" w:rsidRPr="00487162" w:rsidRDefault="001300EE" w:rsidP="00EA3FF9">
          <w:pPr>
            <w:pStyle w:val="Footer"/>
          </w:pPr>
          <w:proofErr w:type="spellStart"/>
          <w:r w:rsidRPr="00A7153E">
            <w:t>AusPAR</w:t>
          </w:r>
          <w:proofErr w:type="spellEnd"/>
          <w:r w:rsidRPr="00A7153E">
            <w:t xml:space="preserve"> </w:t>
          </w:r>
          <w:proofErr w:type="spellStart"/>
          <w:r w:rsidRPr="00A7153E">
            <w:t>Bexsero</w:t>
          </w:r>
          <w:proofErr w:type="spellEnd"/>
          <w:r w:rsidRPr="00A7153E">
            <w:t xml:space="preserve">; Multi-Component Meningococcal B </w:t>
          </w:r>
          <w:r>
            <w:t>V</w:t>
          </w:r>
          <w:r w:rsidRPr="00A7153E">
            <w:t xml:space="preserve">accine; Novartis Vaccines and Diagnostics Pty Ltd; </w:t>
          </w:r>
          <w:r>
            <w:br/>
          </w:r>
          <w:r w:rsidRPr="00A7153E">
            <w:t xml:space="preserve">PM-2011-02486-3-2. </w:t>
          </w:r>
          <w:r>
            <w:t xml:space="preserve">Date of finalisation 31 October </w:t>
          </w:r>
          <w:r w:rsidRPr="00A7153E">
            <w:t>2013</w:t>
          </w:r>
        </w:p>
      </w:tc>
      <w:tc>
        <w:tcPr>
          <w:tcW w:w="1064" w:type="dxa"/>
          <w:tcMar>
            <w:top w:w="142" w:type="dxa"/>
            <w:bottom w:w="0" w:type="dxa"/>
          </w:tcMar>
        </w:tcPr>
        <w:p w:rsidR="001300EE" w:rsidRPr="00487162" w:rsidRDefault="001300EE" w:rsidP="00E45619">
          <w:pPr>
            <w:pStyle w:val="Footer"/>
            <w:jc w:val="right"/>
          </w:pPr>
          <w:r w:rsidRPr="00487162">
            <w:t xml:space="preserve">Page </w:t>
          </w:r>
          <w:fldSimple w:instr="PAGE">
            <w:r w:rsidR="00FF4D13">
              <w:rPr>
                <w:noProof/>
              </w:rPr>
              <w:t>59</w:t>
            </w:r>
          </w:fldSimple>
          <w:r w:rsidRPr="00487162">
            <w:t xml:space="preserve"> of </w:t>
          </w:r>
          <w:fldSimple w:instr=" NUMPAGES  \* Arabic ">
            <w:r w:rsidR="00FF4D13">
              <w:rPr>
                <w:noProof/>
              </w:rPr>
              <w:t>67</w:t>
            </w:r>
          </w:fldSimple>
        </w:p>
      </w:tc>
    </w:tr>
  </w:tbl>
  <w:p w:rsidR="001300EE" w:rsidRDefault="001300EE" w:rsidP="00E26130">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1300EE" w:rsidRPr="00487162" w:rsidTr="00E45619">
              <w:trPr>
                <w:trHeight w:hRule="exact" w:val="704"/>
              </w:trPr>
              <w:tc>
                <w:tcPr>
                  <w:tcW w:w="9175" w:type="dxa"/>
                </w:tcPr>
                <w:p w:rsidR="001300EE" w:rsidRPr="00487162" w:rsidRDefault="001300EE" w:rsidP="008E7846">
                  <w:pPr>
                    <w:pStyle w:val="TGASignoff"/>
                  </w:pPr>
                  <w:r w:rsidRPr="00487162">
                    <w:t>Therapeutic Goods Administration</w:t>
                  </w:r>
                </w:p>
              </w:tc>
            </w:tr>
            <w:tr w:rsidR="001300EE" w:rsidRPr="00487162" w:rsidTr="00E45619">
              <w:trPr>
                <w:trHeight w:val="1221"/>
              </w:trPr>
              <w:tc>
                <w:tcPr>
                  <w:tcW w:w="9175" w:type="dxa"/>
                  <w:tcMar>
                    <w:top w:w="28" w:type="dxa"/>
                  </w:tcMar>
                </w:tcPr>
                <w:p w:rsidR="001300EE" w:rsidRPr="00487162" w:rsidRDefault="001300EE" w:rsidP="00E45619">
                  <w:pPr>
                    <w:pStyle w:val="Address"/>
                  </w:pPr>
                  <w:r w:rsidRPr="00487162">
                    <w:t>PO Box 100 Woden ACT 2606 Australia</w:t>
                  </w:r>
                </w:p>
                <w:p w:rsidR="001300EE" w:rsidRPr="00487162" w:rsidRDefault="001300EE" w:rsidP="00E45619">
                  <w:pPr>
                    <w:pStyle w:val="Address"/>
                  </w:pPr>
                  <w:r w:rsidRPr="00487162">
                    <w:t xml:space="preserve">Email: </w:t>
                  </w:r>
                  <w:hyperlink r:id="rId1" w:history="1">
                    <w:r w:rsidRPr="004C239D">
                      <w:rPr>
                        <w:rStyle w:val="Hyperlink"/>
                      </w:rPr>
                      <w:t>info@tga.gov.au</w:t>
                    </w:r>
                  </w:hyperlink>
                  <w:r>
                    <w:t xml:space="preserve"> </w:t>
                  </w:r>
                  <w:r w:rsidRPr="00487162">
                    <w:t>Phone: 1800 020 653</w:t>
                  </w:r>
                  <w:r>
                    <w:t xml:space="preserve"> </w:t>
                  </w:r>
                  <w:r w:rsidRPr="00487162">
                    <w:t>Fax: 02 6232 8605</w:t>
                  </w:r>
                </w:p>
                <w:p w:rsidR="001300EE" w:rsidRPr="004C239D" w:rsidRDefault="001300EE" w:rsidP="004C239D">
                  <w:pPr>
                    <w:pStyle w:val="Address"/>
                    <w:spacing w:line="260" w:lineRule="atLeast"/>
                    <w:rPr>
                      <w:b/>
                      <w:color w:val="0000FF"/>
                      <w:u w:val="single"/>
                    </w:rPr>
                  </w:pPr>
                  <w:hyperlink r:id="rId2" w:history="1">
                    <w:r w:rsidRPr="00607888">
                      <w:rPr>
                        <w:rStyle w:val="Hyperlink"/>
                        <w:b/>
                      </w:rPr>
                      <w:t>http://www.tga.gov.au</w:t>
                    </w:r>
                  </w:hyperlink>
                </w:p>
              </w:tc>
            </w:tr>
          </w:tbl>
          <w:p w:rsidR="001300EE" w:rsidRDefault="001300EE" w:rsidP="008E7846">
            <w:pPr>
              <w:pStyle w:val="Notes"/>
            </w:pPr>
          </w:p>
        </w:sdtContent>
      </w:sdt>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1300EE" w:rsidTr="0010601F">
      <w:trPr>
        <w:trHeight w:val="108"/>
      </w:trPr>
      <w:tc>
        <w:tcPr>
          <w:tcW w:w="8875" w:type="dxa"/>
          <w:gridSpan w:val="2"/>
          <w:tcBorders>
            <w:bottom w:val="single" w:sz="4" w:space="0" w:color="auto"/>
          </w:tcBorders>
          <w:tcMar>
            <w:right w:w="284" w:type="dxa"/>
          </w:tcMar>
        </w:tcPr>
        <w:p w:rsidR="001300EE" w:rsidRDefault="001300EE" w:rsidP="006E08B3">
          <w:pPr>
            <w:pStyle w:val="Heading3"/>
          </w:pPr>
          <w:r>
            <w:t>Copyright</w:t>
          </w:r>
        </w:p>
        <w:p w:rsidR="001300EE" w:rsidRDefault="001300EE" w:rsidP="006E08B3">
          <w:r>
            <w:rPr>
              <w:rFonts w:cs="Arial"/>
            </w:rPr>
            <w:t>©</w:t>
          </w:r>
          <w:r>
            <w:t xml:space="preserve"> Commonwealth of Australia [add year]</w:t>
          </w:r>
        </w:p>
        <w:p w:rsidR="001300EE" w:rsidRDefault="001300EE" w:rsidP="006E08B3"/>
        <w:p w:rsidR="001300EE" w:rsidRDefault="001300E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1300EE" w:rsidRDefault="001300EE" w:rsidP="006E08B3"/>
        <w:p w:rsidR="001300EE" w:rsidRDefault="001300EE" w:rsidP="006E08B3">
          <w:pPr>
            <w:pStyle w:val="Heading3"/>
          </w:pPr>
          <w:r>
            <w:t>Confidentiality</w:t>
          </w:r>
        </w:p>
        <w:p w:rsidR="001300EE" w:rsidRDefault="001300E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1300EE" w:rsidRDefault="001300EE" w:rsidP="006E08B3"/>
        <w:p w:rsidR="001300EE" w:rsidRDefault="001300EE" w:rsidP="006E08B3">
          <w:r>
            <w:t>For submission made by individuals, all personal details, other than your name, will be removed from your submission before it is published on the TGA’s Internet site.</w:t>
          </w:r>
        </w:p>
        <w:p w:rsidR="001300EE" w:rsidRDefault="001300EE" w:rsidP="006E08B3"/>
        <w:p w:rsidR="001300EE" w:rsidRDefault="001300EE"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1300EE" w:rsidTr="0010601F">
      <w:trPr>
        <w:trHeight w:val="417"/>
      </w:trPr>
      <w:tc>
        <w:tcPr>
          <w:tcW w:w="4519" w:type="dxa"/>
          <w:tcBorders>
            <w:top w:val="single" w:sz="4" w:space="0" w:color="auto"/>
          </w:tcBorders>
          <w:tcMar>
            <w:top w:w="142" w:type="dxa"/>
            <w:bottom w:w="0" w:type="dxa"/>
          </w:tcMar>
        </w:tcPr>
        <w:p w:rsidR="001300EE" w:rsidRDefault="001300EE" w:rsidP="006E08B3">
          <w:r>
            <w:t>Document title, Part #, Section # - Section title</w:t>
          </w:r>
        </w:p>
        <w:p w:rsidR="001300EE" w:rsidRDefault="001300EE" w:rsidP="006E08B3">
          <w:r>
            <w:t>V1.0 October 2010</w:t>
          </w:r>
        </w:p>
      </w:tc>
      <w:tc>
        <w:tcPr>
          <w:tcW w:w="4356" w:type="dxa"/>
          <w:tcBorders>
            <w:top w:val="single" w:sz="4" w:space="0" w:color="auto"/>
          </w:tcBorders>
          <w:tcMar>
            <w:top w:w="142" w:type="dxa"/>
            <w:bottom w:w="0" w:type="dxa"/>
          </w:tcMar>
        </w:tcPr>
        <w:p w:rsidR="001300EE" w:rsidRDefault="001300EE" w:rsidP="006E08B3">
          <w:pPr>
            <w:jc w:val="right"/>
          </w:pPr>
          <w:r>
            <w:t xml:space="preserve">Page </w:t>
          </w:r>
          <w:fldSimple w:instr=" PAGE   \* MERGEFORMAT ">
            <w:r>
              <w:rPr>
                <w:noProof/>
              </w:rPr>
              <w:t>1</w:t>
            </w:r>
          </w:fldSimple>
          <w:r>
            <w:t xml:space="preserve"> of </w:t>
          </w:r>
          <w:fldSimple w:instr=" NUMPAGES  \* Arabic ">
            <w:r>
              <w:rPr>
                <w:noProof/>
              </w:rPr>
              <w:t>3</w:t>
            </w:r>
          </w:fldSimple>
          <w:r>
            <w:t xml:space="preserve"> </w:t>
          </w:r>
        </w:p>
      </w:tc>
    </w:tr>
  </w:tbl>
  <w:p w:rsidR="001300EE" w:rsidRDefault="001300E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00EE" w:rsidRDefault="001300EE" w:rsidP="00C40A36">
      <w:pPr>
        <w:spacing w:after="0"/>
      </w:pPr>
      <w:r>
        <w:separator/>
      </w:r>
    </w:p>
  </w:footnote>
  <w:footnote w:type="continuationSeparator" w:id="0">
    <w:p w:rsidR="001300EE" w:rsidRDefault="001300EE" w:rsidP="00C40A36">
      <w:pPr>
        <w:spacing w:after="0"/>
      </w:pPr>
      <w:r>
        <w:continuationSeparator/>
      </w:r>
    </w:p>
  </w:footnote>
  <w:footnote w:id="1">
    <w:p w:rsidR="001300EE" w:rsidRPr="000A64F6" w:rsidRDefault="001300EE" w:rsidP="000A64F6">
      <w:pPr>
        <w:pStyle w:val="FootnoteText"/>
      </w:pPr>
      <w:r w:rsidRPr="000A64F6">
        <w:rPr>
          <w:vertAlign w:val="superscript"/>
        </w:rPr>
        <w:footnoteRef/>
      </w:r>
      <w:r w:rsidRPr="000A64F6">
        <w:t xml:space="preserve"> Details of these are beyond the scope of the </w:t>
      </w:r>
      <w:proofErr w:type="spellStart"/>
      <w:r w:rsidRPr="000A64F6">
        <w:t>AusPAR</w:t>
      </w:r>
      <w:proofErr w:type="spellEnd"/>
      <w:r w:rsidRPr="000A64F6">
        <w:t>.</w:t>
      </w:r>
    </w:p>
  </w:footnote>
  <w:footnote w:id="2">
    <w:p w:rsidR="001300EE" w:rsidRPr="003B5DFF" w:rsidRDefault="001300EE" w:rsidP="000A64F6">
      <w:pPr>
        <w:pStyle w:val="FootnoteText"/>
      </w:pPr>
      <w:r w:rsidRPr="008E6053">
        <w:rPr>
          <w:vertAlign w:val="superscript"/>
        </w:rPr>
        <w:footnoteRef/>
      </w:r>
      <w:r w:rsidRPr="003B5DFF">
        <w:t xml:space="preserve"> US Code of Federal Regulations 610.15(a).</w:t>
      </w:r>
    </w:p>
  </w:footnote>
  <w:footnote w:id="3">
    <w:p w:rsidR="001300EE" w:rsidRPr="00DE3EE4" w:rsidRDefault="001300EE" w:rsidP="000A64F6">
      <w:pPr>
        <w:pStyle w:val="FootnoteText"/>
      </w:pPr>
      <w:r w:rsidRPr="00DE3EE4">
        <w:rPr>
          <w:rStyle w:val="FootnoteReference"/>
        </w:rPr>
        <w:footnoteRef/>
      </w:r>
      <w:r w:rsidRPr="00DE3EE4">
        <w:t xml:space="preserve"> </w:t>
      </w:r>
      <w:proofErr w:type="gramStart"/>
      <w:r w:rsidRPr="00DE3EE4">
        <w:t>Who Technical Report Series no. 595.</w:t>
      </w:r>
      <w:proofErr w:type="gramEnd"/>
      <w:r w:rsidRPr="00DE3EE4">
        <w:t xml:space="preserve"> Immunological </w:t>
      </w:r>
      <w:proofErr w:type="spellStart"/>
      <w:r w:rsidRPr="00DE3EE4">
        <w:t>adjuvants</w:t>
      </w:r>
      <w:proofErr w:type="spellEnd"/>
      <w:r w:rsidRPr="00DE3EE4">
        <w:t>- Report of a WHO Scientific Group.</w:t>
      </w:r>
    </w:p>
  </w:footnote>
  <w:footnote w:id="4">
    <w:p w:rsidR="001300EE" w:rsidRPr="00DE3EE4" w:rsidRDefault="001300EE" w:rsidP="000A64F6">
      <w:pPr>
        <w:pStyle w:val="FootnoteText"/>
      </w:pPr>
      <w:r w:rsidRPr="00DE3EE4">
        <w:rPr>
          <w:rStyle w:val="FootnoteReference"/>
        </w:rPr>
        <w:footnoteRef/>
      </w:r>
      <w:r w:rsidRPr="00DE3EE4">
        <w:t xml:space="preserve"> </w:t>
      </w:r>
      <w:r w:rsidRPr="00DE3EE4">
        <w:rPr>
          <w:kern w:val="2"/>
        </w:rPr>
        <w:t>Note for Guidance on Preclinical Pharmacological Testing of Vaccines (CPMP/SWP/465/95).</w:t>
      </w:r>
    </w:p>
  </w:footnote>
  <w:footnote w:id="5">
    <w:p w:rsidR="001300EE" w:rsidRPr="00DE3EE4" w:rsidRDefault="001300EE" w:rsidP="000A64F6">
      <w:pPr>
        <w:pStyle w:val="FootnoteText"/>
      </w:pPr>
      <w:r w:rsidRPr="00DE3EE4">
        <w:rPr>
          <w:rStyle w:val="FootnoteReference"/>
        </w:rPr>
        <w:footnoteRef/>
      </w:r>
      <w:r w:rsidRPr="00DE3EE4">
        <w:t xml:space="preserve"> </w:t>
      </w:r>
      <w:r w:rsidRPr="00DE3EE4">
        <w:rPr>
          <w:kern w:val="2"/>
        </w:rPr>
        <w:t>WHO Technical report no. 927, 2005: WHO Guidelines on Nonclinical Evaluation of Vaccines.</w:t>
      </w:r>
    </w:p>
  </w:footnote>
  <w:footnote w:id="6">
    <w:p w:rsidR="001300EE" w:rsidRPr="00604651" w:rsidRDefault="001300EE" w:rsidP="000A64F6">
      <w:pPr>
        <w:pStyle w:val="FootnoteText"/>
      </w:pPr>
      <w:r w:rsidRPr="00604651">
        <w:rPr>
          <w:rStyle w:val="FootnoteReference"/>
        </w:rPr>
        <w:footnoteRef/>
      </w:r>
      <w:r w:rsidRPr="00604651">
        <w:t xml:space="preserve"> </w:t>
      </w:r>
      <w:proofErr w:type="gramStart"/>
      <w:r w:rsidRPr="00604651">
        <w:t>World Health O</w:t>
      </w:r>
      <w:r>
        <w:t>rganization.</w:t>
      </w:r>
      <w:proofErr w:type="gramEnd"/>
      <w:r w:rsidRPr="00604651">
        <w:t xml:space="preserve"> </w:t>
      </w:r>
      <w:proofErr w:type="gramStart"/>
      <w:r w:rsidRPr="00604651">
        <w:t xml:space="preserve">Standardization and validation of serological assays for the evaluation of immune responses to </w:t>
      </w:r>
      <w:proofErr w:type="spellStart"/>
      <w:r w:rsidRPr="00604651">
        <w:rPr>
          <w:i/>
        </w:rPr>
        <w:t>Neisseria</w:t>
      </w:r>
      <w:proofErr w:type="spellEnd"/>
      <w:r w:rsidRPr="00604651">
        <w:rPr>
          <w:i/>
        </w:rPr>
        <w:t xml:space="preserve"> meningitides</w:t>
      </w:r>
      <w:r>
        <w:t xml:space="preserve"> </w:t>
      </w:r>
      <w:proofErr w:type="spellStart"/>
      <w:r>
        <w:t>serogroup</w:t>
      </w:r>
      <w:proofErr w:type="spellEnd"/>
      <w:r>
        <w:t xml:space="preserve"> A/C vaccines.</w:t>
      </w:r>
      <w:proofErr w:type="gramEnd"/>
      <w:r>
        <w:t xml:space="preserve"> </w:t>
      </w:r>
      <w:r w:rsidRPr="00604651">
        <w:t>March</w:t>
      </w:r>
      <w:r>
        <w:t xml:space="preserve"> 1999. </w:t>
      </w:r>
      <w:r w:rsidRPr="00604651">
        <w:t>Report WHO/V&amp;B/99.19.</w:t>
      </w:r>
      <w:r w:rsidRPr="00FD1EB1">
        <w:t xml:space="preserve"> </w:t>
      </w:r>
    </w:p>
  </w:footnote>
  <w:footnote w:id="7">
    <w:p w:rsidR="001300EE" w:rsidRPr="00604651" w:rsidRDefault="001300EE" w:rsidP="000A64F6">
      <w:pPr>
        <w:pStyle w:val="FootnoteText"/>
      </w:pPr>
      <w:r w:rsidRPr="00604651">
        <w:rPr>
          <w:rStyle w:val="FootnoteReference"/>
        </w:rPr>
        <w:footnoteRef/>
      </w:r>
      <w:r>
        <w:t xml:space="preserve"> </w:t>
      </w:r>
      <w:proofErr w:type="gramStart"/>
      <w:r>
        <w:t>World Health Organization</w:t>
      </w:r>
      <w:r w:rsidRPr="00604651">
        <w:t>.</w:t>
      </w:r>
      <w:proofErr w:type="gramEnd"/>
      <w:r w:rsidRPr="00604651">
        <w:t xml:space="preserve"> Meningococc</w:t>
      </w:r>
      <w:r>
        <w:t xml:space="preserve">al vaccines: WHO position </w:t>
      </w:r>
      <w:proofErr w:type="gramStart"/>
      <w:r>
        <w:t>paper</w:t>
      </w:r>
      <w:r w:rsidRPr="00604651">
        <w:t>.</w:t>
      </w:r>
      <w:proofErr w:type="gramEnd"/>
      <w:r>
        <w:t xml:space="preserve"> </w:t>
      </w:r>
      <w:proofErr w:type="gramStart"/>
      <w:r w:rsidRPr="00604651">
        <w:rPr>
          <w:i/>
        </w:rPr>
        <w:t>Weekly epidemiological record.</w:t>
      </w:r>
      <w:proofErr w:type="gramEnd"/>
      <w:r w:rsidRPr="00604651">
        <w:t xml:space="preserve"> November 2011</w:t>
      </w:r>
      <w:r>
        <w:t>:86: 521-540.</w:t>
      </w:r>
    </w:p>
  </w:footnote>
  <w:footnote w:id="8">
    <w:p w:rsidR="001300EE" w:rsidRPr="00163F1F" w:rsidRDefault="001300EE" w:rsidP="000A64F6">
      <w:pPr>
        <w:pStyle w:val="FootnoteText"/>
      </w:pPr>
      <w:r w:rsidRPr="00163F1F">
        <w:rPr>
          <w:rStyle w:val="FootnoteReference"/>
        </w:rPr>
        <w:footnoteRef/>
      </w:r>
      <w:r w:rsidRPr="00163F1F">
        <w:t xml:space="preserve"> </w:t>
      </w:r>
      <w:proofErr w:type="spellStart"/>
      <w:r w:rsidRPr="00163F1F">
        <w:t>Comanducci</w:t>
      </w:r>
      <w:proofErr w:type="spellEnd"/>
      <w:r w:rsidRPr="00163F1F">
        <w:t xml:space="preserve"> M </w:t>
      </w:r>
      <w:r w:rsidRPr="00163F1F">
        <w:rPr>
          <w:i/>
          <w:iCs/>
        </w:rPr>
        <w:t>et al</w:t>
      </w:r>
      <w:r>
        <w:rPr>
          <w:i/>
          <w:iCs/>
        </w:rPr>
        <w:t>.</w:t>
      </w:r>
      <w:r>
        <w:t xml:space="preserve"> </w:t>
      </w:r>
      <w:proofErr w:type="spellStart"/>
      <w:r w:rsidRPr="00163F1F">
        <w:t>NadA</w:t>
      </w:r>
      <w:proofErr w:type="spellEnd"/>
      <w:r w:rsidRPr="00163F1F">
        <w:t xml:space="preserve">, a novel vaccine candidate of Neisseria meningitidis. </w:t>
      </w:r>
      <w:r w:rsidRPr="00163F1F">
        <w:rPr>
          <w:i/>
          <w:iCs/>
        </w:rPr>
        <w:t xml:space="preserve">J Exp Med </w:t>
      </w:r>
      <w:r w:rsidRPr="00163F1F">
        <w:t>2002</w:t>
      </w:r>
      <w:r>
        <w:t>:</w:t>
      </w:r>
      <w:r w:rsidRPr="00163F1F">
        <w:t>195(11):1445‐1454.</w:t>
      </w:r>
    </w:p>
  </w:footnote>
  <w:footnote w:id="9">
    <w:p w:rsidR="001300EE" w:rsidRPr="00163F1F" w:rsidRDefault="001300EE" w:rsidP="000A64F6">
      <w:pPr>
        <w:pStyle w:val="FootnoteText"/>
      </w:pPr>
      <w:r w:rsidRPr="00163F1F">
        <w:rPr>
          <w:rStyle w:val="FootnoteReference"/>
        </w:rPr>
        <w:footnoteRef/>
      </w:r>
      <w:r w:rsidRPr="00163F1F">
        <w:t xml:space="preserve"> </w:t>
      </w:r>
      <w:proofErr w:type="spellStart"/>
      <w:r w:rsidRPr="00163F1F">
        <w:t>Masignani</w:t>
      </w:r>
      <w:proofErr w:type="spellEnd"/>
      <w:r w:rsidRPr="00163F1F">
        <w:t xml:space="preserve"> V </w:t>
      </w:r>
      <w:r w:rsidRPr="00163F1F">
        <w:rPr>
          <w:i/>
          <w:iCs/>
        </w:rPr>
        <w:t>et al</w:t>
      </w:r>
      <w:r w:rsidRPr="00163F1F">
        <w:t>. Vaccination against Neisseria meningitidis using three variants of the</w:t>
      </w:r>
      <w:r>
        <w:t xml:space="preserve"> </w:t>
      </w:r>
      <w:r w:rsidRPr="00163F1F">
        <w:t xml:space="preserve">lipoprotein GNA1870. </w:t>
      </w:r>
      <w:r w:rsidRPr="004D7DAA">
        <w:rPr>
          <w:i/>
          <w:iCs/>
        </w:rPr>
        <w:t>J Exp Med</w:t>
      </w:r>
      <w:r w:rsidRPr="00163F1F">
        <w:t xml:space="preserve"> </w:t>
      </w:r>
      <w:r>
        <w:t>2003:</w:t>
      </w:r>
      <w:r w:rsidRPr="00163F1F">
        <w:t>197(6)789‐799.</w:t>
      </w:r>
    </w:p>
  </w:footnote>
  <w:footnote w:id="10">
    <w:p w:rsidR="001300EE" w:rsidRPr="00163F1F" w:rsidRDefault="001300EE" w:rsidP="000A64F6">
      <w:pPr>
        <w:pStyle w:val="FootnoteText"/>
      </w:pPr>
      <w:r w:rsidRPr="00163F1F">
        <w:rPr>
          <w:rStyle w:val="FootnoteReference"/>
        </w:rPr>
        <w:footnoteRef/>
      </w:r>
      <w:r w:rsidRPr="00163F1F">
        <w:t xml:space="preserve"> Giuliani MM </w:t>
      </w:r>
      <w:r w:rsidRPr="00163F1F">
        <w:rPr>
          <w:i/>
          <w:iCs/>
        </w:rPr>
        <w:t>et al</w:t>
      </w:r>
      <w:proofErr w:type="gramStart"/>
      <w:r>
        <w:rPr>
          <w:i/>
          <w:iCs/>
        </w:rPr>
        <w:t>.</w:t>
      </w:r>
      <w:r w:rsidRPr="00163F1F">
        <w:t>.</w:t>
      </w:r>
      <w:proofErr w:type="gramEnd"/>
      <w:r w:rsidRPr="00163F1F">
        <w:t xml:space="preserve"> </w:t>
      </w:r>
      <w:proofErr w:type="gramStart"/>
      <w:r w:rsidRPr="00163F1F">
        <w:t xml:space="preserve">A universal vaccine for </w:t>
      </w:r>
      <w:proofErr w:type="spellStart"/>
      <w:r w:rsidRPr="00163F1F">
        <w:t>serogroup</w:t>
      </w:r>
      <w:proofErr w:type="spellEnd"/>
      <w:r w:rsidRPr="00163F1F">
        <w:t xml:space="preserve"> B </w:t>
      </w:r>
      <w:proofErr w:type="spellStart"/>
      <w:r w:rsidRPr="00163F1F">
        <w:t>meningococcus</w:t>
      </w:r>
      <w:proofErr w:type="spellEnd"/>
      <w:r w:rsidRPr="00163F1F">
        <w:t>.</w:t>
      </w:r>
      <w:proofErr w:type="gramEnd"/>
      <w:r w:rsidRPr="00163F1F">
        <w:t xml:space="preserve"> </w:t>
      </w:r>
      <w:r w:rsidRPr="00163F1F">
        <w:rPr>
          <w:i/>
          <w:iCs/>
        </w:rPr>
        <w:t>PNAS</w:t>
      </w:r>
      <w:r>
        <w:t xml:space="preserve"> 2006:</w:t>
      </w:r>
      <w:r w:rsidRPr="00163F1F">
        <w:t>103(29):10834‐10839.</w:t>
      </w:r>
    </w:p>
  </w:footnote>
  <w:footnote w:id="11">
    <w:p w:rsidR="001300EE" w:rsidRPr="002E190E" w:rsidRDefault="001300EE" w:rsidP="000A64F6">
      <w:pPr>
        <w:pStyle w:val="FootnoteText"/>
      </w:pPr>
      <w:r w:rsidRPr="002E190E">
        <w:rPr>
          <w:rStyle w:val="FootnoteReference"/>
        </w:rPr>
        <w:footnoteRef/>
      </w:r>
      <w:r w:rsidRPr="002E190E">
        <w:t xml:space="preserve"> </w:t>
      </w:r>
      <w:proofErr w:type="spellStart"/>
      <w:proofErr w:type="gramStart"/>
      <w:r w:rsidRPr="002E190E">
        <w:t>Gotschlich</w:t>
      </w:r>
      <w:proofErr w:type="spellEnd"/>
      <w:r w:rsidRPr="002E190E">
        <w:t xml:space="preserve"> </w:t>
      </w:r>
      <w:r w:rsidRPr="002B0C11">
        <w:rPr>
          <w:i/>
          <w:iCs/>
        </w:rPr>
        <w:t>et al</w:t>
      </w:r>
      <w:r>
        <w:rPr>
          <w:i/>
          <w:iCs/>
        </w:rPr>
        <w:t>.</w:t>
      </w:r>
      <w:r w:rsidRPr="002E190E">
        <w:t xml:space="preserve"> Human immunity to the </w:t>
      </w:r>
      <w:proofErr w:type="spellStart"/>
      <w:r w:rsidRPr="002E190E">
        <w:t>meningococcus</w:t>
      </w:r>
      <w:proofErr w:type="spellEnd"/>
      <w:r w:rsidRPr="002E190E">
        <w:t xml:space="preserve"> IV.</w:t>
      </w:r>
      <w:proofErr w:type="gramEnd"/>
      <w:r w:rsidRPr="002E190E">
        <w:t xml:space="preserve"> </w:t>
      </w:r>
      <w:proofErr w:type="gramStart"/>
      <w:r w:rsidRPr="002E190E">
        <w:t>Immunogenicity of group A and group C polysaccharides in human volunteers.</w:t>
      </w:r>
      <w:proofErr w:type="gramEnd"/>
      <w:r w:rsidRPr="002E190E">
        <w:t xml:space="preserve"> </w:t>
      </w:r>
      <w:r w:rsidRPr="002B0C11">
        <w:rPr>
          <w:i/>
          <w:iCs/>
        </w:rPr>
        <w:t>J Exp Med</w:t>
      </w:r>
      <w:r w:rsidRPr="002E190E">
        <w:t xml:space="preserve"> 1969</w:t>
      </w:r>
      <w:r>
        <w:t>:</w:t>
      </w:r>
      <w:r w:rsidRPr="002E190E">
        <w:t>129: 1367‐1384.</w:t>
      </w:r>
    </w:p>
  </w:footnote>
  <w:footnote w:id="12">
    <w:p w:rsidR="001300EE" w:rsidRPr="002E190E" w:rsidRDefault="001300EE" w:rsidP="000A64F6">
      <w:pPr>
        <w:pStyle w:val="FootnoteText"/>
      </w:pPr>
      <w:r w:rsidRPr="002E190E">
        <w:rPr>
          <w:rStyle w:val="FootnoteReference"/>
        </w:rPr>
        <w:footnoteRef/>
      </w:r>
      <w:r w:rsidRPr="002E190E">
        <w:t xml:space="preserve"> </w:t>
      </w:r>
      <w:proofErr w:type="spellStart"/>
      <w:r w:rsidRPr="002E190E">
        <w:t>Rosenqvist</w:t>
      </w:r>
      <w:proofErr w:type="spellEnd"/>
      <w:r w:rsidRPr="002E190E">
        <w:t xml:space="preserve"> E </w:t>
      </w:r>
      <w:r w:rsidRPr="002B0C11">
        <w:rPr>
          <w:i/>
          <w:iCs/>
        </w:rPr>
        <w:t>et al</w:t>
      </w:r>
      <w:proofErr w:type="gramStart"/>
      <w:r>
        <w:t>.</w:t>
      </w:r>
      <w:r w:rsidRPr="002E190E">
        <w:t>.</w:t>
      </w:r>
      <w:proofErr w:type="gramEnd"/>
      <w:r w:rsidRPr="002E190E">
        <w:t xml:space="preserve"> </w:t>
      </w:r>
      <w:proofErr w:type="gramStart"/>
      <w:r w:rsidRPr="002E190E">
        <w:t xml:space="preserve">Effect of aluminium hydroxide and meningococcal serogroup C capsular polysaccharide on the immunogenicity and </w:t>
      </w:r>
      <w:proofErr w:type="spellStart"/>
      <w:r w:rsidRPr="002E190E">
        <w:t>reactogenicity</w:t>
      </w:r>
      <w:proofErr w:type="spellEnd"/>
      <w:r w:rsidRPr="002E190E">
        <w:t xml:space="preserve"> of a group B Neisseria meningitidis outer membrane vesicle vaccine.</w:t>
      </w:r>
      <w:proofErr w:type="gramEnd"/>
      <w:r w:rsidRPr="002E190E">
        <w:t xml:space="preserve"> </w:t>
      </w:r>
      <w:r w:rsidRPr="002B0C11">
        <w:rPr>
          <w:i/>
          <w:iCs/>
        </w:rPr>
        <w:t>Dev. Biol. Stand</w:t>
      </w:r>
      <w:r w:rsidRPr="002E190E">
        <w:t xml:space="preserve">. </w:t>
      </w:r>
      <w:r>
        <w:t>1998:</w:t>
      </w:r>
      <w:r w:rsidRPr="002E190E">
        <w:t>92: 323‐333.</w:t>
      </w:r>
    </w:p>
  </w:footnote>
  <w:footnote w:id="13">
    <w:p w:rsidR="001300EE" w:rsidRPr="002E190E" w:rsidRDefault="001300EE" w:rsidP="000A64F6">
      <w:pPr>
        <w:pStyle w:val="FootnoteText"/>
      </w:pPr>
      <w:r w:rsidRPr="002E190E">
        <w:rPr>
          <w:rStyle w:val="FootnoteReference"/>
        </w:rPr>
        <w:footnoteRef/>
      </w:r>
      <w:r w:rsidRPr="002E190E">
        <w:t xml:space="preserve"> Shi Y </w:t>
      </w:r>
      <w:r w:rsidRPr="002B0C11">
        <w:rPr>
          <w:i/>
          <w:iCs/>
        </w:rPr>
        <w:t>et al</w:t>
      </w:r>
      <w:proofErr w:type="gramStart"/>
      <w:r>
        <w:rPr>
          <w:i/>
          <w:iCs/>
        </w:rPr>
        <w:t>.</w:t>
      </w:r>
      <w:r w:rsidRPr="002E190E">
        <w:t>.</w:t>
      </w:r>
      <w:proofErr w:type="gramEnd"/>
      <w:r w:rsidRPr="002E190E">
        <w:t xml:space="preserve"> </w:t>
      </w:r>
      <w:proofErr w:type="gramStart"/>
      <w:r w:rsidRPr="002E190E">
        <w:t>Detoxification of endotoxin by aluminium hydroxide adjuvant.</w:t>
      </w:r>
      <w:proofErr w:type="gramEnd"/>
      <w:r w:rsidRPr="002E190E">
        <w:t xml:space="preserve"> </w:t>
      </w:r>
      <w:r w:rsidRPr="002B0C11">
        <w:rPr>
          <w:i/>
          <w:iCs/>
        </w:rPr>
        <w:t>Vaccine</w:t>
      </w:r>
      <w:r w:rsidRPr="002E190E">
        <w:t xml:space="preserve"> </w:t>
      </w:r>
      <w:r>
        <w:t>2000:</w:t>
      </w:r>
      <w:r w:rsidRPr="002E190E">
        <w:t>19: 1747‐1752.</w:t>
      </w:r>
    </w:p>
  </w:footnote>
  <w:footnote w:id="14">
    <w:p w:rsidR="001300EE" w:rsidRPr="004D7DAA" w:rsidRDefault="001300EE" w:rsidP="000A64F6">
      <w:pPr>
        <w:pStyle w:val="FootnoteText"/>
      </w:pPr>
      <w:r w:rsidRPr="004D7DAA">
        <w:rPr>
          <w:rStyle w:val="FootnoteReference"/>
        </w:rPr>
        <w:footnoteRef/>
      </w:r>
      <w:r w:rsidRPr="004D7DAA">
        <w:t xml:space="preserve"> </w:t>
      </w:r>
      <w:proofErr w:type="spellStart"/>
      <w:r w:rsidRPr="004D7DAA">
        <w:t>Kaaijk</w:t>
      </w:r>
      <w:proofErr w:type="spellEnd"/>
      <w:r w:rsidRPr="004D7DAA">
        <w:t xml:space="preserve"> P </w:t>
      </w:r>
      <w:r w:rsidRPr="004D7DAA">
        <w:rPr>
          <w:i/>
          <w:iCs/>
        </w:rPr>
        <w:t>et al</w:t>
      </w:r>
      <w:proofErr w:type="gramStart"/>
      <w:r>
        <w:rPr>
          <w:i/>
          <w:iCs/>
        </w:rPr>
        <w:t>.</w:t>
      </w:r>
      <w:r w:rsidRPr="004D7DAA">
        <w:t>.</w:t>
      </w:r>
      <w:proofErr w:type="gramEnd"/>
      <w:r w:rsidRPr="004D7DAA">
        <w:t xml:space="preserve"> Nonclinical vaccine safety evaluation: advantages of contin</w:t>
      </w:r>
      <w:r>
        <w:t>u</w:t>
      </w:r>
      <w:r w:rsidRPr="004D7DAA">
        <w:t>ous</w:t>
      </w:r>
      <w:r>
        <w:t xml:space="preserve"> </w:t>
      </w:r>
      <w:r w:rsidRPr="004D7DAA">
        <w:t xml:space="preserve">temperature monitoring using abdominally implanted data loggers. </w:t>
      </w:r>
      <w:proofErr w:type="gramStart"/>
      <w:r w:rsidRPr="004D7DAA">
        <w:rPr>
          <w:i/>
          <w:iCs/>
        </w:rPr>
        <w:t>J App</w:t>
      </w:r>
      <w:r>
        <w:rPr>
          <w:i/>
          <w:iCs/>
        </w:rPr>
        <w:t xml:space="preserve"> </w:t>
      </w:r>
      <w:proofErr w:type="spellStart"/>
      <w:r w:rsidRPr="004D7DAA">
        <w:rPr>
          <w:i/>
          <w:iCs/>
        </w:rPr>
        <w:t>Toxicol</w:t>
      </w:r>
      <w:proofErr w:type="spellEnd"/>
      <w:r>
        <w:rPr>
          <w:i/>
          <w:iCs/>
        </w:rPr>
        <w:t xml:space="preserve"> </w:t>
      </w:r>
      <w:r>
        <w:t xml:space="preserve">2011 </w:t>
      </w:r>
      <w:r w:rsidRPr="004D7DAA">
        <w:t>(wileyonlinelibrary.com) DOI10.1002/jat.2720.</w:t>
      </w:r>
      <w:proofErr w:type="gramEnd"/>
    </w:p>
  </w:footnote>
  <w:footnote w:id="15">
    <w:p w:rsidR="001300EE" w:rsidRPr="00954C2F" w:rsidRDefault="001300EE" w:rsidP="000A64F6">
      <w:pPr>
        <w:pStyle w:val="FootnoteText"/>
      </w:pPr>
      <w:r w:rsidRPr="00954C2F">
        <w:rPr>
          <w:rStyle w:val="FootnoteReference"/>
        </w:rPr>
        <w:footnoteRef/>
      </w:r>
      <w:r w:rsidRPr="00954C2F">
        <w:t xml:space="preserve"> Carey LC </w:t>
      </w:r>
      <w:r w:rsidRPr="00954C2F">
        <w:rPr>
          <w:i/>
        </w:rPr>
        <w:t>et al</w:t>
      </w:r>
      <w:proofErr w:type="gramStart"/>
      <w:r w:rsidRPr="00954C2F">
        <w:rPr>
          <w:i/>
        </w:rPr>
        <w:t>.</w:t>
      </w:r>
      <w:r w:rsidRPr="00954C2F">
        <w:t>.</w:t>
      </w:r>
      <w:proofErr w:type="gramEnd"/>
      <w:r w:rsidRPr="00954C2F">
        <w:t xml:space="preserve"> Zinc treatment prevents </w:t>
      </w:r>
      <w:proofErr w:type="spellStart"/>
      <w:r w:rsidRPr="00954C2F">
        <w:t>lipopolysaccharide</w:t>
      </w:r>
      <w:proofErr w:type="spellEnd"/>
      <w:r w:rsidRPr="00954C2F">
        <w:t xml:space="preserve">-induced </w:t>
      </w:r>
      <w:proofErr w:type="spellStart"/>
      <w:r w:rsidRPr="00954C2F">
        <w:t>teratogenicity</w:t>
      </w:r>
      <w:proofErr w:type="spellEnd"/>
      <w:r w:rsidRPr="00954C2F">
        <w:t xml:space="preserve"> in mice. </w:t>
      </w:r>
      <w:r w:rsidRPr="00954C2F">
        <w:rPr>
          <w:i/>
          <w:iCs/>
        </w:rPr>
        <w:t>Birth Defects Research Part A</w:t>
      </w:r>
      <w:r w:rsidRPr="00954C2F">
        <w:t xml:space="preserve">: </w:t>
      </w:r>
      <w:r>
        <w:t xml:space="preserve">2003. </w:t>
      </w:r>
      <w:proofErr w:type="gramStart"/>
      <w:r>
        <w:t>P</w:t>
      </w:r>
      <w:r w:rsidRPr="00954C2F">
        <w:t xml:space="preserve">ublished online in Wiley </w:t>
      </w:r>
      <w:proofErr w:type="spellStart"/>
      <w:r w:rsidRPr="00954C2F">
        <w:t>InterScience</w:t>
      </w:r>
      <w:proofErr w:type="spellEnd"/>
      <w:r w:rsidRPr="00954C2F">
        <w:t xml:space="preserve"> (</w:t>
      </w:r>
      <w:hyperlink r:id="rId1" w:history="1">
        <w:r w:rsidRPr="00954C2F">
          <w:rPr>
            <w:rStyle w:val="Hyperlink"/>
          </w:rPr>
          <w:t>www.interscience.wiley.com</w:t>
        </w:r>
      </w:hyperlink>
      <w:r w:rsidRPr="00954C2F">
        <w:t>).</w:t>
      </w:r>
      <w:proofErr w:type="gramEnd"/>
    </w:p>
  </w:footnote>
  <w:footnote w:id="16">
    <w:p w:rsidR="001300EE" w:rsidRPr="00954C2F" w:rsidRDefault="001300EE" w:rsidP="000A64F6">
      <w:pPr>
        <w:pStyle w:val="FootnoteText"/>
      </w:pPr>
      <w:r w:rsidRPr="00954C2F">
        <w:rPr>
          <w:rStyle w:val="FootnoteReference"/>
        </w:rPr>
        <w:footnoteRef/>
      </w:r>
      <w:r w:rsidRPr="00954C2F">
        <w:t xml:space="preserve"> Lanning C </w:t>
      </w:r>
      <w:r w:rsidRPr="00954C2F">
        <w:rPr>
          <w:i/>
        </w:rPr>
        <w:t>et al</w:t>
      </w:r>
      <w:r>
        <w:rPr>
          <w:i/>
        </w:rPr>
        <w:t>.</w:t>
      </w:r>
      <w:r w:rsidRPr="00954C2F">
        <w:t xml:space="preserve"> </w:t>
      </w:r>
      <w:proofErr w:type="spellStart"/>
      <w:r w:rsidRPr="00954C2F">
        <w:t>Teratogenic</w:t>
      </w:r>
      <w:proofErr w:type="spellEnd"/>
      <w:r w:rsidRPr="00954C2F">
        <w:t xml:space="preserve"> effects of </w:t>
      </w:r>
      <w:proofErr w:type="spellStart"/>
      <w:r w:rsidRPr="00954C2F">
        <w:t>endotoxin</w:t>
      </w:r>
      <w:proofErr w:type="spellEnd"/>
      <w:r w:rsidRPr="00954C2F">
        <w:t xml:space="preserve"> on the golden hamster. </w:t>
      </w:r>
      <w:proofErr w:type="spellStart"/>
      <w:proofErr w:type="gramStart"/>
      <w:r w:rsidRPr="00954C2F">
        <w:rPr>
          <w:i/>
          <w:iCs/>
        </w:rPr>
        <w:t>Teratog</w:t>
      </w:r>
      <w:proofErr w:type="spellEnd"/>
      <w:r w:rsidRPr="00954C2F">
        <w:rPr>
          <w:i/>
          <w:iCs/>
        </w:rPr>
        <w:t>.</w:t>
      </w:r>
      <w:proofErr w:type="gramEnd"/>
      <w:r w:rsidRPr="00954C2F">
        <w:rPr>
          <w:i/>
          <w:iCs/>
        </w:rPr>
        <w:t xml:space="preserve"> </w:t>
      </w:r>
      <w:proofErr w:type="gramStart"/>
      <w:r w:rsidRPr="00954C2F">
        <w:rPr>
          <w:i/>
          <w:iCs/>
        </w:rPr>
        <w:t>Carcinogen.</w:t>
      </w:r>
      <w:proofErr w:type="gramEnd"/>
      <w:r w:rsidRPr="00954C2F">
        <w:rPr>
          <w:i/>
          <w:iCs/>
        </w:rPr>
        <w:t xml:space="preserve"> Mutagen</w:t>
      </w:r>
      <w:r w:rsidRPr="00954C2F">
        <w:t xml:space="preserve"> </w:t>
      </w:r>
      <w:r>
        <w:t>2003:</w:t>
      </w:r>
      <w:r w:rsidRPr="00954C2F">
        <w:t>3(2): 145-149.</w:t>
      </w:r>
    </w:p>
  </w:footnote>
  <w:footnote w:id="17">
    <w:p w:rsidR="001300EE" w:rsidRPr="00954C2F" w:rsidRDefault="001300EE" w:rsidP="000A64F6">
      <w:pPr>
        <w:pStyle w:val="FootnoteText"/>
      </w:pPr>
      <w:r w:rsidRPr="00954C2F">
        <w:rPr>
          <w:rStyle w:val="FootnoteReference"/>
        </w:rPr>
        <w:footnoteRef/>
      </w:r>
      <w:r w:rsidRPr="00954C2F">
        <w:t xml:space="preserve"> </w:t>
      </w:r>
      <w:r>
        <w:t xml:space="preserve">Use in pregnancy </w:t>
      </w:r>
      <w:r w:rsidRPr="00954C2F">
        <w:t>Category B1 is defined as: Drugs which have been taken by only a limited number of pregnant women and women of childbearing age, without an increase in the frequency of malformation or other direct or indirect harmful effects on the human fetus having been observed.</w:t>
      </w:r>
      <w:r>
        <w:t xml:space="preserve"> </w:t>
      </w:r>
      <w:r w:rsidRPr="00954C2F">
        <w:t>Studies in animals have not shown evidence of an increased occurrence of fetal damage.</w:t>
      </w:r>
    </w:p>
  </w:footnote>
  <w:footnote w:id="18">
    <w:p w:rsidR="001300EE" w:rsidRDefault="001300EE" w:rsidP="000A64F6">
      <w:pPr>
        <w:pStyle w:val="FootnoteText"/>
      </w:pPr>
      <w:r>
        <w:rPr>
          <w:rStyle w:val="FootnoteReference"/>
        </w:rPr>
        <w:footnoteRef/>
      </w:r>
      <w:r>
        <w:t xml:space="preserve"> </w:t>
      </w:r>
      <w:proofErr w:type="gramStart"/>
      <w:r w:rsidRPr="00410DAE">
        <w:t xml:space="preserve">European Centre for Disease Prevention and Control </w:t>
      </w:r>
      <w:r>
        <w:t xml:space="preserve">surveillance report for 2007 </w:t>
      </w:r>
      <w:r w:rsidRPr="007723AA">
        <w:t>(ECDC, 2010)</w:t>
      </w:r>
      <w:r>
        <w:t>.</w:t>
      </w:r>
      <w:proofErr w:type="gramEnd"/>
    </w:p>
  </w:footnote>
  <w:footnote w:id="19">
    <w:p w:rsidR="001300EE" w:rsidRDefault="001300EE" w:rsidP="000A64F6">
      <w:pPr>
        <w:pStyle w:val="FootnoteText"/>
      </w:pPr>
      <w:r>
        <w:rPr>
          <w:rStyle w:val="FootnoteReference"/>
        </w:rPr>
        <w:footnoteRef/>
      </w:r>
      <w:r>
        <w:t xml:space="preserve"> Kirsch EA, Barton RP, Kitchen L, and </w:t>
      </w:r>
      <w:proofErr w:type="spellStart"/>
      <w:r>
        <w:t>Giroir</w:t>
      </w:r>
      <w:proofErr w:type="spellEnd"/>
      <w:r>
        <w:t xml:space="preserve"> BP. </w:t>
      </w:r>
      <w:proofErr w:type="spellStart"/>
      <w:r>
        <w:t>Phathophysiology</w:t>
      </w:r>
      <w:proofErr w:type="spellEnd"/>
      <w:r>
        <w:t xml:space="preserve">, treatment and outcome of meningococcemia: a review and recent experience. </w:t>
      </w:r>
      <w:proofErr w:type="spellStart"/>
      <w:r>
        <w:rPr>
          <w:i/>
          <w:iCs/>
        </w:rPr>
        <w:t>Pediatr</w:t>
      </w:r>
      <w:proofErr w:type="spellEnd"/>
      <w:r>
        <w:rPr>
          <w:i/>
          <w:iCs/>
        </w:rPr>
        <w:t xml:space="preserve"> Infect </w:t>
      </w:r>
      <w:proofErr w:type="spellStart"/>
      <w:r>
        <w:rPr>
          <w:i/>
          <w:iCs/>
        </w:rPr>
        <w:t>Dis</w:t>
      </w:r>
      <w:proofErr w:type="spellEnd"/>
      <w:r>
        <w:rPr>
          <w:i/>
          <w:iCs/>
        </w:rPr>
        <w:t xml:space="preserve"> J</w:t>
      </w:r>
      <w:r>
        <w:t>, 1996; 15:967-79</w:t>
      </w:r>
    </w:p>
  </w:footnote>
  <w:footnote w:id="20">
    <w:p w:rsidR="001300EE" w:rsidRDefault="001300EE" w:rsidP="000A64F6">
      <w:pPr>
        <w:pStyle w:val="FootnoteText"/>
      </w:pPr>
      <w:r>
        <w:rPr>
          <w:rStyle w:val="FootnoteReference"/>
        </w:rPr>
        <w:footnoteRef/>
      </w:r>
      <w:r>
        <w:t xml:space="preserve"> World Health Organization (WHO), 2001</w:t>
      </w:r>
    </w:p>
  </w:footnote>
  <w:footnote w:id="21">
    <w:p w:rsidR="001300EE" w:rsidRDefault="001300EE" w:rsidP="000A64F6">
      <w:pPr>
        <w:pStyle w:val="FootnoteText"/>
      </w:pPr>
      <w:r>
        <w:rPr>
          <w:rStyle w:val="FootnoteReference"/>
        </w:rPr>
        <w:footnoteRef/>
      </w:r>
      <w:r>
        <w:t xml:space="preserve"> </w:t>
      </w:r>
      <w:proofErr w:type="gramStart"/>
      <w:r>
        <w:t xml:space="preserve">Girard MP, </w:t>
      </w:r>
      <w:proofErr w:type="spellStart"/>
      <w:r>
        <w:t>Preziosi</w:t>
      </w:r>
      <w:proofErr w:type="spellEnd"/>
      <w:r>
        <w:t xml:space="preserve"> M, </w:t>
      </w:r>
      <w:proofErr w:type="spellStart"/>
      <w:r>
        <w:t>Aguado</w:t>
      </w:r>
      <w:proofErr w:type="spellEnd"/>
      <w:r>
        <w:t xml:space="preserve"> M, and </w:t>
      </w:r>
      <w:proofErr w:type="spellStart"/>
      <w:r>
        <w:t>Kieny</w:t>
      </w:r>
      <w:proofErr w:type="spellEnd"/>
      <w:r>
        <w:t xml:space="preserve"> MP </w:t>
      </w:r>
      <w:r w:rsidRPr="002F6E62">
        <w:rPr>
          <w:i/>
          <w:iCs/>
        </w:rPr>
        <w:t>et al</w:t>
      </w:r>
      <w:r>
        <w:t>.</w:t>
      </w:r>
      <w:proofErr w:type="gramEnd"/>
      <w:r>
        <w:t xml:space="preserve"> A review of vaccine research and development: Meningococcal disease. </w:t>
      </w:r>
      <w:r>
        <w:rPr>
          <w:i/>
          <w:iCs/>
        </w:rPr>
        <w:t>Vaccine</w:t>
      </w:r>
      <w:r>
        <w:t>, 2006: 24:4692–4700</w:t>
      </w:r>
    </w:p>
  </w:footnote>
  <w:footnote w:id="22">
    <w:p w:rsidR="001300EE" w:rsidRDefault="001300EE" w:rsidP="000A64F6">
      <w:pPr>
        <w:pStyle w:val="FootnoteText"/>
      </w:pPr>
      <w:r>
        <w:rPr>
          <w:rStyle w:val="FootnoteReference"/>
        </w:rPr>
        <w:footnoteRef/>
      </w:r>
      <w:r>
        <w:t xml:space="preserve"> </w:t>
      </w:r>
      <w:proofErr w:type="spellStart"/>
      <w:r>
        <w:t>Khatami</w:t>
      </w:r>
      <w:proofErr w:type="spellEnd"/>
      <w:r>
        <w:t xml:space="preserve"> A and Pollard AJ. </w:t>
      </w:r>
      <w:proofErr w:type="gramStart"/>
      <w:r>
        <w:t>The epidemiology of meningococcal disease and the impact of vaccines.</w:t>
      </w:r>
      <w:proofErr w:type="gramEnd"/>
      <w:r>
        <w:t xml:space="preserve"> </w:t>
      </w:r>
      <w:r>
        <w:rPr>
          <w:i/>
          <w:iCs/>
        </w:rPr>
        <w:t>Expert Rev. Vaccines</w:t>
      </w:r>
      <w:r>
        <w:t>, 2010: 9(3)</w:t>
      </w:r>
      <w:proofErr w:type="gramStart"/>
      <w:r>
        <w:t>;285</w:t>
      </w:r>
      <w:proofErr w:type="gramEnd"/>
      <w:r>
        <w:t>–298.</w:t>
      </w:r>
    </w:p>
  </w:footnote>
  <w:footnote w:id="23">
    <w:p w:rsidR="001300EE" w:rsidRDefault="001300EE" w:rsidP="000A64F6">
      <w:pPr>
        <w:pStyle w:val="FootnoteText"/>
      </w:pPr>
      <w:r>
        <w:rPr>
          <w:rStyle w:val="FootnoteReference"/>
        </w:rPr>
        <w:footnoteRef/>
      </w:r>
      <w:r>
        <w:t xml:space="preserve"> </w:t>
      </w:r>
      <w:proofErr w:type="gramStart"/>
      <w:r>
        <w:t xml:space="preserve">Pizza M, </w:t>
      </w:r>
      <w:proofErr w:type="spellStart"/>
      <w:r>
        <w:t>Scarlato</w:t>
      </w:r>
      <w:proofErr w:type="spellEnd"/>
      <w:r>
        <w:t xml:space="preserve"> V, </w:t>
      </w:r>
      <w:proofErr w:type="spellStart"/>
      <w:r>
        <w:t>Masignani</w:t>
      </w:r>
      <w:proofErr w:type="spellEnd"/>
      <w:r>
        <w:t xml:space="preserve"> V, Giuliani MM </w:t>
      </w:r>
      <w:r w:rsidRPr="002F6E62">
        <w:rPr>
          <w:i/>
          <w:iCs/>
        </w:rPr>
        <w:t>et al</w:t>
      </w:r>
      <w:r>
        <w:t xml:space="preserve">. Identification of vaccine candidates against </w:t>
      </w:r>
      <w:proofErr w:type="spellStart"/>
      <w:r>
        <w:t>serogroup</w:t>
      </w:r>
      <w:proofErr w:type="spellEnd"/>
      <w:r>
        <w:t xml:space="preserve"> B </w:t>
      </w:r>
      <w:proofErr w:type="spellStart"/>
      <w:r>
        <w:t>meningococcus</w:t>
      </w:r>
      <w:proofErr w:type="spellEnd"/>
      <w:r>
        <w:t xml:space="preserve"> by whole-genome sequencing.</w:t>
      </w:r>
      <w:proofErr w:type="gramEnd"/>
      <w:r>
        <w:t xml:space="preserve"> </w:t>
      </w:r>
      <w:r>
        <w:rPr>
          <w:i/>
          <w:iCs/>
        </w:rPr>
        <w:t>Science</w:t>
      </w:r>
      <w:r>
        <w:t xml:space="preserve"> 2000: 287:1816–1820.</w:t>
      </w:r>
    </w:p>
  </w:footnote>
  <w:footnote w:id="24">
    <w:p w:rsidR="001300EE" w:rsidRPr="002F6E62" w:rsidRDefault="001300EE" w:rsidP="000A64F6">
      <w:pPr>
        <w:pStyle w:val="FootnoteText"/>
      </w:pPr>
      <w:r>
        <w:rPr>
          <w:rStyle w:val="FootnoteReference"/>
        </w:rPr>
        <w:footnoteRef/>
      </w:r>
      <w:r>
        <w:t xml:space="preserve"> </w:t>
      </w:r>
      <w:proofErr w:type="gramStart"/>
      <w:r>
        <w:t>&lt;</w:t>
      </w:r>
      <w:hyperlink r:id="rId2" w:history="1">
        <w:r w:rsidRPr="002F6E62">
          <w:rPr>
            <w:rStyle w:val="Hyperlink"/>
            <w:sz w:val="16"/>
            <w:szCs w:val="16"/>
          </w:rPr>
          <w:t>http://www.ema.europa.eu/docs/en_GB/document_library/Scientific_guideline/2009/09/WC500003870.pdf</w:t>
        </w:r>
      </w:hyperlink>
      <w:r>
        <w:t>&gt;</w:t>
      </w:r>
      <w:r w:rsidRPr="002F6E62">
        <w:rPr>
          <w:sz w:val="16"/>
          <w:szCs w:val="16"/>
        </w:rPr>
        <w:t xml:space="preserve"> </w:t>
      </w:r>
      <w:r w:rsidRPr="002F6E62">
        <w:t xml:space="preserve">Accessed </w:t>
      </w:r>
      <w:r>
        <w:t>22/2/12.</w:t>
      </w:r>
      <w:proofErr w:type="gramEnd"/>
    </w:p>
  </w:footnote>
  <w:footnote w:id="25">
    <w:p w:rsidR="001300EE" w:rsidRDefault="001300EE" w:rsidP="000A64F6">
      <w:pPr>
        <w:pStyle w:val="FootnoteText"/>
      </w:pPr>
      <w:r>
        <w:rPr>
          <w:rStyle w:val="FootnoteReference"/>
        </w:rPr>
        <w:footnoteRef/>
      </w:r>
      <w:r>
        <w:t xml:space="preserve"> </w:t>
      </w:r>
      <w:proofErr w:type="spellStart"/>
      <w:r>
        <w:t>Goldschneider</w:t>
      </w:r>
      <w:proofErr w:type="spellEnd"/>
      <w:r>
        <w:t xml:space="preserve"> I, </w:t>
      </w:r>
      <w:proofErr w:type="spellStart"/>
      <w:r>
        <w:t>Gotschlich</w:t>
      </w:r>
      <w:proofErr w:type="spellEnd"/>
      <w:r>
        <w:t xml:space="preserve"> EC, </w:t>
      </w:r>
      <w:proofErr w:type="spellStart"/>
      <w:r>
        <w:t>Artenstein</w:t>
      </w:r>
      <w:proofErr w:type="spellEnd"/>
      <w:r>
        <w:t xml:space="preserve"> MS. Human immunity to the </w:t>
      </w:r>
      <w:proofErr w:type="spellStart"/>
      <w:r>
        <w:t>meningococcus</w:t>
      </w:r>
      <w:proofErr w:type="spellEnd"/>
      <w:r>
        <w:t xml:space="preserve">. I. The role of </w:t>
      </w:r>
      <w:proofErr w:type="spellStart"/>
      <w:r>
        <w:t>humoral</w:t>
      </w:r>
      <w:proofErr w:type="spellEnd"/>
      <w:r>
        <w:t xml:space="preserve"> antibodies. </w:t>
      </w:r>
      <w:r>
        <w:rPr>
          <w:i/>
          <w:iCs/>
        </w:rPr>
        <w:t>J. Exp. Med</w:t>
      </w:r>
      <w:r>
        <w:t xml:space="preserve"> 1969:129(6):1307–26.</w:t>
      </w:r>
    </w:p>
  </w:footnote>
  <w:footnote w:id="26">
    <w:p w:rsidR="001300EE" w:rsidRPr="00431FA2" w:rsidRDefault="001300EE" w:rsidP="000A64F6">
      <w:pPr>
        <w:pStyle w:val="FootnoteText"/>
      </w:pPr>
      <w:r w:rsidRPr="00B50959">
        <w:rPr>
          <w:rStyle w:val="FootnoteReference"/>
        </w:rPr>
        <w:footnoteRef/>
      </w:r>
      <w:r w:rsidRPr="00B50959">
        <w:t xml:space="preserve"> Sponsor comment: as of October 2013, this study is on-going</w:t>
      </w:r>
    </w:p>
  </w:footnote>
  <w:footnote w:id="27">
    <w:p w:rsidR="001300EE" w:rsidRPr="00EA389E" w:rsidRDefault="001300EE" w:rsidP="000A64F6">
      <w:pPr>
        <w:pStyle w:val="FootnoteText"/>
      </w:pPr>
      <w:r w:rsidRPr="00EA389E">
        <w:rPr>
          <w:rStyle w:val="FootnoteReference"/>
        </w:rPr>
        <w:footnoteRef/>
      </w:r>
      <w:r w:rsidRPr="00EA389E">
        <w:t xml:space="preserve"> </w:t>
      </w:r>
      <w:proofErr w:type="spellStart"/>
      <w:proofErr w:type="gramStart"/>
      <w:r w:rsidRPr="00EA389E">
        <w:t>Holst</w:t>
      </w:r>
      <w:proofErr w:type="spellEnd"/>
      <w:r w:rsidRPr="00EA389E">
        <w:t xml:space="preserve"> J, </w:t>
      </w:r>
      <w:proofErr w:type="spellStart"/>
      <w:r w:rsidRPr="00EA389E">
        <w:t>Feiring</w:t>
      </w:r>
      <w:proofErr w:type="spellEnd"/>
      <w:r w:rsidRPr="00EA389E">
        <w:t xml:space="preserve"> B, </w:t>
      </w:r>
      <w:proofErr w:type="spellStart"/>
      <w:r w:rsidRPr="00EA389E">
        <w:t>Fuglesand</w:t>
      </w:r>
      <w:proofErr w:type="spellEnd"/>
      <w:r w:rsidRPr="00EA389E">
        <w:t xml:space="preserve"> J. E, </w:t>
      </w:r>
      <w:proofErr w:type="spellStart"/>
      <w:r w:rsidRPr="00EA389E">
        <w:t>Hoiby</w:t>
      </w:r>
      <w:proofErr w:type="spellEnd"/>
      <w:r w:rsidRPr="00EA389E">
        <w:t xml:space="preserve"> E.A, </w:t>
      </w:r>
      <w:proofErr w:type="spellStart"/>
      <w:r w:rsidRPr="00EA389E">
        <w:t>Nokleby</w:t>
      </w:r>
      <w:proofErr w:type="spellEnd"/>
      <w:r w:rsidRPr="00EA389E">
        <w:t xml:space="preserve"> H, </w:t>
      </w:r>
      <w:proofErr w:type="spellStart"/>
      <w:r w:rsidRPr="00EA389E">
        <w:t>Aaberge</w:t>
      </w:r>
      <w:proofErr w:type="spellEnd"/>
      <w:r w:rsidRPr="00EA389E">
        <w:t xml:space="preserve"> I.S, </w:t>
      </w:r>
      <w:proofErr w:type="spellStart"/>
      <w:r w:rsidRPr="00EA389E">
        <w:t>Rosenqvist</w:t>
      </w:r>
      <w:proofErr w:type="spellEnd"/>
      <w:r w:rsidRPr="00EA389E">
        <w:t xml:space="preserve"> E. Serum bactericidal correlates with the vaccine efficacy of outer membrane vesicle vaccines against </w:t>
      </w:r>
      <w:r w:rsidRPr="00EA389E">
        <w:rPr>
          <w:i/>
          <w:iCs/>
        </w:rPr>
        <w:t xml:space="preserve">Neisseria meningitidis </w:t>
      </w:r>
      <w:r w:rsidRPr="00EA389E">
        <w:t>serogroup B disease.</w:t>
      </w:r>
      <w:proofErr w:type="gramEnd"/>
      <w:r w:rsidRPr="00EA389E">
        <w:t xml:space="preserve"> </w:t>
      </w:r>
      <w:r w:rsidRPr="007723AA">
        <w:rPr>
          <w:i/>
          <w:iCs/>
        </w:rPr>
        <w:t>Vaccine</w:t>
      </w:r>
      <w:r w:rsidRPr="00EA389E">
        <w:t xml:space="preserve"> 2003</w:t>
      </w:r>
      <w:r>
        <w:t>:</w:t>
      </w:r>
      <w:r w:rsidRPr="00EA389E">
        <w:t>21:734-737.</w:t>
      </w:r>
    </w:p>
  </w:footnote>
  <w:footnote w:id="28">
    <w:p w:rsidR="001300EE" w:rsidRDefault="001300EE" w:rsidP="000A64F6">
      <w:pPr>
        <w:pStyle w:val="FootnoteText"/>
      </w:pPr>
      <w:r>
        <w:rPr>
          <w:rStyle w:val="FootnoteReference"/>
        </w:rPr>
        <w:footnoteRef/>
      </w:r>
      <w:r>
        <w:t xml:space="preserve"> </w:t>
      </w:r>
      <w:proofErr w:type="spellStart"/>
      <w:r>
        <w:t>Stehr-Greena</w:t>
      </w:r>
      <w:proofErr w:type="spellEnd"/>
      <w:r>
        <w:t xml:space="preserve"> P, </w:t>
      </w:r>
      <w:proofErr w:type="spellStart"/>
      <w:r>
        <w:t>Radkea</w:t>
      </w:r>
      <w:proofErr w:type="spellEnd"/>
      <w:r>
        <w:t xml:space="preserve"> S, </w:t>
      </w:r>
      <w:proofErr w:type="spellStart"/>
      <w:r>
        <w:t>Kieft</w:t>
      </w:r>
      <w:proofErr w:type="spellEnd"/>
      <w:r>
        <w:t xml:space="preserve"> C, </w:t>
      </w:r>
      <w:proofErr w:type="spellStart"/>
      <w:r>
        <w:t>Gallowaya</w:t>
      </w:r>
      <w:proofErr w:type="spellEnd"/>
      <w:r>
        <w:t xml:space="preserve"> Y, </w:t>
      </w:r>
      <w:proofErr w:type="spellStart"/>
      <w:r>
        <w:t>McNicholas</w:t>
      </w:r>
      <w:proofErr w:type="spellEnd"/>
      <w:r>
        <w:t xml:space="preserve"> A, and Reid S. </w:t>
      </w:r>
      <w:proofErr w:type="gramStart"/>
      <w:r>
        <w:t>The risk of simple febrile seizures after immunisation with a new group B meningococcal vaccine, New Zealand.</w:t>
      </w:r>
      <w:proofErr w:type="gramEnd"/>
      <w:r>
        <w:t xml:space="preserve"> </w:t>
      </w:r>
      <w:r>
        <w:rPr>
          <w:i/>
          <w:iCs/>
        </w:rPr>
        <w:t>Vaccine</w:t>
      </w:r>
      <w:r>
        <w:t xml:space="preserve"> 2008:26:739-742.</w:t>
      </w:r>
    </w:p>
  </w:footnote>
  <w:footnote w:id="29">
    <w:p w:rsidR="001300EE" w:rsidRPr="00550E6D" w:rsidRDefault="001300EE" w:rsidP="000A64F6">
      <w:pPr>
        <w:pStyle w:val="FootnoteText"/>
      </w:pPr>
      <w:r w:rsidRPr="00550E6D">
        <w:rPr>
          <w:rStyle w:val="FootnoteReference"/>
        </w:rPr>
        <w:footnoteRef/>
      </w:r>
      <w:r w:rsidRPr="00550E6D">
        <w:t xml:space="preserve"> </w:t>
      </w:r>
      <w:r>
        <w:t xml:space="preserve">Kawasaki Disease is a rare syndrome of unknown origin. </w:t>
      </w:r>
      <w:r w:rsidRPr="00550E6D">
        <w:t xml:space="preserve">In the clinical studies, a “confirmed” case of KD was defined by the Expert Panel as one that met the classical case definition of KD: fever of &gt;5 days duration and the presence of at least 4 of the 5 other principal clinical signs (rash, cervical </w:t>
      </w:r>
      <w:proofErr w:type="spellStart"/>
      <w:r w:rsidRPr="00550E6D">
        <w:t>lymphadenopathy</w:t>
      </w:r>
      <w:proofErr w:type="spellEnd"/>
      <w:r w:rsidRPr="00550E6D">
        <w:t>, bilateral conjunctiva infection, oral mucosal changes and peripheral extremity changes). Patients whose illness did not meet the KD case definition but who had coronary artery abnormalities consistent with KD were also classified as a confirmed case.</w:t>
      </w:r>
    </w:p>
  </w:footnote>
  <w:footnote w:id="30">
    <w:p w:rsidR="001300EE" w:rsidRDefault="001300EE" w:rsidP="000A64F6">
      <w:pPr>
        <w:pStyle w:val="FootnoteText"/>
      </w:pPr>
      <w:r>
        <w:rPr>
          <w:rStyle w:val="FootnoteReference"/>
        </w:rPr>
        <w:footnoteRef/>
      </w:r>
      <w:r>
        <w:t xml:space="preserve"> </w:t>
      </w:r>
      <w:proofErr w:type="spellStart"/>
      <w:r>
        <w:t>McNicholas</w:t>
      </w:r>
      <w:proofErr w:type="spellEnd"/>
      <w:r>
        <w:t xml:space="preserve"> A, </w:t>
      </w:r>
      <w:proofErr w:type="spellStart"/>
      <w:r>
        <w:t>GallowayY</w:t>
      </w:r>
      <w:proofErr w:type="spellEnd"/>
      <w:r>
        <w:t xml:space="preserve">, </w:t>
      </w:r>
      <w:proofErr w:type="spellStart"/>
      <w:r>
        <w:t>Stehr</w:t>
      </w:r>
      <w:proofErr w:type="spellEnd"/>
      <w:r>
        <w:t xml:space="preserve">-Green P, Reid S, </w:t>
      </w:r>
      <w:proofErr w:type="spellStart"/>
      <w:r>
        <w:t>Radke</w:t>
      </w:r>
      <w:proofErr w:type="spellEnd"/>
      <w:r>
        <w:t xml:space="preserve"> S, Sexton K, </w:t>
      </w:r>
      <w:proofErr w:type="spellStart"/>
      <w:r>
        <w:t>Kieft</w:t>
      </w:r>
      <w:proofErr w:type="spellEnd"/>
      <w:r>
        <w:t xml:space="preserve"> C, Macdonald C, </w:t>
      </w:r>
      <w:proofErr w:type="spellStart"/>
      <w:r>
        <w:t>Neutze</w:t>
      </w:r>
      <w:proofErr w:type="spellEnd"/>
      <w:r>
        <w:t xml:space="preserve"> J, Drake R, Isaac D, O</w:t>
      </w:r>
      <w:r>
        <w:rPr>
          <w:lang w:val="en-US"/>
        </w:rPr>
        <w:t>’</w:t>
      </w:r>
      <w:r>
        <w:t xml:space="preserve">Donnell M, </w:t>
      </w:r>
      <w:proofErr w:type="spellStart"/>
      <w:r>
        <w:t>Tatley</w:t>
      </w:r>
      <w:proofErr w:type="spellEnd"/>
      <w:r>
        <w:t xml:space="preserve"> M, </w:t>
      </w:r>
      <w:proofErr w:type="spellStart"/>
      <w:r>
        <w:t>Oster</w:t>
      </w:r>
      <w:proofErr w:type="spellEnd"/>
      <w:r>
        <w:t xml:space="preserve"> P, and O</w:t>
      </w:r>
      <w:r>
        <w:rPr>
          <w:lang w:val="en-US"/>
        </w:rPr>
        <w:t>’</w:t>
      </w:r>
      <w:proofErr w:type="spellStart"/>
      <w:r>
        <w:t>Hallahan</w:t>
      </w:r>
      <w:proofErr w:type="spellEnd"/>
      <w:r>
        <w:t xml:space="preserve"> J. Post-Marketing Safety Monitoring of a New Group B Meningococcal Vaccine in New Zealand, 2004</w:t>
      </w:r>
      <w:r>
        <w:rPr>
          <w:lang w:val="en-US"/>
        </w:rPr>
        <w:t>–</w:t>
      </w:r>
      <w:r>
        <w:t xml:space="preserve">2006. </w:t>
      </w:r>
      <w:r>
        <w:rPr>
          <w:i/>
          <w:iCs/>
        </w:rPr>
        <w:t>Human Vaccines</w:t>
      </w:r>
      <w:r>
        <w:t xml:space="preserve"> 2007:3:5, 196-204.</w:t>
      </w:r>
    </w:p>
  </w:footnote>
  <w:footnote w:id="31">
    <w:p w:rsidR="001300EE" w:rsidRPr="00CB11E2" w:rsidRDefault="001300EE" w:rsidP="000A64F6">
      <w:pPr>
        <w:pStyle w:val="FootnoteText"/>
      </w:pPr>
      <w:r w:rsidRPr="00CB11E2">
        <w:rPr>
          <w:rStyle w:val="FootnoteReference"/>
        </w:rPr>
        <w:footnoteRef/>
      </w:r>
      <w:r w:rsidRPr="00CB11E2">
        <w:t xml:space="preserve"> </w:t>
      </w:r>
      <w:r>
        <w:t>MATS</w:t>
      </w:r>
      <w:r w:rsidRPr="00CB11E2">
        <w:t xml:space="preserve"> </w:t>
      </w:r>
      <w:r>
        <w:t xml:space="preserve">is </w:t>
      </w:r>
      <w:r w:rsidRPr="00CB11E2">
        <w:t xml:space="preserve">a unique method for assessing whether a given strain is susceptible to killing by antibodies induced against the four major antigen components of the rMenB+OMV NZ vaccine. </w:t>
      </w:r>
      <w:proofErr w:type="gramStart"/>
      <w:r w:rsidRPr="00CB11E2">
        <w:t>MATS was</w:t>
      </w:r>
      <w:proofErr w:type="gramEnd"/>
      <w:r w:rsidRPr="00CB11E2">
        <w:t xml:space="preserve"> developed by Novartis as an indicator of the potential for coverage of circ</w:t>
      </w:r>
      <w:r>
        <w:t>ulating strains by the vaccine.</w:t>
      </w:r>
    </w:p>
  </w:footnote>
  <w:footnote w:id="32">
    <w:p w:rsidR="001300EE" w:rsidRDefault="001300EE" w:rsidP="000A64F6">
      <w:pPr>
        <w:pStyle w:val="FootnoteText"/>
      </w:pPr>
      <w:r>
        <w:rPr>
          <w:rStyle w:val="FootnoteReference"/>
        </w:rPr>
        <w:footnoteRef/>
      </w:r>
      <w:r>
        <w:t xml:space="preserve"> </w:t>
      </w:r>
      <w:proofErr w:type="gramStart"/>
      <w:r>
        <w:t xml:space="preserve">Fischer </w:t>
      </w:r>
      <w:r w:rsidRPr="003075F3">
        <w:rPr>
          <w:i/>
          <w:iCs/>
        </w:rPr>
        <w:t>et al</w:t>
      </w:r>
      <w:r>
        <w:t>. KD incidence in Finland.</w:t>
      </w:r>
      <w:proofErr w:type="gramEnd"/>
      <w:r>
        <w:t xml:space="preserve"> </w:t>
      </w:r>
      <w:proofErr w:type="spellStart"/>
      <w:proofErr w:type="gramStart"/>
      <w:r>
        <w:rPr>
          <w:i/>
          <w:iCs/>
        </w:rPr>
        <w:t>Pediatr</w:t>
      </w:r>
      <w:proofErr w:type="spellEnd"/>
      <w:r>
        <w:rPr>
          <w:i/>
          <w:iCs/>
        </w:rPr>
        <w:t>.</w:t>
      </w:r>
      <w:proofErr w:type="gramEnd"/>
      <w:r>
        <w:rPr>
          <w:i/>
          <w:iCs/>
        </w:rPr>
        <w:t xml:space="preserve"> Infect. </w:t>
      </w:r>
      <w:r w:rsidRPr="003075F3">
        <w:rPr>
          <w:i/>
          <w:iCs/>
        </w:rPr>
        <w:t>Dis. J</w:t>
      </w:r>
      <w:r>
        <w:t>. 2007:26:411-415.</w:t>
      </w:r>
    </w:p>
  </w:footnote>
  <w:footnote w:id="33">
    <w:p w:rsidR="001300EE" w:rsidRDefault="001300EE" w:rsidP="000A64F6">
      <w:pPr>
        <w:pStyle w:val="FootnoteText"/>
      </w:pPr>
      <w:r>
        <w:rPr>
          <w:rStyle w:val="FootnoteReference"/>
        </w:rPr>
        <w:footnoteRef/>
      </w:r>
      <w:r>
        <w:t xml:space="preserve"> Lynch M., Holman R.C., Mulligan A. </w:t>
      </w:r>
      <w:r w:rsidRPr="003075F3">
        <w:rPr>
          <w:i/>
          <w:iCs/>
        </w:rPr>
        <w:t>et al</w:t>
      </w:r>
      <w:r>
        <w:rPr>
          <w:i/>
          <w:iCs/>
        </w:rPr>
        <w:t>.</w:t>
      </w:r>
      <w:r>
        <w:t xml:space="preserve"> Kawasaki syndrome hospitalizations in Ireland, 1996-2000. </w:t>
      </w:r>
      <w:proofErr w:type="spellStart"/>
      <w:proofErr w:type="gramStart"/>
      <w:r>
        <w:rPr>
          <w:i/>
          <w:iCs/>
        </w:rPr>
        <w:t>Pediatr</w:t>
      </w:r>
      <w:proofErr w:type="spellEnd"/>
      <w:r>
        <w:rPr>
          <w:i/>
          <w:iCs/>
        </w:rPr>
        <w:t>.</w:t>
      </w:r>
      <w:proofErr w:type="gramEnd"/>
      <w:r>
        <w:rPr>
          <w:i/>
          <w:iCs/>
        </w:rPr>
        <w:t xml:space="preserve"> Infect. Dis. J.</w:t>
      </w:r>
      <w:r>
        <w:t xml:space="preserve"> 2003:22:959-962.</w:t>
      </w:r>
    </w:p>
  </w:footnote>
  <w:footnote w:id="34">
    <w:p w:rsidR="001300EE" w:rsidRPr="00523B04" w:rsidRDefault="001300EE" w:rsidP="000A64F6">
      <w:pPr>
        <w:pStyle w:val="FootnoteText"/>
      </w:pPr>
      <w:r w:rsidRPr="00523B04">
        <w:rPr>
          <w:rStyle w:val="FootnoteReference"/>
        </w:rPr>
        <w:footnoteRef/>
      </w:r>
      <w:r w:rsidRPr="00523B04">
        <w:t xml:space="preserve"> This was addressed in the sponsor’s response to the Delegate’s Overview. See </w:t>
      </w:r>
      <w:r w:rsidRPr="00523B04">
        <w:rPr>
          <w:i/>
          <w:iCs/>
        </w:rPr>
        <w:t>Overall conclusion and risk/benefit assessment</w:t>
      </w:r>
      <w:r w:rsidRPr="00523B04">
        <w:t xml:space="preserve"> </w:t>
      </w:r>
      <w:r w:rsidRPr="00523B04">
        <w:rPr>
          <w:i/>
          <w:iCs/>
        </w:rPr>
        <w:t>Response from Sponsor</w:t>
      </w:r>
      <w:r w:rsidRPr="00523B04">
        <w:t xml:space="preserve"> below. </w:t>
      </w:r>
    </w:p>
  </w:footnote>
  <w:footnote w:id="35">
    <w:p w:rsidR="001300EE" w:rsidRPr="008A2363" w:rsidRDefault="001300EE" w:rsidP="000A64F6">
      <w:pPr>
        <w:pStyle w:val="FootnoteText"/>
      </w:pPr>
      <w:r w:rsidRPr="008A2363">
        <w:rPr>
          <w:rStyle w:val="FootnoteReference"/>
        </w:rPr>
        <w:footnoteRef/>
      </w:r>
      <w:r w:rsidRPr="008A2363">
        <w:t xml:space="preserve"> Details of </w:t>
      </w:r>
      <w:r>
        <w:t xml:space="preserve">PI and CMI text and </w:t>
      </w:r>
      <w:r w:rsidRPr="008A2363">
        <w:t xml:space="preserve">recommended revisions are beyond the scope of the AusPAR. </w:t>
      </w:r>
    </w:p>
  </w:footnote>
  <w:footnote w:id="36">
    <w:p w:rsidR="001300EE" w:rsidRPr="00B66DC3" w:rsidRDefault="001300EE" w:rsidP="001300EE">
      <w:pPr>
        <w:pStyle w:val="FootnoteText"/>
      </w:pPr>
      <w:r w:rsidRPr="00B66DC3">
        <w:rPr>
          <w:vertAlign w:val="superscript"/>
        </w:rPr>
        <w:footnoteRef/>
      </w:r>
      <w:r w:rsidRPr="00B66DC3">
        <w:rPr>
          <w:vertAlign w:val="superscript"/>
        </w:rPr>
        <w:t xml:space="preserve"> </w:t>
      </w:r>
      <w:proofErr w:type="spellStart"/>
      <w:r w:rsidRPr="00B66DC3">
        <w:t>Slaon</w:t>
      </w:r>
      <w:proofErr w:type="spellEnd"/>
      <w:r w:rsidRPr="00B66DC3">
        <w:t xml:space="preserve">-Gardiner T, </w:t>
      </w:r>
      <w:r w:rsidRPr="00B66DC3">
        <w:rPr>
          <w:i/>
          <w:iCs/>
        </w:rPr>
        <w:t>et al</w:t>
      </w:r>
      <w:r>
        <w:rPr>
          <w:i/>
          <w:iCs/>
        </w:rPr>
        <w:t>.</w:t>
      </w:r>
      <w:r w:rsidRPr="00B66DC3">
        <w:t xml:space="preserve"> NNDSS Annual Report Writing Group. Australia’s </w:t>
      </w:r>
      <w:proofErr w:type="spellStart"/>
      <w:r w:rsidRPr="00B66DC3">
        <w:t>notifiable</w:t>
      </w:r>
      <w:proofErr w:type="spellEnd"/>
      <w:r w:rsidRPr="00B66DC3">
        <w:t xml:space="preserve"> diseases status 2009: Annual report of the National </w:t>
      </w:r>
      <w:proofErr w:type="spellStart"/>
      <w:r w:rsidRPr="00B66DC3">
        <w:t>Notifiable</w:t>
      </w:r>
      <w:proofErr w:type="spellEnd"/>
      <w:r w:rsidRPr="00B66DC3">
        <w:t xml:space="preserve"> Diseases Surveillance System. </w:t>
      </w:r>
      <w:r w:rsidRPr="00B66DC3">
        <w:rPr>
          <w:i/>
          <w:iCs/>
        </w:rPr>
        <w:t>Communicable Diseases Intelligence</w:t>
      </w:r>
      <w:r>
        <w:t xml:space="preserve"> 2011:</w:t>
      </w:r>
      <w:r w:rsidRPr="00B66DC3">
        <w:t>35(2): 61-131.</w:t>
      </w:r>
    </w:p>
  </w:footnote>
  <w:footnote w:id="37">
    <w:p w:rsidR="001300EE" w:rsidRPr="00DC34A1" w:rsidRDefault="001300EE" w:rsidP="001300EE">
      <w:pPr>
        <w:pStyle w:val="FootnoteText"/>
      </w:pPr>
      <w:r w:rsidRPr="00B66DC3">
        <w:rPr>
          <w:vertAlign w:val="superscript"/>
        </w:rPr>
        <w:footnoteRef/>
      </w:r>
      <w:r w:rsidRPr="00B66DC3">
        <w:t xml:space="preserve"> Simpkins D, Wood N, </w:t>
      </w:r>
      <w:proofErr w:type="spellStart"/>
      <w:r w:rsidRPr="00B66DC3">
        <w:t>Jelfs</w:t>
      </w:r>
      <w:proofErr w:type="spellEnd"/>
      <w:r w:rsidRPr="00B66DC3">
        <w:t xml:space="preserve"> PB, </w:t>
      </w:r>
      <w:r w:rsidRPr="00B66DC3">
        <w:rPr>
          <w:i/>
          <w:iCs/>
        </w:rPr>
        <w:t>et al.</w:t>
      </w:r>
      <w:r w:rsidRPr="00B66DC3">
        <w:t xml:space="preserve"> Modern trends in mortality from meningococcal disease in Australia. </w:t>
      </w:r>
      <w:proofErr w:type="spellStart"/>
      <w:r w:rsidRPr="002371BE">
        <w:rPr>
          <w:i/>
          <w:iCs/>
        </w:rPr>
        <w:t>Ped</w:t>
      </w:r>
      <w:proofErr w:type="spellEnd"/>
      <w:r w:rsidRPr="00B66DC3">
        <w:t xml:space="preserve"> </w:t>
      </w:r>
      <w:proofErr w:type="spellStart"/>
      <w:proofErr w:type="gramStart"/>
      <w:r w:rsidRPr="00B66DC3">
        <w:rPr>
          <w:i/>
          <w:iCs/>
        </w:rPr>
        <w:t>Inf</w:t>
      </w:r>
      <w:proofErr w:type="spellEnd"/>
      <w:proofErr w:type="gramEnd"/>
      <w:r w:rsidRPr="00B66DC3">
        <w:rPr>
          <w:i/>
          <w:iCs/>
        </w:rPr>
        <w:t xml:space="preserve"> </w:t>
      </w:r>
      <w:proofErr w:type="spellStart"/>
      <w:r w:rsidRPr="00B66DC3">
        <w:rPr>
          <w:i/>
          <w:iCs/>
        </w:rPr>
        <w:t>Dis</w:t>
      </w:r>
      <w:proofErr w:type="spellEnd"/>
      <w:r w:rsidRPr="00B66DC3">
        <w:rPr>
          <w:i/>
          <w:iCs/>
        </w:rPr>
        <w:t xml:space="preserve"> J</w:t>
      </w:r>
      <w:r w:rsidRPr="00B66DC3">
        <w:t xml:space="preserve"> 2009</w:t>
      </w:r>
      <w:r>
        <w:t>:</w:t>
      </w:r>
      <w:r w:rsidRPr="00B66DC3">
        <w:t>28(12): 1119-20.</w:t>
      </w:r>
    </w:p>
  </w:footnote>
  <w:footnote w:id="38">
    <w:p w:rsidR="001300EE" w:rsidRPr="00BF36FA" w:rsidRDefault="001300EE" w:rsidP="00B31CC0">
      <w:pPr>
        <w:pStyle w:val="FootnoteText"/>
      </w:pPr>
      <w:r w:rsidRPr="00BF36FA">
        <w:rPr>
          <w:rStyle w:val="FootnoteReference"/>
        </w:rPr>
        <w:footnoteRef/>
      </w:r>
      <w:r w:rsidRPr="00BF36FA">
        <w:t xml:space="preserve"> </w:t>
      </w:r>
      <w:proofErr w:type="spellStart"/>
      <w:r w:rsidRPr="00BF36FA">
        <w:t>Goldschneider</w:t>
      </w:r>
      <w:proofErr w:type="spellEnd"/>
      <w:r w:rsidRPr="00BF36FA">
        <w:t xml:space="preserve"> I, </w:t>
      </w:r>
      <w:proofErr w:type="spellStart"/>
      <w:r w:rsidRPr="00BF36FA">
        <w:t>Gotschlich</w:t>
      </w:r>
      <w:proofErr w:type="spellEnd"/>
      <w:r w:rsidRPr="00BF36FA">
        <w:t xml:space="preserve"> EC, </w:t>
      </w:r>
      <w:proofErr w:type="spellStart"/>
      <w:r w:rsidRPr="00BF36FA">
        <w:t>Artenstein</w:t>
      </w:r>
      <w:proofErr w:type="spellEnd"/>
      <w:r w:rsidRPr="00BF36FA">
        <w:t xml:space="preserve"> MS. Human immunity to the </w:t>
      </w:r>
      <w:proofErr w:type="spellStart"/>
      <w:r w:rsidRPr="00BF36FA">
        <w:t>meningococcus</w:t>
      </w:r>
      <w:proofErr w:type="spellEnd"/>
      <w:r w:rsidRPr="00BF36FA">
        <w:t xml:space="preserve">. I. The role of </w:t>
      </w:r>
      <w:proofErr w:type="spellStart"/>
      <w:r w:rsidRPr="00BF36FA">
        <w:t>humoral</w:t>
      </w:r>
      <w:proofErr w:type="spellEnd"/>
      <w:r w:rsidRPr="00BF36FA">
        <w:t xml:space="preserve"> antibodies. </w:t>
      </w:r>
      <w:r w:rsidRPr="00BF36FA">
        <w:rPr>
          <w:i/>
        </w:rPr>
        <w:t>J. Exp. Med.</w:t>
      </w:r>
      <w:r w:rsidRPr="00BF36FA">
        <w:t xml:space="preserve"> 1969</w:t>
      </w:r>
      <w:r>
        <w:t>:</w:t>
      </w:r>
      <w:r w:rsidRPr="00BF36FA">
        <w:t>129(6):1307–26.</w:t>
      </w:r>
    </w:p>
  </w:footnote>
  <w:footnote w:id="39">
    <w:p w:rsidR="001300EE" w:rsidRPr="00BF36FA" w:rsidRDefault="001300EE" w:rsidP="00B31CC0">
      <w:pPr>
        <w:pStyle w:val="FootnoteText"/>
      </w:pPr>
      <w:r w:rsidRPr="00BF36FA">
        <w:rPr>
          <w:rStyle w:val="FootnoteReference"/>
        </w:rPr>
        <w:footnoteRef/>
      </w:r>
      <w:r w:rsidRPr="00BF36FA">
        <w:t xml:space="preserve"> </w:t>
      </w:r>
      <w:proofErr w:type="spellStart"/>
      <w:r w:rsidRPr="00BF36FA">
        <w:t>Holst</w:t>
      </w:r>
      <w:proofErr w:type="spellEnd"/>
      <w:r w:rsidRPr="00BF36FA">
        <w:t xml:space="preserve"> J, </w:t>
      </w:r>
      <w:proofErr w:type="spellStart"/>
      <w:r w:rsidRPr="00BF36FA">
        <w:t>Feiring</w:t>
      </w:r>
      <w:proofErr w:type="spellEnd"/>
      <w:r w:rsidRPr="00BF36FA">
        <w:t xml:space="preserve"> B, </w:t>
      </w:r>
      <w:proofErr w:type="spellStart"/>
      <w:r w:rsidRPr="00BF36FA">
        <w:t>Fuglesang</w:t>
      </w:r>
      <w:proofErr w:type="spellEnd"/>
      <w:r w:rsidRPr="00BF36FA">
        <w:t xml:space="preserve"> JE, </w:t>
      </w:r>
      <w:r w:rsidRPr="003F7012">
        <w:rPr>
          <w:i/>
          <w:iCs/>
        </w:rPr>
        <w:t>et al</w:t>
      </w:r>
      <w:r w:rsidRPr="00BF36FA">
        <w:t xml:space="preserve">. Serum bactericidal activity correlates with the vaccine efficacy of outer membrane vesicle vaccines against </w:t>
      </w:r>
      <w:proofErr w:type="spellStart"/>
      <w:r w:rsidRPr="00BF36FA">
        <w:rPr>
          <w:i/>
          <w:iCs/>
        </w:rPr>
        <w:t>Neisseria</w:t>
      </w:r>
      <w:proofErr w:type="spellEnd"/>
      <w:r w:rsidRPr="00BF36FA">
        <w:rPr>
          <w:i/>
          <w:iCs/>
        </w:rPr>
        <w:t xml:space="preserve"> </w:t>
      </w:r>
      <w:proofErr w:type="spellStart"/>
      <w:r w:rsidRPr="00BF36FA">
        <w:rPr>
          <w:i/>
          <w:iCs/>
        </w:rPr>
        <w:t>meningitidis</w:t>
      </w:r>
      <w:proofErr w:type="spellEnd"/>
      <w:r w:rsidRPr="00BF36FA">
        <w:rPr>
          <w:i/>
          <w:iCs/>
        </w:rPr>
        <w:t xml:space="preserve"> </w:t>
      </w:r>
      <w:proofErr w:type="spellStart"/>
      <w:r w:rsidRPr="00BF36FA">
        <w:t>serogroup</w:t>
      </w:r>
      <w:proofErr w:type="spellEnd"/>
      <w:r w:rsidRPr="00BF36FA">
        <w:t xml:space="preserve"> B disease. </w:t>
      </w:r>
      <w:r w:rsidRPr="003F7012">
        <w:rPr>
          <w:i/>
          <w:iCs/>
        </w:rPr>
        <w:t>Vaccine</w:t>
      </w:r>
      <w:r>
        <w:t xml:space="preserve"> 2003:</w:t>
      </w:r>
      <w:r w:rsidRPr="003F7012">
        <w:rPr>
          <w:bCs/>
        </w:rPr>
        <w:t>21</w:t>
      </w:r>
      <w:r w:rsidRPr="00BF36FA">
        <w:t>: 734–737.</w:t>
      </w:r>
    </w:p>
  </w:footnote>
  <w:footnote w:id="40">
    <w:p w:rsidR="001300EE" w:rsidRPr="003E01D5" w:rsidRDefault="001300EE" w:rsidP="00B31CC0">
      <w:pPr>
        <w:pStyle w:val="FootnoteText"/>
      </w:pPr>
      <w:r w:rsidRPr="003E01D5">
        <w:rPr>
          <w:rStyle w:val="FootnoteReference"/>
        </w:rPr>
        <w:footnoteRef/>
      </w:r>
      <w:r w:rsidRPr="003E01D5">
        <w:t xml:space="preserve"> The diagnostic criteria applied by the Expert Panel are summarised</w:t>
      </w:r>
      <w:r>
        <w:t xml:space="preserve"> in the</w:t>
      </w:r>
      <w:r w:rsidRPr="003E01D5">
        <w:t xml:space="preserve"> CER</w:t>
      </w:r>
      <w:r>
        <w:t xml:space="preserve"> (see Attachment 2 of this </w:t>
      </w:r>
      <w:proofErr w:type="spellStart"/>
      <w:r>
        <w:t>AusPAR</w:t>
      </w:r>
      <w:proofErr w:type="spellEnd"/>
      <w:r>
        <w:t>)</w:t>
      </w:r>
      <w:r w:rsidRPr="003E01D5">
        <w:t>.</w:t>
      </w:r>
    </w:p>
  </w:footnote>
  <w:footnote w:id="41">
    <w:p w:rsidR="001300EE" w:rsidRPr="003E01D5" w:rsidRDefault="001300EE" w:rsidP="00B31CC0">
      <w:pPr>
        <w:pStyle w:val="FootnoteText"/>
      </w:pPr>
      <w:r w:rsidRPr="003E01D5">
        <w:rPr>
          <w:rStyle w:val="FootnoteReference"/>
        </w:rPr>
        <w:footnoteRef/>
      </w:r>
      <w:r w:rsidRPr="003E01D5">
        <w:t xml:space="preserve"> </w:t>
      </w:r>
      <w:proofErr w:type="spellStart"/>
      <w:r w:rsidRPr="003E01D5">
        <w:t>Buettcher</w:t>
      </w:r>
      <w:proofErr w:type="spellEnd"/>
      <w:r w:rsidRPr="003E01D5">
        <w:t xml:space="preserve">, M, </w:t>
      </w:r>
      <w:proofErr w:type="spellStart"/>
      <w:r w:rsidRPr="003E01D5">
        <w:t>Heininger</w:t>
      </w:r>
      <w:proofErr w:type="spellEnd"/>
      <w:r w:rsidRPr="003E01D5">
        <w:t xml:space="preserve"> U, Braun M, Blumberg DA,</w:t>
      </w:r>
      <w:r>
        <w:t xml:space="preserve"> Vermeer-de </w:t>
      </w:r>
      <w:proofErr w:type="spellStart"/>
      <w:r>
        <w:t>Bondt</w:t>
      </w:r>
      <w:proofErr w:type="spellEnd"/>
      <w:r>
        <w:t xml:space="preserve"> PE, </w:t>
      </w:r>
      <w:proofErr w:type="spellStart"/>
      <w:r>
        <w:t>Heijbel</w:t>
      </w:r>
      <w:proofErr w:type="spellEnd"/>
      <w:r>
        <w:t xml:space="preserve"> H</w:t>
      </w:r>
      <w:r w:rsidRPr="003E01D5">
        <w:t xml:space="preserve"> </w:t>
      </w:r>
      <w:r w:rsidRPr="003E01D5">
        <w:rPr>
          <w:i/>
          <w:iCs/>
        </w:rPr>
        <w:t>et al</w:t>
      </w:r>
      <w:r w:rsidRPr="003E01D5">
        <w:t>. Hypotonic-</w:t>
      </w:r>
      <w:proofErr w:type="spellStart"/>
      <w:r w:rsidRPr="003E01D5">
        <w:t>hyporesponsive</w:t>
      </w:r>
      <w:proofErr w:type="spellEnd"/>
      <w:r w:rsidRPr="003E01D5">
        <w:t xml:space="preserve"> episode (HHE) as an adverse event following immunization in early childhood: Case definition and guidelines for data collection, analysis, and presentation of immunization safety data .</w:t>
      </w:r>
      <w:r w:rsidRPr="003E01D5">
        <w:rPr>
          <w:i/>
          <w:iCs/>
        </w:rPr>
        <w:t>Vaccine</w:t>
      </w:r>
      <w:r w:rsidRPr="003E01D5">
        <w:t>. 2007</w:t>
      </w:r>
      <w:r>
        <w:t>:</w:t>
      </w:r>
      <w:r w:rsidRPr="003E01D5">
        <w:t>25:5875-81</w:t>
      </w:r>
      <w:r>
        <w:t>.</w:t>
      </w:r>
    </w:p>
  </w:footnote>
  <w:footnote w:id="42">
    <w:p w:rsidR="001300EE" w:rsidRDefault="001300EE" w:rsidP="000A64F6">
      <w:pPr>
        <w:pStyle w:val="FootnoteText"/>
      </w:pPr>
      <w:r w:rsidRPr="00B50959">
        <w:rPr>
          <w:rStyle w:val="FootnoteReference"/>
        </w:rPr>
        <w:footnoteRef/>
      </w:r>
      <w:r w:rsidRPr="00B50959">
        <w:t xml:space="preserve"> Sponsor comment: all invasive isolates avai</w:t>
      </w:r>
      <w:r>
        <w:t xml:space="preserve">lable </w:t>
      </w:r>
      <w:r w:rsidRPr="00B50959">
        <w:t>at the time were tested</w:t>
      </w:r>
      <w:r w:rsidRPr="00E23599">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0EE" w:rsidRDefault="001300EE"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0EE" w:rsidRDefault="001300EE">
    <w:pPr>
      <w:rPr>
        <w:noProof/>
        <w:lang w:eastAsia="en-AU"/>
      </w:rPr>
    </w:pPr>
    <w:r w:rsidRPr="002E190E">
      <w:rPr>
        <w:noProof/>
        <w:lang w:eastAsia="en-AU"/>
      </w:rPr>
      <w:drawing>
        <wp:anchor distT="0" distB="0" distL="114300" distR="114300" simplePos="0" relativeHeight="251659264" behindDoc="1" locked="0" layoutInCell="1" allowOverlap="1">
          <wp:simplePos x="0" y="0"/>
          <wp:positionH relativeFrom="column">
            <wp:posOffset>-1091565</wp:posOffset>
          </wp:positionH>
          <wp:positionV relativeFrom="paragraph">
            <wp:posOffset>-583565</wp:posOffset>
          </wp:positionV>
          <wp:extent cx="7570470" cy="10706100"/>
          <wp:effectExtent l="19050" t="0" r="0" b="0"/>
          <wp:wrapNone/>
          <wp:docPr id="9"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1300EE" w:rsidRDefault="001300EE"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4.9pt;height:601.1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0EE" w:rsidRDefault="001300EE">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0EE" w:rsidRDefault="001300EE">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0EE" w:rsidRDefault="001300EE">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0EE" w:rsidRDefault="001300EE">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0EE" w:rsidRDefault="001300EE" w:rsidP="004C239D">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0EE" w:rsidRDefault="001300EE" w:rsidP="006E08B3">
    <w:r>
      <w:t>Therapeutic Goods Administration</w:t>
    </w:r>
  </w:p>
  <w:p w:rsidR="001300EE" w:rsidRDefault="001300EE"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C387616"/>
    <w:lvl w:ilvl="0">
      <w:start w:val="1"/>
      <w:numFmt w:val="decimal"/>
      <w:lvlText w:val="%1."/>
      <w:lvlJc w:val="left"/>
      <w:pPr>
        <w:tabs>
          <w:tab w:val="num" w:pos="1492"/>
        </w:tabs>
        <w:ind w:left="1492" w:hanging="360"/>
      </w:pPr>
    </w:lvl>
  </w:abstractNum>
  <w:abstractNum w:abstractNumId="1">
    <w:nsid w:val="FFFFFF7D"/>
    <w:multiLevelType w:val="singleLevel"/>
    <w:tmpl w:val="2BAE02AC"/>
    <w:lvl w:ilvl="0">
      <w:start w:val="1"/>
      <w:numFmt w:val="decimal"/>
      <w:lvlText w:val="%1."/>
      <w:lvlJc w:val="left"/>
      <w:pPr>
        <w:tabs>
          <w:tab w:val="num" w:pos="1209"/>
        </w:tabs>
        <w:ind w:left="1209" w:hanging="360"/>
      </w:pPr>
    </w:lvl>
  </w:abstractNum>
  <w:abstractNum w:abstractNumId="2">
    <w:nsid w:val="FFFFFF7E"/>
    <w:multiLevelType w:val="singleLevel"/>
    <w:tmpl w:val="7CB6EC2E"/>
    <w:lvl w:ilvl="0">
      <w:start w:val="1"/>
      <w:numFmt w:val="decimal"/>
      <w:lvlText w:val="%1."/>
      <w:lvlJc w:val="left"/>
      <w:pPr>
        <w:tabs>
          <w:tab w:val="num" w:pos="926"/>
        </w:tabs>
        <w:ind w:left="926" w:hanging="360"/>
      </w:pPr>
    </w:lvl>
  </w:abstractNum>
  <w:abstractNum w:abstractNumId="3">
    <w:nsid w:val="FFFFFF7F"/>
    <w:multiLevelType w:val="singleLevel"/>
    <w:tmpl w:val="33408688"/>
    <w:lvl w:ilvl="0">
      <w:start w:val="1"/>
      <w:numFmt w:val="decimal"/>
      <w:lvlText w:val="%1."/>
      <w:lvlJc w:val="left"/>
      <w:pPr>
        <w:tabs>
          <w:tab w:val="num" w:pos="643"/>
        </w:tabs>
        <w:ind w:left="643" w:hanging="360"/>
      </w:pPr>
    </w:lvl>
  </w:abstractNum>
  <w:abstractNum w:abstractNumId="4">
    <w:nsid w:val="FFFFFF80"/>
    <w:multiLevelType w:val="singleLevel"/>
    <w:tmpl w:val="5C2A49B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7F67328"/>
    <w:lvl w:ilvl="0">
      <w:start w:val="1"/>
      <w:numFmt w:val="bullet"/>
      <w:lvlText w:val=""/>
      <w:lvlJc w:val="left"/>
      <w:pPr>
        <w:tabs>
          <w:tab w:val="num" w:pos="1209"/>
        </w:tabs>
        <w:ind w:left="1209" w:hanging="360"/>
      </w:pPr>
      <w:rPr>
        <w:rFonts w:ascii="Symbol" w:hAnsi="Symbol" w:hint="default"/>
      </w:rPr>
    </w:lvl>
  </w:abstractNum>
  <w:abstractNum w:abstractNumId="6">
    <w:nsid w:val="FFFFFF83"/>
    <w:multiLevelType w:val="singleLevel"/>
    <w:tmpl w:val="BEFEAD0E"/>
    <w:lvl w:ilvl="0">
      <w:start w:val="1"/>
      <w:numFmt w:val="bullet"/>
      <w:lvlText w:val=""/>
      <w:lvlJc w:val="left"/>
      <w:pPr>
        <w:tabs>
          <w:tab w:val="num" w:pos="643"/>
        </w:tabs>
        <w:ind w:left="643" w:hanging="360"/>
      </w:pPr>
      <w:rPr>
        <w:rFonts w:ascii="Symbol" w:hAnsi="Symbol" w:hint="default"/>
      </w:rPr>
    </w:lvl>
  </w:abstractNum>
  <w:abstractNum w:abstractNumId="7">
    <w:nsid w:val="FFFFFF88"/>
    <w:multiLevelType w:val="singleLevel"/>
    <w:tmpl w:val="5874F2CC"/>
    <w:lvl w:ilvl="0">
      <w:start w:val="1"/>
      <w:numFmt w:val="decimal"/>
      <w:lvlText w:val="%1."/>
      <w:lvlJc w:val="left"/>
      <w:pPr>
        <w:tabs>
          <w:tab w:val="num" w:pos="360"/>
        </w:tabs>
        <w:ind w:left="360" w:hanging="360"/>
      </w:pPr>
    </w:lvl>
  </w:abstractNum>
  <w:abstractNum w:abstractNumId="8">
    <w:nsid w:val="FFFFFF89"/>
    <w:multiLevelType w:val="singleLevel"/>
    <w:tmpl w:val="C2F49336"/>
    <w:lvl w:ilvl="0">
      <w:start w:val="1"/>
      <w:numFmt w:val="bullet"/>
      <w:lvlText w:val=""/>
      <w:lvlJc w:val="left"/>
      <w:pPr>
        <w:tabs>
          <w:tab w:val="num" w:pos="360"/>
        </w:tabs>
        <w:ind w:left="360" w:hanging="360"/>
      </w:pPr>
      <w:rPr>
        <w:rFonts w:ascii="Symbol" w:hAnsi="Symbol" w:hint="default"/>
      </w:rPr>
    </w:lvl>
  </w:abstractNum>
  <w:abstractNum w:abstractNumId="9">
    <w:nsid w:val="0AA80C73"/>
    <w:multiLevelType w:val="hybridMultilevel"/>
    <w:tmpl w:val="A372D26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nsid w:val="0F846977"/>
    <w:multiLevelType w:val="hybridMultilevel"/>
    <w:tmpl w:val="BE181D34"/>
    <w:lvl w:ilvl="0" w:tplc="0C72CE78">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2">
    <w:nsid w:val="119362E3"/>
    <w:multiLevelType w:val="hybridMultilevel"/>
    <w:tmpl w:val="C9E27F6A"/>
    <w:lvl w:ilvl="0" w:tplc="53E271FE">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3863F08"/>
    <w:multiLevelType w:val="hybridMultilevel"/>
    <w:tmpl w:val="6E7AC302"/>
    <w:lvl w:ilvl="0" w:tplc="968AABE4">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4A24734"/>
    <w:multiLevelType w:val="hybridMultilevel"/>
    <w:tmpl w:val="E5C09448"/>
    <w:lvl w:ilvl="0" w:tplc="33D6ED9C">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6">
    <w:nsid w:val="198C4E48"/>
    <w:multiLevelType w:val="hybridMultilevel"/>
    <w:tmpl w:val="D33A0C7C"/>
    <w:lvl w:ilvl="0" w:tplc="53E271FE">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A461505"/>
    <w:multiLevelType w:val="hybridMultilevel"/>
    <w:tmpl w:val="1A00F2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BCF57AC"/>
    <w:multiLevelType w:val="hybridMultilevel"/>
    <w:tmpl w:val="E0640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2430482"/>
    <w:multiLevelType w:val="hybridMultilevel"/>
    <w:tmpl w:val="0CA6B7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34D57F32"/>
    <w:multiLevelType w:val="hybridMultilevel"/>
    <w:tmpl w:val="DD0EF4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B8F11FD"/>
    <w:multiLevelType w:val="hybridMultilevel"/>
    <w:tmpl w:val="A266C55C"/>
    <w:lvl w:ilvl="0" w:tplc="7076CB2E">
      <w:numFmt w:val="bullet"/>
      <w:lvlText w:val="•"/>
      <w:lvlJc w:val="left"/>
      <w:pPr>
        <w:ind w:left="360" w:hanging="360"/>
      </w:pPr>
      <w:rPr>
        <w:rFonts w:ascii="Times New Roman" w:eastAsia="SymbolMT" w:hAnsi="Times New Roman" w:cs="Times New Roman" w:hint="default"/>
        <w:color w:val="000000"/>
        <w:sz w:val="24"/>
        <w:szCs w:val="24"/>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2">
    <w:nsid w:val="3F3C1BB5"/>
    <w:multiLevelType w:val="hybridMultilevel"/>
    <w:tmpl w:val="4C908252"/>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3">
    <w:nsid w:val="40DD11EC"/>
    <w:multiLevelType w:val="hybridMultilevel"/>
    <w:tmpl w:val="CFEC18F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1D67319"/>
    <w:multiLevelType w:val="hybridMultilevel"/>
    <w:tmpl w:val="E110BA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48E461F"/>
    <w:multiLevelType w:val="hybridMultilevel"/>
    <w:tmpl w:val="9D3236F4"/>
    <w:lvl w:ilvl="0" w:tplc="B9240EF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489B15D7"/>
    <w:multiLevelType w:val="hybridMultilevel"/>
    <w:tmpl w:val="C9708BF6"/>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530537DB"/>
    <w:multiLevelType w:val="hybridMultilevel"/>
    <w:tmpl w:val="3926D654"/>
    <w:lvl w:ilvl="0" w:tplc="43429760">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552A6721"/>
    <w:multiLevelType w:val="hybridMultilevel"/>
    <w:tmpl w:val="6D246B2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9">
    <w:nsid w:val="5C574CE8"/>
    <w:multiLevelType w:val="hybridMultilevel"/>
    <w:tmpl w:val="7DE89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F2B2FEC"/>
    <w:multiLevelType w:val="hybridMultilevel"/>
    <w:tmpl w:val="57F49924"/>
    <w:lvl w:ilvl="0" w:tplc="33D6ED9C">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2663465"/>
    <w:multiLevelType w:val="hybridMultilevel"/>
    <w:tmpl w:val="29C25252"/>
    <w:lvl w:ilvl="0" w:tplc="9BD0ED30">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9274786"/>
    <w:multiLevelType w:val="hybridMultilevel"/>
    <w:tmpl w:val="7B20E982"/>
    <w:lvl w:ilvl="0" w:tplc="B3AEAE94">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9595AA1"/>
    <w:multiLevelType w:val="hybridMultilevel"/>
    <w:tmpl w:val="F13C1F32"/>
    <w:lvl w:ilvl="0" w:tplc="EE585A8E">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5296F23"/>
    <w:multiLevelType w:val="hybridMultilevel"/>
    <w:tmpl w:val="F10E502A"/>
    <w:lvl w:ilvl="0" w:tplc="0C090001">
      <w:start w:val="1"/>
      <w:numFmt w:val="bullet"/>
      <w:lvlText w:val=""/>
      <w:lvlJc w:val="left"/>
      <w:pPr>
        <w:ind w:left="720" w:hanging="360"/>
      </w:pPr>
      <w:rPr>
        <w:rFonts w:ascii="Symbol" w:hAnsi="Symbol" w:hint="default"/>
      </w:rPr>
    </w:lvl>
    <w:lvl w:ilvl="1" w:tplc="E3F01CE0">
      <w:start w:val="1"/>
      <w:numFmt w:val="bullet"/>
      <w:lvlText w:val=""/>
      <w:lvlJc w:val="left"/>
      <w:pPr>
        <w:ind w:left="1440" w:hanging="360"/>
      </w:pPr>
      <w:rPr>
        <w:rFonts w:ascii="Symbol" w:hAnsi="Symbol"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54E7348"/>
    <w:multiLevelType w:val="hybridMultilevel"/>
    <w:tmpl w:val="A0AC730A"/>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6">
    <w:nsid w:val="7B703D1F"/>
    <w:multiLevelType w:val="hybridMultilevel"/>
    <w:tmpl w:val="8E52638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7">
    <w:nsid w:val="7D3768D2"/>
    <w:multiLevelType w:val="hybridMultilevel"/>
    <w:tmpl w:val="FDD6C0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DFF01E8"/>
    <w:multiLevelType w:val="hybridMultilevel"/>
    <w:tmpl w:val="03DA16A6"/>
    <w:lvl w:ilvl="0" w:tplc="D08039B0">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15"/>
  </w:num>
  <w:num w:numId="4">
    <w:abstractNumId w:val="11"/>
  </w:num>
  <w:num w:numId="5">
    <w:abstractNumId w:val="26"/>
  </w:num>
  <w:num w:numId="6">
    <w:abstractNumId w:val="34"/>
  </w:num>
  <w:num w:numId="7">
    <w:abstractNumId w:val="37"/>
  </w:num>
  <w:num w:numId="8">
    <w:abstractNumId w:val="23"/>
  </w:num>
  <w:num w:numId="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9"/>
  </w:num>
  <w:num w:numId="12">
    <w:abstractNumId w:val="28"/>
  </w:num>
  <w:num w:numId="13">
    <w:abstractNumId w:val="25"/>
  </w:num>
  <w:num w:numId="14">
    <w:abstractNumId w:val="27"/>
  </w:num>
  <w:num w:numId="15">
    <w:abstractNumId w:val="20"/>
  </w:num>
  <w:num w:numId="1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num>
  <w:num w:numId="18">
    <w:abstractNumId w:val="13"/>
  </w:num>
  <w:num w:numId="19">
    <w:abstractNumId w:val="10"/>
  </w:num>
  <w:num w:numId="20">
    <w:abstractNumId w:val="14"/>
  </w:num>
  <w:num w:numId="21">
    <w:abstractNumId w:val="30"/>
  </w:num>
  <w:num w:numId="22">
    <w:abstractNumId w:val="16"/>
  </w:num>
  <w:num w:numId="23">
    <w:abstractNumId w:val="12"/>
  </w:num>
  <w:num w:numId="24">
    <w:abstractNumId w:val="38"/>
  </w:num>
  <w:num w:numId="25">
    <w:abstractNumId w:val="31"/>
  </w:num>
  <w:num w:numId="26">
    <w:abstractNumId w:val="33"/>
  </w:num>
  <w:num w:numId="27">
    <w:abstractNumId w:val="18"/>
  </w:num>
  <w:num w:numId="28">
    <w:abstractNumId w:val="19"/>
  </w:num>
  <w:num w:numId="29">
    <w:abstractNumId w:val="29"/>
  </w:num>
  <w:num w:numId="30">
    <w:abstractNumId w:val="17"/>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38">
    <w:abstractNumId w:val="1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9">
    <w:abstractNumId w:val="8"/>
  </w:num>
  <w:num w:numId="40">
    <w:abstractNumId w:val="6"/>
  </w:num>
  <w:num w:numId="41">
    <w:abstractNumId w:val="1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num>
  <w:num w:numId="43">
    <w:abstractNumId w:val="4"/>
  </w:num>
  <w:num w:numId="44">
    <w:abstractNumId w:val="7"/>
  </w:num>
  <w:num w:numId="45">
    <w:abstractNumId w:val="3"/>
  </w:num>
  <w:num w:numId="46">
    <w:abstractNumId w:val="2"/>
  </w:num>
  <w:num w:numId="47">
    <w:abstractNumId w:val="1"/>
  </w:num>
  <w:num w:numId="48">
    <w:abstractNumId w:val="0"/>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00"/>
  <w:displayBackgroundShape/>
  <w:activeWritingStyle w:appName="MSWord" w:lang="en-AU" w:vendorID="64" w:dllVersion="131078" w:nlCheck="1" w:checkStyle="1"/>
  <w:activeWritingStyle w:appName="MSWord" w:lang="en-GB" w:vendorID="64" w:dllVersion="131078" w:nlCheck="1" w:checkStyle="1"/>
  <w:proofState w:spelling="clean" w:grammar="clean"/>
  <w:attachedTemplate r:id="rId1"/>
  <w:stylePaneFormatFilter w:val="1004"/>
  <w:stylePaneSortMethod w:val="0000"/>
  <w:defaultTabStop w:val="720"/>
  <w:drawingGridHorizontalSpacing w:val="110"/>
  <w:displayHorizontalDrawingGridEvery w:val="2"/>
  <w:characterSpacingControl w:val="doNotCompress"/>
  <w:hdrShapeDefaults>
    <o:shapedefaults v:ext="edit" spidmax="77826">
      <o:colormenu v:ext="edit" fillcolor="none [3206]"/>
    </o:shapedefaults>
  </w:hdrShapeDefaults>
  <w:footnotePr>
    <w:footnote w:id="-1"/>
    <w:footnote w:id="0"/>
  </w:footnotePr>
  <w:endnotePr>
    <w:endnote w:id="-1"/>
    <w:endnote w:id="0"/>
  </w:endnotePr>
  <w:compat/>
  <w:rsids>
    <w:rsidRoot w:val="00A7153E"/>
    <w:rsid w:val="00000D1B"/>
    <w:rsid w:val="000019F0"/>
    <w:rsid w:val="00002031"/>
    <w:rsid w:val="00002138"/>
    <w:rsid w:val="00004734"/>
    <w:rsid w:val="00006B22"/>
    <w:rsid w:val="0001276A"/>
    <w:rsid w:val="000246AE"/>
    <w:rsid w:val="00025C67"/>
    <w:rsid w:val="000352CA"/>
    <w:rsid w:val="000355B3"/>
    <w:rsid w:val="000358CD"/>
    <w:rsid w:val="00036ADA"/>
    <w:rsid w:val="00041BB7"/>
    <w:rsid w:val="00044ECB"/>
    <w:rsid w:val="00050ADC"/>
    <w:rsid w:val="00051A18"/>
    <w:rsid w:val="000526FC"/>
    <w:rsid w:val="0005559E"/>
    <w:rsid w:val="00071743"/>
    <w:rsid w:val="0007306A"/>
    <w:rsid w:val="0007369F"/>
    <w:rsid w:val="00077775"/>
    <w:rsid w:val="000821F0"/>
    <w:rsid w:val="00090471"/>
    <w:rsid w:val="00090ABA"/>
    <w:rsid w:val="00096AA7"/>
    <w:rsid w:val="00096C09"/>
    <w:rsid w:val="000A130E"/>
    <w:rsid w:val="000A3AED"/>
    <w:rsid w:val="000A64F6"/>
    <w:rsid w:val="000A68E9"/>
    <w:rsid w:val="000A6D78"/>
    <w:rsid w:val="000B0927"/>
    <w:rsid w:val="000B3532"/>
    <w:rsid w:val="000B3A75"/>
    <w:rsid w:val="000C690F"/>
    <w:rsid w:val="000D1295"/>
    <w:rsid w:val="000D391B"/>
    <w:rsid w:val="000D3D6D"/>
    <w:rsid w:val="000D4FC7"/>
    <w:rsid w:val="000E003F"/>
    <w:rsid w:val="000E7661"/>
    <w:rsid w:val="000F4869"/>
    <w:rsid w:val="000F5B42"/>
    <w:rsid w:val="000F6E6F"/>
    <w:rsid w:val="000F78BC"/>
    <w:rsid w:val="0010601F"/>
    <w:rsid w:val="0010788A"/>
    <w:rsid w:val="00107A31"/>
    <w:rsid w:val="00110EA5"/>
    <w:rsid w:val="00112F56"/>
    <w:rsid w:val="00125318"/>
    <w:rsid w:val="001261DA"/>
    <w:rsid w:val="001300EE"/>
    <w:rsid w:val="001305A2"/>
    <w:rsid w:val="00133238"/>
    <w:rsid w:val="0014197B"/>
    <w:rsid w:val="00141BDC"/>
    <w:rsid w:val="001447CD"/>
    <w:rsid w:val="00151390"/>
    <w:rsid w:val="001516B1"/>
    <w:rsid w:val="00154EBB"/>
    <w:rsid w:val="00156316"/>
    <w:rsid w:val="00160D76"/>
    <w:rsid w:val="00161CCB"/>
    <w:rsid w:val="00162D14"/>
    <w:rsid w:val="00163F1F"/>
    <w:rsid w:val="00165389"/>
    <w:rsid w:val="0017693F"/>
    <w:rsid w:val="0018110E"/>
    <w:rsid w:val="00181684"/>
    <w:rsid w:val="00184272"/>
    <w:rsid w:val="001843C6"/>
    <w:rsid w:val="0018506D"/>
    <w:rsid w:val="001850E0"/>
    <w:rsid w:val="001A2158"/>
    <w:rsid w:val="001A3C0B"/>
    <w:rsid w:val="001A525F"/>
    <w:rsid w:val="001B09F9"/>
    <w:rsid w:val="001B5B08"/>
    <w:rsid w:val="001B6448"/>
    <w:rsid w:val="001D5CDE"/>
    <w:rsid w:val="001D7C7D"/>
    <w:rsid w:val="001E07CF"/>
    <w:rsid w:val="001E107E"/>
    <w:rsid w:val="001E59F1"/>
    <w:rsid w:val="001F10BC"/>
    <w:rsid w:val="001F2CCC"/>
    <w:rsid w:val="001F49EB"/>
    <w:rsid w:val="001F6CBA"/>
    <w:rsid w:val="00200804"/>
    <w:rsid w:val="00201D4E"/>
    <w:rsid w:val="00202ABF"/>
    <w:rsid w:val="00205929"/>
    <w:rsid w:val="00207618"/>
    <w:rsid w:val="002076C9"/>
    <w:rsid w:val="00213E1E"/>
    <w:rsid w:val="00220B8A"/>
    <w:rsid w:val="00224A9D"/>
    <w:rsid w:val="002257F3"/>
    <w:rsid w:val="00233456"/>
    <w:rsid w:val="002339A5"/>
    <w:rsid w:val="00235A67"/>
    <w:rsid w:val="002371BE"/>
    <w:rsid w:val="00247106"/>
    <w:rsid w:val="00250E83"/>
    <w:rsid w:val="00257848"/>
    <w:rsid w:val="002629A2"/>
    <w:rsid w:val="0027084A"/>
    <w:rsid w:val="0028412C"/>
    <w:rsid w:val="00284978"/>
    <w:rsid w:val="00286434"/>
    <w:rsid w:val="00286C59"/>
    <w:rsid w:val="00291528"/>
    <w:rsid w:val="00291957"/>
    <w:rsid w:val="002942D1"/>
    <w:rsid w:val="0029501A"/>
    <w:rsid w:val="00297AA7"/>
    <w:rsid w:val="002A074B"/>
    <w:rsid w:val="002B0C11"/>
    <w:rsid w:val="002B1638"/>
    <w:rsid w:val="002B6570"/>
    <w:rsid w:val="002B6CC5"/>
    <w:rsid w:val="002C151B"/>
    <w:rsid w:val="002D477B"/>
    <w:rsid w:val="002D4E2E"/>
    <w:rsid w:val="002E190E"/>
    <w:rsid w:val="002E4C9A"/>
    <w:rsid w:val="002F11F8"/>
    <w:rsid w:val="002F3F56"/>
    <w:rsid w:val="002F4216"/>
    <w:rsid w:val="002F44B5"/>
    <w:rsid w:val="002F6E62"/>
    <w:rsid w:val="002F73A9"/>
    <w:rsid w:val="003075F3"/>
    <w:rsid w:val="00311AC0"/>
    <w:rsid w:val="00317F17"/>
    <w:rsid w:val="0032583B"/>
    <w:rsid w:val="00327883"/>
    <w:rsid w:val="00333273"/>
    <w:rsid w:val="0033363C"/>
    <w:rsid w:val="00334375"/>
    <w:rsid w:val="003348AE"/>
    <w:rsid w:val="00335504"/>
    <w:rsid w:val="003516B3"/>
    <w:rsid w:val="003521E8"/>
    <w:rsid w:val="00357974"/>
    <w:rsid w:val="00370505"/>
    <w:rsid w:val="003728F3"/>
    <w:rsid w:val="0037496E"/>
    <w:rsid w:val="00376348"/>
    <w:rsid w:val="003779A1"/>
    <w:rsid w:val="003805DF"/>
    <w:rsid w:val="003849AC"/>
    <w:rsid w:val="003849F6"/>
    <w:rsid w:val="00386150"/>
    <w:rsid w:val="003874CE"/>
    <w:rsid w:val="00390900"/>
    <w:rsid w:val="0039703B"/>
    <w:rsid w:val="00397A98"/>
    <w:rsid w:val="003A7F6C"/>
    <w:rsid w:val="003B141D"/>
    <w:rsid w:val="003B4D60"/>
    <w:rsid w:val="003B5DFF"/>
    <w:rsid w:val="003B7E39"/>
    <w:rsid w:val="003C58DC"/>
    <w:rsid w:val="003C76D4"/>
    <w:rsid w:val="003D1E62"/>
    <w:rsid w:val="003D2161"/>
    <w:rsid w:val="003E01D5"/>
    <w:rsid w:val="003E2486"/>
    <w:rsid w:val="003E3208"/>
    <w:rsid w:val="003F0B04"/>
    <w:rsid w:val="003F2CA4"/>
    <w:rsid w:val="003F7012"/>
    <w:rsid w:val="00401258"/>
    <w:rsid w:val="0040134E"/>
    <w:rsid w:val="00410B08"/>
    <w:rsid w:val="00410D15"/>
    <w:rsid w:val="00410DAE"/>
    <w:rsid w:val="00427BA7"/>
    <w:rsid w:val="00431FA2"/>
    <w:rsid w:val="00435A0D"/>
    <w:rsid w:val="00440A2D"/>
    <w:rsid w:val="0044249C"/>
    <w:rsid w:val="004431B3"/>
    <w:rsid w:val="00452A2F"/>
    <w:rsid w:val="004564A7"/>
    <w:rsid w:val="004617BF"/>
    <w:rsid w:val="00463658"/>
    <w:rsid w:val="004722CC"/>
    <w:rsid w:val="00477684"/>
    <w:rsid w:val="00482DA0"/>
    <w:rsid w:val="004863EF"/>
    <w:rsid w:val="004936E4"/>
    <w:rsid w:val="00493F02"/>
    <w:rsid w:val="00494E60"/>
    <w:rsid w:val="00497487"/>
    <w:rsid w:val="004A5745"/>
    <w:rsid w:val="004B6CCF"/>
    <w:rsid w:val="004B7B76"/>
    <w:rsid w:val="004C239D"/>
    <w:rsid w:val="004C2DCA"/>
    <w:rsid w:val="004D3943"/>
    <w:rsid w:val="004D7DAA"/>
    <w:rsid w:val="004E769D"/>
    <w:rsid w:val="004F0F38"/>
    <w:rsid w:val="004F123D"/>
    <w:rsid w:val="004F33C1"/>
    <w:rsid w:val="00501921"/>
    <w:rsid w:val="00506975"/>
    <w:rsid w:val="00511680"/>
    <w:rsid w:val="00523B04"/>
    <w:rsid w:val="0052616B"/>
    <w:rsid w:val="0052637C"/>
    <w:rsid w:val="00530354"/>
    <w:rsid w:val="0053625B"/>
    <w:rsid w:val="005434C6"/>
    <w:rsid w:val="00543B39"/>
    <w:rsid w:val="00546E8A"/>
    <w:rsid w:val="00550096"/>
    <w:rsid w:val="00550E6D"/>
    <w:rsid w:val="00556F7A"/>
    <w:rsid w:val="00557FF9"/>
    <w:rsid w:val="00561CF1"/>
    <w:rsid w:val="00571B66"/>
    <w:rsid w:val="00573106"/>
    <w:rsid w:val="00576378"/>
    <w:rsid w:val="00577130"/>
    <w:rsid w:val="00577945"/>
    <w:rsid w:val="00577D3E"/>
    <w:rsid w:val="00577E38"/>
    <w:rsid w:val="00581E17"/>
    <w:rsid w:val="00583B2C"/>
    <w:rsid w:val="005840E4"/>
    <w:rsid w:val="00585322"/>
    <w:rsid w:val="005857C6"/>
    <w:rsid w:val="00592F6E"/>
    <w:rsid w:val="00593AD1"/>
    <w:rsid w:val="005A2D21"/>
    <w:rsid w:val="005A49F1"/>
    <w:rsid w:val="005A68B6"/>
    <w:rsid w:val="005B2A9D"/>
    <w:rsid w:val="005B733A"/>
    <w:rsid w:val="005C5570"/>
    <w:rsid w:val="005C5BC8"/>
    <w:rsid w:val="005C79A4"/>
    <w:rsid w:val="005D3CC0"/>
    <w:rsid w:val="005D5442"/>
    <w:rsid w:val="005D787C"/>
    <w:rsid w:val="005E158D"/>
    <w:rsid w:val="005F4DE8"/>
    <w:rsid w:val="00603F32"/>
    <w:rsid w:val="00604651"/>
    <w:rsid w:val="00605E32"/>
    <w:rsid w:val="00610E2C"/>
    <w:rsid w:val="00617B5B"/>
    <w:rsid w:val="00625A6E"/>
    <w:rsid w:val="0062633D"/>
    <w:rsid w:val="00632398"/>
    <w:rsid w:val="006327B2"/>
    <w:rsid w:val="00633B3B"/>
    <w:rsid w:val="00640FC3"/>
    <w:rsid w:val="006417CB"/>
    <w:rsid w:val="00642020"/>
    <w:rsid w:val="0065337B"/>
    <w:rsid w:val="0065419D"/>
    <w:rsid w:val="00654F69"/>
    <w:rsid w:val="006604D8"/>
    <w:rsid w:val="00664A5B"/>
    <w:rsid w:val="006763D2"/>
    <w:rsid w:val="00680C08"/>
    <w:rsid w:val="00687018"/>
    <w:rsid w:val="0069312C"/>
    <w:rsid w:val="006931B1"/>
    <w:rsid w:val="006A15C0"/>
    <w:rsid w:val="006A2C9E"/>
    <w:rsid w:val="006C0FA6"/>
    <w:rsid w:val="006C1357"/>
    <w:rsid w:val="006C3E2A"/>
    <w:rsid w:val="006C642F"/>
    <w:rsid w:val="006D03E5"/>
    <w:rsid w:val="006D2683"/>
    <w:rsid w:val="006D2F6B"/>
    <w:rsid w:val="006D5D3E"/>
    <w:rsid w:val="006D6989"/>
    <w:rsid w:val="006E08B3"/>
    <w:rsid w:val="006E0BA5"/>
    <w:rsid w:val="006F0D12"/>
    <w:rsid w:val="006F17AC"/>
    <w:rsid w:val="006F4341"/>
    <w:rsid w:val="006F572E"/>
    <w:rsid w:val="006F5D4D"/>
    <w:rsid w:val="007046D6"/>
    <w:rsid w:val="00705DB0"/>
    <w:rsid w:val="00706806"/>
    <w:rsid w:val="00711605"/>
    <w:rsid w:val="00712B56"/>
    <w:rsid w:val="00722B57"/>
    <w:rsid w:val="00724BBF"/>
    <w:rsid w:val="007262C0"/>
    <w:rsid w:val="00730E4B"/>
    <w:rsid w:val="0074253D"/>
    <w:rsid w:val="00743BD4"/>
    <w:rsid w:val="0074429B"/>
    <w:rsid w:val="00751AF8"/>
    <w:rsid w:val="00755627"/>
    <w:rsid w:val="00755B54"/>
    <w:rsid w:val="007615BC"/>
    <w:rsid w:val="00761C6C"/>
    <w:rsid w:val="00762F05"/>
    <w:rsid w:val="007652FF"/>
    <w:rsid w:val="00770EF1"/>
    <w:rsid w:val="007723AA"/>
    <w:rsid w:val="00773EF7"/>
    <w:rsid w:val="00774E1D"/>
    <w:rsid w:val="00774E66"/>
    <w:rsid w:val="00774F5B"/>
    <w:rsid w:val="0077675A"/>
    <w:rsid w:val="00777501"/>
    <w:rsid w:val="0078007F"/>
    <w:rsid w:val="00780355"/>
    <w:rsid w:val="00785721"/>
    <w:rsid w:val="00792A92"/>
    <w:rsid w:val="00793A59"/>
    <w:rsid w:val="007A559A"/>
    <w:rsid w:val="007B230A"/>
    <w:rsid w:val="007B237F"/>
    <w:rsid w:val="007B682F"/>
    <w:rsid w:val="007B6BE1"/>
    <w:rsid w:val="007B6E1F"/>
    <w:rsid w:val="007B6E9F"/>
    <w:rsid w:val="007C1216"/>
    <w:rsid w:val="007C1AF7"/>
    <w:rsid w:val="007C377F"/>
    <w:rsid w:val="007D283A"/>
    <w:rsid w:val="007E4CFC"/>
    <w:rsid w:val="007F0287"/>
    <w:rsid w:val="007F1E6E"/>
    <w:rsid w:val="008058DF"/>
    <w:rsid w:val="00805D27"/>
    <w:rsid w:val="00816174"/>
    <w:rsid w:val="00821776"/>
    <w:rsid w:val="0083055C"/>
    <w:rsid w:val="008321F5"/>
    <w:rsid w:val="00832369"/>
    <w:rsid w:val="00834660"/>
    <w:rsid w:val="00836BC2"/>
    <w:rsid w:val="0085641B"/>
    <w:rsid w:val="00857136"/>
    <w:rsid w:val="00885B11"/>
    <w:rsid w:val="00886D15"/>
    <w:rsid w:val="00887DD8"/>
    <w:rsid w:val="00896018"/>
    <w:rsid w:val="008960DD"/>
    <w:rsid w:val="0089635C"/>
    <w:rsid w:val="008A2363"/>
    <w:rsid w:val="008A2B9D"/>
    <w:rsid w:val="008A5E0B"/>
    <w:rsid w:val="008A6D59"/>
    <w:rsid w:val="008B42A1"/>
    <w:rsid w:val="008B4B03"/>
    <w:rsid w:val="008B596F"/>
    <w:rsid w:val="008C159F"/>
    <w:rsid w:val="008C1623"/>
    <w:rsid w:val="008C1850"/>
    <w:rsid w:val="008C51A9"/>
    <w:rsid w:val="008D5888"/>
    <w:rsid w:val="008D7E22"/>
    <w:rsid w:val="008E6053"/>
    <w:rsid w:val="008E7846"/>
    <w:rsid w:val="008F1CCC"/>
    <w:rsid w:val="008F2967"/>
    <w:rsid w:val="008F6943"/>
    <w:rsid w:val="00902A21"/>
    <w:rsid w:val="009036C9"/>
    <w:rsid w:val="00905559"/>
    <w:rsid w:val="00916555"/>
    <w:rsid w:val="00917449"/>
    <w:rsid w:val="00920330"/>
    <w:rsid w:val="009219D7"/>
    <w:rsid w:val="00922D53"/>
    <w:rsid w:val="00923B70"/>
    <w:rsid w:val="00924482"/>
    <w:rsid w:val="00930237"/>
    <w:rsid w:val="00942D8E"/>
    <w:rsid w:val="00946EA5"/>
    <w:rsid w:val="00947E35"/>
    <w:rsid w:val="00954C2F"/>
    <w:rsid w:val="00957BD4"/>
    <w:rsid w:val="009609F9"/>
    <w:rsid w:val="00963C08"/>
    <w:rsid w:val="00972E4C"/>
    <w:rsid w:val="00973FA2"/>
    <w:rsid w:val="009830F5"/>
    <w:rsid w:val="0098585A"/>
    <w:rsid w:val="00986BFB"/>
    <w:rsid w:val="009A4290"/>
    <w:rsid w:val="009A4CED"/>
    <w:rsid w:val="009A690D"/>
    <w:rsid w:val="009A7DDD"/>
    <w:rsid w:val="009B1D12"/>
    <w:rsid w:val="009B3F9B"/>
    <w:rsid w:val="009B416B"/>
    <w:rsid w:val="009C35F7"/>
    <w:rsid w:val="009C4BD5"/>
    <w:rsid w:val="009C71D3"/>
    <w:rsid w:val="009D2CF0"/>
    <w:rsid w:val="009D4D5B"/>
    <w:rsid w:val="009D7B77"/>
    <w:rsid w:val="009E0BB0"/>
    <w:rsid w:val="009E3FBB"/>
    <w:rsid w:val="009E4E82"/>
    <w:rsid w:val="009F5FDA"/>
    <w:rsid w:val="00A102E4"/>
    <w:rsid w:val="00A118D7"/>
    <w:rsid w:val="00A12722"/>
    <w:rsid w:val="00A12C42"/>
    <w:rsid w:val="00A14DF7"/>
    <w:rsid w:val="00A1538B"/>
    <w:rsid w:val="00A2328D"/>
    <w:rsid w:val="00A30079"/>
    <w:rsid w:val="00A3246D"/>
    <w:rsid w:val="00A36FA7"/>
    <w:rsid w:val="00A45A3F"/>
    <w:rsid w:val="00A46F38"/>
    <w:rsid w:val="00A475B7"/>
    <w:rsid w:val="00A47AF7"/>
    <w:rsid w:val="00A47C3E"/>
    <w:rsid w:val="00A50226"/>
    <w:rsid w:val="00A50238"/>
    <w:rsid w:val="00A513B2"/>
    <w:rsid w:val="00A60BAD"/>
    <w:rsid w:val="00A66014"/>
    <w:rsid w:val="00A6798F"/>
    <w:rsid w:val="00A7153E"/>
    <w:rsid w:val="00A7417E"/>
    <w:rsid w:val="00A84E36"/>
    <w:rsid w:val="00A92A7D"/>
    <w:rsid w:val="00A964D1"/>
    <w:rsid w:val="00A97D28"/>
    <w:rsid w:val="00AA0ED0"/>
    <w:rsid w:val="00AA247E"/>
    <w:rsid w:val="00AA465F"/>
    <w:rsid w:val="00AA6D7A"/>
    <w:rsid w:val="00AC2B40"/>
    <w:rsid w:val="00AC2BB2"/>
    <w:rsid w:val="00AC2C3C"/>
    <w:rsid w:val="00AC512D"/>
    <w:rsid w:val="00AC7612"/>
    <w:rsid w:val="00AD0083"/>
    <w:rsid w:val="00AD1BA1"/>
    <w:rsid w:val="00AE0C05"/>
    <w:rsid w:val="00AE65EB"/>
    <w:rsid w:val="00AE67A7"/>
    <w:rsid w:val="00AE6E76"/>
    <w:rsid w:val="00AF1A89"/>
    <w:rsid w:val="00AF1D94"/>
    <w:rsid w:val="00AF60C5"/>
    <w:rsid w:val="00B009C6"/>
    <w:rsid w:val="00B01548"/>
    <w:rsid w:val="00B0221E"/>
    <w:rsid w:val="00B024E0"/>
    <w:rsid w:val="00B070F9"/>
    <w:rsid w:val="00B21D29"/>
    <w:rsid w:val="00B24C36"/>
    <w:rsid w:val="00B25034"/>
    <w:rsid w:val="00B26C4D"/>
    <w:rsid w:val="00B310CA"/>
    <w:rsid w:val="00B31C1E"/>
    <w:rsid w:val="00B31CC0"/>
    <w:rsid w:val="00B32EA4"/>
    <w:rsid w:val="00B33588"/>
    <w:rsid w:val="00B33863"/>
    <w:rsid w:val="00B37D17"/>
    <w:rsid w:val="00B4175E"/>
    <w:rsid w:val="00B452CE"/>
    <w:rsid w:val="00B50959"/>
    <w:rsid w:val="00B54249"/>
    <w:rsid w:val="00B54C25"/>
    <w:rsid w:val="00B66DC3"/>
    <w:rsid w:val="00B76B91"/>
    <w:rsid w:val="00B773D7"/>
    <w:rsid w:val="00B77EB1"/>
    <w:rsid w:val="00B811C6"/>
    <w:rsid w:val="00B83D88"/>
    <w:rsid w:val="00B855B0"/>
    <w:rsid w:val="00B92E08"/>
    <w:rsid w:val="00BA1634"/>
    <w:rsid w:val="00BC622A"/>
    <w:rsid w:val="00BD582F"/>
    <w:rsid w:val="00BE0A78"/>
    <w:rsid w:val="00BE1ECD"/>
    <w:rsid w:val="00BE3735"/>
    <w:rsid w:val="00BE79F0"/>
    <w:rsid w:val="00BF046D"/>
    <w:rsid w:val="00BF1190"/>
    <w:rsid w:val="00BF36FA"/>
    <w:rsid w:val="00BF5D04"/>
    <w:rsid w:val="00C06847"/>
    <w:rsid w:val="00C07CFE"/>
    <w:rsid w:val="00C1164D"/>
    <w:rsid w:val="00C12EBA"/>
    <w:rsid w:val="00C16861"/>
    <w:rsid w:val="00C21BA2"/>
    <w:rsid w:val="00C33F00"/>
    <w:rsid w:val="00C35455"/>
    <w:rsid w:val="00C37C82"/>
    <w:rsid w:val="00C404A6"/>
    <w:rsid w:val="00C40A36"/>
    <w:rsid w:val="00C44419"/>
    <w:rsid w:val="00C45E7B"/>
    <w:rsid w:val="00C471B1"/>
    <w:rsid w:val="00C475AD"/>
    <w:rsid w:val="00C50CDF"/>
    <w:rsid w:val="00C6316B"/>
    <w:rsid w:val="00C634A9"/>
    <w:rsid w:val="00C64586"/>
    <w:rsid w:val="00C70D53"/>
    <w:rsid w:val="00C73D0B"/>
    <w:rsid w:val="00C76C47"/>
    <w:rsid w:val="00C772FF"/>
    <w:rsid w:val="00C80137"/>
    <w:rsid w:val="00C801AF"/>
    <w:rsid w:val="00C80256"/>
    <w:rsid w:val="00C83708"/>
    <w:rsid w:val="00CA1D20"/>
    <w:rsid w:val="00CA2640"/>
    <w:rsid w:val="00CA7521"/>
    <w:rsid w:val="00CB11E2"/>
    <w:rsid w:val="00CB6BC0"/>
    <w:rsid w:val="00CC1B7C"/>
    <w:rsid w:val="00CC5243"/>
    <w:rsid w:val="00CC727F"/>
    <w:rsid w:val="00CD50BB"/>
    <w:rsid w:val="00CE4C1F"/>
    <w:rsid w:val="00CF15C3"/>
    <w:rsid w:val="00CF2B6F"/>
    <w:rsid w:val="00CF2D70"/>
    <w:rsid w:val="00CF3310"/>
    <w:rsid w:val="00CF4502"/>
    <w:rsid w:val="00CF58B6"/>
    <w:rsid w:val="00D017ED"/>
    <w:rsid w:val="00D040D3"/>
    <w:rsid w:val="00D04C65"/>
    <w:rsid w:val="00D04F44"/>
    <w:rsid w:val="00D15D35"/>
    <w:rsid w:val="00D224FE"/>
    <w:rsid w:val="00D32DD9"/>
    <w:rsid w:val="00D42F66"/>
    <w:rsid w:val="00D6493E"/>
    <w:rsid w:val="00D7301E"/>
    <w:rsid w:val="00D83AE1"/>
    <w:rsid w:val="00D855D4"/>
    <w:rsid w:val="00D85AD1"/>
    <w:rsid w:val="00D90AC8"/>
    <w:rsid w:val="00D91BE4"/>
    <w:rsid w:val="00D93466"/>
    <w:rsid w:val="00DA1124"/>
    <w:rsid w:val="00DA1F35"/>
    <w:rsid w:val="00DA3E8B"/>
    <w:rsid w:val="00DA7465"/>
    <w:rsid w:val="00DB75B7"/>
    <w:rsid w:val="00DC56E3"/>
    <w:rsid w:val="00DC6E02"/>
    <w:rsid w:val="00DD1145"/>
    <w:rsid w:val="00DD6B55"/>
    <w:rsid w:val="00DE02AE"/>
    <w:rsid w:val="00DE0F62"/>
    <w:rsid w:val="00DE3EE4"/>
    <w:rsid w:val="00DE72F0"/>
    <w:rsid w:val="00DF1D7F"/>
    <w:rsid w:val="00DF4BE4"/>
    <w:rsid w:val="00DF61FB"/>
    <w:rsid w:val="00E02FB4"/>
    <w:rsid w:val="00E064FC"/>
    <w:rsid w:val="00E16392"/>
    <w:rsid w:val="00E20571"/>
    <w:rsid w:val="00E23599"/>
    <w:rsid w:val="00E235F7"/>
    <w:rsid w:val="00E23659"/>
    <w:rsid w:val="00E239D4"/>
    <w:rsid w:val="00E26130"/>
    <w:rsid w:val="00E2795E"/>
    <w:rsid w:val="00E40B22"/>
    <w:rsid w:val="00E45619"/>
    <w:rsid w:val="00E4588F"/>
    <w:rsid w:val="00E46DA3"/>
    <w:rsid w:val="00E51BB1"/>
    <w:rsid w:val="00E61D57"/>
    <w:rsid w:val="00E624A5"/>
    <w:rsid w:val="00E7344E"/>
    <w:rsid w:val="00E76A54"/>
    <w:rsid w:val="00EA389E"/>
    <w:rsid w:val="00EA3FF9"/>
    <w:rsid w:val="00EA608B"/>
    <w:rsid w:val="00EA63EB"/>
    <w:rsid w:val="00EB0798"/>
    <w:rsid w:val="00EB40AD"/>
    <w:rsid w:val="00EB586E"/>
    <w:rsid w:val="00EB5FC8"/>
    <w:rsid w:val="00EB6517"/>
    <w:rsid w:val="00EC6483"/>
    <w:rsid w:val="00ED3CAD"/>
    <w:rsid w:val="00ED5A41"/>
    <w:rsid w:val="00ED6A99"/>
    <w:rsid w:val="00EE0B67"/>
    <w:rsid w:val="00EE0CF2"/>
    <w:rsid w:val="00EE0D6D"/>
    <w:rsid w:val="00EE1DE8"/>
    <w:rsid w:val="00EE6BFC"/>
    <w:rsid w:val="00EF43E6"/>
    <w:rsid w:val="00F033EC"/>
    <w:rsid w:val="00F04F68"/>
    <w:rsid w:val="00F05CCF"/>
    <w:rsid w:val="00F069E6"/>
    <w:rsid w:val="00F07F04"/>
    <w:rsid w:val="00F102B4"/>
    <w:rsid w:val="00F12670"/>
    <w:rsid w:val="00F14B27"/>
    <w:rsid w:val="00F30D62"/>
    <w:rsid w:val="00F3148D"/>
    <w:rsid w:val="00F325C5"/>
    <w:rsid w:val="00F32FE0"/>
    <w:rsid w:val="00F35298"/>
    <w:rsid w:val="00F438C5"/>
    <w:rsid w:val="00F47333"/>
    <w:rsid w:val="00F47E37"/>
    <w:rsid w:val="00F53C07"/>
    <w:rsid w:val="00F54B65"/>
    <w:rsid w:val="00F640B6"/>
    <w:rsid w:val="00F72597"/>
    <w:rsid w:val="00F80D92"/>
    <w:rsid w:val="00F80E40"/>
    <w:rsid w:val="00F81735"/>
    <w:rsid w:val="00F848D9"/>
    <w:rsid w:val="00F90B07"/>
    <w:rsid w:val="00F96B62"/>
    <w:rsid w:val="00FA01FD"/>
    <w:rsid w:val="00FA22D4"/>
    <w:rsid w:val="00FA5B82"/>
    <w:rsid w:val="00FA639E"/>
    <w:rsid w:val="00FB0943"/>
    <w:rsid w:val="00FC25E4"/>
    <w:rsid w:val="00FC4EF7"/>
    <w:rsid w:val="00FC5C3A"/>
    <w:rsid w:val="00FD1EB1"/>
    <w:rsid w:val="00FE1DEE"/>
    <w:rsid w:val="00FF2126"/>
    <w:rsid w:val="00FF4D13"/>
    <w:rsid w:val="00FF5755"/>
    <w:rsid w:val="00FF69BE"/>
    <w:rsid w:val="00FF707E"/>
    <w:rsid w:val="00FF7B93"/>
  </w:rsids>
  <m:mathPr>
    <m:mathFont m:val="Cambria Math"/>
    <m:brkBin m:val="before"/>
    <m:brkBinSub m:val="--"/>
    <m:smallFrac m:val="off"/>
    <m:dispDef/>
    <m:lMargin m:val="0"/>
    <m:rMargin m:val="0"/>
    <m:defJc m:val="centerGroup"/>
    <m:wrapIndent m:val="1440"/>
    <m:intLim m:val="subSup"/>
    <m:naryLim m:val="undOvr"/>
  </m:mathPr>
  <w:themeFontLang w:val="en-AU" w:bidi="lo-LA"/>
  <w:clrSchemeMapping w:bg1="light1" w:t1="dark1" w:bg2="light2" w:t2="dark2" w:accent1="accent1" w:accent2="accent2" w:accent3="accent3" w:accent4="accent4" w:accent5="accent5" w:accent6="accent6" w:hyperlink="hyperlink" w:followedHyperlink="followedHyperlink"/>
  <w:shapeDefaults>
    <o:shapedefaults v:ext="edit" spidmax="77826">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A64F6"/>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Normal"/>
    <w:qFormat/>
    <w:rsid w:val="001300EE"/>
    <w:pPr>
      <w:spacing w:before="0" w:after="0" w:line="240" w:lineRule="auto"/>
    </w:pPr>
    <w:rPr>
      <w:sz w:val="18"/>
      <w:szCs w:val="18"/>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ListParagraph">
    <w:name w:val="List Paragraph"/>
    <w:basedOn w:val="Normal"/>
    <w:uiPriority w:val="34"/>
    <w:qFormat/>
    <w:rsid w:val="00E76A54"/>
    <w:pPr>
      <w:adjustRightInd w:val="0"/>
      <w:snapToGrid w:val="0"/>
      <w:spacing w:before="0" w:after="0"/>
      <w:ind w:left="720"/>
      <w:contextualSpacing/>
    </w:pPr>
    <w:rPr>
      <w:rFonts w:eastAsia="MS Mincho"/>
      <w:szCs w:val="20"/>
      <w:lang w:eastAsia="ja-JP"/>
    </w:rPr>
  </w:style>
  <w:style w:type="paragraph" w:customStyle="1" w:styleId="Bulletpoint">
    <w:name w:val="Bullet point"/>
    <w:basedOn w:val="Normal"/>
    <w:rsid w:val="00205929"/>
    <w:pPr>
      <w:numPr>
        <w:numId w:val="5"/>
      </w:numPr>
      <w:tabs>
        <w:tab w:val="clear" w:pos="369"/>
        <w:tab w:val="num" w:pos="360"/>
        <w:tab w:val="left" w:pos="397"/>
      </w:tabs>
      <w:spacing w:before="0" w:after="180" w:line="252" w:lineRule="auto"/>
      <w:ind w:left="0" w:firstLine="0"/>
    </w:pPr>
    <w:rPr>
      <w:rFonts w:asciiTheme="minorHAnsi" w:eastAsia="Times New Roman" w:hAnsiTheme="minorHAnsi"/>
      <w:snapToGrid w:val="0"/>
      <w:kern w:val="16"/>
      <w:sz w:val="23"/>
      <w:szCs w:val="24"/>
    </w:rPr>
  </w:style>
  <w:style w:type="paragraph" w:styleId="FootnoteText">
    <w:name w:val="footnote text"/>
    <w:basedOn w:val="Normal"/>
    <w:link w:val="FootnoteTextChar"/>
    <w:unhideWhenUsed/>
    <w:rsid w:val="000A64F6"/>
    <w:pPr>
      <w:spacing w:before="0" w:after="0" w:line="240" w:lineRule="auto"/>
    </w:pPr>
    <w:rPr>
      <w:sz w:val="18"/>
      <w:szCs w:val="18"/>
    </w:rPr>
  </w:style>
  <w:style w:type="character" w:customStyle="1" w:styleId="FootnoteTextChar">
    <w:name w:val="Footnote Text Char"/>
    <w:basedOn w:val="DefaultParagraphFont"/>
    <w:link w:val="FootnoteText"/>
    <w:rsid w:val="000A64F6"/>
    <w:rPr>
      <w:rFonts w:ascii="Cambria" w:eastAsia="Cambria" w:hAnsi="Cambria" w:cs="Times New Roman"/>
      <w:sz w:val="18"/>
      <w:szCs w:val="18"/>
    </w:rPr>
  </w:style>
  <w:style w:type="character" w:styleId="FootnoteReference">
    <w:name w:val="footnote reference"/>
    <w:basedOn w:val="DefaultParagraphFont"/>
    <w:semiHidden/>
    <w:rsid w:val="00205929"/>
    <w:rPr>
      <w:vertAlign w:val="superscript"/>
    </w:rPr>
  </w:style>
  <w:style w:type="paragraph" w:styleId="NormalWeb">
    <w:name w:val="Normal (Web)"/>
    <w:basedOn w:val="Normal"/>
    <w:uiPriority w:val="99"/>
    <w:semiHidden/>
    <w:unhideWhenUsed/>
    <w:rsid w:val="00954C2F"/>
    <w:rPr>
      <w:rFonts w:ascii="Times New Roman" w:hAnsi="Times New Roman"/>
      <w:sz w:val="24"/>
      <w:szCs w:val="24"/>
    </w:rPr>
  </w:style>
  <w:style w:type="paragraph" w:styleId="EndnoteText">
    <w:name w:val="endnote text"/>
    <w:basedOn w:val="Normal"/>
    <w:link w:val="EndnoteTextChar"/>
    <w:uiPriority w:val="99"/>
    <w:semiHidden/>
    <w:unhideWhenUsed/>
    <w:rsid w:val="00EA389E"/>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EA389E"/>
    <w:rPr>
      <w:rFonts w:ascii="Cambria" w:eastAsia="Cambria" w:hAnsi="Cambria" w:cs="Times New Roman"/>
      <w:sz w:val="20"/>
      <w:szCs w:val="20"/>
    </w:rPr>
  </w:style>
  <w:style w:type="paragraph" w:styleId="DocumentMap">
    <w:name w:val="Document Map"/>
    <w:basedOn w:val="Normal"/>
    <w:link w:val="DocumentMapChar"/>
    <w:uiPriority w:val="99"/>
    <w:semiHidden/>
    <w:unhideWhenUsed/>
    <w:rsid w:val="00523B04"/>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23B04"/>
    <w:rPr>
      <w:rFonts w:ascii="Tahoma" w:eastAsia="Cambria" w:hAnsi="Tahoma" w:cs="Tahoma"/>
      <w:sz w:val="16"/>
      <w:szCs w:val="16"/>
    </w:rPr>
  </w:style>
  <w:style w:type="character" w:styleId="CommentReference">
    <w:name w:val="annotation reference"/>
    <w:basedOn w:val="DefaultParagraphFont"/>
    <w:uiPriority w:val="99"/>
    <w:semiHidden/>
    <w:unhideWhenUsed/>
    <w:rsid w:val="00A92A7D"/>
    <w:rPr>
      <w:sz w:val="16"/>
      <w:szCs w:val="16"/>
    </w:rPr>
  </w:style>
  <w:style w:type="paragraph" w:styleId="CommentText">
    <w:name w:val="annotation text"/>
    <w:basedOn w:val="Normal"/>
    <w:link w:val="CommentTextChar"/>
    <w:uiPriority w:val="99"/>
    <w:semiHidden/>
    <w:unhideWhenUsed/>
    <w:rsid w:val="00A92A7D"/>
    <w:pPr>
      <w:spacing w:line="240" w:lineRule="auto"/>
    </w:pPr>
    <w:rPr>
      <w:sz w:val="20"/>
      <w:szCs w:val="20"/>
    </w:rPr>
  </w:style>
  <w:style w:type="character" w:customStyle="1" w:styleId="CommentTextChar">
    <w:name w:val="Comment Text Char"/>
    <w:basedOn w:val="DefaultParagraphFont"/>
    <w:link w:val="CommentText"/>
    <w:uiPriority w:val="99"/>
    <w:semiHidden/>
    <w:rsid w:val="00A92A7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A92A7D"/>
    <w:rPr>
      <w:b/>
      <w:bCs/>
    </w:rPr>
  </w:style>
  <w:style w:type="character" w:customStyle="1" w:styleId="CommentSubjectChar">
    <w:name w:val="Comment Subject Char"/>
    <w:basedOn w:val="CommentTextChar"/>
    <w:link w:val="CommentSubject"/>
    <w:uiPriority w:val="99"/>
    <w:semiHidden/>
    <w:rsid w:val="00A92A7D"/>
    <w:rPr>
      <w:b/>
      <w:bCs/>
    </w:rPr>
  </w:style>
</w:styles>
</file>

<file path=word/webSettings.xml><?xml version="1.0" encoding="utf-8"?>
<w:webSettings xmlns:r="http://schemas.openxmlformats.org/officeDocument/2006/relationships" xmlns:w="http://schemas.openxmlformats.org/wordprocessingml/2006/main">
  <w:divs>
    <w:div w:id="6908705">
      <w:bodyDiv w:val="1"/>
      <w:marLeft w:val="0"/>
      <w:marRight w:val="0"/>
      <w:marTop w:val="0"/>
      <w:marBottom w:val="0"/>
      <w:divBdr>
        <w:top w:val="none" w:sz="0" w:space="0" w:color="auto"/>
        <w:left w:val="none" w:sz="0" w:space="0" w:color="auto"/>
        <w:bottom w:val="none" w:sz="0" w:space="0" w:color="auto"/>
        <w:right w:val="none" w:sz="0" w:space="0" w:color="auto"/>
      </w:divBdr>
    </w:div>
    <w:div w:id="105127892">
      <w:bodyDiv w:val="1"/>
      <w:marLeft w:val="0"/>
      <w:marRight w:val="0"/>
      <w:marTop w:val="0"/>
      <w:marBottom w:val="0"/>
      <w:divBdr>
        <w:top w:val="none" w:sz="0" w:space="0" w:color="auto"/>
        <w:left w:val="none" w:sz="0" w:space="0" w:color="auto"/>
        <w:bottom w:val="none" w:sz="0" w:space="0" w:color="auto"/>
        <w:right w:val="none" w:sz="0" w:space="0" w:color="auto"/>
      </w:divBdr>
    </w:div>
    <w:div w:id="142234632">
      <w:bodyDiv w:val="1"/>
      <w:marLeft w:val="0"/>
      <w:marRight w:val="0"/>
      <w:marTop w:val="0"/>
      <w:marBottom w:val="0"/>
      <w:divBdr>
        <w:top w:val="none" w:sz="0" w:space="0" w:color="auto"/>
        <w:left w:val="none" w:sz="0" w:space="0" w:color="auto"/>
        <w:bottom w:val="none" w:sz="0" w:space="0" w:color="auto"/>
        <w:right w:val="none" w:sz="0" w:space="0" w:color="auto"/>
      </w:divBdr>
    </w:div>
    <w:div w:id="152527189">
      <w:bodyDiv w:val="1"/>
      <w:marLeft w:val="0"/>
      <w:marRight w:val="0"/>
      <w:marTop w:val="0"/>
      <w:marBottom w:val="0"/>
      <w:divBdr>
        <w:top w:val="none" w:sz="0" w:space="0" w:color="auto"/>
        <w:left w:val="none" w:sz="0" w:space="0" w:color="auto"/>
        <w:bottom w:val="none" w:sz="0" w:space="0" w:color="auto"/>
        <w:right w:val="none" w:sz="0" w:space="0" w:color="auto"/>
      </w:divBdr>
    </w:div>
    <w:div w:id="179248092">
      <w:bodyDiv w:val="1"/>
      <w:marLeft w:val="0"/>
      <w:marRight w:val="0"/>
      <w:marTop w:val="0"/>
      <w:marBottom w:val="0"/>
      <w:divBdr>
        <w:top w:val="none" w:sz="0" w:space="0" w:color="auto"/>
        <w:left w:val="none" w:sz="0" w:space="0" w:color="auto"/>
        <w:bottom w:val="none" w:sz="0" w:space="0" w:color="auto"/>
        <w:right w:val="none" w:sz="0" w:space="0" w:color="auto"/>
      </w:divBdr>
    </w:div>
    <w:div w:id="215556603">
      <w:bodyDiv w:val="1"/>
      <w:marLeft w:val="0"/>
      <w:marRight w:val="0"/>
      <w:marTop w:val="0"/>
      <w:marBottom w:val="0"/>
      <w:divBdr>
        <w:top w:val="none" w:sz="0" w:space="0" w:color="auto"/>
        <w:left w:val="none" w:sz="0" w:space="0" w:color="auto"/>
        <w:bottom w:val="none" w:sz="0" w:space="0" w:color="auto"/>
        <w:right w:val="none" w:sz="0" w:space="0" w:color="auto"/>
      </w:divBdr>
    </w:div>
    <w:div w:id="229073863">
      <w:bodyDiv w:val="1"/>
      <w:marLeft w:val="0"/>
      <w:marRight w:val="0"/>
      <w:marTop w:val="0"/>
      <w:marBottom w:val="0"/>
      <w:divBdr>
        <w:top w:val="none" w:sz="0" w:space="0" w:color="auto"/>
        <w:left w:val="none" w:sz="0" w:space="0" w:color="auto"/>
        <w:bottom w:val="none" w:sz="0" w:space="0" w:color="auto"/>
        <w:right w:val="none" w:sz="0" w:space="0" w:color="auto"/>
      </w:divBdr>
    </w:div>
    <w:div w:id="238833760">
      <w:bodyDiv w:val="1"/>
      <w:marLeft w:val="0"/>
      <w:marRight w:val="0"/>
      <w:marTop w:val="0"/>
      <w:marBottom w:val="0"/>
      <w:divBdr>
        <w:top w:val="none" w:sz="0" w:space="0" w:color="auto"/>
        <w:left w:val="none" w:sz="0" w:space="0" w:color="auto"/>
        <w:bottom w:val="none" w:sz="0" w:space="0" w:color="auto"/>
        <w:right w:val="none" w:sz="0" w:space="0" w:color="auto"/>
      </w:divBdr>
    </w:div>
    <w:div w:id="251671088">
      <w:bodyDiv w:val="1"/>
      <w:marLeft w:val="0"/>
      <w:marRight w:val="0"/>
      <w:marTop w:val="0"/>
      <w:marBottom w:val="0"/>
      <w:divBdr>
        <w:top w:val="none" w:sz="0" w:space="0" w:color="auto"/>
        <w:left w:val="none" w:sz="0" w:space="0" w:color="auto"/>
        <w:bottom w:val="none" w:sz="0" w:space="0" w:color="auto"/>
        <w:right w:val="none" w:sz="0" w:space="0" w:color="auto"/>
      </w:divBdr>
    </w:div>
    <w:div w:id="254943981">
      <w:bodyDiv w:val="1"/>
      <w:marLeft w:val="0"/>
      <w:marRight w:val="0"/>
      <w:marTop w:val="0"/>
      <w:marBottom w:val="0"/>
      <w:divBdr>
        <w:top w:val="none" w:sz="0" w:space="0" w:color="auto"/>
        <w:left w:val="none" w:sz="0" w:space="0" w:color="auto"/>
        <w:bottom w:val="none" w:sz="0" w:space="0" w:color="auto"/>
        <w:right w:val="none" w:sz="0" w:space="0" w:color="auto"/>
      </w:divBdr>
    </w:div>
    <w:div w:id="258493152">
      <w:bodyDiv w:val="1"/>
      <w:marLeft w:val="0"/>
      <w:marRight w:val="0"/>
      <w:marTop w:val="0"/>
      <w:marBottom w:val="0"/>
      <w:divBdr>
        <w:top w:val="none" w:sz="0" w:space="0" w:color="auto"/>
        <w:left w:val="none" w:sz="0" w:space="0" w:color="auto"/>
        <w:bottom w:val="none" w:sz="0" w:space="0" w:color="auto"/>
        <w:right w:val="none" w:sz="0" w:space="0" w:color="auto"/>
      </w:divBdr>
    </w:div>
    <w:div w:id="315032271">
      <w:bodyDiv w:val="1"/>
      <w:marLeft w:val="0"/>
      <w:marRight w:val="0"/>
      <w:marTop w:val="0"/>
      <w:marBottom w:val="0"/>
      <w:divBdr>
        <w:top w:val="none" w:sz="0" w:space="0" w:color="auto"/>
        <w:left w:val="none" w:sz="0" w:space="0" w:color="auto"/>
        <w:bottom w:val="none" w:sz="0" w:space="0" w:color="auto"/>
        <w:right w:val="none" w:sz="0" w:space="0" w:color="auto"/>
      </w:divBdr>
    </w:div>
    <w:div w:id="418798729">
      <w:bodyDiv w:val="1"/>
      <w:marLeft w:val="0"/>
      <w:marRight w:val="0"/>
      <w:marTop w:val="0"/>
      <w:marBottom w:val="0"/>
      <w:divBdr>
        <w:top w:val="none" w:sz="0" w:space="0" w:color="auto"/>
        <w:left w:val="none" w:sz="0" w:space="0" w:color="auto"/>
        <w:bottom w:val="none" w:sz="0" w:space="0" w:color="auto"/>
        <w:right w:val="none" w:sz="0" w:space="0" w:color="auto"/>
      </w:divBdr>
    </w:div>
    <w:div w:id="454523229">
      <w:bodyDiv w:val="1"/>
      <w:marLeft w:val="0"/>
      <w:marRight w:val="0"/>
      <w:marTop w:val="0"/>
      <w:marBottom w:val="0"/>
      <w:divBdr>
        <w:top w:val="none" w:sz="0" w:space="0" w:color="auto"/>
        <w:left w:val="none" w:sz="0" w:space="0" w:color="auto"/>
        <w:bottom w:val="none" w:sz="0" w:space="0" w:color="auto"/>
        <w:right w:val="none" w:sz="0" w:space="0" w:color="auto"/>
      </w:divBdr>
    </w:div>
    <w:div w:id="483819476">
      <w:bodyDiv w:val="1"/>
      <w:marLeft w:val="0"/>
      <w:marRight w:val="0"/>
      <w:marTop w:val="0"/>
      <w:marBottom w:val="0"/>
      <w:divBdr>
        <w:top w:val="none" w:sz="0" w:space="0" w:color="auto"/>
        <w:left w:val="none" w:sz="0" w:space="0" w:color="auto"/>
        <w:bottom w:val="none" w:sz="0" w:space="0" w:color="auto"/>
        <w:right w:val="none" w:sz="0" w:space="0" w:color="auto"/>
      </w:divBdr>
    </w:div>
    <w:div w:id="486558102">
      <w:bodyDiv w:val="1"/>
      <w:marLeft w:val="0"/>
      <w:marRight w:val="0"/>
      <w:marTop w:val="0"/>
      <w:marBottom w:val="0"/>
      <w:divBdr>
        <w:top w:val="none" w:sz="0" w:space="0" w:color="auto"/>
        <w:left w:val="none" w:sz="0" w:space="0" w:color="auto"/>
        <w:bottom w:val="none" w:sz="0" w:space="0" w:color="auto"/>
        <w:right w:val="none" w:sz="0" w:space="0" w:color="auto"/>
      </w:divBdr>
    </w:div>
    <w:div w:id="507906698">
      <w:bodyDiv w:val="1"/>
      <w:marLeft w:val="0"/>
      <w:marRight w:val="0"/>
      <w:marTop w:val="0"/>
      <w:marBottom w:val="0"/>
      <w:divBdr>
        <w:top w:val="none" w:sz="0" w:space="0" w:color="auto"/>
        <w:left w:val="none" w:sz="0" w:space="0" w:color="auto"/>
        <w:bottom w:val="none" w:sz="0" w:space="0" w:color="auto"/>
        <w:right w:val="none" w:sz="0" w:space="0" w:color="auto"/>
      </w:divBdr>
    </w:div>
    <w:div w:id="514152699">
      <w:bodyDiv w:val="1"/>
      <w:marLeft w:val="0"/>
      <w:marRight w:val="0"/>
      <w:marTop w:val="0"/>
      <w:marBottom w:val="0"/>
      <w:divBdr>
        <w:top w:val="none" w:sz="0" w:space="0" w:color="auto"/>
        <w:left w:val="none" w:sz="0" w:space="0" w:color="auto"/>
        <w:bottom w:val="none" w:sz="0" w:space="0" w:color="auto"/>
        <w:right w:val="none" w:sz="0" w:space="0" w:color="auto"/>
      </w:divBdr>
    </w:div>
    <w:div w:id="581380013">
      <w:bodyDiv w:val="1"/>
      <w:marLeft w:val="0"/>
      <w:marRight w:val="0"/>
      <w:marTop w:val="0"/>
      <w:marBottom w:val="0"/>
      <w:divBdr>
        <w:top w:val="none" w:sz="0" w:space="0" w:color="auto"/>
        <w:left w:val="none" w:sz="0" w:space="0" w:color="auto"/>
        <w:bottom w:val="none" w:sz="0" w:space="0" w:color="auto"/>
        <w:right w:val="none" w:sz="0" w:space="0" w:color="auto"/>
      </w:divBdr>
    </w:div>
    <w:div w:id="799567995">
      <w:bodyDiv w:val="1"/>
      <w:marLeft w:val="0"/>
      <w:marRight w:val="0"/>
      <w:marTop w:val="0"/>
      <w:marBottom w:val="0"/>
      <w:divBdr>
        <w:top w:val="none" w:sz="0" w:space="0" w:color="auto"/>
        <w:left w:val="none" w:sz="0" w:space="0" w:color="auto"/>
        <w:bottom w:val="none" w:sz="0" w:space="0" w:color="auto"/>
        <w:right w:val="none" w:sz="0" w:space="0" w:color="auto"/>
      </w:divBdr>
    </w:div>
    <w:div w:id="888493908">
      <w:bodyDiv w:val="1"/>
      <w:marLeft w:val="0"/>
      <w:marRight w:val="0"/>
      <w:marTop w:val="0"/>
      <w:marBottom w:val="0"/>
      <w:divBdr>
        <w:top w:val="none" w:sz="0" w:space="0" w:color="auto"/>
        <w:left w:val="none" w:sz="0" w:space="0" w:color="auto"/>
        <w:bottom w:val="none" w:sz="0" w:space="0" w:color="auto"/>
        <w:right w:val="none" w:sz="0" w:space="0" w:color="auto"/>
      </w:divBdr>
    </w:div>
    <w:div w:id="901021407">
      <w:bodyDiv w:val="1"/>
      <w:marLeft w:val="0"/>
      <w:marRight w:val="0"/>
      <w:marTop w:val="0"/>
      <w:marBottom w:val="0"/>
      <w:divBdr>
        <w:top w:val="none" w:sz="0" w:space="0" w:color="auto"/>
        <w:left w:val="none" w:sz="0" w:space="0" w:color="auto"/>
        <w:bottom w:val="none" w:sz="0" w:space="0" w:color="auto"/>
        <w:right w:val="none" w:sz="0" w:space="0" w:color="auto"/>
      </w:divBdr>
    </w:div>
    <w:div w:id="933511214">
      <w:bodyDiv w:val="1"/>
      <w:marLeft w:val="0"/>
      <w:marRight w:val="0"/>
      <w:marTop w:val="0"/>
      <w:marBottom w:val="0"/>
      <w:divBdr>
        <w:top w:val="none" w:sz="0" w:space="0" w:color="auto"/>
        <w:left w:val="none" w:sz="0" w:space="0" w:color="auto"/>
        <w:bottom w:val="none" w:sz="0" w:space="0" w:color="auto"/>
        <w:right w:val="none" w:sz="0" w:space="0" w:color="auto"/>
      </w:divBdr>
    </w:div>
    <w:div w:id="957295739">
      <w:bodyDiv w:val="1"/>
      <w:marLeft w:val="0"/>
      <w:marRight w:val="0"/>
      <w:marTop w:val="0"/>
      <w:marBottom w:val="0"/>
      <w:divBdr>
        <w:top w:val="none" w:sz="0" w:space="0" w:color="auto"/>
        <w:left w:val="none" w:sz="0" w:space="0" w:color="auto"/>
        <w:bottom w:val="none" w:sz="0" w:space="0" w:color="auto"/>
        <w:right w:val="none" w:sz="0" w:space="0" w:color="auto"/>
      </w:divBdr>
    </w:div>
    <w:div w:id="962997990">
      <w:bodyDiv w:val="1"/>
      <w:marLeft w:val="0"/>
      <w:marRight w:val="0"/>
      <w:marTop w:val="0"/>
      <w:marBottom w:val="0"/>
      <w:divBdr>
        <w:top w:val="none" w:sz="0" w:space="0" w:color="auto"/>
        <w:left w:val="none" w:sz="0" w:space="0" w:color="auto"/>
        <w:bottom w:val="none" w:sz="0" w:space="0" w:color="auto"/>
        <w:right w:val="none" w:sz="0" w:space="0" w:color="auto"/>
      </w:divBdr>
    </w:div>
    <w:div w:id="972713514">
      <w:bodyDiv w:val="1"/>
      <w:marLeft w:val="0"/>
      <w:marRight w:val="0"/>
      <w:marTop w:val="0"/>
      <w:marBottom w:val="0"/>
      <w:divBdr>
        <w:top w:val="none" w:sz="0" w:space="0" w:color="auto"/>
        <w:left w:val="none" w:sz="0" w:space="0" w:color="auto"/>
        <w:bottom w:val="none" w:sz="0" w:space="0" w:color="auto"/>
        <w:right w:val="none" w:sz="0" w:space="0" w:color="auto"/>
      </w:divBdr>
    </w:div>
    <w:div w:id="983195469">
      <w:bodyDiv w:val="1"/>
      <w:marLeft w:val="0"/>
      <w:marRight w:val="0"/>
      <w:marTop w:val="0"/>
      <w:marBottom w:val="0"/>
      <w:divBdr>
        <w:top w:val="none" w:sz="0" w:space="0" w:color="auto"/>
        <w:left w:val="none" w:sz="0" w:space="0" w:color="auto"/>
        <w:bottom w:val="none" w:sz="0" w:space="0" w:color="auto"/>
        <w:right w:val="none" w:sz="0" w:space="0" w:color="auto"/>
      </w:divBdr>
    </w:div>
    <w:div w:id="995837514">
      <w:bodyDiv w:val="1"/>
      <w:marLeft w:val="0"/>
      <w:marRight w:val="0"/>
      <w:marTop w:val="0"/>
      <w:marBottom w:val="0"/>
      <w:divBdr>
        <w:top w:val="none" w:sz="0" w:space="0" w:color="auto"/>
        <w:left w:val="none" w:sz="0" w:space="0" w:color="auto"/>
        <w:bottom w:val="none" w:sz="0" w:space="0" w:color="auto"/>
        <w:right w:val="none" w:sz="0" w:space="0" w:color="auto"/>
      </w:divBdr>
    </w:div>
    <w:div w:id="1014187475">
      <w:bodyDiv w:val="1"/>
      <w:marLeft w:val="0"/>
      <w:marRight w:val="0"/>
      <w:marTop w:val="0"/>
      <w:marBottom w:val="0"/>
      <w:divBdr>
        <w:top w:val="none" w:sz="0" w:space="0" w:color="auto"/>
        <w:left w:val="none" w:sz="0" w:space="0" w:color="auto"/>
        <w:bottom w:val="none" w:sz="0" w:space="0" w:color="auto"/>
        <w:right w:val="none" w:sz="0" w:space="0" w:color="auto"/>
      </w:divBdr>
    </w:div>
    <w:div w:id="1014724693">
      <w:bodyDiv w:val="1"/>
      <w:marLeft w:val="0"/>
      <w:marRight w:val="0"/>
      <w:marTop w:val="0"/>
      <w:marBottom w:val="0"/>
      <w:divBdr>
        <w:top w:val="none" w:sz="0" w:space="0" w:color="auto"/>
        <w:left w:val="none" w:sz="0" w:space="0" w:color="auto"/>
        <w:bottom w:val="none" w:sz="0" w:space="0" w:color="auto"/>
        <w:right w:val="none" w:sz="0" w:space="0" w:color="auto"/>
      </w:divBdr>
    </w:div>
    <w:div w:id="1023633042">
      <w:bodyDiv w:val="1"/>
      <w:marLeft w:val="0"/>
      <w:marRight w:val="0"/>
      <w:marTop w:val="0"/>
      <w:marBottom w:val="0"/>
      <w:divBdr>
        <w:top w:val="none" w:sz="0" w:space="0" w:color="auto"/>
        <w:left w:val="none" w:sz="0" w:space="0" w:color="auto"/>
        <w:bottom w:val="none" w:sz="0" w:space="0" w:color="auto"/>
        <w:right w:val="none" w:sz="0" w:space="0" w:color="auto"/>
      </w:divBdr>
      <w:divsChild>
        <w:div w:id="1981416697">
          <w:marLeft w:val="0"/>
          <w:marRight w:val="0"/>
          <w:marTop w:val="0"/>
          <w:marBottom w:val="0"/>
          <w:divBdr>
            <w:top w:val="none" w:sz="0" w:space="0" w:color="auto"/>
            <w:left w:val="none" w:sz="0" w:space="0" w:color="auto"/>
            <w:bottom w:val="none" w:sz="0" w:space="0" w:color="auto"/>
            <w:right w:val="none" w:sz="0" w:space="0" w:color="auto"/>
          </w:divBdr>
          <w:divsChild>
            <w:div w:id="1325359958">
              <w:marLeft w:val="0"/>
              <w:marRight w:val="0"/>
              <w:marTop w:val="0"/>
              <w:marBottom w:val="0"/>
              <w:divBdr>
                <w:top w:val="none" w:sz="0" w:space="0" w:color="auto"/>
                <w:left w:val="none" w:sz="0" w:space="0" w:color="auto"/>
                <w:bottom w:val="none" w:sz="0" w:space="0" w:color="auto"/>
                <w:right w:val="none" w:sz="0" w:space="0" w:color="auto"/>
              </w:divBdr>
              <w:divsChild>
                <w:div w:id="1230650491">
                  <w:marLeft w:val="0"/>
                  <w:marRight w:val="0"/>
                  <w:marTop w:val="0"/>
                  <w:marBottom w:val="0"/>
                  <w:divBdr>
                    <w:top w:val="none" w:sz="0" w:space="0" w:color="auto"/>
                    <w:left w:val="none" w:sz="0" w:space="0" w:color="auto"/>
                    <w:bottom w:val="none" w:sz="0" w:space="0" w:color="auto"/>
                    <w:right w:val="none" w:sz="0" w:space="0" w:color="auto"/>
                  </w:divBdr>
                  <w:divsChild>
                    <w:div w:id="469325618">
                      <w:marLeft w:val="0"/>
                      <w:marRight w:val="0"/>
                      <w:marTop w:val="0"/>
                      <w:marBottom w:val="0"/>
                      <w:divBdr>
                        <w:top w:val="none" w:sz="0" w:space="0" w:color="auto"/>
                        <w:left w:val="none" w:sz="0" w:space="0" w:color="auto"/>
                        <w:bottom w:val="none" w:sz="0" w:space="0" w:color="auto"/>
                        <w:right w:val="none" w:sz="0" w:space="0" w:color="auto"/>
                      </w:divBdr>
                      <w:divsChild>
                        <w:div w:id="54645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405670">
      <w:bodyDiv w:val="1"/>
      <w:marLeft w:val="0"/>
      <w:marRight w:val="0"/>
      <w:marTop w:val="0"/>
      <w:marBottom w:val="0"/>
      <w:divBdr>
        <w:top w:val="none" w:sz="0" w:space="0" w:color="auto"/>
        <w:left w:val="none" w:sz="0" w:space="0" w:color="auto"/>
        <w:bottom w:val="none" w:sz="0" w:space="0" w:color="auto"/>
        <w:right w:val="none" w:sz="0" w:space="0" w:color="auto"/>
      </w:divBdr>
      <w:divsChild>
        <w:div w:id="698552936">
          <w:marLeft w:val="0"/>
          <w:marRight w:val="0"/>
          <w:marTop w:val="0"/>
          <w:marBottom w:val="0"/>
          <w:divBdr>
            <w:top w:val="none" w:sz="0" w:space="0" w:color="auto"/>
            <w:left w:val="none" w:sz="0" w:space="0" w:color="auto"/>
            <w:bottom w:val="none" w:sz="0" w:space="0" w:color="auto"/>
            <w:right w:val="none" w:sz="0" w:space="0" w:color="auto"/>
          </w:divBdr>
          <w:divsChild>
            <w:div w:id="76295943">
              <w:marLeft w:val="0"/>
              <w:marRight w:val="0"/>
              <w:marTop w:val="0"/>
              <w:marBottom w:val="0"/>
              <w:divBdr>
                <w:top w:val="none" w:sz="0" w:space="0" w:color="auto"/>
                <w:left w:val="none" w:sz="0" w:space="0" w:color="auto"/>
                <w:bottom w:val="none" w:sz="0" w:space="0" w:color="auto"/>
                <w:right w:val="none" w:sz="0" w:space="0" w:color="auto"/>
              </w:divBdr>
              <w:divsChild>
                <w:div w:id="1411928613">
                  <w:marLeft w:val="0"/>
                  <w:marRight w:val="0"/>
                  <w:marTop w:val="0"/>
                  <w:marBottom w:val="0"/>
                  <w:divBdr>
                    <w:top w:val="none" w:sz="0" w:space="0" w:color="auto"/>
                    <w:left w:val="none" w:sz="0" w:space="0" w:color="auto"/>
                    <w:bottom w:val="none" w:sz="0" w:space="0" w:color="auto"/>
                    <w:right w:val="none" w:sz="0" w:space="0" w:color="auto"/>
                  </w:divBdr>
                  <w:divsChild>
                    <w:div w:id="309596690">
                      <w:marLeft w:val="0"/>
                      <w:marRight w:val="0"/>
                      <w:marTop w:val="0"/>
                      <w:marBottom w:val="0"/>
                      <w:divBdr>
                        <w:top w:val="none" w:sz="0" w:space="0" w:color="auto"/>
                        <w:left w:val="none" w:sz="0" w:space="0" w:color="auto"/>
                        <w:bottom w:val="none" w:sz="0" w:space="0" w:color="auto"/>
                        <w:right w:val="none" w:sz="0" w:space="0" w:color="auto"/>
                      </w:divBdr>
                      <w:divsChild>
                        <w:div w:id="20055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981867">
      <w:bodyDiv w:val="1"/>
      <w:marLeft w:val="0"/>
      <w:marRight w:val="0"/>
      <w:marTop w:val="0"/>
      <w:marBottom w:val="0"/>
      <w:divBdr>
        <w:top w:val="none" w:sz="0" w:space="0" w:color="auto"/>
        <w:left w:val="none" w:sz="0" w:space="0" w:color="auto"/>
        <w:bottom w:val="none" w:sz="0" w:space="0" w:color="auto"/>
        <w:right w:val="none" w:sz="0" w:space="0" w:color="auto"/>
      </w:divBdr>
    </w:div>
    <w:div w:id="1138841418">
      <w:bodyDiv w:val="1"/>
      <w:marLeft w:val="0"/>
      <w:marRight w:val="0"/>
      <w:marTop w:val="0"/>
      <w:marBottom w:val="0"/>
      <w:divBdr>
        <w:top w:val="none" w:sz="0" w:space="0" w:color="auto"/>
        <w:left w:val="none" w:sz="0" w:space="0" w:color="auto"/>
        <w:bottom w:val="none" w:sz="0" w:space="0" w:color="auto"/>
        <w:right w:val="none" w:sz="0" w:space="0" w:color="auto"/>
      </w:divBdr>
    </w:div>
    <w:div w:id="1217932898">
      <w:bodyDiv w:val="1"/>
      <w:marLeft w:val="0"/>
      <w:marRight w:val="0"/>
      <w:marTop w:val="0"/>
      <w:marBottom w:val="0"/>
      <w:divBdr>
        <w:top w:val="none" w:sz="0" w:space="0" w:color="auto"/>
        <w:left w:val="none" w:sz="0" w:space="0" w:color="auto"/>
        <w:bottom w:val="none" w:sz="0" w:space="0" w:color="auto"/>
        <w:right w:val="none" w:sz="0" w:space="0" w:color="auto"/>
      </w:divBdr>
    </w:div>
    <w:div w:id="1263999206">
      <w:bodyDiv w:val="1"/>
      <w:marLeft w:val="0"/>
      <w:marRight w:val="0"/>
      <w:marTop w:val="0"/>
      <w:marBottom w:val="0"/>
      <w:divBdr>
        <w:top w:val="none" w:sz="0" w:space="0" w:color="auto"/>
        <w:left w:val="none" w:sz="0" w:space="0" w:color="auto"/>
        <w:bottom w:val="none" w:sz="0" w:space="0" w:color="auto"/>
        <w:right w:val="none" w:sz="0" w:space="0" w:color="auto"/>
      </w:divBdr>
    </w:div>
    <w:div w:id="1295285111">
      <w:bodyDiv w:val="1"/>
      <w:marLeft w:val="0"/>
      <w:marRight w:val="0"/>
      <w:marTop w:val="0"/>
      <w:marBottom w:val="0"/>
      <w:divBdr>
        <w:top w:val="none" w:sz="0" w:space="0" w:color="auto"/>
        <w:left w:val="none" w:sz="0" w:space="0" w:color="auto"/>
        <w:bottom w:val="none" w:sz="0" w:space="0" w:color="auto"/>
        <w:right w:val="none" w:sz="0" w:space="0" w:color="auto"/>
      </w:divBdr>
    </w:div>
    <w:div w:id="1322927802">
      <w:bodyDiv w:val="1"/>
      <w:marLeft w:val="0"/>
      <w:marRight w:val="0"/>
      <w:marTop w:val="0"/>
      <w:marBottom w:val="0"/>
      <w:divBdr>
        <w:top w:val="none" w:sz="0" w:space="0" w:color="auto"/>
        <w:left w:val="none" w:sz="0" w:space="0" w:color="auto"/>
        <w:bottom w:val="none" w:sz="0" w:space="0" w:color="auto"/>
        <w:right w:val="none" w:sz="0" w:space="0" w:color="auto"/>
      </w:divBdr>
    </w:div>
    <w:div w:id="1358047665">
      <w:bodyDiv w:val="1"/>
      <w:marLeft w:val="0"/>
      <w:marRight w:val="0"/>
      <w:marTop w:val="0"/>
      <w:marBottom w:val="0"/>
      <w:divBdr>
        <w:top w:val="none" w:sz="0" w:space="0" w:color="auto"/>
        <w:left w:val="none" w:sz="0" w:space="0" w:color="auto"/>
        <w:bottom w:val="none" w:sz="0" w:space="0" w:color="auto"/>
        <w:right w:val="none" w:sz="0" w:space="0" w:color="auto"/>
      </w:divBdr>
    </w:div>
    <w:div w:id="1363046841">
      <w:bodyDiv w:val="1"/>
      <w:marLeft w:val="0"/>
      <w:marRight w:val="0"/>
      <w:marTop w:val="0"/>
      <w:marBottom w:val="0"/>
      <w:divBdr>
        <w:top w:val="none" w:sz="0" w:space="0" w:color="auto"/>
        <w:left w:val="none" w:sz="0" w:space="0" w:color="auto"/>
        <w:bottom w:val="none" w:sz="0" w:space="0" w:color="auto"/>
        <w:right w:val="none" w:sz="0" w:space="0" w:color="auto"/>
      </w:divBdr>
    </w:div>
    <w:div w:id="1387795218">
      <w:bodyDiv w:val="1"/>
      <w:marLeft w:val="0"/>
      <w:marRight w:val="0"/>
      <w:marTop w:val="0"/>
      <w:marBottom w:val="0"/>
      <w:divBdr>
        <w:top w:val="none" w:sz="0" w:space="0" w:color="auto"/>
        <w:left w:val="none" w:sz="0" w:space="0" w:color="auto"/>
        <w:bottom w:val="none" w:sz="0" w:space="0" w:color="auto"/>
        <w:right w:val="none" w:sz="0" w:space="0" w:color="auto"/>
      </w:divBdr>
    </w:div>
    <w:div w:id="1469782162">
      <w:bodyDiv w:val="1"/>
      <w:marLeft w:val="0"/>
      <w:marRight w:val="0"/>
      <w:marTop w:val="0"/>
      <w:marBottom w:val="0"/>
      <w:divBdr>
        <w:top w:val="none" w:sz="0" w:space="0" w:color="auto"/>
        <w:left w:val="none" w:sz="0" w:space="0" w:color="auto"/>
        <w:bottom w:val="none" w:sz="0" w:space="0" w:color="auto"/>
        <w:right w:val="none" w:sz="0" w:space="0" w:color="auto"/>
      </w:divBdr>
    </w:div>
    <w:div w:id="1536574257">
      <w:bodyDiv w:val="1"/>
      <w:marLeft w:val="0"/>
      <w:marRight w:val="0"/>
      <w:marTop w:val="0"/>
      <w:marBottom w:val="0"/>
      <w:divBdr>
        <w:top w:val="none" w:sz="0" w:space="0" w:color="auto"/>
        <w:left w:val="none" w:sz="0" w:space="0" w:color="auto"/>
        <w:bottom w:val="none" w:sz="0" w:space="0" w:color="auto"/>
        <w:right w:val="none" w:sz="0" w:space="0" w:color="auto"/>
      </w:divBdr>
    </w:div>
    <w:div w:id="1594390201">
      <w:bodyDiv w:val="1"/>
      <w:marLeft w:val="0"/>
      <w:marRight w:val="0"/>
      <w:marTop w:val="0"/>
      <w:marBottom w:val="0"/>
      <w:divBdr>
        <w:top w:val="none" w:sz="0" w:space="0" w:color="auto"/>
        <w:left w:val="none" w:sz="0" w:space="0" w:color="auto"/>
        <w:bottom w:val="none" w:sz="0" w:space="0" w:color="auto"/>
        <w:right w:val="none" w:sz="0" w:space="0" w:color="auto"/>
      </w:divBdr>
    </w:div>
    <w:div w:id="1595674138">
      <w:bodyDiv w:val="1"/>
      <w:marLeft w:val="0"/>
      <w:marRight w:val="0"/>
      <w:marTop w:val="0"/>
      <w:marBottom w:val="0"/>
      <w:divBdr>
        <w:top w:val="none" w:sz="0" w:space="0" w:color="auto"/>
        <w:left w:val="none" w:sz="0" w:space="0" w:color="auto"/>
        <w:bottom w:val="none" w:sz="0" w:space="0" w:color="auto"/>
        <w:right w:val="none" w:sz="0" w:space="0" w:color="auto"/>
      </w:divBdr>
    </w:div>
    <w:div w:id="1666280655">
      <w:bodyDiv w:val="1"/>
      <w:marLeft w:val="0"/>
      <w:marRight w:val="0"/>
      <w:marTop w:val="0"/>
      <w:marBottom w:val="0"/>
      <w:divBdr>
        <w:top w:val="none" w:sz="0" w:space="0" w:color="auto"/>
        <w:left w:val="none" w:sz="0" w:space="0" w:color="auto"/>
        <w:bottom w:val="none" w:sz="0" w:space="0" w:color="auto"/>
        <w:right w:val="none" w:sz="0" w:space="0" w:color="auto"/>
      </w:divBdr>
    </w:div>
    <w:div w:id="1669552088">
      <w:bodyDiv w:val="1"/>
      <w:marLeft w:val="0"/>
      <w:marRight w:val="0"/>
      <w:marTop w:val="0"/>
      <w:marBottom w:val="0"/>
      <w:divBdr>
        <w:top w:val="none" w:sz="0" w:space="0" w:color="auto"/>
        <w:left w:val="none" w:sz="0" w:space="0" w:color="auto"/>
        <w:bottom w:val="none" w:sz="0" w:space="0" w:color="auto"/>
        <w:right w:val="none" w:sz="0" w:space="0" w:color="auto"/>
      </w:divBdr>
    </w:div>
    <w:div w:id="1739012697">
      <w:bodyDiv w:val="1"/>
      <w:marLeft w:val="0"/>
      <w:marRight w:val="0"/>
      <w:marTop w:val="0"/>
      <w:marBottom w:val="0"/>
      <w:divBdr>
        <w:top w:val="none" w:sz="0" w:space="0" w:color="auto"/>
        <w:left w:val="none" w:sz="0" w:space="0" w:color="auto"/>
        <w:bottom w:val="none" w:sz="0" w:space="0" w:color="auto"/>
        <w:right w:val="none" w:sz="0" w:space="0" w:color="auto"/>
      </w:divBdr>
    </w:div>
    <w:div w:id="1814954105">
      <w:bodyDiv w:val="1"/>
      <w:marLeft w:val="0"/>
      <w:marRight w:val="0"/>
      <w:marTop w:val="0"/>
      <w:marBottom w:val="0"/>
      <w:divBdr>
        <w:top w:val="none" w:sz="0" w:space="0" w:color="auto"/>
        <w:left w:val="none" w:sz="0" w:space="0" w:color="auto"/>
        <w:bottom w:val="none" w:sz="0" w:space="0" w:color="auto"/>
        <w:right w:val="none" w:sz="0" w:space="0" w:color="auto"/>
      </w:divBdr>
    </w:div>
    <w:div w:id="1829010612">
      <w:bodyDiv w:val="1"/>
      <w:marLeft w:val="0"/>
      <w:marRight w:val="0"/>
      <w:marTop w:val="0"/>
      <w:marBottom w:val="0"/>
      <w:divBdr>
        <w:top w:val="none" w:sz="0" w:space="0" w:color="auto"/>
        <w:left w:val="none" w:sz="0" w:space="0" w:color="auto"/>
        <w:bottom w:val="none" w:sz="0" w:space="0" w:color="auto"/>
        <w:right w:val="none" w:sz="0" w:space="0" w:color="auto"/>
      </w:divBdr>
    </w:div>
    <w:div w:id="1832793608">
      <w:bodyDiv w:val="1"/>
      <w:marLeft w:val="0"/>
      <w:marRight w:val="0"/>
      <w:marTop w:val="0"/>
      <w:marBottom w:val="0"/>
      <w:divBdr>
        <w:top w:val="none" w:sz="0" w:space="0" w:color="auto"/>
        <w:left w:val="none" w:sz="0" w:space="0" w:color="auto"/>
        <w:bottom w:val="none" w:sz="0" w:space="0" w:color="auto"/>
        <w:right w:val="none" w:sz="0" w:space="0" w:color="auto"/>
      </w:divBdr>
    </w:div>
    <w:div w:id="1841576738">
      <w:bodyDiv w:val="1"/>
      <w:marLeft w:val="0"/>
      <w:marRight w:val="0"/>
      <w:marTop w:val="0"/>
      <w:marBottom w:val="0"/>
      <w:divBdr>
        <w:top w:val="none" w:sz="0" w:space="0" w:color="auto"/>
        <w:left w:val="none" w:sz="0" w:space="0" w:color="auto"/>
        <w:bottom w:val="none" w:sz="0" w:space="0" w:color="auto"/>
        <w:right w:val="none" w:sz="0" w:space="0" w:color="auto"/>
      </w:divBdr>
    </w:div>
    <w:div w:id="1973367580">
      <w:bodyDiv w:val="1"/>
      <w:marLeft w:val="0"/>
      <w:marRight w:val="0"/>
      <w:marTop w:val="0"/>
      <w:marBottom w:val="0"/>
      <w:divBdr>
        <w:top w:val="none" w:sz="0" w:space="0" w:color="auto"/>
        <w:left w:val="none" w:sz="0" w:space="0" w:color="auto"/>
        <w:bottom w:val="none" w:sz="0" w:space="0" w:color="auto"/>
        <w:right w:val="none" w:sz="0" w:space="0" w:color="auto"/>
      </w:divBdr>
    </w:div>
    <w:div w:id="2016420741">
      <w:bodyDiv w:val="1"/>
      <w:marLeft w:val="0"/>
      <w:marRight w:val="0"/>
      <w:marTop w:val="0"/>
      <w:marBottom w:val="0"/>
      <w:divBdr>
        <w:top w:val="none" w:sz="0" w:space="0" w:color="auto"/>
        <w:left w:val="none" w:sz="0" w:space="0" w:color="auto"/>
        <w:bottom w:val="none" w:sz="0" w:space="0" w:color="auto"/>
        <w:right w:val="none" w:sz="0" w:space="0" w:color="auto"/>
      </w:divBdr>
    </w:div>
    <w:div w:id="2021272555">
      <w:bodyDiv w:val="1"/>
      <w:marLeft w:val="0"/>
      <w:marRight w:val="0"/>
      <w:marTop w:val="0"/>
      <w:marBottom w:val="0"/>
      <w:divBdr>
        <w:top w:val="none" w:sz="0" w:space="0" w:color="auto"/>
        <w:left w:val="none" w:sz="0" w:space="0" w:color="auto"/>
        <w:bottom w:val="none" w:sz="0" w:space="0" w:color="auto"/>
        <w:right w:val="none" w:sz="0" w:space="0" w:color="auto"/>
      </w:divBdr>
    </w:div>
    <w:div w:id="2031838077">
      <w:bodyDiv w:val="1"/>
      <w:marLeft w:val="0"/>
      <w:marRight w:val="0"/>
      <w:marTop w:val="0"/>
      <w:marBottom w:val="0"/>
      <w:divBdr>
        <w:top w:val="none" w:sz="0" w:space="0" w:color="auto"/>
        <w:left w:val="none" w:sz="0" w:space="0" w:color="auto"/>
        <w:bottom w:val="none" w:sz="0" w:space="0" w:color="auto"/>
        <w:right w:val="none" w:sz="0" w:space="0" w:color="auto"/>
      </w:divBdr>
    </w:div>
    <w:div w:id="2038240698">
      <w:bodyDiv w:val="1"/>
      <w:marLeft w:val="0"/>
      <w:marRight w:val="0"/>
      <w:marTop w:val="0"/>
      <w:marBottom w:val="0"/>
      <w:divBdr>
        <w:top w:val="none" w:sz="0" w:space="0" w:color="auto"/>
        <w:left w:val="none" w:sz="0" w:space="0" w:color="auto"/>
        <w:bottom w:val="none" w:sz="0" w:space="0" w:color="auto"/>
        <w:right w:val="none" w:sz="0" w:space="0" w:color="auto"/>
      </w:divBdr>
    </w:div>
    <w:div w:id="2055225977">
      <w:bodyDiv w:val="1"/>
      <w:marLeft w:val="0"/>
      <w:marRight w:val="0"/>
      <w:marTop w:val="0"/>
      <w:marBottom w:val="0"/>
      <w:divBdr>
        <w:top w:val="none" w:sz="0" w:space="0" w:color="auto"/>
        <w:left w:val="none" w:sz="0" w:space="0" w:color="auto"/>
        <w:bottom w:val="none" w:sz="0" w:space="0" w:color="auto"/>
        <w:right w:val="none" w:sz="0" w:space="0" w:color="auto"/>
      </w:divBdr>
    </w:div>
    <w:div w:id="2108959708">
      <w:bodyDiv w:val="1"/>
      <w:marLeft w:val="0"/>
      <w:marRight w:val="0"/>
      <w:marTop w:val="0"/>
      <w:marBottom w:val="0"/>
      <w:divBdr>
        <w:top w:val="none" w:sz="0" w:space="0" w:color="auto"/>
        <w:left w:val="none" w:sz="0" w:space="0" w:color="auto"/>
        <w:bottom w:val="none" w:sz="0" w:space="0" w:color="auto"/>
        <w:right w:val="none" w:sz="0" w:space="0" w:color="auto"/>
      </w:divBdr>
    </w:div>
    <w:div w:id="2110153831">
      <w:bodyDiv w:val="1"/>
      <w:marLeft w:val="0"/>
      <w:marRight w:val="0"/>
      <w:marTop w:val="0"/>
      <w:marBottom w:val="0"/>
      <w:divBdr>
        <w:top w:val="none" w:sz="0" w:space="0" w:color="auto"/>
        <w:left w:val="none" w:sz="0" w:space="0" w:color="auto"/>
        <w:bottom w:val="none" w:sz="0" w:space="0" w:color="auto"/>
        <w:right w:val="none" w:sz="0" w:space="0" w:color="auto"/>
      </w:divBdr>
    </w:div>
    <w:div w:id="2125228724">
      <w:bodyDiv w:val="1"/>
      <w:marLeft w:val="0"/>
      <w:marRight w:val="0"/>
      <w:marTop w:val="0"/>
      <w:marBottom w:val="0"/>
      <w:divBdr>
        <w:top w:val="none" w:sz="0" w:space="0" w:color="auto"/>
        <w:left w:val="none" w:sz="0" w:space="0" w:color="auto"/>
        <w:bottom w:val="none" w:sz="0" w:space="0" w:color="auto"/>
        <w:right w:val="none" w:sz="0" w:space="0" w:color="auto"/>
      </w:divBdr>
    </w:div>
    <w:div w:id="2128113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footer" Target="footer4.xml"/><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eader" Target="header3.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eader" Target="header5.xml"/><Relationship Id="rId28"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9.emf"/><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4.emf"/><Relationship Id="rId22" Type="http://schemas.openxmlformats.org/officeDocument/2006/relationships/footer" Target="footer2.xml"/><Relationship Id="rId27" Type="http://schemas.openxmlformats.org/officeDocument/2006/relationships/hyperlink" Target="http://www.tga.gov.au/hp/information-medicines-pi.htm" TargetMode="External"/><Relationship Id="rId30" Type="http://schemas.openxmlformats.org/officeDocument/2006/relationships/header" Target="header7.xml"/><Relationship Id="rId35" Type="http://schemas.openxmlformats.org/officeDocument/2006/relationships/theme" Target="theme/theme1.xml"/></Relationships>
</file>

<file path=word/_rels/footer6.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ema.europa.eu/docs/en_GB/document_library/Scientific_guideline/2009/09/WC500003870.pdf" TargetMode="External"/><Relationship Id="rId1" Type="http://schemas.openxmlformats.org/officeDocument/2006/relationships/hyperlink" Target="http://www.interscience.wiley.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smar\AppData\Local\Hewlett-Packard\HP%20TRIM\TEMP\HPTRIM.5052\R12%20926607%20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5AE358-6F01-4527-8D1A-C3CAAA63A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template.DOTX</Template>
  <TotalTime>235</TotalTime>
  <Pages>67</Pages>
  <Words>28781</Words>
  <Characters>164055</Characters>
  <Application>Microsoft Office Word</Application>
  <DocSecurity>0</DocSecurity>
  <Lines>1367</Lines>
  <Paragraphs>384</Paragraphs>
  <ScaleCrop>false</ScaleCrop>
  <HeadingPairs>
    <vt:vector size="2" baseType="variant">
      <vt:variant>
        <vt:lpstr>Title</vt:lpstr>
      </vt:variant>
      <vt:variant>
        <vt:i4>1</vt:i4>
      </vt:variant>
    </vt:vector>
  </HeadingPairs>
  <TitlesOfParts>
    <vt:vector size="1" baseType="lpstr">
      <vt:lpstr>Australian Public Assessment Report for Multi-Component Meningococcal B vaccind</vt:lpstr>
    </vt:vector>
  </TitlesOfParts>
  <Company>TGA</Company>
  <LinksUpToDate>false</LinksUpToDate>
  <CharactersWithSpaces>192452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Multi-Component Meningococcal B vaccind</dc:title>
  <dc:subject>prescription medicine regulation</dc:subject>
  <dc:creator>Therapeutic Goods Administration</dc:creator>
  <cp:keywords>auspar, prescription, medicine, assessment, regulation, australia, meningococcal b, vaccine, bexsero, novartis</cp:keywords>
  <cp:lastModifiedBy>Sheppard, Fran</cp:lastModifiedBy>
  <cp:revision>40</cp:revision>
  <cp:lastPrinted>2010-12-20T22:59:00Z</cp:lastPrinted>
  <dcterms:created xsi:type="dcterms:W3CDTF">2013-10-24T04:24:00Z</dcterms:created>
  <dcterms:modified xsi:type="dcterms:W3CDTF">2013-12-06T01:26:00Z</dcterms:modified>
</cp:coreProperties>
</file>