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DD25D7" w:rsidTr="00BF1190">
        <w:trPr>
          <w:trHeight w:val="1863"/>
        </w:trPr>
        <w:tc>
          <w:tcPr>
            <w:tcW w:w="3652" w:type="dxa"/>
            <w:tcBorders>
              <w:top w:val="nil"/>
              <w:left w:val="nil"/>
              <w:bottom w:val="nil"/>
              <w:right w:val="nil"/>
            </w:tcBorders>
          </w:tcPr>
          <w:p w:rsidR="008E7846" w:rsidRPr="00DD25D7" w:rsidRDefault="005B5C84" w:rsidP="0017078F">
            <w:pPr>
              <w:rPr>
                <w:rFonts w:ascii="Arial" w:hAnsi="Arial" w:cs="Arial"/>
                <w:b/>
                <w:color w:val="002C47"/>
                <w:sz w:val="36"/>
                <w:szCs w:val="36"/>
              </w:rPr>
            </w:pPr>
            <w:r w:rsidRPr="00DD25D7">
              <w:rPr>
                <w:rFonts w:ascii="Arial" w:hAnsi="Arial" w:cs="Arial"/>
                <w:b/>
                <w:color w:val="002C47"/>
                <w:sz w:val="36"/>
                <w:szCs w:val="36"/>
              </w:rPr>
              <w:t>30 October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DD25D7" w:rsidTr="00E07F15">
        <w:trPr>
          <w:trHeight w:val="1548"/>
        </w:trPr>
        <w:tc>
          <w:tcPr>
            <w:tcW w:w="9079" w:type="dxa"/>
          </w:tcPr>
          <w:p w:rsidR="0032583B" w:rsidRPr="00DD25D7" w:rsidRDefault="00E07F15" w:rsidP="00A964D1">
            <w:pPr>
              <w:pStyle w:val="Title"/>
              <w:rPr>
                <w:color w:val="FFFFFF" w:themeColor="background1"/>
              </w:rPr>
            </w:pPr>
            <w:r w:rsidRPr="00DD25D7">
              <w:rPr>
                <w:color w:val="FFFFFF" w:themeColor="background1"/>
              </w:rPr>
              <w:t>AusPAR Attachment 2</w:t>
            </w:r>
          </w:p>
        </w:tc>
      </w:tr>
      <w:tr w:rsidR="00E07F15" w:rsidRPr="00DD25D7" w:rsidTr="00E07F15">
        <w:trPr>
          <w:trHeight w:val="868"/>
        </w:trPr>
        <w:tc>
          <w:tcPr>
            <w:tcW w:w="9079" w:type="dxa"/>
          </w:tcPr>
          <w:p w:rsidR="00E07F15" w:rsidRPr="00DD25D7" w:rsidRDefault="00E07F15" w:rsidP="00541580">
            <w:pPr>
              <w:pStyle w:val="Title"/>
              <w:rPr>
                <w:color w:val="FFFFFF" w:themeColor="background1"/>
              </w:rPr>
            </w:pPr>
            <w:r w:rsidRPr="00DD25D7">
              <w:rPr>
                <w:color w:val="FFFFFF" w:themeColor="background1"/>
              </w:rPr>
              <w:t xml:space="preserve">Extract from the Clinical Evaluation Report for </w:t>
            </w:r>
            <w:r w:rsidR="00541580" w:rsidRPr="00DD25D7">
              <w:rPr>
                <w:color w:val="FFFFFF" w:themeColor="background1"/>
              </w:rPr>
              <w:t>Records -Meningococcal group B vaccine</w:t>
            </w:r>
          </w:p>
        </w:tc>
      </w:tr>
      <w:tr w:rsidR="00E07F15" w:rsidRPr="00DD25D7" w:rsidTr="00E07F15">
        <w:tc>
          <w:tcPr>
            <w:tcW w:w="9079" w:type="dxa"/>
          </w:tcPr>
          <w:p w:rsidR="00E07F15" w:rsidRPr="00DD25D7" w:rsidRDefault="00E07F15" w:rsidP="00E07F15">
            <w:pPr>
              <w:pStyle w:val="Subtitle"/>
              <w:rPr>
                <w:color w:val="FFFFFF" w:themeColor="background1"/>
              </w:rPr>
            </w:pPr>
            <w:r w:rsidRPr="00DD25D7">
              <w:rPr>
                <w:color w:val="FFFFFF" w:themeColor="background1"/>
              </w:rPr>
              <w:t>Proprietary Product Name:</w:t>
            </w:r>
            <w:r w:rsidR="00541580" w:rsidRPr="00DD25D7">
              <w:rPr>
                <w:color w:val="FFFFFF" w:themeColor="background1"/>
              </w:rPr>
              <w:t xml:space="preserve"> Trumenba</w:t>
            </w:r>
          </w:p>
        </w:tc>
      </w:tr>
      <w:tr w:rsidR="00E07F15" w:rsidRPr="00DD25D7" w:rsidTr="00E07F15">
        <w:trPr>
          <w:trHeight w:val="486"/>
        </w:trPr>
        <w:tc>
          <w:tcPr>
            <w:tcW w:w="9079" w:type="dxa"/>
          </w:tcPr>
          <w:p w:rsidR="00E07F15" w:rsidRPr="00DD25D7" w:rsidRDefault="00E07F15" w:rsidP="00E07F15">
            <w:pPr>
              <w:pStyle w:val="Subtitle"/>
              <w:rPr>
                <w:color w:val="FFFFFF" w:themeColor="background1"/>
              </w:rPr>
            </w:pPr>
            <w:r w:rsidRPr="00DD25D7">
              <w:rPr>
                <w:color w:val="FFFFFF" w:themeColor="background1"/>
              </w:rPr>
              <w:t>Sponsor:</w:t>
            </w:r>
            <w:r w:rsidR="00743EF5" w:rsidRPr="00DD25D7">
              <w:rPr>
                <w:color w:val="FFFFFF" w:themeColor="background1"/>
              </w:rPr>
              <w:t xml:space="preserve"> </w:t>
            </w:r>
            <w:r w:rsidR="00541580" w:rsidRPr="00DD25D7">
              <w:rPr>
                <w:color w:val="FFFFFF" w:themeColor="background1"/>
              </w:rPr>
              <w:t>Pfizer Australia Pty Ltd</w:t>
            </w:r>
          </w:p>
        </w:tc>
      </w:tr>
    </w:tbl>
    <w:p w:rsidR="008E7846" w:rsidRPr="00DD25D7" w:rsidRDefault="008E7846" w:rsidP="008E7846">
      <w:pPr>
        <w:pStyle w:val="NonTOCHeading2"/>
      </w:pPr>
      <w:r w:rsidRPr="00DD25D7">
        <w:br w:type="page"/>
      </w:r>
    </w:p>
    <w:p w:rsidR="008E7846" w:rsidRPr="00DD25D7" w:rsidRDefault="008E7846" w:rsidP="008E7846">
      <w:pPr>
        <w:pStyle w:val="NonTOCHeading2"/>
      </w:pPr>
      <w:r w:rsidRPr="00DD25D7">
        <w:lastRenderedPageBreak/>
        <w:t>About the Therapeutic Goods Administration (TGA)</w:t>
      </w:r>
    </w:p>
    <w:p w:rsidR="008E7846" w:rsidRPr="00DD25D7" w:rsidRDefault="008E7846" w:rsidP="008E7846">
      <w:pPr>
        <w:pStyle w:val="ListBullet"/>
        <w:numPr>
          <w:ilvl w:val="0"/>
          <w:numId w:val="3"/>
        </w:numPr>
        <w:ind w:left="357" w:hanging="357"/>
      </w:pPr>
      <w:r w:rsidRPr="00DD25D7">
        <w:t xml:space="preserve">The Therapeutic Goods Administration (TGA) is </w:t>
      </w:r>
      <w:r w:rsidR="00E624A5" w:rsidRPr="00DD25D7">
        <w:t xml:space="preserve">part </w:t>
      </w:r>
      <w:r w:rsidRPr="00DD25D7">
        <w:t>of the Australian Government Department of Health, and is responsible for regulating medicines and medical devices.</w:t>
      </w:r>
    </w:p>
    <w:p w:rsidR="008E7846" w:rsidRPr="00DD25D7" w:rsidRDefault="00C811C0" w:rsidP="008E7846">
      <w:pPr>
        <w:pStyle w:val="ListBullet"/>
        <w:numPr>
          <w:ilvl w:val="0"/>
          <w:numId w:val="3"/>
        </w:numPr>
        <w:ind w:left="357" w:hanging="357"/>
      </w:pPr>
      <w:r w:rsidRPr="00DD25D7">
        <w:t xml:space="preserve">The </w:t>
      </w:r>
      <w:r w:rsidR="008E7846" w:rsidRPr="00DD25D7">
        <w:t xml:space="preserve">TGA administers the </w:t>
      </w:r>
      <w:r w:rsidR="008E7846" w:rsidRPr="00DD25D7">
        <w:rPr>
          <w:i/>
        </w:rPr>
        <w:t>Therapeutic Goods Act 1989</w:t>
      </w:r>
      <w:r w:rsidR="008E7846" w:rsidRPr="00DD25D7">
        <w:t xml:space="preserve"> (the Act), applying a risk management approach designed to ensure therapeutic goods supplied in Australia meet acceptable standards of quality, safety and efficacy (performance), when necessary.</w:t>
      </w:r>
    </w:p>
    <w:p w:rsidR="008E7846" w:rsidRPr="00DD25D7" w:rsidRDefault="008E7846" w:rsidP="008E7846">
      <w:pPr>
        <w:pStyle w:val="ListBullet"/>
        <w:numPr>
          <w:ilvl w:val="0"/>
          <w:numId w:val="3"/>
        </w:numPr>
        <w:ind w:left="357" w:hanging="357"/>
      </w:pPr>
      <w:r w:rsidRPr="00DD25D7">
        <w:t>The work of the TGA is based on applying scientific and clinical expertise to decision-making, to ensure that the benefits to consumers outweigh any risks associated with the use of medicines and medical devices.</w:t>
      </w:r>
    </w:p>
    <w:p w:rsidR="008E7846" w:rsidRPr="00DD25D7" w:rsidRDefault="008E7846" w:rsidP="008E7846">
      <w:pPr>
        <w:pStyle w:val="ListBullet"/>
        <w:numPr>
          <w:ilvl w:val="0"/>
          <w:numId w:val="3"/>
        </w:numPr>
        <w:ind w:left="357" w:hanging="357"/>
      </w:pPr>
      <w:r w:rsidRPr="00DD25D7">
        <w:t>The TGA relies on the public, healthcare professionals and industry to report problems with medicines or medical devices. TGA investigates reports received by it to determine any necessary regulatory action.</w:t>
      </w:r>
    </w:p>
    <w:p w:rsidR="008E7846" w:rsidRPr="00DD25D7" w:rsidRDefault="008E7846" w:rsidP="008E7846">
      <w:pPr>
        <w:pStyle w:val="ListBullet"/>
        <w:numPr>
          <w:ilvl w:val="0"/>
          <w:numId w:val="3"/>
        </w:numPr>
        <w:ind w:left="357" w:hanging="357"/>
      </w:pPr>
      <w:r w:rsidRPr="00DD25D7">
        <w:t>To report a problem with a medicine or medical device, please see the information on the TGA website</w:t>
      </w:r>
      <w:r w:rsidR="00112F56" w:rsidRPr="00DD25D7">
        <w:t xml:space="preserve"> </w:t>
      </w:r>
      <w:r w:rsidR="00032B77" w:rsidRPr="00DD25D7">
        <w:t>&lt;</w:t>
      </w:r>
      <w:hyperlink r:id="rId9" w:history="1">
        <w:r w:rsidR="00E979F4" w:rsidRPr="00DD25D7">
          <w:rPr>
            <w:rStyle w:val="Hyperlink"/>
          </w:rPr>
          <w:t>https://www.tga.gov.au</w:t>
        </w:r>
      </w:hyperlink>
      <w:r w:rsidR="00112F56" w:rsidRPr="00DD25D7">
        <w:t>&gt;</w:t>
      </w:r>
      <w:r w:rsidRPr="00DD25D7">
        <w:t>.</w:t>
      </w:r>
    </w:p>
    <w:p w:rsidR="0017078F" w:rsidRPr="00DD25D7" w:rsidRDefault="0017078F" w:rsidP="0017078F">
      <w:pPr>
        <w:pStyle w:val="NonTOCHeading2"/>
      </w:pPr>
      <w:r w:rsidRPr="00DD25D7">
        <w:t>About the Extract from the Clinical Evaluation Report</w:t>
      </w:r>
    </w:p>
    <w:p w:rsidR="0017078F" w:rsidRPr="00DD25D7" w:rsidRDefault="003D0A3B" w:rsidP="0017078F">
      <w:pPr>
        <w:pStyle w:val="ListBullet"/>
      </w:pPr>
      <w:r w:rsidRPr="00DD25D7">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DD25D7" w:rsidRDefault="003D0A3B" w:rsidP="003D0A3B">
      <w:pPr>
        <w:pStyle w:val="ListBullet"/>
      </w:pPr>
      <w:r w:rsidRPr="00DD25D7">
        <w:t>The words [Information redacted], where they appear in this document, indicate that confidential information has been deleted.</w:t>
      </w:r>
    </w:p>
    <w:p w:rsidR="0017078F" w:rsidRPr="00DD25D7" w:rsidRDefault="003D0A3B" w:rsidP="0017078F">
      <w:pPr>
        <w:pStyle w:val="ListBullet"/>
      </w:pPr>
      <w:r w:rsidRPr="00DD25D7">
        <w:t xml:space="preserve">For the most recent Product Information (PI), please refer to the TGA website </w:t>
      </w:r>
      <w:r w:rsidR="009D786E">
        <w:t>&lt;</w:t>
      </w:r>
      <w:hyperlink r:id="rId10" w:history="1">
        <w:r w:rsidR="0010193C" w:rsidRPr="00DD25D7">
          <w:rPr>
            <w:rStyle w:val="Hyperlink"/>
          </w:rPr>
          <w:t>https://www.tga.gov.au/product-information-pi</w:t>
        </w:r>
      </w:hyperlink>
      <w:r w:rsidR="0017078F" w:rsidRPr="00DD25D7">
        <w:t>&gt;.</w:t>
      </w:r>
    </w:p>
    <w:p w:rsidR="00924482" w:rsidRPr="00DD25D7" w:rsidRDefault="00924482" w:rsidP="00541580">
      <w:pPr>
        <w:pStyle w:val="LegalSubheading"/>
        <w:spacing w:before="3960"/>
      </w:pPr>
      <w:r w:rsidRPr="00DD25D7">
        <w:t>Copyright</w:t>
      </w:r>
    </w:p>
    <w:p w:rsidR="00924482" w:rsidRPr="00DD25D7" w:rsidRDefault="00924482" w:rsidP="00924482">
      <w:pPr>
        <w:pStyle w:val="LegalCopy"/>
      </w:pPr>
      <w:r w:rsidRPr="00A40358">
        <w:rPr>
          <w:rFonts w:cs="Arial"/>
          <w:lang w:val="en-GB"/>
        </w:rPr>
        <w:t>© Commonwealth of Australia 201</w:t>
      </w:r>
      <w:r w:rsidR="00575E67" w:rsidRPr="00A40358">
        <w:rPr>
          <w:rFonts w:cs="Arial"/>
          <w:lang w:val="en-GB"/>
        </w:rPr>
        <w:t>8</w:t>
      </w:r>
      <w:r w:rsidRPr="00A40358">
        <w:rPr>
          <w:rFonts w:cs="Arial"/>
          <w:lang w:val="en-GB"/>
        </w:rPr>
        <w:br/>
      </w:r>
      <w:proofErr w:type="gramStart"/>
      <w:r w:rsidRPr="00A40358">
        <w:rPr>
          <w:rFonts w:cs="Arial"/>
          <w:lang w:val="en-GB"/>
        </w:rPr>
        <w:t>This</w:t>
      </w:r>
      <w:proofErr w:type="gramEnd"/>
      <w:r w:rsidRPr="00A40358">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A40358">
        <w:rPr>
          <w:rFonts w:cs="Arial"/>
          <w:i/>
          <w:lang w:val="en-GB"/>
        </w:rPr>
        <w:t>Copyright Act 1968</w:t>
      </w:r>
      <w:r w:rsidRPr="00A40358">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A40358">
        <w:rPr>
          <w:rFonts w:cs="Arial"/>
          <w:lang w:val="en-GB"/>
        </w:rPr>
        <w:t>Woden</w:t>
      </w:r>
      <w:proofErr w:type="spellEnd"/>
      <w:r w:rsidRPr="00A40358">
        <w:rPr>
          <w:rFonts w:cs="Arial"/>
          <w:lang w:val="en-GB"/>
        </w:rPr>
        <w:t xml:space="preserve"> ACT 2606 or emailed to </w:t>
      </w:r>
      <w:r w:rsidR="00032B77" w:rsidRPr="00A40358">
        <w:rPr>
          <w:rFonts w:cs="Arial"/>
          <w:lang w:val="en-GB"/>
        </w:rPr>
        <w:t xml:space="preserve">&lt; </w:t>
      </w:r>
      <w:hyperlink r:id="rId11" w:history="1">
        <w:r w:rsidRPr="00A40358">
          <w:rPr>
            <w:rStyle w:val="Hyperlink"/>
            <w:rFonts w:cs="Arial"/>
            <w:lang w:val="en-GB"/>
          </w:rPr>
          <w:t>tga.copyright@tga.gov.au</w:t>
        </w:r>
      </w:hyperlink>
      <w:r w:rsidRPr="00DD25D7">
        <w:rPr>
          <w:rFonts w:cs="Arial"/>
        </w:rPr>
        <w:t>&gt;.</w:t>
      </w:r>
    </w:p>
    <w:p w:rsidR="00924482" w:rsidRPr="00DD25D7" w:rsidRDefault="00924482" w:rsidP="00924482">
      <w:pPr>
        <w:pStyle w:val="LegalCopy"/>
        <w:sectPr w:rsidR="00924482" w:rsidRPr="00DD25D7"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DD25D7" w:rsidRDefault="0089635C" w:rsidP="00943D71">
          <w:pPr>
            <w:pStyle w:val="Contents"/>
          </w:pPr>
          <w:r w:rsidRPr="00DD25D7">
            <w:t>C</w:t>
          </w:r>
          <w:bookmarkStart w:id="2" w:name="_GoBack"/>
          <w:bookmarkEnd w:id="2"/>
          <w:r w:rsidRPr="00DD25D7">
            <w:t>ontents</w:t>
          </w:r>
        </w:p>
        <w:p w:rsidR="00217652" w:rsidRDefault="004F4AF5">
          <w:pPr>
            <w:pStyle w:val="TOC2"/>
            <w:rPr>
              <w:rFonts w:asciiTheme="minorHAnsi" w:eastAsiaTheme="minorEastAsia" w:hAnsiTheme="minorHAnsi" w:cstheme="minorBidi"/>
              <w:b w:val="0"/>
              <w:noProof/>
              <w:sz w:val="22"/>
              <w:lang w:eastAsia="en-AU"/>
            </w:rPr>
          </w:pPr>
          <w:r w:rsidRPr="00153D26">
            <w:fldChar w:fldCharType="begin"/>
          </w:r>
          <w:r w:rsidR="0089635C" w:rsidRPr="00DD25D7">
            <w:instrText xml:space="preserve"> TOC \o "1-3" \h \z \u </w:instrText>
          </w:r>
          <w:r w:rsidRPr="00153D26">
            <w:fldChar w:fldCharType="separate"/>
          </w:r>
          <w:hyperlink w:anchor="_Toc524443882" w:history="1">
            <w:r w:rsidR="00217652" w:rsidRPr="0061683F">
              <w:rPr>
                <w:rStyle w:val="Hyperlink"/>
                <w:noProof/>
              </w:rPr>
              <w:t>List of abbreviations</w:t>
            </w:r>
            <w:r w:rsidR="00217652">
              <w:rPr>
                <w:noProof/>
                <w:webHidden/>
              </w:rPr>
              <w:tab/>
            </w:r>
            <w:r w:rsidR="00217652">
              <w:rPr>
                <w:noProof/>
                <w:webHidden/>
              </w:rPr>
              <w:fldChar w:fldCharType="begin"/>
            </w:r>
            <w:r w:rsidR="00217652">
              <w:rPr>
                <w:noProof/>
                <w:webHidden/>
              </w:rPr>
              <w:instrText xml:space="preserve"> PAGEREF _Toc524443882 \h </w:instrText>
            </w:r>
            <w:r w:rsidR="00217652">
              <w:rPr>
                <w:noProof/>
                <w:webHidden/>
              </w:rPr>
            </w:r>
            <w:r w:rsidR="00217652">
              <w:rPr>
                <w:noProof/>
                <w:webHidden/>
              </w:rPr>
              <w:fldChar w:fldCharType="separate"/>
            </w:r>
            <w:r w:rsidR="00217652">
              <w:rPr>
                <w:noProof/>
                <w:webHidden/>
              </w:rPr>
              <w:t>5</w:t>
            </w:r>
            <w:r w:rsidR="00217652">
              <w:rPr>
                <w:noProof/>
                <w:webHidden/>
              </w:rPr>
              <w:fldChar w:fldCharType="end"/>
            </w:r>
          </w:hyperlink>
        </w:p>
        <w:p w:rsidR="00217652" w:rsidRDefault="00217652">
          <w:pPr>
            <w:pStyle w:val="TOC2"/>
            <w:tabs>
              <w:tab w:val="left" w:pos="1100"/>
            </w:tabs>
            <w:rPr>
              <w:rFonts w:asciiTheme="minorHAnsi" w:eastAsiaTheme="minorEastAsia" w:hAnsiTheme="minorHAnsi" w:cstheme="minorBidi"/>
              <w:b w:val="0"/>
              <w:noProof/>
              <w:sz w:val="22"/>
              <w:lang w:eastAsia="en-AU"/>
            </w:rPr>
          </w:pPr>
          <w:hyperlink w:anchor="_Toc524443883" w:history="1">
            <w:r w:rsidRPr="0061683F">
              <w:rPr>
                <w:rStyle w:val="Hyperlink"/>
                <w:noProof/>
                <w:lang w:eastAsia="en-AU"/>
              </w:rPr>
              <w:t>1.</w:t>
            </w:r>
            <w:r>
              <w:rPr>
                <w:rFonts w:asciiTheme="minorHAnsi" w:eastAsiaTheme="minorEastAsia" w:hAnsiTheme="minorHAnsi" w:cstheme="minorBidi"/>
                <w:b w:val="0"/>
                <w:noProof/>
                <w:sz w:val="22"/>
                <w:lang w:eastAsia="en-AU"/>
              </w:rPr>
              <w:tab/>
            </w:r>
            <w:r w:rsidRPr="0061683F">
              <w:rPr>
                <w:rStyle w:val="Hyperlink"/>
                <w:noProof/>
                <w:lang w:eastAsia="en-AU"/>
              </w:rPr>
              <w:t>Introduction</w:t>
            </w:r>
            <w:r>
              <w:rPr>
                <w:noProof/>
                <w:webHidden/>
              </w:rPr>
              <w:tab/>
            </w:r>
            <w:r>
              <w:rPr>
                <w:noProof/>
                <w:webHidden/>
              </w:rPr>
              <w:fldChar w:fldCharType="begin"/>
            </w:r>
            <w:r>
              <w:rPr>
                <w:noProof/>
                <w:webHidden/>
              </w:rPr>
              <w:instrText xml:space="preserve"> PAGEREF _Toc524443883 \h </w:instrText>
            </w:r>
            <w:r>
              <w:rPr>
                <w:noProof/>
                <w:webHidden/>
              </w:rPr>
            </w:r>
            <w:r>
              <w:rPr>
                <w:noProof/>
                <w:webHidden/>
              </w:rPr>
              <w:fldChar w:fldCharType="separate"/>
            </w:r>
            <w:r>
              <w:rPr>
                <w:noProof/>
                <w:webHidden/>
              </w:rPr>
              <w:t>10</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884" w:history="1">
            <w:r w:rsidRPr="0061683F">
              <w:rPr>
                <w:rStyle w:val="Hyperlink"/>
                <w:noProof/>
              </w:rPr>
              <w:t>1.1.</w:t>
            </w:r>
            <w:r>
              <w:rPr>
                <w:rFonts w:asciiTheme="minorHAnsi" w:eastAsiaTheme="minorEastAsia" w:hAnsiTheme="minorHAnsi" w:cstheme="minorBidi"/>
                <w:noProof/>
                <w:lang w:eastAsia="en-AU"/>
              </w:rPr>
              <w:tab/>
            </w:r>
            <w:r w:rsidRPr="0061683F">
              <w:rPr>
                <w:rStyle w:val="Hyperlink"/>
                <w:noProof/>
              </w:rPr>
              <w:t>Submission type</w:t>
            </w:r>
            <w:r>
              <w:rPr>
                <w:noProof/>
                <w:webHidden/>
              </w:rPr>
              <w:tab/>
            </w:r>
            <w:r>
              <w:rPr>
                <w:noProof/>
                <w:webHidden/>
              </w:rPr>
              <w:fldChar w:fldCharType="begin"/>
            </w:r>
            <w:r>
              <w:rPr>
                <w:noProof/>
                <w:webHidden/>
              </w:rPr>
              <w:instrText xml:space="preserve"> PAGEREF _Toc524443884 \h </w:instrText>
            </w:r>
            <w:r>
              <w:rPr>
                <w:noProof/>
                <w:webHidden/>
              </w:rPr>
            </w:r>
            <w:r>
              <w:rPr>
                <w:noProof/>
                <w:webHidden/>
              </w:rPr>
              <w:fldChar w:fldCharType="separate"/>
            </w:r>
            <w:r>
              <w:rPr>
                <w:noProof/>
                <w:webHidden/>
              </w:rPr>
              <w:t>10</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885" w:history="1">
            <w:r w:rsidRPr="0061683F">
              <w:rPr>
                <w:rStyle w:val="Hyperlink"/>
                <w:noProof/>
              </w:rPr>
              <w:t>1.2.</w:t>
            </w:r>
            <w:r>
              <w:rPr>
                <w:rFonts w:asciiTheme="minorHAnsi" w:eastAsiaTheme="minorEastAsia" w:hAnsiTheme="minorHAnsi" w:cstheme="minorBidi"/>
                <w:noProof/>
                <w:lang w:eastAsia="en-AU"/>
              </w:rPr>
              <w:tab/>
            </w:r>
            <w:r w:rsidRPr="0061683F">
              <w:rPr>
                <w:rStyle w:val="Hyperlink"/>
                <w:noProof/>
              </w:rPr>
              <w:t>Drug class and therapeutic indication</w:t>
            </w:r>
            <w:r>
              <w:rPr>
                <w:noProof/>
                <w:webHidden/>
              </w:rPr>
              <w:tab/>
            </w:r>
            <w:r>
              <w:rPr>
                <w:noProof/>
                <w:webHidden/>
              </w:rPr>
              <w:fldChar w:fldCharType="begin"/>
            </w:r>
            <w:r>
              <w:rPr>
                <w:noProof/>
                <w:webHidden/>
              </w:rPr>
              <w:instrText xml:space="preserve"> PAGEREF _Toc524443885 \h </w:instrText>
            </w:r>
            <w:r>
              <w:rPr>
                <w:noProof/>
                <w:webHidden/>
              </w:rPr>
            </w:r>
            <w:r>
              <w:rPr>
                <w:noProof/>
                <w:webHidden/>
              </w:rPr>
              <w:fldChar w:fldCharType="separate"/>
            </w:r>
            <w:r>
              <w:rPr>
                <w:noProof/>
                <w:webHidden/>
              </w:rPr>
              <w:t>10</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886" w:history="1">
            <w:r w:rsidRPr="0061683F">
              <w:rPr>
                <w:rStyle w:val="Hyperlink"/>
                <w:noProof/>
              </w:rPr>
              <w:t>1.3.</w:t>
            </w:r>
            <w:r>
              <w:rPr>
                <w:rFonts w:asciiTheme="minorHAnsi" w:eastAsiaTheme="minorEastAsia" w:hAnsiTheme="minorHAnsi" w:cstheme="minorBidi"/>
                <w:noProof/>
                <w:lang w:eastAsia="en-AU"/>
              </w:rPr>
              <w:tab/>
            </w:r>
            <w:r w:rsidRPr="0061683F">
              <w:rPr>
                <w:rStyle w:val="Hyperlink"/>
                <w:noProof/>
              </w:rPr>
              <w:t>Dosage forms and strengths</w:t>
            </w:r>
            <w:r>
              <w:rPr>
                <w:noProof/>
                <w:webHidden/>
              </w:rPr>
              <w:tab/>
            </w:r>
            <w:r>
              <w:rPr>
                <w:noProof/>
                <w:webHidden/>
              </w:rPr>
              <w:fldChar w:fldCharType="begin"/>
            </w:r>
            <w:r>
              <w:rPr>
                <w:noProof/>
                <w:webHidden/>
              </w:rPr>
              <w:instrText xml:space="preserve"> PAGEREF _Toc524443886 \h </w:instrText>
            </w:r>
            <w:r>
              <w:rPr>
                <w:noProof/>
                <w:webHidden/>
              </w:rPr>
            </w:r>
            <w:r>
              <w:rPr>
                <w:noProof/>
                <w:webHidden/>
              </w:rPr>
              <w:fldChar w:fldCharType="separate"/>
            </w:r>
            <w:r>
              <w:rPr>
                <w:noProof/>
                <w:webHidden/>
              </w:rPr>
              <w:t>10</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887" w:history="1">
            <w:r w:rsidRPr="0061683F">
              <w:rPr>
                <w:rStyle w:val="Hyperlink"/>
                <w:noProof/>
              </w:rPr>
              <w:t>1.4.</w:t>
            </w:r>
            <w:r>
              <w:rPr>
                <w:rFonts w:asciiTheme="minorHAnsi" w:eastAsiaTheme="minorEastAsia" w:hAnsiTheme="minorHAnsi" w:cstheme="minorBidi"/>
                <w:noProof/>
                <w:lang w:eastAsia="en-AU"/>
              </w:rPr>
              <w:tab/>
            </w:r>
            <w:r w:rsidRPr="0061683F">
              <w:rPr>
                <w:rStyle w:val="Hyperlink"/>
                <w:noProof/>
              </w:rPr>
              <w:t>Dosage and administration</w:t>
            </w:r>
            <w:r>
              <w:rPr>
                <w:noProof/>
                <w:webHidden/>
              </w:rPr>
              <w:tab/>
            </w:r>
            <w:r>
              <w:rPr>
                <w:noProof/>
                <w:webHidden/>
              </w:rPr>
              <w:fldChar w:fldCharType="begin"/>
            </w:r>
            <w:r>
              <w:rPr>
                <w:noProof/>
                <w:webHidden/>
              </w:rPr>
              <w:instrText xml:space="preserve"> PAGEREF _Toc524443887 \h </w:instrText>
            </w:r>
            <w:r>
              <w:rPr>
                <w:noProof/>
                <w:webHidden/>
              </w:rPr>
            </w:r>
            <w:r>
              <w:rPr>
                <w:noProof/>
                <w:webHidden/>
              </w:rPr>
              <w:fldChar w:fldCharType="separate"/>
            </w:r>
            <w:r>
              <w:rPr>
                <w:noProof/>
                <w:webHidden/>
              </w:rPr>
              <w:t>10</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888" w:history="1">
            <w:r w:rsidRPr="0061683F">
              <w:rPr>
                <w:rStyle w:val="Hyperlink"/>
                <w:noProof/>
              </w:rPr>
              <w:t>1.5.</w:t>
            </w:r>
            <w:r>
              <w:rPr>
                <w:rFonts w:asciiTheme="minorHAnsi" w:eastAsiaTheme="minorEastAsia" w:hAnsiTheme="minorHAnsi" w:cstheme="minorBidi"/>
                <w:noProof/>
                <w:lang w:eastAsia="en-AU"/>
              </w:rPr>
              <w:tab/>
            </w:r>
            <w:r w:rsidRPr="0061683F">
              <w:rPr>
                <w:rStyle w:val="Hyperlink"/>
                <w:noProof/>
              </w:rPr>
              <w:t>Information on the condition being treated</w:t>
            </w:r>
            <w:r>
              <w:rPr>
                <w:noProof/>
                <w:webHidden/>
              </w:rPr>
              <w:tab/>
            </w:r>
            <w:r>
              <w:rPr>
                <w:noProof/>
                <w:webHidden/>
              </w:rPr>
              <w:fldChar w:fldCharType="begin"/>
            </w:r>
            <w:r>
              <w:rPr>
                <w:noProof/>
                <w:webHidden/>
              </w:rPr>
              <w:instrText xml:space="preserve"> PAGEREF _Toc524443888 \h </w:instrText>
            </w:r>
            <w:r>
              <w:rPr>
                <w:noProof/>
                <w:webHidden/>
              </w:rPr>
            </w:r>
            <w:r>
              <w:rPr>
                <w:noProof/>
                <w:webHidden/>
              </w:rPr>
              <w:fldChar w:fldCharType="separate"/>
            </w:r>
            <w:r>
              <w:rPr>
                <w:noProof/>
                <w:webHidden/>
              </w:rPr>
              <w:t>10</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889" w:history="1">
            <w:r w:rsidRPr="0061683F">
              <w:rPr>
                <w:rStyle w:val="Hyperlink"/>
                <w:noProof/>
              </w:rPr>
              <w:t>1.6.</w:t>
            </w:r>
            <w:r>
              <w:rPr>
                <w:rFonts w:asciiTheme="minorHAnsi" w:eastAsiaTheme="minorEastAsia" w:hAnsiTheme="minorHAnsi" w:cstheme="minorBidi"/>
                <w:noProof/>
                <w:lang w:eastAsia="en-AU"/>
              </w:rPr>
              <w:tab/>
            </w:r>
            <w:r w:rsidRPr="0061683F">
              <w:rPr>
                <w:rStyle w:val="Hyperlink"/>
                <w:noProof/>
              </w:rPr>
              <w:t>Current treatment options and clinical rationale</w:t>
            </w:r>
            <w:r>
              <w:rPr>
                <w:noProof/>
                <w:webHidden/>
              </w:rPr>
              <w:tab/>
            </w:r>
            <w:r>
              <w:rPr>
                <w:noProof/>
                <w:webHidden/>
              </w:rPr>
              <w:fldChar w:fldCharType="begin"/>
            </w:r>
            <w:r>
              <w:rPr>
                <w:noProof/>
                <w:webHidden/>
              </w:rPr>
              <w:instrText xml:space="preserve"> PAGEREF _Toc524443889 \h </w:instrText>
            </w:r>
            <w:r>
              <w:rPr>
                <w:noProof/>
                <w:webHidden/>
              </w:rPr>
            </w:r>
            <w:r>
              <w:rPr>
                <w:noProof/>
                <w:webHidden/>
              </w:rPr>
              <w:fldChar w:fldCharType="separate"/>
            </w:r>
            <w:r>
              <w:rPr>
                <w:noProof/>
                <w:webHidden/>
              </w:rPr>
              <w:t>10</w:t>
            </w:r>
            <w:r>
              <w:rPr>
                <w:noProof/>
                <w:webHidden/>
              </w:rPr>
              <w:fldChar w:fldCharType="end"/>
            </w:r>
          </w:hyperlink>
        </w:p>
        <w:p w:rsidR="00217652" w:rsidRDefault="00217652">
          <w:pPr>
            <w:pStyle w:val="TOC2"/>
            <w:tabs>
              <w:tab w:val="left" w:pos="1100"/>
            </w:tabs>
            <w:rPr>
              <w:rFonts w:asciiTheme="minorHAnsi" w:eastAsiaTheme="minorEastAsia" w:hAnsiTheme="minorHAnsi" w:cstheme="minorBidi"/>
              <w:b w:val="0"/>
              <w:noProof/>
              <w:sz w:val="22"/>
              <w:lang w:eastAsia="en-AU"/>
            </w:rPr>
          </w:pPr>
          <w:hyperlink w:anchor="_Toc524443890" w:history="1">
            <w:r w:rsidRPr="0061683F">
              <w:rPr>
                <w:rStyle w:val="Hyperlink"/>
                <w:noProof/>
              </w:rPr>
              <w:t>2.</w:t>
            </w:r>
            <w:r>
              <w:rPr>
                <w:rFonts w:asciiTheme="minorHAnsi" w:eastAsiaTheme="minorEastAsia" w:hAnsiTheme="minorHAnsi" w:cstheme="minorBidi"/>
                <w:b w:val="0"/>
                <w:noProof/>
                <w:sz w:val="22"/>
                <w:lang w:eastAsia="en-AU"/>
              </w:rPr>
              <w:tab/>
            </w:r>
            <w:r w:rsidRPr="0061683F">
              <w:rPr>
                <w:rStyle w:val="Hyperlink"/>
                <w:noProof/>
              </w:rPr>
              <w:t>Clinical rationale</w:t>
            </w:r>
            <w:r>
              <w:rPr>
                <w:noProof/>
                <w:webHidden/>
              </w:rPr>
              <w:tab/>
            </w:r>
            <w:r>
              <w:rPr>
                <w:noProof/>
                <w:webHidden/>
              </w:rPr>
              <w:fldChar w:fldCharType="begin"/>
            </w:r>
            <w:r>
              <w:rPr>
                <w:noProof/>
                <w:webHidden/>
              </w:rPr>
              <w:instrText xml:space="preserve"> PAGEREF _Toc524443890 \h </w:instrText>
            </w:r>
            <w:r>
              <w:rPr>
                <w:noProof/>
                <w:webHidden/>
              </w:rPr>
            </w:r>
            <w:r>
              <w:rPr>
                <w:noProof/>
                <w:webHidden/>
              </w:rPr>
              <w:fldChar w:fldCharType="separate"/>
            </w:r>
            <w:r>
              <w:rPr>
                <w:noProof/>
                <w:webHidden/>
              </w:rPr>
              <w:t>11</w:t>
            </w:r>
            <w:r>
              <w:rPr>
                <w:noProof/>
                <w:webHidden/>
              </w:rPr>
              <w:fldChar w:fldCharType="end"/>
            </w:r>
          </w:hyperlink>
        </w:p>
        <w:p w:rsidR="00217652" w:rsidRDefault="00217652">
          <w:pPr>
            <w:pStyle w:val="TOC2"/>
            <w:tabs>
              <w:tab w:val="left" w:pos="1100"/>
            </w:tabs>
            <w:rPr>
              <w:rFonts w:asciiTheme="minorHAnsi" w:eastAsiaTheme="minorEastAsia" w:hAnsiTheme="minorHAnsi" w:cstheme="minorBidi"/>
              <w:b w:val="0"/>
              <w:noProof/>
              <w:sz w:val="22"/>
              <w:lang w:eastAsia="en-AU"/>
            </w:rPr>
          </w:pPr>
          <w:hyperlink w:anchor="_Toc524443891" w:history="1">
            <w:r w:rsidRPr="0061683F">
              <w:rPr>
                <w:rStyle w:val="Hyperlink"/>
                <w:noProof/>
                <w:lang w:eastAsia="en-AU"/>
              </w:rPr>
              <w:t>3.</w:t>
            </w:r>
            <w:r>
              <w:rPr>
                <w:rFonts w:asciiTheme="minorHAnsi" w:eastAsiaTheme="minorEastAsia" w:hAnsiTheme="minorHAnsi" w:cstheme="minorBidi"/>
                <w:b w:val="0"/>
                <w:noProof/>
                <w:sz w:val="22"/>
                <w:lang w:eastAsia="en-AU"/>
              </w:rPr>
              <w:tab/>
            </w:r>
            <w:r w:rsidRPr="0061683F">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_Toc524443891 \h </w:instrText>
            </w:r>
            <w:r>
              <w:rPr>
                <w:noProof/>
                <w:webHidden/>
              </w:rPr>
            </w:r>
            <w:r>
              <w:rPr>
                <w:noProof/>
                <w:webHidden/>
              </w:rPr>
              <w:fldChar w:fldCharType="separate"/>
            </w:r>
            <w:r>
              <w:rPr>
                <w:noProof/>
                <w:webHidden/>
              </w:rPr>
              <w:t>11</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892" w:history="1">
            <w:r w:rsidRPr="0061683F">
              <w:rPr>
                <w:rStyle w:val="Hyperlink"/>
                <w:noProof/>
              </w:rPr>
              <w:t>3.1.</w:t>
            </w:r>
            <w:r>
              <w:rPr>
                <w:rFonts w:asciiTheme="minorHAnsi" w:eastAsiaTheme="minorEastAsia" w:hAnsiTheme="minorHAnsi" w:cstheme="minorBidi"/>
                <w:noProof/>
                <w:lang w:eastAsia="en-AU"/>
              </w:rPr>
              <w:tab/>
            </w:r>
            <w:r w:rsidRPr="0061683F">
              <w:rPr>
                <w:rStyle w:val="Hyperlink"/>
                <w:noProof/>
              </w:rPr>
              <w:t>Scope of the clinical dossier</w:t>
            </w:r>
            <w:r>
              <w:rPr>
                <w:noProof/>
                <w:webHidden/>
              </w:rPr>
              <w:tab/>
            </w:r>
            <w:r>
              <w:rPr>
                <w:noProof/>
                <w:webHidden/>
              </w:rPr>
              <w:fldChar w:fldCharType="begin"/>
            </w:r>
            <w:r>
              <w:rPr>
                <w:noProof/>
                <w:webHidden/>
              </w:rPr>
              <w:instrText xml:space="preserve"> PAGEREF _Toc524443892 \h </w:instrText>
            </w:r>
            <w:r>
              <w:rPr>
                <w:noProof/>
                <w:webHidden/>
              </w:rPr>
            </w:r>
            <w:r>
              <w:rPr>
                <w:noProof/>
                <w:webHidden/>
              </w:rPr>
              <w:fldChar w:fldCharType="separate"/>
            </w:r>
            <w:r>
              <w:rPr>
                <w:noProof/>
                <w:webHidden/>
              </w:rPr>
              <w:t>11</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893" w:history="1">
            <w:r w:rsidRPr="0061683F">
              <w:rPr>
                <w:rStyle w:val="Hyperlink"/>
                <w:noProof/>
              </w:rPr>
              <w:t>3.2.</w:t>
            </w:r>
            <w:r>
              <w:rPr>
                <w:rFonts w:asciiTheme="minorHAnsi" w:eastAsiaTheme="minorEastAsia" w:hAnsiTheme="minorHAnsi" w:cstheme="minorBidi"/>
                <w:noProof/>
                <w:lang w:eastAsia="en-AU"/>
              </w:rPr>
              <w:tab/>
            </w:r>
            <w:r w:rsidRPr="0061683F">
              <w:rPr>
                <w:rStyle w:val="Hyperlink"/>
                <w:noProof/>
              </w:rPr>
              <w:t>Paediatric data</w:t>
            </w:r>
            <w:r>
              <w:rPr>
                <w:noProof/>
                <w:webHidden/>
              </w:rPr>
              <w:tab/>
            </w:r>
            <w:r>
              <w:rPr>
                <w:noProof/>
                <w:webHidden/>
              </w:rPr>
              <w:fldChar w:fldCharType="begin"/>
            </w:r>
            <w:r>
              <w:rPr>
                <w:noProof/>
                <w:webHidden/>
              </w:rPr>
              <w:instrText xml:space="preserve"> PAGEREF _Toc524443893 \h </w:instrText>
            </w:r>
            <w:r>
              <w:rPr>
                <w:noProof/>
                <w:webHidden/>
              </w:rPr>
            </w:r>
            <w:r>
              <w:rPr>
                <w:noProof/>
                <w:webHidden/>
              </w:rPr>
              <w:fldChar w:fldCharType="separate"/>
            </w:r>
            <w:r>
              <w:rPr>
                <w:noProof/>
                <w:webHidden/>
              </w:rPr>
              <w:t>11</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894" w:history="1">
            <w:r w:rsidRPr="0061683F">
              <w:rPr>
                <w:rStyle w:val="Hyperlink"/>
                <w:noProof/>
              </w:rPr>
              <w:t>3.3.</w:t>
            </w:r>
            <w:r>
              <w:rPr>
                <w:rFonts w:asciiTheme="minorHAnsi" w:eastAsiaTheme="minorEastAsia" w:hAnsiTheme="minorHAnsi" w:cstheme="minorBidi"/>
                <w:noProof/>
                <w:lang w:eastAsia="en-AU"/>
              </w:rPr>
              <w:tab/>
            </w:r>
            <w:r w:rsidRPr="0061683F">
              <w:rPr>
                <w:rStyle w:val="Hyperlink"/>
                <w:noProof/>
              </w:rPr>
              <w:t>Good clinical practice</w:t>
            </w:r>
            <w:r>
              <w:rPr>
                <w:noProof/>
                <w:webHidden/>
              </w:rPr>
              <w:tab/>
            </w:r>
            <w:r>
              <w:rPr>
                <w:noProof/>
                <w:webHidden/>
              </w:rPr>
              <w:fldChar w:fldCharType="begin"/>
            </w:r>
            <w:r>
              <w:rPr>
                <w:noProof/>
                <w:webHidden/>
              </w:rPr>
              <w:instrText xml:space="preserve"> PAGEREF _Toc524443894 \h </w:instrText>
            </w:r>
            <w:r>
              <w:rPr>
                <w:noProof/>
                <w:webHidden/>
              </w:rPr>
            </w:r>
            <w:r>
              <w:rPr>
                <w:noProof/>
                <w:webHidden/>
              </w:rPr>
              <w:fldChar w:fldCharType="separate"/>
            </w:r>
            <w:r>
              <w:rPr>
                <w:noProof/>
                <w:webHidden/>
              </w:rPr>
              <w:t>11</w:t>
            </w:r>
            <w:r>
              <w:rPr>
                <w:noProof/>
                <w:webHidden/>
              </w:rPr>
              <w:fldChar w:fldCharType="end"/>
            </w:r>
          </w:hyperlink>
        </w:p>
        <w:p w:rsidR="00217652" w:rsidRDefault="00217652">
          <w:pPr>
            <w:pStyle w:val="TOC2"/>
            <w:tabs>
              <w:tab w:val="left" w:pos="1100"/>
            </w:tabs>
            <w:rPr>
              <w:rFonts w:asciiTheme="minorHAnsi" w:eastAsiaTheme="minorEastAsia" w:hAnsiTheme="minorHAnsi" w:cstheme="minorBidi"/>
              <w:b w:val="0"/>
              <w:noProof/>
              <w:sz w:val="22"/>
              <w:lang w:eastAsia="en-AU"/>
            </w:rPr>
          </w:pPr>
          <w:hyperlink w:anchor="_Toc524443895" w:history="1">
            <w:r w:rsidRPr="0061683F">
              <w:rPr>
                <w:rStyle w:val="Hyperlink"/>
                <w:noProof/>
              </w:rPr>
              <w:t>4.</w:t>
            </w:r>
            <w:r>
              <w:rPr>
                <w:rFonts w:asciiTheme="minorHAnsi" w:eastAsiaTheme="minorEastAsia" w:hAnsiTheme="minorHAnsi" w:cstheme="minorBidi"/>
                <w:b w:val="0"/>
                <w:noProof/>
                <w:sz w:val="22"/>
                <w:lang w:eastAsia="en-AU"/>
              </w:rPr>
              <w:tab/>
            </w:r>
            <w:r w:rsidRPr="0061683F">
              <w:rPr>
                <w:rStyle w:val="Hyperlink"/>
                <w:noProof/>
              </w:rPr>
              <w:t>Pharmacokinetics</w:t>
            </w:r>
            <w:r>
              <w:rPr>
                <w:noProof/>
                <w:webHidden/>
              </w:rPr>
              <w:tab/>
            </w:r>
            <w:r>
              <w:rPr>
                <w:noProof/>
                <w:webHidden/>
              </w:rPr>
              <w:fldChar w:fldCharType="begin"/>
            </w:r>
            <w:r>
              <w:rPr>
                <w:noProof/>
                <w:webHidden/>
              </w:rPr>
              <w:instrText xml:space="preserve"> PAGEREF _Toc524443895 \h </w:instrText>
            </w:r>
            <w:r>
              <w:rPr>
                <w:noProof/>
                <w:webHidden/>
              </w:rPr>
            </w:r>
            <w:r>
              <w:rPr>
                <w:noProof/>
                <w:webHidden/>
              </w:rPr>
              <w:fldChar w:fldCharType="separate"/>
            </w:r>
            <w:r>
              <w:rPr>
                <w:noProof/>
                <w:webHidden/>
              </w:rPr>
              <w:t>12</w:t>
            </w:r>
            <w:r>
              <w:rPr>
                <w:noProof/>
                <w:webHidden/>
              </w:rPr>
              <w:fldChar w:fldCharType="end"/>
            </w:r>
          </w:hyperlink>
        </w:p>
        <w:p w:rsidR="00217652" w:rsidRDefault="00217652">
          <w:pPr>
            <w:pStyle w:val="TOC2"/>
            <w:tabs>
              <w:tab w:val="left" w:pos="1100"/>
            </w:tabs>
            <w:rPr>
              <w:rFonts w:asciiTheme="minorHAnsi" w:eastAsiaTheme="minorEastAsia" w:hAnsiTheme="minorHAnsi" w:cstheme="minorBidi"/>
              <w:b w:val="0"/>
              <w:noProof/>
              <w:sz w:val="22"/>
              <w:lang w:eastAsia="en-AU"/>
            </w:rPr>
          </w:pPr>
          <w:hyperlink w:anchor="_Toc524443896" w:history="1">
            <w:r w:rsidRPr="0061683F">
              <w:rPr>
                <w:rStyle w:val="Hyperlink"/>
                <w:noProof/>
              </w:rPr>
              <w:t>5.</w:t>
            </w:r>
            <w:r>
              <w:rPr>
                <w:rFonts w:asciiTheme="minorHAnsi" w:eastAsiaTheme="minorEastAsia" w:hAnsiTheme="minorHAnsi" w:cstheme="minorBidi"/>
                <w:b w:val="0"/>
                <w:noProof/>
                <w:sz w:val="22"/>
                <w:lang w:eastAsia="en-AU"/>
              </w:rPr>
              <w:tab/>
            </w:r>
            <w:r w:rsidRPr="0061683F">
              <w:rPr>
                <w:rStyle w:val="Hyperlink"/>
                <w:noProof/>
              </w:rPr>
              <w:t>Pharmacodynamics</w:t>
            </w:r>
            <w:r>
              <w:rPr>
                <w:noProof/>
                <w:webHidden/>
              </w:rPr>
              <w:tab/>
            </w:r>
            <w:r>
              <w:rPr>
                <w:noProof/>
                <w:webHidden/>
              </w:rPr>
              <w:fldChar w:fldCharType="begin"/>
            </w:r>
            <w:r>
              <w:rPr>
                <w:noProof/>
                <w:webHidden/>
              </w:rPr>
              <w:instrText xml:space="preserve"> PAGEREF _Toc524443896 \h </w:instrText>
            </w:r>
            <w:r>
              <w:rPr>
                <w:noProof/>
                <w:webHidden/>
              </w:rPr>
            </w:r>
            <w:r>
              <w:rPr>
                <w:noProof/>
                <w:webHidden/>
              </w:rPr>
              <w:fldChar w:fldCharType="separate"/>
            </w:r>
            <w:r>
              <w:rPr>
                <w:noProof/>
                <w:webHidden/>
              </w:rPr>
              <w:t>12</w:t>
            </w:r>
            <w:r>
              <w:rPr>
                <w:noProof/>
                <w:webHidden/>
              </w:rPr>
              <w:fldChar w:fldCharType="end"/>
            </w:r>
          </w:hyperlink>
        </w:p>
        <w:p w:rsidR="00217652" w:rsidRDefault="00217652">
          <w:pPr>
            <w:pStyle w:val="TOC2"/>
            <w:tabs>
              <w:tab w:val="left" w:pos="1100"/>
            </w:tabs>
            <w:rPr>
              <w:rFonts w:asciiTheme="minorHAnsi" w:eastAsiaTheme="minorEastAsia" w:hAnsiTheme="minorHAnsi" w:cstheme="minorBidi"/>
              <w:b w:val="0"/>
              <w:noProof/>
              <w:sz w:val="22"/>
              <w:lang w:eastAsia="en-AU"/>
            </w:rPr>
          </w:pPr>
          <w:hyperlink w:anchor="_Toc524443897" w:history="1">
            <w:r w:rsidRPr="0061683F">
              <w:rPr>
                <w:rStyle w:val="Hyperlink"/>
                <w:noProof/>
              </w:rPr>
              <w:t>6.</w:t>
            </w:r>
            <w:r>
              <w:rPr>
                <w:rFonts w:asciiTheme="minorHAnsi" w:eastAsiaTheme="minorEastAsia" w:hAnsiTheme="minorHAnsi" w:cstheme="minorBidi"/>
                <w:b w:val="0"/>
                <w:noProof/>
                <w:sz w:val="22"/>
                <w:lang w:eastAsia="en-AU"/>
              </w:rPr>
              <w:tab/>
            </w:r>
            <w:r w:rsidRPr="0061683F">
              <w:rPr>
                <w:rStyle w:val="Hyperlink"/>
                <w:noProof/>
              </w:rPr>
              <w:t>Dosage selection for the pivotal studies</w:t>
            </w:r>
            <w:r>
              <w:rPr>
                <w:noProof/>
                <w:webHidden/>
              </w:rPr>
              <w:tab/>
            </w:r>
            <w:r>
              <w:rPr>
                <w:noProof/>
                <w:webHidden/>
              </w:rPr>
              <w:fldChar w:fldCharType="begin"/>
            </w:r>
            <w:r>
              <w:rPr>
                <w:noProof/>
                <w:webHidden/>
              </w:rPr>
              <w:instrText xml:space="preserve"> PAGEREF _Toc524443897 \h </w:instrText>
            </w:r>
            <w:r>
              <w:rPr>
                <w:noProof/>
                <w:webHidden/>
              </w:rPr>
            </w:r>
            <w:r>
              <w:rPr>
                <w:noProof/>
                <w:webHidden/>
              </w:rPr>
              <w:fldChar w:fldCharType="separate"/>
            </w:r>
            <w:r>
              <w:rPr>
                <w:noProof/>
                <w:webHidden/>
              </w:rPr>
              <w:t>12</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898" w:history="1">
            <w:r w:rsidRPr="0061683F">
              <w:rPr>
                <w:rStyle w:val="Hyperlink"/>
                <w:noProof/>
              </w:rPr>
              <w:t>6.1.</w:t>
            </w:r>
            <w:r>
              <w:rPr>
                <w:rFonts w:asciiTheme="minorHAnsi" w:eastAsiaTheme="minorEastAsia" w:hAnsiTheme="minorHAnsi" w:cstheme="minorBidi"/>
                <w:noProof/>
                <w:lang w:eastAsia="en-AU"/>
              </w:rPr>
              <w:tab/>
            </w:r>
            <w:r w:rsidRPr="0061683F">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_Toc524443898 \h </w:instrText>
            </w:r>
            <w:r>
              <w:rPr>
                <w:noProof/>
                <w:webHidden/>
              </w:rPr>
            </w:r>
            <w:r>
              <w:rPr>
                <w:noProof/>
                <w:webHidden/>
              </w:rPr>
              <w:fldChar w:fldCharType="separate"/>
            </w:r>
            <w:r>
              <w:rPr>
                <w:noProof/>
                <w:webHidden/>
              </w:rPr>
              <w:t>13</w:t>
            </w:r>
            <w:r>
              <w:rPr>
                <w:noProof/>
                <w:webHidden/>
              </w:rPr>
              <w:fldChar w:fldCharType="end"/>
            </w:r>
          </w:hyperlink>
        </w:p>
        <w:p w:rsidR="00217652" w:rsidRDefault="00217652">
          <w:pPr>
            <w:pStyle w:val="TOC2"/>
            <w:tabs>
              <w:tab w:val="left" w:pos="1100"/>
            </w:tabs>
            <w:rPr>
              <w:rFonts w:asciiTheme="minorHAnsi" w:eastAsiaTheme="minorEastAsia" w:hAnsiTheme="minorHAnsi" w:cstheme="minorBidi"/>
              <w:b w:val="0"/>
              <w:noProof/>
              <w:sz w:val="22"/>
              <w:lang w:eastAsia="en-AU"/>
            </w:rPr>
          </w:pPr>
          <w:hyperlink w:anchor="_Toc524443899" w:history="1">
            <w:r w:rsidRPr="0061683F">
              <w:rPr>
                <w:rStyle w:val="Hyperlink"/>
                <w:noProof/>
              </w:rPr>
              <w:t>7.</w:t>
            </w:r>
            <w:r>
              <w:rPr>
                <w:rFonts w:asciiTheme="minorHAnsi" w:eastAsiaTheme="minorEastAsia" w:hAnsiTheme="minorHAnsi" w:cstheme="minorBidi"/>
                <w:b w:val="0"/>
                <w:noProof/>
                <w:sz w:val="22"/>
                <w:lang w:eastAsia="en-AU"/>
              </w:rPr>
              <w:tab/>
            </w:r>
            <w:r w:rsidRPr="0061683F">
              <w:rPr>
                <w:rStyle w:val="Hyperlink"/>
                <w:noProof/>
              </w:rPr>
              <w:t>Clinical efficacy</w:t>
            </w:r>
            <w:r>
              <w:rPr>
                <w:noProof/>
                <w:webHidden/>
              </w:rPr>
              <w:tab/>
            </w:r>
            <w:r>
              <w:rPr>
                <w:noProof/>
                <w:webHidden/>
              </w:rPr>
              <w:fldChar w:fldCharType="begin"/>
            </w:r>
            <w:r>
              <w:rPr>
                <w:noProof/>
                <w:webHidden/>
              </w:rPr>
              <w:instrText xml:space="preserve"> PAGEREF _Toc524443899 \h </w:instrText>
            </w:r>
            <w:r>
              <w:rPr>
                <w:noProof/>
                <w:webHidden/>
              </w:rPr>
            </w:r>
            <w:r>
              <w:rPr>
                <w:noProof/>
                <w:webHidden/>
              </w:rPr>
              <w:fldChar w:fldCharType="separate"/>
            </w:r>
            <w:r>
              <w:rPr>
                <w:noProof/>
                <w:webHidden/>
              </w:rPr>
              <w:t>13</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00" w:history="1">
            <w:r w:rsidRPr="0061683F">
              <w:rPr>
                <w:rStyle w:val="Hyperlink"/>
                <w:noProof/>
              </w:rPr>
              <w:t>7.1.</w:t>
            </w:r>
            <w:r>
              <w:rPr>
                <w:rFonts w:asciiTheme="minorHAnsi" w:eastAsiaTheme="minorEastAsia" w:hAnsiTheme="minorHAnsi" w:cstheme="minorBidi"/>
                <w:noProof/>
                <w:lang w:eastAsia="en-AU"/>
              </w:rPr>
              <w:tab/>
            </w:r>
            <w:r w:rsidRPr="0061683F">
              <w:rPr>
                <w:rStyle w:val="Hyperlink"/>
                <w:noProof/>
              </w:rPr>
              <w:t>Pivotal or main efficacy studies</w:t>
            </w:r>
            <w:r>
              <w:rPr>
                <w:noProof/>
                <w:webHidden/>
              </w:rPr>
              <w:tab/>
            </w:r>
            <w:r>
              <w:rPr>
                <w:noProof/>
                <w:webHidden/>
              </w:rPr>
              <w:fldChar w:fldCharType="begin"/>
            </w:r>
            <w:r>
              <w:rPr>
                <w:noProof/>
                <w:webHidden/>
              </w:rPr>
              <w:instrText xml:space="preserve"> PAGEREF _Toc524443900 \h </w:instrText>
            </w:r>
            <w:r>
              <w:rPr>
                <w:noProof/>
                <w:webHidden/>
              </w:rPr>
            </w:r>
            <w:r>
              <w:rPr>
                <w:noProof/>
                <w:webHidden/>
              </w:rPr>
              <w:fldChar w:fldCharType="separate"/>
            </w:r>
            <w:r>
              <w:rPr>
                <w:noProof/>
                <w:webHidden/>
              </w:rPr>
              <w:t>14</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01" w:history="1">
            <w:r w:rsidRPr="0061683F">
              <w:rPr>
                <w:rStyle w:val="Hyperlink"/>
                <w:noProof/>
              </w:rPr>
              <w:t>7.2.</w:t>
            </w:r>
            <w:r>
              <w:rPr>
                <w:rFonts w:asciiTheme="minorHAnsi" w:eastAsiaTheme="minorEastAsia" w:hAnsiTheme="minorHAnsi" w:cstheme="minorBidi"/>
                <w:noProof/>
                <w:lang w:eastAsia="en-AU"/>
              </w:rPr>
              <w:tab/>
            </w:r>
            <w:r w:rsidRPr="0061683F">
              <w:rPr>
                <w:rStyle w:val="Hyperlink"/>
                <w:noProof/>
              </w:rPr>
              <w:t>Other efficacy studies</w:t>
            </w:r>
            <w:r>
              <w:rPr>
                <w:noProof/>
                <w:webHidden/>
              </w:rPr>
              <w:tab/>
            </w:r>
            <w:r>
              <w:rPr>
                <w:noProof/>
                <w:webHidden/>
              </w:rPr>
              <w:fldChar w:fldCharType="begin"/>
            </w:r>
            <w:r>
              <w:rPr>
                <w:noProof/>
                <w:webHidden/>
              </w:rPr>
              <w:instrText xml:space="preserve"> PAGEREF _Toc524443901 \h </w:instrText>
            </w:r>
            <w:r>
              <w:rPr>
                <w:noProof/>
                <w:webHidden/>
              </w:rPr>
            </w:r>
            <w:r>
              <w:rPr>
                <w:noProof/>
                <w:webHidden/>
              </w:rPr>
              <w:fldChar w:fldCharType="separate"/>
            </w:r>
            <w:r>
              <w:rPr>
                <w:noProof/>
                <w:webHidden/>
              </w:rPr>
              <w:t>37</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02" w:history="1">
            <w:r w:rsidRPr="0061683F">
              <w:rPr>
                <w:rStyle w:val="Hyperlink"/>
                <w:noProof/>
              </w:rPr>
              <w:t>7.3.</w:t>
            </w:r>
            <w:r>
              <w:rPr>
                <w:rFonts w:asciiTheme="minorHAnsi" w:eastAsiaTheme="minorEastAsia" w:hAnsiTheme="minorHAnsi" w:cstheme="minorBidi"/>
                <w:noProof/>
                <w:lang w:eastAsia="en-AU"/>
              </w:rPr>
              <w:tab/>
            </w:r>
            <w:r w:rsidRPr="0061683F">
              <w:rPr>
                <w:rStyle w:val="Hyperlink"/>
                <w:noProof/>
              </w:rPr>
              <w:t>Analyses performed across trials: pooled and meta-analyses</w:t>
            </w:r>
            <w:r>
              <w:rPr>
                <w:noProof/>
                <w:webHidden/>
              </w:rPr>
              <w:tab/>
            </w:r>
            <w:r>
              <w:rPr>
                <w:noProof/>
                <w:webHidden/>
              </w:rPr>
              <w:fldChar w:fldCharType="begin"/>
            </w:r>
            <w:r>
              <w:rPr>
                <w:noProof/>
                <w:webHidden/>
              </w:rPr>
              <w:instrText xml:space="preserve"> PAGEREF _Toc524443902 \h </w:instrText>
            </w:r>
            <w:r>
              <w:rPr>
                <w:noProof/>
                <w:webHidden/>
              </w:rPr>
            </w:r>
            <w:r>
              <w:rPr>
                <w:noProof/>
                <w:webHidden/>
              </w:rPr>
              <w:fldChar w:fldCharType="separate"/>
            </w:r>
            <w:r>
              <w:rPr>
                <w:noProof/>
                <w:webHidden/>
              </w:rPr>
              <w:t>47</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03" w:history="1">
            <w:r w:rsidRPr="0061683F">
              <w:rPr>
                <w:rStyle w:val="Hyperlink"/>
                <w:noProof/>
              </w:rPr>
              <w:t>7.4.</w:t>
            </w:r>
            <w:r>
              <w:rPr>
                <w:rFonts w:asciiTheme="minorHAnsi" w:eastAsiaTheme="minorEastAsia" w:hAnsiTheme="minorHAnsi" w:cstheme="minorBidi"/>
                <w:noProof/>
                <w:lang w:eastAsia="en-AU"/>
              </w:rPr>
              <w:tab/>
            </w:r>
            <w:r w:rsidRPr="0061683F">
              <w:rPr>
                <w:rStyle w:val="Hyperlink"/>
                <w:noProof/>
              </w:rPr>
              <w:t>Evaluator’s conclusions on clinical efficacy</w:t>
            </w:r>
            <w:r>
              <w:rPr>
                <w:noProof/>
                <w:webHidden/>
              </w:rPr>
              <w:tab/>
            </w:r>
            <w:r>
              <w:rPr>
                <w:noProof/>
                <w:webHidden/>
              </w:rPr>
              <w:fldChar w:fldCharType="begin"/>
            </w:r>
            <w:r>
              <w:rPr>
                <w:noProof/>
                <w:webHidden/>
              </w:rPr>
              <w:instrText xml:space="preserve"> PAGEREF _Toc524443903 \h </w:instrText>
            </w:r>
            <w:r>
              <w:rPr>
                <w:noProof/>
                <w:webHidden/>
              </w:rPr>
            </w:r>
            <w:r>
              <w:rPr>
                <w:noProof/>
                <w:webHidden/>
              </w:rPr>
              <w:fldChar w:fldCharType="separate"/>
            </w:r>
            <w:r>
              <w:rPr>
                <w:noProof/>
                <w:webHidden/>
              </w:rPr>
              <w:t>48</w:t>
            </w:r>
            <w:r>
              <w:rPr>
                <w:noProof/>
                <w:webHidden/>
              </w:rPr>
              <w:fldChar w:fldCharType="end"/>
            </w:r>
          </w:hyperlink>
        </w:p>
        <w:p w:rsidR="00217652" w:rsidRDefault="00217652">
          <w:pPr>
            <w:pStyle w:val="TOC2"/>
            <w:tabs>
              <w:tab w:val="left" w:pos="1100"/>
            </w:tabs>
            <w:rPr>
              <w:rFonts w:asciiTheme="minorHAnsi" w:eastAsiaTheme="minorEastAsia" w:hAnsiTheme="minorHAnsi" w:cstheme="minorBidi"/>
              <w:b w:val="0"/>
              <w:noProof/>
              <w:sz w:val="22"/>
              <w:lang w:eastAsia="en-AU"/>
            </w:rPr>
          </w:pPr>
          <w:hyperlink w:anchor="_Toc524443904" w:history="1">
            <w:r w:rsidRPr="0061683F">
              <w:rPr>
                <w:rStyle w:val="Hyperlink"/>
                <w:noProof/>
              </w:rPr>
              <w:t>8.</w:t>
            </w:r>
            <w:r>
              <w:rPr>
                <w:rFonts w:asciiTheme="minorHAnsi" w:eastAsiaTheme="minorEastAsia" w:hAnsiTheme="minorHAnsi" w:cstheme="minorBidi"/>
                <w:b w:val="0"/>
                <w:noProof/>
                <w:sz w:val="22"/>
                <w:lang w:eastAsia="en-AU"/>
              </w:rPr>
              <w:tab/>
            </w:r>
            <w:r w:rsidRPr="0061683F">
              <w:rPr>
                <w:rStyle w:val="Hyperlink"/>
                <w:noProof/>
              </w:rPr>
              <w:t>Clinical safety</w:t>
            </w:r>
            <w:r>
              <w:rPr>
                <w:noProof/>
                <w:webHidden/>
              </w:rPr>
              <w:tab/>
            </w:r>
            <w:r>
              <w:rPr>
                <w:noProof/>
                <w:webHidden/>
              </w:rPr>
              <w:fldChar w:fldCharType="begin"/>
            </w:r>
            <w:r>
              <w:rPr>
                <w:noProof/>
                <w:webHidden/>
              </w:rPr>
              <w:instrText xml:space="preserve"> PAGEREF _Toc524443904 \h </w:instrText>
            </w:r>
            <w:r>
              <w:rPr>
                <w:noProof/>
                <w:webHidden/>
              </w:rPr>
            </w:r>
            <w:r>
              <w:rPr>
                <w:noProof/>
                <w:webHidden/>
              </w:rPr>
              <w:fldChar w:fldCharType="separate"/>
            </w:r>
            <w:r>
              <w:rPr>
                <w:noProof/>
                <w:webHidden/>
              </w:rPr>
              <w:t>50</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05" w:history="1">
            <w:r w:rsidRPr="0061683F">
              <w:rPr>
                <w:rStyle w:val="Hyperlink"/>
                <w:noProof/>
              </w:rPr>
              <w:t>8.1.</w:t>
            </w:r>
            <w:r>
              <w:rPr>
                <w:rFonts w:asciiTheme="minorHAnsi" w:eastAsiaTheme="minorEastAsia" w:hAnsiTheme="minorHAnsi" w:cstheme="minorBidi"/>
                <w:noProof/>
                <w:lang w:eastAsia="en-AU"/>
              </w:rPr>
              <w:tab/>
            </w:r>
            <w:r w:rsidRPr="0061683F">
              <w:rPr>
                <w:rStyle w:val="Hyperlink"/>
                <w:noProof/>
              </w:rPr>
              <w:t>Studies providing evaluable safety data</w:t>
            </w:r>
            <w:r>
              <w:rPr>
                <w:noProof/>
                <w:webHidden/>
              </w:rPr>
              <w:tab/>
            </w:r>
            <w:r>
              <w:rPr>
                <w:noProof/>
                <w:webHidden/>
              </w:rPr>
              <w:fldChar w:fldCharType="begin"/>
            </w:r>
            <w:r>
              <w:rPr>
                <w:noProof/>
                <w:webHidden/>
              </w:rPr>
              <w:instrText xml:space="preserve"> PAGEREF _Toc524443905 \h </w:instrText>
            </w:r>
            <w:r>
              <w:rPr>
                <w:noProof/>
                <w:webHidden/>
              </w:rPr>
            </w:r>
            <w:r>
              <w:rPr>
                <w:noProof/>
                <w:webHidden/>
              </w:rPr>
              <w:fldChar w:fldCharType="separate"/>
            </w:r>
            <w:r>
              <w:rPr>
                <w:noProof/>
                <w:webHidden/>
              </w:rPr>
              <w:t>50</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06" w:history="1">
            <w:r w:rsidRPr="0061683F">
              <w:rPr>
                <w:rStyle w:val="Hyperlink"/>
                <w:noProof/>
              </w:rPr>
              <w:t>8.2.</w:t>
            </w:r>
            <w:r>
              <w:rPr>
                <w:rFonts w:asciiTheme="minorHAnsi" w:eastAsiaTheme="minorEastAsia" w:hAnsiTheme="minorHAnsi" w:cstheme="minorBidi"/>
                <w:noProof/>
                <w:lang w:eastAsia="en-AU"/>
              </w:rPr>
              <w:tab/>
            </w:r>
            <w:r w:rsidRPr="0061683F">
              <w:rPr>
                <w:rStyle w:val="Hyperlink"/>
                <w:noProof/>
              </w:rPr>
              <w:t>Studies that assessed safety as the sole primary outcome</w:t>
            </w:r>
            <w:r>
              <w:rPr>
                <w:noProof/>
                <w:webHidden/>
              </w:rPr>
              <w:tab/>
            </w:r>
            <w:r>
              <w:rPr>
                <w:noProof/>
                <w:webHidden/>
              </w:rPr>
              <w:fldChar w:fldCharType="begin"/>
            </w:r>
            <w:r>
              <w:rPr>
                <w:noProof/>
                <w:webHidden/>
              </w:rPr>
              <w:instrText xml:space="preserve"> PAGEREF _Toc524443906 \h </w:instrText>
            </w:r>
            <w:r>
              <w:rPr>
                <w:noProof/>
                <w:webHidden/>
              </w:rPr>
            </w:r>
            <w:r>
              <w:rPr>
                <w:noProof/>
                <w:webHidden/>
              </w:rPr>
              <w:fldChar w:fldCharType="separate"/>
            </w:r>
            <w:r>
              <w:rPr>
                <w:noProof/>
                <w:webHidden/>
              </w:rPr>
              <w:t>50</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07" w:history="1">
            <w:r w:rsidRPr="0061683F">
              <w:rPr>
                <w:rStyle w:val="Hyperlink"/>
                <w:noProof/>
              </w:rPr>
              <w:t>8.3.</w:t>
            </w:r>
            <w:r>
              <w:rPr>
                <w:rFonts w:asciiTheme="minorHAnsi" w:eastAsiaTheme="minorEastAsia" w:hAnsiTheme="minorHAnsi" w:cstheme="minorBidi"/>
                <w:noProof/>
                <w:lang w:eastAsia="en-AU"/>
              </w:rPr>
              <w:tab/>
            </w:r>
            <w:r w:rsidRPr="0061683F">
              <w:rPr>
                <w:rStyle w:val="Hyperlink"/>
                <w:noProof/>
              </w:rPr>
              <w:t>Patient exposure</w:t>
            </w:r>
            <w:r>
              <w:rPr>
                <w:noProof/>
                <w:webHidden/>
              </w:rPr>
              <w:tab/>
            </w:r>
            <w:r>
              <w:rPr>
                <w:noProof/>
                <w:webHidden/>
              </w:rPr>
              <w:fldChar w:fldCharType="begin"/>
            </w:r>
            <w:r>
              <w:rPr>
                <w:noProof/>
                <w:webHidden/>
              </w:rPr>
              <w:instrText xml:space="preserve"> PAGEREF _Toc524443907 \h </w:instrText>
            </w:r>
            <w:r>
              <w:rPr>
                <w:noProof/>
                <w:webHidden/>
              </w:rPr>
            </w:r>
            <w:r>
              <w:rPr>
                <w:noProof/>
                <w:webHidden/>
              </w:rPr>
              <w:fldChar w:fldCharType="separate"/>
            </w:r>
            <w:r>
              <w:rPr>
                <w:noProof/>
                <w:webHidden/>
              </w:rPr>
              <w:t>51</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08" w:history="1">
            <w:r w:rsidRPr="0061683F">
              <w:rPr>
                <w:rStyle w:val="Hyperlink"/>
                <w:noProof/>
              </w:rPr>
              <w:t>8.4.</w:t>
            </w:r>
            <w:r>
              <w:rPr>
                <w:rFonts w:asciiTheme="minorHAnsi" w:eastAsiaTheme="minorEastAsia" w:hAnsiTheme="minorHAnsi" w:cstheme="minorBidi"/>
                <w:noProof/>
                <w:lang w:eastAsia="en-AU"/>
              </w:rPr>
              <w:tab/>
            </w:r>
            <w:r w:rsidRPr="0061683F">
              <w:rPr>
                <w:rStyle w:val="Hyperlink"/>
                <w:noProof/>
              </w:rPr>
              <w:t>Adverse events</w:t>
            </w:r>
            <w:r>
              <w:rPr>
                <w:noProof/>
                <w:webHidden/>
              </w:rPr>
              <w:tab/>
            </w:r>
            <w:r>
              <w:rPr>
                <w:noProof/>
                <w:webHidden/>
              </w:rPr>
              <w:fldChar w:fldCharType="begin"/>
            </w:r>
            <w:r>
              <w:rPr>
                <w:noProof/>
                <w:webHidden/>
              </w:rPr>
              <w:instrText xml:space="preserve"> PAGEREF _Toc524443908 \h </w:instrText>
            </w:r>
            <w:r>
              <w:rPr>
                <w:noProof/>
                <w:webHidden/>
              </w:rPr>
            </w:r>
            <w:r>
              <w:rPr>
                <w:noProof/>
                <w:webHidden/>
              </w:rPr>
              <w:fldChar w:fldCharType="separate"/>
            </w:r>
            <w:r>
              <w:rPr>
                <w:noProof/>
                <w:webHidden/>
              </w:rPr>
              <w:t>52</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09" w:history="1">
            <w:r w:rsidRPr="0061683F">
              <w:rPr>
                <w:rStyle w:val="Hyperlink"/>
                <w:noProof/>
              </w:rPr>
              <w:t>8.5.</w:t>
            </w:r>
            <w:r>
              <w:rPr>
                <w:rFonts w:asciiTheme="minorHAnsi" w:eastAsiaTheme="minorEastAsia" w:hAnsiTheme="minorHAnsi" w:cstheme="minorBidi"/>
                <w:noProof/>
                <w:lang w:eastAsia="en-AU"/>
              </w:rPr>
              <w:tab/>
            </w:r>
            <w:r w:rsidRPr="0061683F">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_Toc524443909 \h </w:instrText>
            </w:r>
            <w:r>
              <w:rPr>
                <w:noProof/>
                <w:webHidden/>
              </w:rPr>
            </w:r>
            <w:r>
              <w:rPr>
                <w:noProof/>
                <w:webHidden/>
              </w:rPr>
              <w:fldChar w:fldCharType="separate"/>
            </w:r>
            <w:r>
              <w:rPr>
                <w:noProof/>
                <w:webHidden/>
              </w:rPr>
              <w:t>66</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10" w:history="1">
            <w:r w:rsidRPr="0061683F">
              <w:rPr>
                <w:rStyle w:val="Hyperlink"/>
                <w:noProof/>
              </w:rPr>
              <w:t>8.6.</w:t>
            </w:r>
            <w:r>
              <w:rPr>
                <w:rFonts w:asciiTheme="minorHAnsi" w:eastAsiaTheme="minorEastAsia" w:hAnsiTheme="minorHAnsi" w:cstheme="minorBidi"/>
                <w:noProof/>
                <w:lang w:eastAsia="en-AU"/>
              </w:rPr>
              <w:tab/>
            </w:r>
            <w:r w:rsidRPr="0061683F">
              <w:rPr>
                <w:rStyle w:val="Hyperlink"/>
                <w:noProof/>
              </w:rPr>
              <w:t>Other safety issues</w:t>
            </w:r>
            <w:r>
              <w:rPr>
                <w:noProof/>
                <w:webHidden/>
              </w:rPr>
              <w:tab/>
            </w:r>
            <w:r>
              <w:rPr>
                <w:noProof/>
                <w:webHidden/>
              </w:rPr>
              <w:fldChar w:fldCharType="begin"/>
            </w:r>
            <w:r>
              <w:rPr>
                <w:noProof/>
                <w:webHidden/>
              </w:rPr>
              <w:instrText xml:space="preserve"> PAGEREF _Toc524443910 \h </w:instrText>
            </w:r>
            <w:r>
              <w:rPr>
                <w:noProof/>
                <w:webHidden/>
              </w:rPr>
            </w:r>
            <w:r>
              <w:rPr>
                <w:noProof/>
                <w:webHidden/>
              </w:rPr>
              <w:fldChar w:fldCharType="separate"/>
            </w:r>
            <w:r>
              <w:rPr>
                <w:noProof/>
                <w:webHidden/>
              </w:rPr>
              <w:t>67</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11" w:history="1">
            <w:r w:rsidRPr="0061683F">
              <w:rPr>
                <w:rStyle w:val="Hyperlink"/>
                <w:noProof/>
              </w:rPr>
              <w:t>8.7.</w:t>
            </w:r>
            <w:r>
              <w:rPr>
                <w:rFonts w:asciiTheme="minorHAnsi" w:eastAsiaTheme="minorEastAsia" w:hAnsiTheme="minorHAnsi" w:cstheme="minorBidi"/>
                <w:noProof/>
                <w:lang w:eastAsia="en-AU"/>
              </w:rPr>
              <w:tab/>
            </w:r>
            <w:r w:rsidRPr="0061683F">
              <w:rPr>
                <w:rStyle w:val="Hyperlink"/>
                <w:noProof/>
              </w:rPr>
              <w:t>Post marketing experience</w:t>
            </w:r>
            <w:r>
              <w:rPr>
                <w:noProof/>
                <w:webHidden/>
              </w:rPr>
              <w:tab/>
            </w:r>
            <w:r>
              <w:rPr>
                <w:noProof/>
                <w:webHidden/>
              </w:rPr>
              <w:fldChar w:fldCharType="begin"/>
            </w:r>
            <w:r>
              <w:rPr>
                <w:noProof/>
                <w:webHidden/>
              </w:rPr>
              <w:instrText xml:space="preserve"> PAGEREF _Toc524443911 \h </w:instrText>
            </w:r>
            <w:r>
              <w:rPr>
                <w:noProof/>
                <w:webHidden/>
              </w:rPr>
            </w:r>
            <w:r>
              <w:rPr>
                <w:noProof/>
                <w:webHidden/>
              </w:rPr>
              <w:fldChar w:fldCharType="separate"/>
            </w:r>
            <w:r>
              <w:rPr>
                <w:noProof/>
                <w:webHidden/>
              </w:rPr>
              <w:t>67</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12" w:history="1">
            <w:r w:rsidRPr="0061683F">
              <w:rPr>
                <w:rStyle w:val="Hyperlink"/>
                <w:noProof/>
              </w:rPr>
              <w:t>8.8.</w:t>
            </w:r>
            <w:r>
              <w:rPr>
                <w:rFonts w:asciiTheme="minorHAnsi" w:eastAsiaTheme="minorEastAsia" w:hAnsiTheme="minorHAnsi" w:cstheme="minorBidi"/>
                <w:noProof/>
                <w:lang w:eastAsia="en-AU"/>
              </w:rPr>
              <w:tab/>
            </w:r>
            <w:r w:rsidRPr="0061683F">
              <w:rPr>
                <w:rStyle w:val="Hyperlink"/>
                <w:noProof/>
              </w:rPr>
              <w:t>Evaluator’s overall conclusions on clinical safety</w:t>
            </w:r>
            <w:r>
              <w:rPr>
                <w:noProof/>
                <w:webHidden/>
              </w:rPr>
              <w:tab/>
            </w:r>
            <w:r>
              <w:rPr>
                <w:noProof/>
                <w:webHidden/>
              </w:rPr>
              <w:fldChar w:fldCharType="begin"/>
            </w:r>
            <w:r>
              <w:rPr>
                <w:noProof/>
                <w:webHidden/>
              </w:rPr>
              <w:instrText xml:space="preserve"> PAGEREF _Toc524443912 \h </w:instrText>
            </w:r>
            <w:r>
              <w:rPr>
                <w:noProof/>
                <w:webHidden/>
              </w:rPr>
            </w:r>
            <w:r>
              <w:rPr>
                <w:noProof/>
                <w:webHidden/>
              </w:rPr>
              <w:fldChar w:fldCharType="separate"/>
            </w:r>
            <w:r>
              <w:rPr>
                <w:noProof/>
                <w:webHidden/>
              </w:rPr>
              <w:t>68</w:t>
            </w:r>
            <w:r>
              <w:rPr>
                <w:noProof/>
                <w:webHidden/>
              </w:rPr>
              <w:fldChar w:fldCharType="end"/>
            </w:r>
          </w:hyperlink>
        </w:p>
        <w:p w:rsidR="00217652" w:rsidRDefault="00217652">
          <w:pPr>
            <w:pStyle w:val="TOC2"/>
            <w:tabs>
              <w:tab w:val="left" w:pos="1100"/>
            </w:tabs>
            <w:rPr>
              <w:rFonts w:asciiTheme="minorHAnsi" w:eastAsiaTheme="minorEastAsia" w:hAnsiTheme="minorHAnsi" w:cstheme="minorBidi"/>
              <w:b w:val="0"/>
              <w:noProof/>
              <w:sz w:val="22"/>
              <w:lang w:eastAsia="en-AU"/>
            </w:rPr>
          </w:pPr>
          <w:hyperlink w:anchor="_Toc524443913" w:history="1">
            <w:r w:rsidRPr="0061683F">
              <w:rPr>
                <w:rStyle w:val="Hyperlink"/>
                <w:noProof/>
              </w:rPr>
              <w:t>9.</w:t>
            </w:r>
            <w:r>
              <w:rPr>
                <w:rFonts w:asciiTheme="minorHAnsi" w:eastAsiaTheme="minorEastAsia" w:hAnsiTheme="minorHAnsi" w:cstheme="minorBidi"/>
                <w:b w:val="0"/>
                <w:noProof/>
                <w:sz w:val="22"/>
                <w:lang w:eastAsia="en-AU"/>
              </w:rPr>
              <w:tab/>
            </w:r>
            <w:r w:rsidRPr="0061683F">
              <w:rPr>
                <w:rStyle w:val="Hyperlink"/>
                <w:noProof/>
              </w:rPr>
              <w:t>First round benefit-risk assessment</w:t>
            </w:r>
            <w:r>
              <w:rPr>
                <w:noProof/>
                <w:webHidden/>
              </w:rPr>
              <w:tab/>
            </w:r>
            <w:r>
              <w:rPr>
                <w:noProof/>
                <w:webHidden/>
              </w:rPr>
              <w:fldChar w:fldCharType="begin"/>
            </w:r>
            <w:r>
              <w:rPr>
                <w:noProof/>
                <w:webHidden/>
              </w:rPr>
              <w:instrText xml:space="preserve"> PAGEREF _Toc524443913 \h </w:instrText>
            </w:r>
            <w:r>
              <w:rPr>
                <w:noProof/>
                <w:webHidden/>
              </w:rPr>
            </w:r>
            <w:r>
              <w:rPr>
                <w:noProof/>
                <w:webHidden/>
              </w:rPr>
              <w:fldChar w:fldCharType="separate"/>
            </w:r>
            <w:r>
              <w:rPr>
                <w:noProof/>
                <w:webHidden/>
              </w:rPr>
              <w:t>69</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14" w:history="1">
            <w:r w:rsidRPr="0061683F">
              <w:rPr>
                <w:rStyle w:val="Hyperlink"/>
                <w:noProof/>
              </w:rPr>
              <w:t>9.1.</w:t>
            </w:r>
            <w:r>
              <w:rPr>
                <w:rFonts w:asciiTheme="minorHAnsi" w:eastAsiaTheme="minorEastAsia" w:hAnsiTheme="minorHAnsi" w:cstheme="minorBidi"/>
                <w:noProof/>
                <w:lang w:eastAsia="en-AU"/>
              </w:rPr>
              <w:tab/>
            </w:r>
            <w:r w:rsidRPr="0061683F">
              <w:rPr>
                <w:rStyle w:val="Hyperlink"/>
                <w:noProof/>
              </w:rPr>
              <w:t>First round assessment of benefits</w:t>
            </w:r>
            <w:r>
              <w:rPr>
                <w:noProof/>
                <w:webHidden/>
              </w:rPr>
              <w:tab/>
            </w:r>
            <w:r>
              <w:rPr>
                <w:noProof/>
                <w:webHidden/>
              </w:rPr>
              <w:fldChar w:fldCharType="begin"/>
            </w:r>
            <w:r>
              <w:rPr>
                <w:noProof/>
                <w:webHidden/>
              </w:rPr>
              <w:instrText xml:space="preserve"> PAGEREF _Toc524443914 \h </w:instrText>
            </w:r>
            <w:r>
              <w:rPr>
                <w:noProof/>
                <w:webHidden/>
              </w:rPr>
            </w:r>
            <w:r>
              <w:rPr>
                <w:noProof/>
                <w:webHidden/>
              </w:rPr>
              <w:fldChar w:fldCharType="separate"/>
            </w:r>
            <w:r>
              <w:rPr>
                <w:noProof/>
                <w:webHidden/>
              </w:rPr>
              <w:t>69</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15" w:history="1">
            <w:r w:rsidRPr="0061683F">
              <w:rPr>
                <w:rStyle w:val="Hyperlink"/>
                <w:noProof/>
              </w:rPr>
              <w:t>9.2.</w:t>
            </w:r>
            <w:r>
              <w:rPr>
                <w:rFonts w:asciiTheme="minorHAnsi" w:eastAsiaTheme="minorEastAsia" w:hAnsiTheme="minorHAnsi" w:cstheme="minorBidi"/>
                <w:noProof/>
                <w:lang w:eastAsia="en-AU"/>
              </w:rPr>
              <w:tab/>
            </w:r>
            <w:r w:rsidRPr="0061683F">
              <w:rPr>
                <w:rStyle w:val="Hyperlink"/>
                <w:noProof/>
              </w:rPr>
              <w:t>First round assessment of risks</w:t>
            </w:r>
            <w:r>
              <w:rPr>
                <w:noProof/>
                <w:webHidden/>
              </w:rPr>
              <w:tab/>
            </w:r>
            <w:r>
              <w:rPr>
                <w:noProof/>
                <w:webHidden/>
              </w:rPr>
              <w:fldChar w:fldCharType="begin"/>
            </w:r>
            <w:r>
              <w:rPr>
                <w:noProof/>
                <w:webHidden/>
              </w:rPr>
              <w:instrText xml:space="preserve"> PAGEREF _Toc524443915 \h </w:instrText>
            </w:r>
            <w:r>
              <w:rPr>
                <w:noProof/>
                <w:webHidden/>
              </w:rPr>
            </w:r>
            <w:r>
              <w:rPr>
                <w:noProof/>
                <w:webHidden/>
              </w:rPr>
              <w:fldChar w:fldCharType="separate"/>
            </w:r>
            <w:r>
              <w:rPr>
                <w:noProof/>
                <w:webHidden/>
              </w:rPr>
              <w:t>70</w:t>
            </w:r>
            <w:r>
              <w:rPr>
                <w:noProof/>
                <w:webHidden/>
              </w:rPr>
              <w:fldChar w:fldCharType="end"/>
            </w:r>
          </w:hyperlink>
        </w:p>
        <w:p w:rsidR="00217652" w:rsidRDefault="00217652">
          <w:pPr>
            <w:pStyle w:val="TOC3"/>
            <w:tabs>
              <w:tab w:val="left" w:pos="1760"/>
            </w:tabs>
            <w:rPr>
              <w:rFonts w:asciiTheme="minorHAnsi" w:eastAsiaTheme="minorEastAsia" w:hAnsiTheme="minorHAnsi" w:cstheme="minorBidi"/>
              <w:noProof/>
              <w:lang w:eastAsia="en-AU"/>
            </w:rPr>
          </w:pPr>
          <w:hyperlink w:anchor="_Toc524443916" w:history="1">
            <w:r w:rsidRPr="0061683F">
              <w:rPr>
                <w:rStyle w:val="Hyperlink"/>
                <w:noProof/>
              </w:rPr>
              <w:t>9.3.</w:t>
            </w:r>
            <w:r>
              <w:rPr>
                <w:rFonts w:asciiTheme="minorHAnsi" w:eastAsiaTheme="minorEastAsia" w:hAnsiTheme="minorHAnsi" w:cstheme="minorBidi"/>
                <w:noProof/>
                <w:lang w:eastAsia="en-AU"/>
              </w:rPr>
              <w:tab/>
            </w:r>
            <w:r w:rsidRPr="0061683F">
              <w:rPr>
                <w:rStyle w:val="Hyperlink"/>
                <w:noProof/>
              </w:rPr>
              <w:t>First round assessment of benefit-risk balance</w:t>
            </w:r>
            <w:r>
              <w:rPr>
                <w:noProof/>
                <w:webHidden/>
              </w:rPr>
              <w:tab/>
            </w:r>
            <w:r>
              <w:rPr>
                <w:noProof/>
                <w:webHidden/>
              </w:rPr>
              <w:fldChar w:fldCharType="begin"/>
            </w:r>
            <w:r>
              <w:rPr>
                <w:noProof/>
                <w:webHidden/>
              </w:rPr>
              <w:instrText xml:space="preserve"> PAGEREF _Toc524443916 \h </w:instrText>
            </w:r>
            <w:r>
              <w:rPr>
                <w:noProof/>
                <w:webHidden/>
              </w:rPr>
            </w:r>
            <w:r>
              <w:rPr>
                <w:noProof/>
                <w:webHidden/>
              </w:rPr>
              <w:fldChar w:fldCharType="separate"/>
            </w:r>
            <w:r>
              <w:rPr>
                <w:noProof/>
                <w:webHidden/>
              </w:rPr>
              <w:t>71</w:t>
            </w:r>
            <w:r>
              <w:rPr>
                <w:noProof/>
                <w:webHidden/>
              </w:rPr>
              <w:fldChar w:fldCharType="end"/>
            </w:r>
          </w:hyperlink>
        </w:p>
        <w:p w:rsidR="00217652" w:rsidRDefault="00217652">
          <w:pPr>
            <w:pStyle w:val="TOC2"/>
            <w:tabs>
              <w:tab w:val="left" w:pos="1320"/>
            </w:tabs>
            <w:rPr>
              <w:rFonts w:asciiTheme="minorHAnsi" w:eastAsiaTheme="minorEastAsia" w:hAnsiTheme="minorHAnsi" w:cstheme="minorBidi"/>
              <w:b w:val="0"/>
              <w:noProof/>
              <w:sz w:val="22"/>
              <w:lang w:eastAsia="en-AU"/>
            </w:rPr>
          </w:pPr>
          <w:hyperlink w:anchor="_Toc524443917" w:history="1">
            <w:r w:rsidRPr="0061683F">
              <w:rPr>
                <w:rStyle w:val="Hyperlink"/>
                <w:noProof/>
              </w:rPr>
              <w:t>10.</w:t>
            </w:r>
            <w:r>
              <w:rPr>
                <w:rFonts w:asciiTheme="minorHAnsi" w:eastAsiaTheme="minorEastAsia" w:hAnsiTheme="minorHAnsi" w:cstheme="minorBidi"/>
                <w:b w:val="0"/>
                <w:noProof/>
                <w:sz w:val="22"/>
                <w:lang w:eastAsia="en-AU"/>
              </w:rPr>
              <w:tab/>
            </w:r>
            <w:r w:rsidRPr="0061683F">
              <w:rPr>
                <w:rStyle w:val="Hyperlink"/>
                <w:noProof/>
              </w:rPr>
              <w:t>First round recommendation regarding authorisation</w:t>
            </w:r>
            <w:r>
              <w:rPr>
                <w:noProof/>
                <w:webHidden/>
              </w:rPr>
              <w:tab/>
            </w:r>
            <w:r>
              <w:rPr>
                <w:noProof/>
                <w:webHidden/>
              </w:rPr>
              <w:fldChar w:fldCharType="begin"/>
            </w:r>
            <w:r>
              <w:rPr>
                <w:noProof/>
                <w:webHidden/>
              </w:rPr>
              <w:instrText xml:space="preserve"> PAGEREF _Toc524443917 \h </w:instrText>
            </w:r>
            <w:r>
              <w:rPr>
                <w:noProof/>
                <w:webHidden/>
              </w:rPr>
            </w:r>
            <w:r>
              <w:rPr>
                <w:noProof/>
                <w:webHidden/>
              </w:rPr>
              <w:fldChar w:fldCharType="separate"/>
            </w:r>
            <w:r>
              <w:rPr>
                <w:noProof/>
                <w:webHidden/>
              </w:rPr>
              <w:t>71</w:t>
            </w:r>
            <w:r>
              <w:rPr>
                <w:noProof/>
                <w:webHidden/>
              </w:rPr>
              <w:fldChar w:fldCharType="end"/>
            </w:r>
          </w:hyperlink>
        </w:p>
        <w:p w:rsidR="00217652" w:rsidRDefault="00217652">
          <w:pPr>
            <w:pStyle w:val="TOC2"/>
            <w:tabs>
              <w:tab w:val="left" w:pos="1320"/>
            </w:tabs>
            <w:rPr>
              <w:rFonts w:asciiTheme="minorHAnsi" w:eastAsiaTheme="minorEastAsia" w:hAnsiTheme="minorHAnsi" w:cstheme="minorBidi"/>
              <w:b w:val="0"/>
              <w:noProof/>
              <w:sz w:val="22"/>
              <w:lang w:eastAsia="en-AU"/>
            </w:rPr>
          </w:pPr>
          <w:hyperlink w:anchor="_Toc524443918" w:history="1">
            <w:r w:rsidRPr="0061683F">
              <w:rPr>
                <w:rStyle w:val="Hyperlink"/>
                <w:noProof/>
              </w:rPr>
              <w:t>11.</w:t>
            </w:r>
            <w:r>
              <w:rPr>
                <w:rFonts w:asciiTheme="minorHAnsi" w:eastAsiaTheme="minorEastAsia" w:hAnsiTheme="minorHAnsi" w:cstheme="minorBidi"/>
                <w:b w:val="0"/>
                <w:noProof/>
                <w:sz w:val="22"/>
                <w:lang w:eastAsia="en-AU"/>
              </w:rPr>
              <w:tab/>
            </w:r>
            <w:r w:rsidRPr="0061683F">
              <w:rPr>
                <w:rStyle w:val="Hyperlink"/>
                <w:noProof/>
              </w:rPr>
              <w:t>Clinical questions</w:t>
            </w:r>
            <w:r>
              <w:rPr>
                <w:noProof/>
                <w:webHidden/>
              </w:rPr>
              <w:tab/>
            </w:r>
            <w:r>
              <w:rPr>
                <w:noProof/>
                <w:webHidden/>
              </w:rPr>
              <w:fldChar w:fldCharType="begin"/>
            </w:r>
            <w:r>
              <w:rPr>
                <w:noProof/>
                <w:webHidden/>
              </w:rPr>
              <w:instrText xml:space="preserve"> PAGEREF _Toc524443918 \h </w:instrText>
            </w:r>
            <w:r>
              <w:rPr>
                <w:noProof/>
                <w:webHidden/>
              </w:rPr>
            </w:r>
            <w:r>
              <w:rPr>
                <w:noProof/>
                <w:webHidden/>
              </w:rPr>
              <w:fldChar w:fldCharType="separate"/>
            </w:r>
            <w:r>
              <w:rPr>
                <w:noProof/>
                <w:webHidden/>
              </w:rPr>
              <w:t>71</w:t>
            </w:r>
            <w:r>
              <w:rPr>
                <w:noProof/>
                <w:webHidden/>
              </w:rPr>
              <w:fldChar w:fldCharType="end"/>
            </w:r>
          </w:hyperlink>
        </w:p>
        <w:p w:rsidR="00217652" w:rsidRDefault="00217652">
          <w:pPr>
            <w:pStyle w:val="TOC2"/>
            <w:tabs>
              <w:tab w:val="left" w:pos="1320"/>
            </w:tabs>
            <w:rPr>
              <w:rFonts w:asciiTheme="minorHAnsi" w:eastAsiaTheme="minorEastAsia" w:hAnsiTheme="minorHAnsi" w:cstheme="minorBidi"/>
              <w:b w:val="0"/>
              <w:noProof/>
              <w:sz w:val="22"/>
              <w:lang w:eastAsia="en-AU"/>
            </w:rPr>
          </w:pPr>
          <w:hyperlink w:anchor="_Toc524443919" w:history="1">
            <w:r w:rsidRPr="0061683F">
              <w:rPr>
                <w:rStyle w:val="Hyperlink"/>
                <w:noProof/>
              </w:rPr>
              <w:t>12.</w:t>
            </w:r>
            <w:r>
              <w:rPr>
                <w:rFonts w:asciiTheme="minorHAnsi" w:eastAsiaTheme="minorEastAsia" w:hAnsiTheme="minorHAnsi" w:cstheme="minorBidi"/>
                <w:b w:val="0"/>
                <w:noProof/>
                <w:sz w:val="22"/>
                <w:lang w:eastAsia="en-AU"/>
              </w:rPr>
              <w:tab/>
            </w:r>
            <w:r w:rsidRPr="0061683F">
              <w:rPr>
                <w:rStyle w:val="Hyperlink"/>
                <w:noProof/>
              </w:rPr>
              <w:t>References</w:t>
            </w:r>
            <w:r>
              <w:rPr>
                <w:noProof/>
                <w:webHidden/>
              </w:rPr>
              <w:tab/>
            </w:r>
            <w:r>
              <w:rPr>
                <w:noProof/>
                <w:webHidden/>
              </w:rPr>
              <w:fldChar w:fldCharType="begin"/>
            </w:r>
            <w:r>
              <w:rPr>
                <w:noProof/>
                <w:webHidden/>
              </w:rPr>
              <w:instrText xml:space="preserve"> PAGEREF _Toc524443919 \h </w:instrText>
            </w:r>
            <w:r>
              <w:rPr>
                <w:noProof/>
                <w:webHidden/>
              </w:rPr>
            </w:r>
            <w:r>
              <w:rPr>
                <w:noProof/>
                <w:webHidden/>
              </w:rPr>
              <w:fldChar w:fldCharType="separate"/>
            </w:r>
            <w:r>
              <w:rPr>
                <w:noProof/>
                <w:webHidden/>
              </w:rPr>
              <w:t>71</w:t>
            </w:r>
            <w:r>
              <w:rPr>
                <w:noProof/>
                <w:webHidden/>
              </w:rPr>
              <w:fldChar w:fldCharType="end"/>
            </w:r>
          </w:hyperlink>
        </w:p>
        <w:p w:rsidR="003A7F6C" w:rsidRPr="00DD25D7" w:rsidRDefault="004F4AF5" w:rsidP="00B811C6">
          <w:pPr>
            <w:pStyle w:val="TOC2"/>
          </w:pPr>
          <w:r w:rsidRPr="00153D26">
            <w:fldChar w:fldCharType="end"/>
          </w:r>
        </w:p>
      </w:sdtContent>
    </w:sdt>
    <w:bookmarkStart w:id="3" w:name="_Toc314842482" w:displacedByCustomXml="prev"/>
    <w:p w:rsidR="00586F98" w:rsidRPr="00DD25D7" w:rsidRDefault="00586F98" w:rsidP="00743EF5">
      <w:pPr>
        <w:pStyle w:val="Heading2"/>
        <w:pageBreakBefore/>
        <w:numPr>
          <w:ilvl w:val="0"/>
          <w:numId w:val="0"/>
        </w:numPr>
      </w:pPr>
      <w:bookmarkStart w:id="4" w:name="_Toc351716269"/>
      <w:bookmarkStart w:id="5" w:name="_Toc351718881"/>
      <w:bookmarkStart w:id="6" w:name="_Toc355338616"/>
      <w:bookmarkStart w:id="7" w:name="_Toc524443882"/>
      <w:r w:rsidRPr="00DD25D7">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RPr="00DD25D7" w:rsidTr="005B5C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DD25D7" w:rsidRDefault="00586F98" w:rsidP="000A63AF">
            <w:r w:rsidRPr="00DD25D7">
              <w:t>Abbreviation</w:t>
            </w:r>
          </w:p>
        </w:tc>
        <w:tc>
          <w:tcPr>
            <w:tcW w:w="6911" w:type="dxa"/>
          </w:tcPr>
          <w:p w:rsidR="00586F98" w:rsidRPr="00DD25D7" w:rsidRDefault="00586F98" w:rsidP="000A63AF">
            <w:pPr>
              <w:cnfStyle w:val="100000000000" w:firstRow="1" w:lastRow="0" w:firstColumn="0" w:lastColumn="0" w:oddVBand="0" w:evenVBand="0" w:oddHBand="0" w:evenHBand="0" w:firstRowFirstColumn="0" w:firstRowLastColumn="0" w:lastRowFirstColumn="0" w:lastRowLastColumn="0"/>
            </w:pPr>
            <w:r w:rsidRPr="00DD25D7">
              <w:t>Meaning</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DD25D7">
              <w:t>1/</w:t>
            </w:r>
            <w:proofErr w:type="spellStart"/>
            <w:r w:rsidRPr="00DD25D7">
              <w:t>dil</w:t>
            </w:r>
            <w:proofErr w:type="spellEnd"/>
            <w:r w:rsidRPr="00A40358">
              <w:t xml:space="preserve"> 4</w:t>
            </w:r>
          </w:p>
        </w:tc>
        <w:tc>
          <w:tcPr>
            <w:tcW w:w="6911" w:type="dxa"/>
          </w:tcPr>
          <w:p w:rsidR="005B5C84" w:rsidRPr="00DD25D7" w:rsidRDefault="005B5C84" w:rsidP="005B5C84">
            <w:pPr>
              <w:cnfStyle w:val="000000000000" w:firstRow="0" w:lastRow="0" w:firstColumn="0" w:lastColumn="0" w:oddVBand="0" w:evenVBand="0" w:oddHBand="0" w:evenHBand="0" w:firstRowFirstColumn="0" w:firstRowLastColumn="0" w:lastRowFirstColumn="0" w:lastRowLastColumn="0"/>
            </w:pPr>
            <w:r w:rsidRPr="00DD25D7">
              <w:t>reciprocal of dilution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DD25D7">
              <w:t>Ab</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DD25D7">
              <w:t>antibody</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proofErr w:type="spellStart"/>
            <w:r w:rsidRPr="00A40358">
              <w:t>CMenB</w:t>
            </w:r>
            <w:proofErr w:type="spellEnd"/>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Multicomponent meningococcal serogroup B vaccine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ABC</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Active Bacterial Core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ACIP</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Advisory Committee on Immunization Practices</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Adacel</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tetanus, low-dose diphtheria, and low-dose acellular pertussis vaccine (</w:t>
            </w:r>
            <w:proofErr w:type="spellStart"/>
            <w:r w:rsidRPr="00A40358">
              <w:t>Tdap</w:t>
            </w:r>
            <w:proofErr w:type="spellEnd"/>
            <w:r w:rsidRPr="00A40358">
              <w:t>)</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AE</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adverse event</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AlPO4</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proofErr w:type="spellStart"/>
            <w:r w:rsidRPr="00A40358">
              <w:t>aluminum</w:t>
            </w:r>
            <w:proofErr w:type="spellEnd"/>
            <w:r w:rsidRPr="00A40358">
              <w:t xml:space="preserve"> phosphate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ANSM</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proofErr w:type="spellStart"/>
            <w:r w:rsidRPr="00A40358">
              <w:t>Agence</w:t>
            </w:r>
            <w:proofErr w:type="spellEnd"/>
            <w:r w:rsidRPr="00A40358">
              <w:t xml:space="preserve"> </w:t>
            </w:r>
            <w:proofErr w:type="spellStart"/>
            <w:r w:rsidRPr="00A40358">
              <w:t>Nationale</w:t>
            </w:r>
            <w:proofErr w:type="spellEnd"/>
            <w:r w:rsidRPr="00A40358">
              <w:t xml:space="preserve"> de </w:t>
            </w:r>
            <w:proofErr w:type="spellStart"/>
            <w:r w:rsidRPr="00A40358">
              <w:t>Sécurité</w:t>
            </w:r>
            <w:proofErr w:type="spellEnd"/>
            <w:r w:rsidRPr="00A40358">
              <w:t xml:space="preserve"> du Medicament</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Anti-TPO</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anti-thyroid peroxidase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ASO</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proofErr w:type="spellStart"/>
            <w:r w:rsidRPr="00A40358">
              <w:t>antistreptolysin</w:t>
            </w:r>
            <w:proofErr w:type="spellEnd"/>
            <w:r w:rsidRPr="00A40358">
              <w:t xml:space="preserve"> O</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proofErr w:type="spellStart"/>
            <w:r w:rsidRPr="00A40358">
              <w:t>Aus</w:t>
            </w:r>
            <w:proofErr w:type="spellEnd"/>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Australia</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BLA</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Biologic License Application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CBER</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proofErr w:type="spellStart"/>
            <w:r w:rsidRPr="00A40358">
              <w:t>Center</w:t>
            </w:r>
            <w:proofErr w:type="spellEnd"/>
            <w:r w:rsidRPr="00A40358">
              <w:t xml:space="preserve"> for Biologics Evaluation and Research</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CC</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clonal complex type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CDC</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proofErr w:type="spellStart"/>
            <w:r w:rsidRPr="00A40358">
              <w:t>Centers</w:t>
            </w:r>
            <w:proofErr w:type="spellEnd"/>
            <w:r w:rsidRPr="00A40358">
              <w:t xml:space="preserve"> for Disease Control and Prevention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CFR</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Code of Federal Regulation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CHMP</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Committee for Medicinal Products for Human Use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CI</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confidence interval</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proofErr w:type="spellStart"/>
            <w:r w:rsidRPr="00A40358">
              <w:t>cLIA</w:t>
            </w:r>
            <w:proofErr w:type="spellEnd"/>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 xml:space="preserve">competitive </w:t>
            </w:r>
            <w:proofErr w:type="spellStart"/>
            <w:r w:rsidRPr="00A40358">
              <w:t>Luminex</w:t>
            </w:r>
            <w:proofErr w:type="spellEnd"/>
            <w:r w:rsidRPr="00A40358">
              <w:t xml:space="preserve"> immunoassay</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CRM197</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cross-reactive material-197</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t>CSR</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clinical study report</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proofErr w:type="spellStart"/>
            <w:r w:rsidRPr="00A40358">
              <w:t>dTAP</w:t>
            </w:r>
            <w:proofErr w:type="spellEnd"/>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low-dose diphtheria, tetanus, and low-dose acellular pertussis vaccine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5B5C84">
            <w:pPr>
              <w:tabs>
                <w:tab w:val="left" w:pos="2127"/>
              </w:tabs>
            </w:pPr>
            <w:r w:rsidRPr="00A40358">
              <w:lastRenderedPageBreak/>
              <w:t>e-diary</w:t>
            </w:r>
          </w:p>
        </w:tc>
        <w:tc>
          <w:tcPr>
            <w:tcW w:w="6911" w:type="dxa"/>
          </w:tcPr>
          <w:p w:rsidR="005B5C84" w:rsidRPr="00A40358" w:rsidRDefault="005B5C84" w:rsidP="00396C92">
            <w:pPr>
              <w:cnfStyle w:val="000000000000" w:firstRow="0" w:lastRow="0" w:firstColumn="0" w:lastColumn="0" w:oddVBand="0" w:evenVBand="0" w:oddHBand="0" w:evenHBand="0" w:firstRowFirstColumn="0" w:firstRowLastColumn="0" w:lastRowFirstColumn="0" w:lastRowLastColumn="0"/>
            </w:pPr>
            <w:r w:rsidRPr="00A40358">
              <w:t>electronic diary</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5B5C84">
            <w:pPr>
              <w:tabs>
                <w:tab w:val="left" w:pos="2127"/>
              </w:tabs>
            </w:pPr>
            <w:r w:rsidRPr="00A40358">
              <w:t>EEA</w:t>
            </w:r>
          </w:p>
        </w:tc>
        <w:tc>
          <w:tcPr>
            <w:tcW w:w="6911" w:type="dxa"/>
          </w:tcPr>
          <w:p w:rsidR="005B5C84" w:rsidRPr="00DD25D7" w:rsidRDefault="005B5C84" w:rsidP="00396C92">
            <w:pPr>
              <w:cnfStyle w:val="000000000000" w:firstRow="0" w:lastRow="0" w:firstColumn="0" w:lastColumn="0" w:oddVBand="0" w:evenVBand="0" w:oddHBand="0" w:evenHBand="0" w:firstRowFirstColumn="0" w:firstRowLastColumn="0" w:lastRowFirstColumn="0" w:lastRowLastColumn="0"/>
            </w:pPr>
            <w:r w:rsidRPr="00A40358">
              <w:t>European Economic Area</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EU</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European Union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FDA</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Food and Drug Administration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factor H</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binding protein (referring to the bacterial lipoprotein expressed on surface of N meningitidis)</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Gardasil</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human papilloma virus vaccine (HPV)</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GCP</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Good Clinical Practice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GMR</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geometric mean ratio</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GMT</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 xml:space="preserve">geometric mean </w:t>
            </w:r>
            <w:r w:rsidR="00EA5CCB" w:rsidRPr="00A40358">
              <w:t>titre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HAV</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hepatitis A virus vaccine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proofErr w:type="spellStart"/>
            <w:r w:rsidRPr="00A40358">
              <w:t>Havrix</w:t>
            </w:r>
            <w:proofErr w:type="spellEnd"/>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hepatitis A virus vaccine (HAV)</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HPV</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human papilloma virus vaccine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proofErr w:type="spellStart"/>
            <w:r w:rsidRPr="00A40358">
              <w:t>hSBA</w:t>
            </w:r>
            <w:proofErr w:type="spellEnd"/>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serum bactericidal assay using human complement</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ICD</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informed consent document</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ICH</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International Conference on Harmonisation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IgA</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Immunoglobulin A</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IgG</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Immunoglobulin G</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IMD</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invasive meningococcal disease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IPV</w:t>
            </w:r>
          </w:p>
        </w:tc>
        <w:tc>
          <w:tcPr>
            <w:tcW w:w="6911" w:type="dxa"/>
          </w:tcPr>
          <w:p w:rsidR="005B5C84" w:rsidRPr="00DD25D7" w:rsidRDefault="00813512" w:rsidP="00813512">
            <w:pPr>
              <w:cnfStyle w:val="000000000000" w:firstRow="0" w:lastRow="0" w:firstColumn="0" w:lastColumn="0" w:oddVBand="0" w:evenVBand="0" w:oddHBand="0" w:evenHBand="0" w:firstRowFirstColumn="0" w:firstRowLastColumn="0" w:lastRowFirstColumn="0" w:lastRowLastColumn="0"/>
            </w:pPr>
            <w:r w:rsidRPr="00A40358">
              <w:t>inactivated poliomyelitis virus vaccine</w:t>
            </w:r>
          </w:p>
        </w:tc>
      </w:tr>
      <w:tr w:rsidR="00813512"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813512" w:rsidRPr="00A40358" w:rsidRDefault="00813512" w:rsidP="00813512">
            <w:pPr>
              <w:tabs>
                <w:tab w:val="left" w:pos="2127"/>
              </w:tabs>
            </w:pPr>
            <w:r w:rsidRPr="00A40358">
              <w:t>ISE</w:t>
            </w:r>
          </w:p>
        </w:tc>
        <w:tc>
          <w:tcPr>
            <w:tcW w:w="6911" w:type="dxa"/>
          </w:tcPr>
          <w:p w:rsidR="00813512" w:rsidRPr="00A40358" w:rsidRDefault="00813512" w:rsidP="00396C92">
            <w:pPr>
              <w:cnfStyle w:val="000000000000" w:firstRow="0" w:lastRow="0" w:firstColumn="0" w:lastColumn="0" w:oddVBand="0" w:evenVBand="0" w:oddHBand="0" w:evenHBand="0" w:firstRowFirstColumn="0" w:firstRowLastColumn="0" w:lastRowFirstColumn="0" w:lastRowLastColumn="0"/>
            </w:pPr>
            <w:r w:rsidRPr="00A40358">
              <w:t>integrated summary of efficacy</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813512">
            <w:pPr>
              <w:tabs>
                <w:tab w:val="left" w:pos="2127"/>
              </w:tabs>
            </w:pPr>
            <w:r w:rsidRPr="00A40358">
              <w:t>IS</w:t>
            </w:r>
            <w:r w:rsidR="00813512" w:rsidRPr="00A40358">
              <w:t>S</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integrated summary of safety</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proofErr w:type="spellStart"/>
            <w:r w:rsidRPr="00A40358">
              <w:t>iTT</w:t>
            </w:r>
            <w:proofErr w:type="spellEnd"/>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intent-to-treat</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LAL</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 xml:space="preserve">Limulus </w:t>
            </w:r>
            <w:proofErr w:type="spellStart"/>
            <w:r w:rsidRPr="00A40358">
              <w:t>amoebocyte</w:t>
            </w:r>
            <w:proofErr w:type="spellEnd"/>
            <w:r w:rsidRPr="00A40358">
              <w:t xml:space="preserve"> lysate assay</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LCI</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lower bound confidence interval</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LLOQ</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lower limit of quantitation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lastRenderedPageBreak/>
              <w:t>LOD</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limit of detection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813512">
            <w:pPr>
              <w:tabs>
                <w:tab w:val="left" w:pos="2127"/>
              </w:tabs>
            </w:pPr>
            <w:r w:rsidRPr="00A40358">
              <w:t>LO</w:t>
            </w:r>
            <w:r w:rsidR="00813512" w:rsidRPr="00A40358">
              <w:t>S</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proofErr w:type="spellStart"/>
            <w:r w:rsidRPr="00A40358">
              <w:t>lipooligosaccharide</w:t>
            </w:r>
            <w:proofErr w:type="spellEnd"/>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LP2086</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 xml:space="preserve">lipoprotein (referring to the recombinant </w:t>
            </w:r>
            <w:proofErr w:type="spellStart"/>
            <w:r w:rsidRPr="00A40358">
              <w:t>fHBP</w:t>
            </w:r>
            <w:proofErr w:type="spellEnd"/>
            <w:r w:rsidRPr="00A40358">
              <w:t xml:space="preserve"> or </w:t>
            </w:r>
            <w:proofErr w:type="spellStart"/>
            <w:r w:rsidRPr="00A40358">
              <w:t>fHBP</w:t>
            </w:r>
            <w:proofErr w:type="spellEnd"/>
            <w:r w:rsidRPr="00A40358">
              <w:t xml:space="preserve"> vaccine antigen)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LXA</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proofErr w:type="spellStart"/>
            <w:r w:rsidRPr="00A40358">
              <w:t>Luminex</w:t>
            </w:r>
            <w:proofErr w:type="spellEnd"/>
            <w:r w:rsidRPr="00A40358">
              <w:t xml:space="preserve"> assay</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MAA</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marketing authorization application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MAC</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membrane attack complex</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MAE</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medically attended adverse event</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MCC</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meningococcal serogroup C conjugate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MCV4</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quadrivalent meningococcal polysaccharide conjugate vaccine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proofErr w:type="spellStart"/>
            <w:r w:rsidRPr="00A40358">
              <w:t>MedDRA</w:t>
            </w:r>
            <w:proofErr w:type="spellEnd"/>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Medical Dictionary for Regulatory Activities</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proofErr w:type="spellStart"/>
            <w:r w:rsidRPr="00A40358">
              <w:t>Menactra</w:t>
            </w:r>
            <w:proofErr w:type="spellEnd"/>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meningococcal (Groups A, C, Y, and W-135) polysaccharide diphtheria toxoid conjugate vaccine (MCV4)</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tabs>
                <w:tab w:val="left" w:pos="2127"/>
              </w:tabs>
            </w:pPr>
            <w:r w:rsidRPr="00A40358">
              <w:t>MenACWY-CRM197</w:t>
            </w:r>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Menveo, tetravalent meningococcal conjugate vaccine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813512" w:rsidP="00813512">
            <w:pPr>
              <w:widowControl w:val="0"/>
              <w:tabs>
                <w:tab w:val="left" w:pos="2127"/>
              </w:tabs>
              <w:autoSpaceDE w:val="0"/>
              <w:autoSpaceDN w:val="0"/>
              <w:adjustRightInd w:val="0"/>
              <w:spacing w:before="0" w:after="240" w:line="300" w:lineRule="atLeast"/>
              <w:rPr>
                <w:rFonts w:ascii="Times" w:eastAsiaTheme="minorHAnsi" w:hAnsi="Times" w:cs="Times"/>
                <w:sz w:val="24"/>
                <w:szCs w:val="24"/>
              </w:rPr>
            </w:pPr>
            <w:proofErr w:type="spellStart"/>
            <w:r w:rsidRPr="00A40358">
              <w:t>MenAfriVac</w:t>
            </w:r>
            <w:proofErr w:type="spellEnd"/>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rPr>
                <w:rFonts w:asciiTheme="minorHAnsi" w:eastAsiaTheme="minorHAnsi" w:hAnsiTheme="minorHAnsi" w:cs="Times"/>
              </w:rPr>
              <w:t>meningococcal A conjugate vaccine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813512">
            <w:pPr>
              <w:tabs>
                <w:tab w:val="left" w:pos="2127"/>
              </w:tabs>
            </w:pPr>
            <w:proofErr w:type="spellStart"/>
            <w:r w:rsidRPr="00A40358">
              <w:t>Menomune</w:t>
            </w:r>
            <w:proofErr w:type="spellEnd"/>
          </w:p>
        </w:tc>
        <w:tc>
          <w:tcPr>
            <w:tcW w:w="6911" w:type="dxa"/>
          </w:tcPr>
          <w:p w:rsidR="005B5C84" w:rsidRPr="00DD25D7" w:rsidRDefault="00813512" w:rsidP="00396C92">
            <w:pPr>
              <w:cnfStyle w:val="000000000000" w:firstRow="0" w:lastRow="0" w:firstColumn="0" w:lastColumn="0" w:oddVBand="0" w:evenVBand="0" w:oddHBand="0" w:evenHBand="0" w:firstRowFirstColumn="0" w:firstRowLastColumn="0" w:lastRowFirstColumn="0" w:lastRowLastColumn="0"/>
            </w:pPr>
            <w:r w:rsidRPr="00A40358">
              <w:t>tetravalent meningococcal polysaccharide vaccine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r w:rsidRPr="00A40358">
              <w:t>Menveo</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tetravalent meningococcal conjugate vaccine, MenACWY-CRM197</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proofErr w:type="spellStart"/>
            <w:r w:rsidRPr="00A40358">
              <w:t>MeNZB</w:t>
            </w:r>
            <w:proofErr w:type="spellEnd"/>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meningococcal serogroup B outer membrane vesicle vaccine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proofErr w:type="spellStart"/>
            <w:r w:rsidRPr="00A40358">
              <w:t>mITT</w:t>
            </w:r>
            <w:proofErr w:type="spellEnd"/>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modified intent-to-treat</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r w:rsidRPr="00A40358">
              <w:t>MLST</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multi-locus sequence type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proofErr w:type="spellStart"/>
            <w:r w:rsidRPr="00A40358">
              <w:t>MnB</w:t>
            </w:r>
            <w:proofErr w:type="spellEnd"/>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Neisseria meningitidis serogroup B</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proofErr w:type="spellStart"/>
            <w:r w:rsidRPr="00A40358">
              <w:t>MnC</w:t>
            </w:r>
            <w:proofErr w:type="spellEnd"/>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Neisseria meningitidis serogroup C</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r w:rsidRPr="00A40358">
              <w:t>MPSV4</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meningococcal polysaccharide vaccine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0D2618">
            <w:pPr>
              <w:tabs>
                <w:tab w:val="left" w:pos="2127"/>
              </w:tabs>
            </w:pPr>
            <w:r w:rsidRPr="00A40358">
              <w:t>MRI</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magnetic resonance imaging</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0D2618">
            <w:pPr>
              <w:tabs>
                <w:tab w:val="left" w:pos="2127"/>
              </w:tabs>
            </w:pPr>
            <w:r w:rsidRPr="00A40358">
              <w:t>NA</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not applicable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proofErr w:type="spellStart"/>
            <w:r w:rsidRPr="00A40358">
              <w:t>NaCl</w:t>
            </w:r>
            <w:proofErr w:type="spellEnd"/>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sodium chloride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0D2618">
            <w:pPr>
              <w:tabs>
                <w:tab w:val="left" w:pos="2127"/>
              </w:tabs>
            </w:pPr>
            <w:r w:rsidRPr="00A40358">
              <w:lastRenderedPageBreak/>
              <w:t>NC</w:t>
            </w:r>
            <w:r w:rsidR="000D2618" w:rsidRPr="00A40358">
              <w:t>A</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National Competent Authority</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r w:rsidRPr="00A40358">
              <w:t>NDCMCs</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newly diagnosed chronic medical conditions</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proofErr w:type="spellStart"/>
            <w:r w:rsidRPr="00A40358">
              <w:t>Nimenrix</w:t>
            </w:r>
            <w:proofErr w:type="spellEnd"/>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meningococcal tetravalent (A,C,Y,W) tetanus toxoid conjugate vaccine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r w:rsidRPr="00A40358">
              <w:t>OMV</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outer membrane vesicle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r w:rsidRPr="00A40358">
              <w:t>PDCO</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Paediatric Committee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r w:rsidRPr="00A40358">
              <w:t>PDUFA</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Prescription Drug User Fee Act</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0D2618">
            <w:pPr>
              <w:tabs>
                <w:tab w:val="left" w:pos="2127"/>
              </w:tabs>
            </w:pPr>
            <w:r w:rsidRPr="00A40358">
              <w:t>PI</w:t>
            </w:r>
            <w:r w:rsidR="000D2618" w:rsidRPr="00A40358">
              <w:t>P</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proofErr w:type="spellStart"/>
            <w:r w:rsidRPr="00A40358">
              <w:t>Pediatric</w:t>
            </w:r>
            <w:proofErr w:type="spellEnd"/>
            <w:r w:rsidRPr="00A40358">
              <w:t xml:space="preserve"> Investigation Plan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proofErr w:type="spellStart"/>
            <w:r w:rsidRPr="00A40358">
              <w:t>Por</w:t>
            </w:r>
            <w:proofErr w:type="spellEnd"/>
            <w:r w:rsidRPr="00A40358">
              <w:t xml:space="preserve"> A</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proofErr w:type="spellStart"/>
            <w:r w:rsidRPr="00A40358">
              <w:t>porin</w:t>
            </w:r>
            <w:proofErr w:type="spellEnd"/>
            <w:r w:rsidRPr="00A40358">
              <w:t xml:space="preserve"> A</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proofErr w:type="spellStart"/>
            <w:r w:rsidRPr="00A40358">
              <w:t>Por</w:t>
            </w:r>
            <w:proofErr w:type="spellEnd"/>
            <w:r w:rsidRPr="00A40358">
              <w:t xml:space="preserve"> B</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proofErr w:type="spellStart"/>
            <w:r w:rsidRPr="00A40358">
              <w:t>porin</w:t>
            </w:r>
            <w:proofErr w:type="spellEnd"/>
            <w:r w:rsidRPr="00A40358">
              <w:t xml:space="preserve"> B</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r w:rsidRPr="00A40358">
              <w:t>PPV</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positive predictive value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r w:rsidRPr="00A40358">
              <w:t>PS80</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polysorbate 80</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0D2618" w:rsidP="000D2618">
            <w:pPr>
              <w:tabs>
                <w:tab w:val="left" w:pos="2127"/>
              </w:tabs>
            </w:pPr>
            <w:r w:rsidRPr="00A40358">
              <w:t>PT</w:t>
            </w:r>
          </w:p>
        </w:tc>
        <w:tc>
          <w:tcPr>
            <w:tcW w:w="6911" w:type="dxa"/>
          </w:tcPr>
          <w:p w:rsidR="005B5C84" w:rsidRPr="00DD25D7" w:rsidRDefault="000D2618" w:rsidP="00396C92">
            <w:pPr>
              <w:cnfStyle w:val="000000000000" w:firstRow="0" w:lastRow="0" w:firstColumn="0" w:lastColumn="0" w:oddVBand="0" w:evenVBand="0" w:oddHBand="0" w:evenHBand="0" w:firstRowFirstColumn="0" w:firstRowLastColumn="0" w:lastRowFirstColumn="0" w:lastRowLastColumn="0"/>
            </w:pPr>
            <w:r w:rsidRPr="00A40358">
              <w:t>preferred term</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RCDC</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reverse cumulative distribution curve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Repevax</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low-dose diphtheria, tetanus, acellular pertussis, and inactivated poliomyelitis virus vaccine (</w:t>
            </w:r>
            <w:proofErr w:type="spellStart"/>
            <w:r w:rsidRPr="00A40358">
              <w:t>dTaP</w:t>
            </w:r>
            <w:proofErr w:type="spellEnd"/>
            <w:r w:rsidRPr="00A40358">
              <w:t>/IPV)</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rLP2086</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recombinant lipoprotein 2086</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D362CD">
            <w:pPr>
              <w:tabs>
                <w:tab w:val="left" w:pos="2127"/>
              </w:tabs>
            </w:pPr>
            <w:r w:rsidRPr="00A40358">
              <w:t>RR</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respiratory rate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RPT</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rabbit pyrogenicity test</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proofErr w:type="spellStart"/>
            <w:r w:rsidRPr="00A40358">
              <w:t>rSBA</w:t>
            </w:r>
            <w:proofErr w:type="spellEnd"/>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serum bactericidal assay using baby rabbit serum as complement source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SAE</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serious adverse event</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SAP</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statistical analysis plan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SBA</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serum bactericidal assay</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SCE</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summary of clinical efficacy</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SCS</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summary of clinical safety</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proofErr w:type="spellStart"/>
            <w:r w:rsidRPr="00A40358">
              <w:t>sCSR</w:t>
            </w:r>
            <w:proofErr w:type="spellEnd"/>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supplemental clinical study report</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lastRenderedPageBreak/>
              <w:t>SD</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standard deviation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SOC</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System organ class</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SUSAR</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suspected unexpected serious adverse reaction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proofErr w:type="spellStart"/>
            <w:r w:rsidRPr="00A40358">
              <w:t>Tdap</w:t>
            </w:r>
            <w:proofErr w:type="spellEnd"/>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tetanus, low-dose diphtheria, and low-dose acellular pertussis vaccine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5B5C84" w:rsidP="00D362CD">
            <w:pPr>
              <w:tabs>
                <w:tab w:val="left" w:pos="2127"/>
              </w:tabs>
            </w:pPr>
            <w:r w:rsidRPr="00A40358">
              <w:t>T</w:t>
            </w:r>
            <w:r w:rsidR="00D362CD" w:rsidRPr="00A40358">
              <w:t>SH</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thyroid stimulating hormone</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UK</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United Kingdom</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URTI</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upper respiratory tract infection</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US</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United States</w:t>
            </w:r>
          </w:p>
        </w:tc>
      </w:tr>
      <w:tr w:rsidR="005B5C84" w:rsidRPr="00DD25D7" w:rsidTr="005B5C84">
        <w:tc>
          <w:tcPr>
            <w:cnfStyle w:val="001000000000" w:firstRow="0" w:lastRow="0" w:firstColumn="1" w:lastColumn="0" w:oddVBand="0" w:evenVBand="0" w:oddHBand="0" w:evenHBand="0" w:firstRowFirstColumn="0" w:firstRowLastColumn="0" w:lastRowFirstColumn="0" w:lastRowLastColumn="0"/>
            <w:tcW w:w="1890" w:type="dxa"/>
          </w:tcPr>
          <w:p w:rsidR="005B5C84" w:rsidRPr="00A40358" w:rsidRDefault="00D362CD" w:rsidP="00D362CD">
            <w:pPr>
              <w:tabs>
                <w:tab w:val="left" w:pos="2127"/>
              </w:tabs>
            </w:pPr>
            <w:r w:rsidRPr="00A40358">
              <w:t>WHO</w:t>
            </w:r>
          </w:p>
        </w:tc>
        <w:tc>
          <w:tcPr>
            <w:tcW w:w="6911" w:type="dxa"/>
          </w:tcPr>
          <w:p w:rsidR="005B5C84" w:rsidRPr="00DD25D7" w:rsidRDefault="00D362CD" w:rsidP="00396C92">
            <w:pPr>
              <w:cnfStyle w:val="000000000000" w:firstRow="0" w:lastRow="0" w:firstColumn="0" w:lastColumn="0" w:oddVBand="0" w:evenVBand="0" w:oddHBand="0" w:evenHBand="0" w:firstRowFirstColumn="0" w:firstRowLastColumn="0" w:lastRowFirstColumn="0" w:lastRowLastColumn="0"/>
            </w:pPr>
            <w:r w:rsidRPr="00A40358">
              <w:t>World Health Organization</w:t>
            </w:r>
          </w:p>
        </w:tc>
      </w:tr>
    </w:tbl>
    <w:p w:rsidR="005B5C84" w:rsidRPr="00DD25D7" w:rsidRDefault="005B5C84" w:rsidP="005B5C84">
      <w:pPr>
        <w:rPr>
          <w:lang w:eastAsia="en-AU"/>
        </w:rPr>
      </w:pPr>
      <w:bookmarkStart w:id="8" w:name="_Toc351718900"/>
      <w:bookmarkStart w:id="9" w:name="_Toc355338635"/>
    </w:p>
    <w:p w:rsidR="0094614A" w:rsidRPr="00DD25D7" w:rsidRDefault="0094614A" w:rsidP="0043797D">
      <w:pPr>
        <w:pStyle w:val="Heading2"/>
        <w:pageBreakBefore/>
        <w:rPr>
          <w:lang w:eastAsia="en-AU"/>
        </w:rPr>
      </w:pPr>
      <w:bookmarkStart w:id="10" w:name="_Toc524443883"/>
      <w:r w:rsidRPr="00DD25D7">
        <w:rPr>
          <w:lang w:eastAsia="en-AU"/>
        </w:rPr>
        <w:lastRenderedPageBreak/>
        <w:t>Introduction</w:t>
      </w:r>
      <w:bookmarkEnd w:id="10"/>
    </w:p>
    <w:p w:rsidR="00575E67" w:rsidRPr="00DD25D7" w:rsidRDefault="00575E67" w:rsidP="00575E67">
      <w:pPr>
        <w:pStyle w:val="Heading3"/>
        <w:numPr>
          <w:ilvl w:val="1"/>
          <w:numId w:val="29"/>
        </w:numPr>
        <w:ind w:left="907" w:hanging="794"/>
      </w:pPr>
      <w:bookmarkStart w:id="11" w:name="_Toc499636125"/>
      <w:bookmarkStart w:id="12" w:name="_Toc524443884"/>
      <w:r w:rsidRPr="00DD25D7">
        <w:t>Submission type</w:t>
      </w:r>
      <w:bookmarkEnd w:id="11"/>
      <w:bookmarkEnd w:id="12"/>
    </w:p>
    <w:p w:rsidR="00575E67" w:rsidRPr="00DD25D7" w:rsidRDefault="0011434F" w:rsidP="00575E67">
      <w:pPr>
        <w:rPr>
          <w:lang w:eastAsia="ja-JP"/>
        </w:rPr>
      </w:pPr>
      <w:r w:rsidRPr="00DD25D7">
        <w:rPr>
          <w:lang w:eastAsia="ja-JP"/>
        </w:rPr>
        <w:t xml:space="preserve">This is a submission to register a new </w:t>
      </w:r>
      <w:r w:rsidR="00743EF5" w:rsidRPr="00DD25D7">
        <w:rPr>
          <w:lang w:eastAsia="ja-JP"/>
        </w:rPr>
        <w:t>chemical (biological)</w:t>
      </w:r>
      <w:r w:rsidRPr="00DD25D7">
        <w:rPr>
          <w:lang w:eastAsia="ja-JP"/>
        </w:rPr>
        <w:t xml:space="preserve"> entity.</w:t>
      </w:r>
    </w:p>
    <w:p w:rsidR="00575E67" w:rsidRPr="00DD25D7" w:rsidRDefault="00575E67" w:rsidP="00575E67">
      <w:pPr>
        <w:pStyle w:val="Heading3"/>
        <w:numPr>
          <w:ilvl w:val="1"/>
          <w:numId w:val="29"/>
        </w:numPr>
        <w:ind w:left="907" w:hanging="794"/>
      </w:pPr>
      <w:bookmarkStart w:id="13" w:name="_Toc499636126"/>
      <w:bookmarkStart w:id="14" w:name="_Toc524443885"/>
      <w:r w:rsidRPr="00DD25D7">
        <w:t>Drug class and therapeutic indication</w:t>
      </w:r>
      <w:bookmarkEnd w:id="13"/>
      <w:bookmarkEnd w:id="14"/>
    </w:p>
    <w:p w:rsidR="00575E67" w:rsidRPr="00A40358" w:rsidRDefault="0011434F" w:rsidP="00575E67">
      <w:pPr>
        <w:rPr>
          <w:iCs/>
          <w:lang w:eastAsia="ja-JP"/>
        </w:rPr>
      </w:pPr>
      <w:r w:rsidRPr="00DD25D7">
        <w:rPr>
          <w:lang w:eastAsia="ja-JP"/>
        </w:rPr>
        <w:t xml:space="preserve">This is a vaccine. The proposed indication </w:t>
      </w:r>
      <w:r w:rsidRPr="00A40358">
        <w:rPr>
          <w:iCs/>
          <w:lang w:eastAsia="ja-JP"/>
        </w:rPr>
        <w:t>is individuals 10 years and older for active immuni</w:t>
      </w:r>
      <w:r w:rsidR="00DD25D7">
        <w:rPr>
          <w:iCs/>
          <w:lang w:eastAsia="ja-JP"/>
        </w:rPr>
        <w:t>sation</w:t>
      </w:r>
      <w:r w:rsidRPr="00A40358">
        <w:rPr>
          <w:iCs/>
          <w:lang w:eastAsia="ja-JP"/>
        </w:rPr>
        <w:t xml:space="preserve"> to prevent invasive meningococcal disease caused by </w:t>
      </w:r>
      <w:r w:rsidRPr="00A40358">
        <w:rPr>
          <w:i/>
          <w:iCs/>
          <w:lang w:eastAsia="ja-JP"/>
        </w:rPr>
        <w:t>Neisseria meningitidis</w:t>
      </w:r>
      <w:r w:rsidRPr="00A40358">
        <w:rPr>
          <w:iCs/>
          <w:lang w:eastAsia="ja-JP"/>
        </w:rPr>
        <w:t xml:space="preserve"> serogroup B.</w:t>
      </w:r>
    </w:p>
    <w:p w:rsidR="0011434F" w:rsidRPr="00DD25D7" w:rsidRDefault="0011434F" w:rsidP="0011434F">
      <w:pPr>
        <w:pStyle w:val="Heading3"/>
      </w:pPr>
      <w:bookmarkStart w:id="15" w:name="_Toc464739473"/>
      <w:bookmarkStart w:id="16" w:name="_Toc524443886"/>
      <w:r w:rsidRPr="00DD25D7">
        <w:t>Dosage forms and strengths</w:t>
      </w:r>
      <w:bookmarkEnd w:id="15"/>
      <w:bookmarkEnd w:id="16"/>
    </w:p>
    <w:p w:rsidR="009D5591" w:rsidRPr="00A40358" w:rsidRDefault="009D5591" w:rsidP="00A40358">
      <w:proofErr w:type="spellStart"/>
      <w:r w:rsidRPr="00A40358">
        <w:t>MnB</w:t>
      </w:r>
      <w:proofErr w:type="spellEnd"/>
      <w:r w:rsidRPr="00A40358">
        <w:t xml:space="preserve"> bivalent rLP2086 drug product is a sterile liquid suspension composed of rLP2086 subfamily A and B proteins formulated </w:t>
      </w:r>
      <w:proofErr w:type="gramStart"/>
      <w:r w:rsidRPr="00A40358">
        <w:t xml:space="preserve">at 120 </w:t>
      </w:r>
      <w:proofErr w:type="spellStart"/>
      <w:r w:rsidR="00FA36DC" w:rsidRPr="00DD25D7">
        <w:t>μ</w:t>
      </w:r>
      <w:r w:rsidRPr="00A40358">
        <w:t>g</w:t>
      </w:r>
      <w:proofErr w:type="spellEnd"/>
      <w:r w:rsidRPr="00A40358">
        <w:t xml:space="preserve">/mL/subfamily in 10 </w:t>
      </w:r>
      <w:proofErr w:type="spellStart"/>
      <w:r w:rsidRPr="00A40358">
        <w:t>mM</w:t>
      </w:r>
      <w:proofErr w:type="spellEnd"/>
      <w:r w:rsidRPr="00A40358">
        <w:t xml:space="preserve"> histidine buffer, pH 6.0, 150 </w:t>
      </w:r>
      <w:proofErr w:type="spellStart"/>
      <w:r w:rsidRPr="00A40358">
        <w:t>mM</w:t>
      </w:r>
      <w:proofErr w:type="spellEnd"/>
      <w:r w:rsidRPr="00A40358">
        <w:t xml:space="preserve"> sodium chloride (</w:t>
      </w:r>
      <w:proofErr w:type="spellStart"/>
      <w:r w:rsidRPr="00A40358">
        <w:t>NaCl</w:t>
      </w:r>
      <w:proofErr w:type="spellEnd"/>
      <w:r w:rsidRPr="00A40358">
        <w:t xml:space="preserve">) with 0.5 mg/mL </w:t>
      </w:r>
      <w:proofErr w:type="spellStart"/>
      <w:r w:rsidRPr="00A40358">
        <w:t>aluminum</w:t>
      </w:r>
      <w:proofErr w:type="spellEnd"/>
      <w:r w:rsidRPr="00A40358">
        <w:t xml:space="preserve"> as </w:t>
      </w:r>
      <w:proofErr w:type="spellStart"/>
      <w:r w:rsidRPr="00A40358">
        <w:t>aluminum</w:t>
      </w:r>
      <w:proofErr w:type="spellEnd"/>
      <w:r w:rsidRPr="00A40358">
        <w:t xml:space="preserve"> phosphate (AlPO4)</w:t>
      </w:r>
      <w:r w:rsidR="00D30A64" w:rsidRPr="00DD25D7">
        <w:t xml:space="preserve"> supplied</w:t>
      </w:r>
      <w:r w:rsidR="00FA36DC" w:rsidRPr="00A40358">
        <w:t xml:space="preserve"> in prefilled syringes</w:t>
      </w:r>
      <w:proofErr w:type="gramEnd"/>
      <w:r w:rsidR="00A40358">
        <w:t>.</w:t>
      </w:r>
    </w:p>
    <w:p w:rsidR="0011434F" w:rsidRPr="00DD25D7" w:rsidRDefault="0011434F" w:rsidP="0011434F">
      <w:pPr>
        <w:pStyle w:val="Heading3"/>
      </w:pPr>
      <w:bookmarkStart w:id="17" w:name="_Toc464739474"/>
      <w:bookmarkStart w:id="18" w:name="_Toc524443887"/>
      <w:r w:rsidRPr="00DD25D7">
        <w:t>Dosage and administration</w:t>
      </w:r>
      <w:bookmarkEnd w:id="17"/>
      <w:bookmarkEnd w:id="18"/>
    </w:p>
    <w:p w:rsidR="00743EF5" w:rsidRPr="00A40358" w:rsidRDefault="0011434F" w:rsidP="0011434F">
      <w:pPr>
        <w:rPr>
          <w:lang w:eastAsia="ja-JP"/>
        </w:rPr>
      </w:pPr>
      <w:r w:rsidRPr="00A40358">
        <w:rPr>
          <w:lang w:eastAsia="ja-JP"/>
        </w:rPr>
        <w:t>The primary vaccination schedule consists of 2 doses (0.5 ml each) administered at 0 and 6 months. The schedule for individuals at increased risk of invasive meningococcal disease is 2 doses (0.5 ml each) administered at least 1 month apart, followed by a third dose at least 4 months after the second dose</w:t>
      </w:r>
      <w:r w:rsidR="00743EF5" w:rsidRPr="00A40358">
        <w:rPr>
          <w:lang w:eastAsia="ja-JP"/>
        </w:rPr>
        <w:t>.</w:t>
      </w:r>
    </w:p>
    <w:p w:rsidR="00743EF5" w:rsidRPr="00A40358" w:rsidRDefault="0011434F" w:rsidP="00575E67">
      <w:pPr>
        <w:rPr>
          <w:lang w:eastAsia="ja-JP"/>
        </w:rPr>
      </w:pPr>
      <w:r w:rsidRPr="00A40358">
        <w:rPr>
          <w:lang w:eastAsia="ja-JP"/>
        </w:rPr>
        <w:t>The proposed shelf life and storage condition for T</w:t>
      </w:r>
      <w:r w:rsidR="00743EF5" w:rsidRPr="00A40358">
        <w:rPr>
          <w:lang w:eastAsia="ja-JP"/>
        </w:rPr>
        <w:t xml:space="preserve">rumenba is 3 years when stored at 2 to </w:t>
      </w:r>
      <w:r w:rsidRPr="00A40358">
        <w:rPr>
          <w:lang w:eastAsia="ja-JP"/>
        </w:rPr>
        <w:t xml:space="preserve">8°C in a glass </w:t>
      </w:r>
      <w:r w:rsidR="00743EF5" w:rsidRPr="00A40358">
        <w:rPr>
          <w:lang w:eastAsia="ja-JP"/>
        </w:rPr>
        <w:t>prefilled</w:t>
      </w:r>
      <w:r w:rsidRPr="00A40358">
        <w:rPr>
          <w:lang w:eastAsia="ja-JP"/>
        </w:rPr>
        <w:t xml:space="preserve"> syringe</w:t>
      </w:r>
      <w:r w:rsidR="00743EF5" w:rsidRPr="00A40358">
        <w:rPr>
          <w:lang w:eastAsia="ja-JP"/>
        </w:rPr>
        <w:t>.</w:t>
      </w:r>
    </w:p>
    <w:p w:rsidR="00575E67" w:rsidRPr="00DD25D7" w:rsidRDefault="00575E67" w:rsidP="00575E67">
      <w:pPr>
        <w:pStyle w:val="Heading3"/>
        <w:numPr>
          <w:ilvl w:val="1"/>
          <w:numId w:val="29"/>
        </w:numPr>
        <w:ind w:left="907" w:hanging="794"/>
      </w:pPr>
      <w:bookmarkStart w:id="19" w:name="_Toc524443888"/>
      <w:r w:rsidRPr="00DD25D7">
        <w:t>Information on the condition being treated</w:t>
      </w:r>
      <w:bookmarkEnd w:id="19"/>
    </w:p>
    <w:p w:rsidR="00743EF5" w:rsidRPr="00A40358" w:rsidRDefault="0011434F" w:rsidP="0011434F">
      <w:pPr>
        <w:rPr>
          <w:lang w:eastAsia="ja-JP"/>
        </w:rPr>
      </w:pPr>
      <w:r w:rsidRPr="00A40358">
        <w:rPr>
          <w:lang w:eastAsia="ja-JP"/>
        </w:rPr>
        <w:t>Neisseria meningitidis serogroup B (</w:t>
      </w:r>
      <w:proofErr w:type="spellStart"/>
      <w:r w:rsidRPr="00A40358">
        <w:rPr>
          <w:lang w:eastAsia="ja-JP"/>
        </w:rPr>
        <w:t>MnB</w:t>
      </w:r>
      <w:proofErr w:type="spellEnd"/>
      <w:r w:rsidRPr="00A40358">
        <w:rPr>
          <w:lang w:eastAsia="ja-JP"/>
        </w:rPr>
        <w:t xml:space="preserve">) is a significant cause of serious endemic meningococcal disease worldwide and can epidemiologically manifest as prolonged outbreaks or as sudden, unpredictable outbreaks. </w:t>
      </w:r>
      <w:proofErr w:type="spellStart"/>
      <w:r w:rsidRPr="00A40358">
        <w:rPr>
          <w:lang w:eastAsia="ja-JP"/>
        </w:rPr>
        <w:t>MnB</w:t>
      </w:r>
      <w:proofErr w:type="spellEnd"/>
      <w:r w:rsidRPr="00A40358">
        <w:rPr>
          <w:lang w:eastAsia="ja-JP"/>
        </w:rPr>
        <w:t xml:space="preserve"> disease is often devastating with sudden onset, fast progression and may result in permanent significant clinical long-term sequelae (neurological impairment, hearing loss, </w:t>
      </w:r>
      <w:proofErr w:type="gramStart"/>
      <w:r w:rsidRPr="00A40358">
        <w:rPr>
          <w:lang w:eastAsia="ja-JP"/>
        </w:rPr>
        <w:t>renal</w:t>
      </w:r>
      <w:proofErr w:type="gramEnd"/>
      <w:r w:rsidRPr="00A40358">
        <w:rPr>
          <w:lang w:eastAsia="ja-JP"/>
        </w:rPr>
        <w:t xml:space="preserve"> failure, and/or skin, digit and limb loss) in those that survive. Neisseria meningitidis serogroup B (</w:t>
      </w:r>
      <w:proofErr w:type="spellStart"/>
      <w:r w:rsidRPr="00A40358">
        <w:rPr>
          <w:lang w:eastAsia="ja-JP"/>
        </w:rPr>
        <w:t>MnB</w:t>
      </w:r>
      <w:proofErr w:type="spellEnd"/>
      <w:r w:rsidRPr="00A40358">
        <w:rPr>
          <w:lang w:eastAsia="ja-JP"/>
        </w:rPr>
        <w:t>) is a significant cause of serious endemic meningococcal disease worldwide and can epidemiologically manifest as prolonged outbreaks or as sudden, unpredictable outbreaks</w:t>
      </w:r>
      <w:r w:rsidR="00743EF5" w:rsidRPr="00A40358">
        <w:rPr>
          <w:lang w:eastAsia="ja-JP"/>
        </w:rPr>
        <w:t>.</w:t>
      </w:r>
    </w:p>
    <w:p w:rsidR="00575E67" w:rsidRPr="00DD25D7" w:rsidRDefault="00575E67" w:rsidP="00575E67">
      <w:pPr>
        <w:pStyle w:val="Heading3"/>
        <w:numPr>
          <w:ilvl w:val="1"/>
          <w:numId w:val="29"/>
        </w:numPr>
        <w:ind w:left="907" w:hanging="794"/>
      </w:pPr>
      <w:bookmarkStart w:id="20" w:name="_Toc524443889"/>
      <w:r w:rsidRPr="00DD25D7">
        <w:t>Current treatment options and clinical rationale</w:t>
      </w:r>
      <w:bookmarkEnd w:id="20"/>
    </w:p>
    <w:p w:rsidR="00575E67" w:rsidRPr="00DD25D7" w:rsidRDefault="0011434F" w:rsidP="00575E67">
      <w:pPr>
        <w:rPr>
          <w:lang w:eastAsia="ja-JP"/>
        </w:rPr>
      </w:pPr>
      <w:r w:rsidRPr="00DD25D7">
        <w:rPr>
          <w:lang w:eastAsia="ja-JP"/>
        </w:rPr>
        <w:t xml:space="preserve">The main treatment option is antibiotics for meningococcal infection. It still however has a significant mortality and morbidity associated with it despite even early antibiotic therapy. There is one licensed </w:t>
      </w:r>
      <w:proofErr w:type="spellStart"/>
      <w:r w:rsidRPr="00DD25D7">
        <w:rPr>
          <w:lang w:eastAsia="ja-JP"/>
        </w:rPr>
        <w:t>MnB</w:t>
      </w:r>
      <w:proofErr w:type="spellEnd"/>
      <w:r w:rsidRPr="00DD25D7">
        <w:rPr>
          <w:lang w:eastAsia="ja-JP"/>
        </w:rPr>
        <w:t xml:space="preserve"> vaccine currently available in Australia (and many other countries). This is now routinely being offered to groups ‘at risk’ for outbreaks in many countries (such as the USA).</w:t>
      </w:r>
    </w:p>
    <w:p w:rsidR="00575E67" w:rsidRPr="00DD25D7" w:rsidRDefault="00575E67" w:rsidP="0011434F">
      <w:pPr>
        <w:pStyle w:val="Heading2"/>
      </w:pPr>
      <w:bookmarkStart w:id="21" w:name="_Toc524443890"/>
      <w:r w:rsidRPr="00DD25D7">
        <w:lastRenderedPageBreak/>
        <w:t>Clinical rationale</w:t>
      </w:r>
      <w:bookmarkEnd w:id="21"/>
    </w:p>
    <w:p w:rsidR="00743EF5" w:rsidRPr="00A40358" w:rsidRDefault="0011434F" w:rsidP="00575E67">
      <w:pPr>
        <w:rPr>
          <w:lang w:eastAsia="ja-JP"/>
        </w:rPr>
      </w:pPr>
      <w:bookmarkStart w:id="22" w:name="_Toc499636137"/>
      <w:proofErr w:type="spellStart"/>
      <w:r w:rsidRPr="00DD25D7">
        <w:rPr>
          <w:lang w:eastAsia="ja-JP"/>
        </w:rPr>
        <w:t>MnB</w:t>
      </w:r>
      <w:proofErr w:type="spellEnd"/>
      <w:r w:rsidRPr="00DD25D7">
        <w:rPr>
          <w:lang w:eastAsia="ja-JP"/>
        </w:rPr>
        <w:t xml:space="preserve"> is now a vaccine preventable disease. There is already one </w:t>
      </w:r>
      <w:proofErr w:type="spellStart"/>
      <w:r w:rsidRPr="00DD25D7">
        <w:rPr>
          <w:lang w:eastAsia="ja-JP"/>
        </w:rPr>
        <w:t>MnB</w:t>
      </w:r>
      <w:proofErr w:type="spellEnd"/>
      <w:r w:rsidRPr="00DD25D7">
        <w:rPr>
          <w:lang w:eastAsia="ja-JP"/>
        </w:rPr>
        <w:t xml:space="preserve"> vaccine registered and available in Australia. A recombinant, multicomponent </w:t>
      </w:r>
      <w:proofErr w:type="spellStart"/>
      <w:r w:rsidRPr="00A40358">
        <w:rPr>
          <w:lang w:eastAsia="ja-JP"/>
        </w:rPr>
        <w:t>MnB</w:t>
      </w:r>
      <w:proofErr w:type="spellEnd"/>
      <w:r w:rsidRPr="00A40358">
        <w:rPr>
          <w:lang w:eastAsia="ja-JP"/>
        </w:rPr>
        <w:t xml:space="preserve"> vaccine (4CMenB) was included on the Australian Register of Therapeutic Goods on 14 August 2013. Availability of vaccine supply is an important consideration during endemic use or for outbreak control. Sufficient supply avoids potential vaccine shortages and thus, from a public health perspective, availability of more than one supplier of broadly protective </w:t>
      </w:r>
      <w:proofErr w:type="spellStart"/>
      <w:r w:rsidRPr="00A40358">
        <w:rPr>
          <w:lang w:eastAsia="ja-JP"/>
        </w:rPr>
        <w:t>MnB</w:t>
      </w:r>
      <w:proofErr w:type="spellEnd"/>
      <w:r w:rsidRPr="00A40358">
        <w:rPr>
          <w:lang w:eastAsia="ja-JP"/>
        </w:rPr>
        <w:t xml:space="preserve"> vaccines is important</w:t>
      </w:r>
      <w:r w:rsidR="00743EF5" w:rsidRPr="00A40358">
        <w:rPr>
          <w:lang w:eastAsia="ja-JP"/>
        </w:rPr>
        <w:t>.</w:t>
      </w:r>
    </w:p>
    <w:p w:rsidR="00586F98" w:rsidRPr="00DD25D7" w:rsidRDefault="00586F98" w:rsidP="00586F98">
      <w:pPr>
        <w:pStyle w:val="Heading2"/>
        <w:rPr>
          <w:lang w:eastAsia="en-AU"/>
        </w:rPr>
      </w:pPr>
      <w:bookmarkStart w:id="23" w:name="_Toc524443891"/>
      <w:bookmarkEnd w:id="22"/>
      <w:r w:rsidRPr="00DD25D7">
        <w:rPr>
          <w:lang w:eastAsia="en-AU"/>
        </w:rPr>
        <w:t>Contents of the clinical dossier</w:t>
      </w:r>
      <w:bookmarkEnd w:id="8"/>
      <w:bookmarkEnd w:id="9"/>
      <w:bookmarkEnd w:id="23"/>
    </w:p>
    <w:p w:rsidR="00586F98" w:rsidRPr="00DD25D7" w:rsidRDefault="00586F98" w:rsidP="00586F98">
      <w:pPr>
        <w:pStyle w:val="Heading3"/>
      </w:pPr>
      <w:bookmarkStart w:id="24" w:name="_Toc524443892"/>
      <w:r w:rsidRPr="00DD25D7">
        <w:t>Scope of the clinical dossier</w:t>
      </w:r>
      <w:bookmarkEnd w:id="24"/>
    </w:p>
    <w:p w:rsidR="0011434F" w:rsidRPr="00A40358" w:rsidRDefault="0011434F" w:rsidP="0011434F">
      <w:r w:rsidRPr="00A40358">
        <w:t>This application includes data from 15,294 subjects who received at least one dose of bivalent rLP2086, administered either as a single agent or given concomitantly with a licensed vaccine; 6486 subjects in Europe received at least 1 dose of bivalent rLP2086. These participants were enrolled in one of the following 11 studies included in this dossier</w:t>
      </w:r>
      <w:r w:rsidR="00743EF5" w:rsidRPr="00A40358">
        <w:t>:</w:t>
      </w:r>
    </w:p>
    <w:p w:rsidR="00743EF5" w:rsidRPr="00A40358" w:rsidRDefault="0011434F" w:rsidP="0011434F">
      <w:pPr>
        <w:pStyle w:val="ListBullet"/>
      </w:pPr>
      <w:r w:rsidRPr="00A40358">
        <w:t xml:space="preserve">Two </w:t>
      </w:r>
      <w:r w:rsidR="00743EF5" w:rsidRPr="00A40358">
        <w:t>Phase III</w:t>
      </w:r>
      <w:r w:rsidRPr="00A40358">
        <w:t xml:space="preserve"> immunogenicity and safety studies using 4 primary and 10 secondary </w:t>
      </w:r>
      <w:proofErr w:type="spellStart"/>
      <w:r w:rsidRPr="00A40358">
        <w:t>MnB</w:t>
      </w:r>
      <w:proofErr w:type="spellEnd"/>
      <w:r w:rsidRPr="00A40358">
        <w:t xml:space="preserve"> test st</w:t>
      </w:r>
      <w:r w:rsidR="00292798" w:rsidRPr="00A40358">
        <w:t>rains; Studies B1971009 and B1971016</w:t>
      </w:r>
      <w:r w:rsidR="00743EF5" w:rsidRPr="00A40358">
        <w:t>.</w:t>
      </w:r>
    </w:p>
    <w:p w:rsidR="00743EF5" w:rsidRPr="00A40358" w:rsidRDefault="0011434F" w:rsidP="0011434F">
      <w:pPr>
        <w:pStyle w:val="ListBullet"/>
      </w:pPr>
      <w:r w:rsidRPr="00A40358">
        <w:t xml:space="preserve">One </w:t>
      </w:r>
      <w:r w:rsidR="00743EF5" w:rsidRPr="00A40358">
        <w:t>Phase III</w:t>
      </w:r>
      <w:r w:rsidRPr="00A40358">
        <w:t xml:space="preserve"> study assessing safety only</w:t>
      </w:r>
      <w:r w:rsidR="00292798" w:rsidRPr="00A40358">
        <w:t xml:space="preserve">; Study </w:t>
      </w:r>
      <w:r w:rsidRPr="00A40358">
        <w:t>B1971014</w:t>
      </w:r>
      <w:r w:rsidR="00743EF5" w:rsidRPr="00A40358">
        <w:t>.</w:t>
      </w:r>
    </w:p>
    <w:p w:rsidR="00743EF5" w:rsidRPr="00A40358" w:rsidRDefault="0011434F" w:rsidP="0011434F">
      <w:pPr>
        <w:pStyle w:val="ListBullet"/>
      </w:pPr>
      <w:r w:rsidRPr="00A40358">
        <w:t xml:space="preserve">Five </w:t>
      </w:r>
      <w:r w:rsidR="00743EF5" w:rsidRPr="00A40358">
        <w:t>Phase II</w:t>
      </w:r>
      <w:r w:rsidRPr="00A40358">
        <w:t xml:space="preserve"> immunogenicity and safety studies</w:t>
      </w:r>
      <w:r w:rsidR="00743EF5" w:rsidRPr="00A40358">
        <w:t>:</w:t>
      </w:r>
    </w:p>
    <w:p w:rsidR="00743EF5" w:rsidRPr="00A40358" w:rsidRDefault="0011434F" w:rsidP="00A40358">
      <w:pPr>
        <w:pStyle w:val="ListBullet2"/>
      </w:pPr>
      <w:r w:rsidRPr="00A40358">
        <w:t xml:space="preserve">One </w:t>
      </w:r>
      <w:r w:rsidR="00743EF5" w:rsidRPr="00A40358">
        <w:t>Phase II</w:t>
      </w:r>
      <w:r w:rsidRPr="00A40358">
        <w:t xml:space="preserve"> study that examines various 2 and 3 dose schedules and supports the 2 dose (0, </w:t>
      </w:r>
      <w:r w:rsidR="00743EF5" w:rsidRPr="00A40358">
        <w:t>6 month</w:t>
      </w:r>
      <w:r w:rsidR="003D5E26" w:rsidRPr="00A40358">
        <w:t>s</w:t>
      </w:r>
      <w:r w:rsidRPr="00A40358">
        <w:t>) posology for r</w:t>
      </w:r>
      <w:r w:rsidR="00292798" w:rsidRPr="00A40358">
        <w:t>outine vaccination; Study B1971012</w:t>
      </w:r>
      <w:r w:rsidR="00743EF5" w:rsidRPr="00A40358">
        <w:t>.</w:t>
      </w:r>
    </w:p>
    <w:p w:rsidR="00743EF5" w:rsidRPr="00A40358" w:rsidRDefault="0011434F" w:rsidP="00A40358">
      <w:pPr>
        <w:pStyle w:val="ListBullet2"/>
      </w:pPr>
      <w:r w:rsidRPr="00A40358">
        <w:t xml:space="preserve">Three </w:t>
      </w:r>
      <w:r w:rsidR="00743EF5" w:rsidRPr="00A40358">
        <w:t>Phase II</w:t>
      </w:r>
      <w:r w:rsidRPr="00A40358">
        <w:t xml:space="preserve"> concomitant vaccine </w:t>
      </w:r>
      <w:r w:rsidR="00032B77" w:rsidRPr="00A40358">
        <w:t>Stud</w:t>
      </w:r>
      <w:r w:rsidR="00292798" w:rsidRPr="00A40358">
        <w:t xml:space="preserve">ies </w:t>
      </w:r>
      <w:r w:rsidRPr="00A40358">
        <w:t xml:space="preserve">B1971010 </w:t>
      </w:r>
      <w:r w:rsidR="00DD25D7" w:rsidRPr="00A40358">
        <w:t>(</w:t>
      </w:r>
      <w:r w:rsidRPr="00A40358">
        <w:t>Repevax</w:t>
      </w:r>
      <w:r w:rsidR="00DD25D7" w:rsidRPr="00A40358">
        <w:t>)</w:t>
      </w:r>
      <w:r w:rsidRPr="00A40358">
        <w:t xml:space="preserve">, B1971011 </w:t>
      </w:r>
      <w:r w:rsidR="00DD25D7" w:rsidRPr="00A40358">
        <w:t>(</w:t>
      </w:r>
      <w:r w:rsidRPr="00A40358">
        <w:t>Gardasil</w:t>
      </w:r>
      <w:r w:rsidR="00DD25D7" w:rsidRPr="00A40358">
        <w:t>)</w:t>
      </w:r>
      <w:r w:rsidRPr="00A40358">
        <w:t xml:space="preserve">, and B1971015 </w:t>
      </w:r>
      <w:r w:rsidR="00DD25D7" w:rsidRPr="00A40358">
        <w:t>(</w:t>
      </w:r>
      <w:proofErr w:type="spellStart"/>
      <w:r w:rsidRPr="00A40358">
        <w:t>Menactra</w:t>
      </w:r>
      <w:proofErr w:type="spellEnd"/>
      <w:r w:rsidRPr="00A40358">
        <w:t xml:space="preserve"> and </w:t>
      </w:r>
      <w:proofErr w:type="spellStart"/>
      <w:r w:rsidRPr="00A40358">
        <w:t>Adacel</w:t>
      </w:r>
      <w:proofErr w:type="spellEnd"/>
      <w:r w:rsidR="00DD25D7" w:rsidRPr="00A40358">
        <w:t>)</w:t>
      </w:r>
      <w:r w:rsidRPr="00A40358">
        <w:t>)</w:t>
      </w:r>
      <w:r w:rsidR="00743EF5" w:rsidRPr="00A40358">
        <w:t>.</w:t>
      </w:r>
    </w:p>
    <w:p w:rsidR="00743EF5" w:rsidRPr="00A40358" w:rsidRDefault="0011434F" w:rsidP="00A40358">
      <w:pPr>
        <w:pStyle w:val="ListBullet2"/>
      </w:pPr>
      <w:r w:rsidRPr="00A40358">
        <w:t xml:space="preserve">One </w:t>
      </w:r>
      <w:r w:rsidR="00743EF5" w:rsidRPr="00A40358">
        <w:t>Phase II</w:t>
      </w:r>
      <w:r w:rsidRPr="00A40358">
        <w:t xml:space="preserve"> study in laboratory workers</w:t>
      </w:r>
      <w:r w:rsidR="00292798" w:rsidRPr="00A40358">
        <w:t>;</w:t>
      </w:r>
      <w:r w:rsidRPr="00A40358">
        <w:t xml:space="preserve"> </w:t>
      </w:r>
      <w:r w:rsidR="00292798" w:rsidRPr="00A40358">
        <w:t>Study B1971042</w:t>
      </w:r>
      <w:r w:rsidR="00743EF5" w:rsidRPr="00A40358">
        <w:t>.</w:t>
      </w:r>
    </w:p>
    <w:p w:rsidR="00743EF5" w:rsidRPr="00A40358" w:rsidRDefault="0011434F" w:rsidP="0011434F">
      <w:pPr>
        <w:pStyle w:val="ListBullet"/>
      </w:pPr>
      <w:r w:rsidRPr="00A40358">
        <w:t xml:space="preserve">3 early </w:t>
      </w:r>
      <w:r w:rsidR="00032B77" w:rsidRPr="00A40358">
        <w:t>Stud</w:t>
      </w:r>
      <w:r w:rsidR="00292798" w:rsidRPr="00A40358">
        <w:t xml:space="preserve">ies </w:t>
      </w:r>
      <w:r w:rsidRPr="00A40358">
        <w:t xml:space="preserve">B1971003, B1971004, and B1971005-Stage 1 and Stage 2 </w:t>
      </w:r>
      <w:r w:rsidR="00DD25D7" w:rsidRPr="00A40358">
        <w:t>(</w:t>
      </w:r>
      <w:r w:rsidRPr="00A40358">
        <w:t>Stage 2 tested persistence of immune response up to 48 months after t</w:t>
      </w:r>
      <w:r w:rsidR="00743EF5" w:rsidRPr="00A40358">
        <w:t>he last vaccination using the 4 </w:t>
      </w:r>
      <w:r w:rsidRPr="00A40358">
        <w:t>primary test strains. During Stage 2 testing, response for Stage 1 time points was also measured using the 4 primary test strains</w:t>
      </w:r>
      <w:r w:rsidR="00DD25D7" w:rsidRPr="00A40358">
        <w:t>)</w:t>
      </w:r>
      <w:r w:rsidRPr="00A40358">
        <w:t>)</w:t>
      </w:r>
      <w:r w:rsidR="00743EF5" w:rsidRPr="00A40358">
        <w:t>.</w:t>
      </w:r>
    </w:p>
    <w:p w:rsidR="009E75AA" w:rsidRPr="00DD25D7" w:rsidRDefault="009E75AA" w:rsidP="009E75AA">
      <w:pPr>
        <w:rPr>
          <w:lang w:eastAsia="ja-JP"/>
        </w:rPr>
      </w:pPr>
      <w:r w:rsidRPr="00DD25D7">
        <w:rPr>
          <w:lang w:eastAsia="ja-JP"/>
        </w:rPr>
        <w:t>The clinical</w:t>
      </w:r>
      <w:r w:rsidR="00743EF5" w:rsidRPr="00DD25D7">
        <w:rPr>
          <w:lang w:eastAsia="ja-JP"/>
        </w:rPr>
        <w:t xml:space="preserve"> </w:t>
      </w:r>
      <w:r w:rsidRPr="00DD25D7">
        <w:rPr>
          <w:lang w:eastAsia="ja-JP"/>
        </w:rPr>
        <w:t>module includes reports for all the above studies. It also contains:</w:t>
      </w:r>
    </w:p>
    <w:p w:rsidR="009E75AA" w:rsidRPr="00DD25D7" w:rsidRDefault="009E75AA" w:rsidP="009E75AA">
      <w:pPr>
        <w:pStyle w:val="ListParagraph"/>
        <w:numPr>
          <w:ilvl w:val="0"/>
          <w:numId w:val="35"/>
        </w:numPr>
        <w:ind w:left="284" w:hanging="284"/>
        <w:rPr>
          <w:lang w:eastAsia="ja-JP"/>
        </w:rPr>
      </w:pPr>
      <w:r w:rsidRPr="00DD25D7">
        <w:rPr>
          <w:lang w:eastAsia="ja-JP"/>
        </w:rPr>
        <w:t>Case report forms with safety data.</w:t>
      </w:r>
    </w:p>
    <w:p w:rsidR="009E75AA" w:rsidRPr="00DD25D7" w:rsidRDefault="009E75AA" w:rsidP="009E75AA">
      <w:pPr>
        <w:numPr>
          <w:ilvl w:val="0"/>
          <w:numId w:val="3"/>
        </w:numPr>
        <w:rPr>
          <w:lang w:eastAsia="ja-JP"/>
        </w:rPr>
      </w:pPr>
      <w:r w:rsidRPr="00DD25D7">
        <w:rPr>
          <w:lang w:eastAsia="ja-JP"/>
        </w:rPr>
        <w:t>Safety integrated analysis report, immunogenicity integrated analysis report.</w:t>
      </w:r>
    </w:p>
    <w:p w:rsidR="009E75AA" w:rsidRPr="00DD25D7" w:rsidRDefault="009E75AA" w:rsidP="0011434F">
      <w:pPr>
        <w:numPr>
          <w:ilvl w:val="0"/>
          <w:numId w:val="3"/>
        </w:numPr>
        <w:rPr>
          <w:lang w:eastAsia="ja-JP"/>
        </w:rPr>
      </w:pPr>
      <w:r w:rsidRPr="00DD25D7">
        <w:rPr>
          <w:lang w:eastAsia="ja-JP"/>
        </w:rPr>
        <w:t>Literature references.</w:t>
      </w:r>
    </w:p>
    <w:p w:rsidR="00586F98" w:rsidRPr="00DD25D7" w:rsidRDefault="009E75AA" w:rsidP="0011434F">
      <w:pPr>
        <w:rPr>
          <w:lang w:eastAsia="ja-JP"/>
        </w:rPr>
      </w:pPr>
      <w:r w:rsidRPr="00DD25D7">
        <w:rPr>
          <w:lang w:eastAsia="ja-JP"/>
        </w:rPr>
        <w:t xml:space="preserve">The dossier also included a Clinical Overview, Summaries of Clinical Pharmacology, Clinical </w:t>
      </w:r>
      <w:r w:rsidR="002B1516" w:rsidRPr="00DD25D7">
        <w:rPr>
          <w:lang w:eastAsia="ja-JP"/>
        </w:rPr>
        <w:t>Immunogenicity</w:t>
      </w:r>
      <w:r w:rsidRPr="00DD25D7">
        <w:rPr>
          <w:lang w:eastAsia="ja-JP"/>
        </w:rPr>
        <w:t xml:space="preserve"> and Clinical Safety and literature references.</w:t>
      </w:r>
    </w:p>
    <w:p w:rsidR="00586F98" w:rsidRPr="00DD25D7" w:rsidRDefault="00586F98" w:rsidP="00586F98">
      <w:pPr>
        <w:pStyle w:val="Heading3"/>
      </w:pPr>
      <w:bookmarkStart w:id="25" w:name="_Toc524443893"/>
      <w:r w:rsidRPr="00DD25D7">
        <w:t>Paediatric data</w:t>
      </w:r>
      <w:bookmarkEnd w:id="25"/>
    </w:p>
    <w:p w:rsidR="009E75AA" w:rsidRPr="00DD25D7" w:rsidRDefault="009E75AA" w:rsidP="009E75AA">
      <w:pPr>
        <w:rPr>
          <w:lang w:eastAsia="ja-JP"/>
        </w:rPr>
      </w:pPr>
      <w:r w:rsidRPr="00DD25D7">
        <w:rPr>
          <w:lang w:eastAsia="ja-JP"/>
        </w:rPr>
        <w:t xml:space="preserve">Seven of the studies submitted in this application include paediatric data including one of the pivotal </w:t>
      </w:r>
      <w:r w:rsidR="002B1516" w:rsidRPr="00DD25D7">
        <w:rPr>
          <w:lang w:eastAsia="ja-JP"/>
        </w:rPr>
        <w:t>immunogenicity</w:t>
      </w:r>
      <w:r w:rsidRPr="00DD25D7">
        <w:rPr>
          <w:lang w:eastAsia="ja-JP"/>
        </w:rPr>
        <w:t xml:space="preserve"> studies and the </w:t>
      </w:r>
      <w:r w:rsidR="00743EF5" w:rsidRPr="00DD25D7">
        <w:rPr>
          <w:lang w:eastAsia="ja-JP"/>
        </w:rPr>
        <w:t>Phase III</w:t>
      </w:r>
      <w:r w:rsidRPr="00DD25D7">
        <w:rPr>
          <w:lang w:eastAsia="ja-JP"/>
        </w:rPr>
        <w:t xml:space="preserve"> safety study.</w:t>
      </w:r>
    </w:p>
    <w:p w:rsidR="00586F98" w:rsidRPr="00DD25D7" w:rsidRDefault="00586F98" w:rsidP="00586F98">
      <w:pPr>
        <w:pStyle w:val="Heading3"/>
      </w:pPr>
      <w:bookmarkStart w:id="26" w:name="_Toc524443894"/>
      <w:r w:rsidRPr="00DD25D7">
        <w:t>Good clinical practice</w:t>
      </w:r>
      <w:bookmarkEnd w:id="26"/>
    </w:p>
    <w:p w:rsidR="00586F98" w:rsidRPr="00DD25D7" w:rsidRDefault="009E75AA" w:rsidP="00586F98">
      <w:r w:rsidRPr="00DD25D7">
        <w:t xml:space="preserve">All clinical studies evaluating the </w:t>
      </w:r>
      <w:proofErr w:type="spellStart"/>
      <w:r w:rsidRPr="00DD25D7">
        <w:t>MnB</w:t>
      </w:r>
      <w:proofErr w:type="spellEnd"/>
      <w:r w:rsidRPr="00DD25D7">
        <w:t xml:space="preserve"> rLP2086 vaccine comply with the Quality Standards of the International Conference on Harmoni</w:t>
      </w:r>
      <w:r w:rsidR="00DD25D7">
        <w:t>sation</w:t>
      </w:r>
      <w:r w:rsidRPr="00DD25D7">
        <w:t xml:space="preserve"> (ICH) guidelines</w:t>
      </w:r>
      <w:r w:rsidRPr="00DD25D7">
        <w:rPr>
          <w:vertAlign w:val="superscript"/>
        </w:rPr>
        <w:t>1</w:t>
      </w:r>
      <w:r w:rsidRPr="00DD25D7">
        <w:t xml:space="preserve">, the Food and Drug </w:t>
      </w:r>
      <w:r w:rsidRPr="00DD25D7">
        <w:lastRenderedPageBreak/>
        <w:t>Administration (FDA) guidelines for Good Clinical Practice (GCP)</w:t>
      </w:r>
      <w:proofErr w:type="gramStart"/>
      <w:r w:rsidR="00743EF5" w:rsidRPr="00DD25D7">
        <w:t>,</w:t>
      </w:r>
      <w:r w:rsidRPr="00DD25D7">
        <w:rPr>
          <w:vertAlign w:val="superscript"/>
        </w:rPr>
        <w:t>2</w:t>
      </w:r>
      <w:proofErr w:type="gramEnd"/>
      <w:r w:rsidRPr="00DD25D7">
        <w:t xml:space="preserve"> EU Directive 2001/20/EC</w:t>
      </w:r>
      <w:r w:rsidRPr="00DD25D7">
        <w:rPr>
          <w:vertAlign w:val="superscript"/>
        </w:rPr>
        <w:t>3</w:t>
      </w:r>
      <w:r w:rsidRPr="00DD25D7">
        <w:t xml:space="preserve"> and the EMA guidelines on clinical evaluation of new vaccines clinical study reports in the submission state the studies complied with CPMP/ICH/135/95 Note for Guidance on Good Clinical Practice</w:t>
      </w:r>
      <w:r w:rsidR="00292798" w:rsidRPr="00DD25D7">
        <w:t>.</w:t>
      </w:r>
      <w:r w:rsidRPr="00DD25D7">
        <w:rPr>
          <w:vertAlign w:val="superscript"/>
        </w:rPr>
        <w:t>4</w:t>
      </w:r>
    </w:p>
    <w:p w:rsidR="00586F98" w:rsidRPr="00DD25D7" w:rsidRDefault="00586F98" w:rsidP="00586F98">
      <w:pPr>
        <w:pStyle w:val="Heading2"/>
      </w:pPr>
      <w:bookmarkStart w:id="27" w:name="_Toc355338639"/>
      <w:bookmarkStart w:id="28" w:name="_Toc524443895"/>
      <w:r w:rsidRPr="00DD25D7">
        <w:t>Pharmacokinetics</w:t>
      </w:r>
      <w:bookmarkEnd w:id="27"/>
      <w:bookmarkEnd w:id="28"/>
    </w:p>
    <w:p w:rsidR="00586F98" w:rsidRPr="00DD25D7" w:rsidRDefault="009E75AA" w:rsidP="00586F98">
      <w:r w:rsidRPr="00DD25D7">
        <w:t>Not applicable.</w:t>
      </w:r>
    </w:p>
    <w:p w:rsidR="00586F98" w:rsidRPr="00DD25D7" w:rsidRDefault="00586F98" w:rsidP="00586F98">
      <w:pPr>
        <w:pStyle w:val="Heading2"/>
      </w:pPr>
      <w:bookmarkStart w:id="29" w:name="_Toc524443896"/>
      <w:r w:rsidRPr="00DD25D7">
        <w:t>Pharmacodynamics</w:t>
      </w:r>
      <w:bookmarkEnd w:id="29"/>
    </w:p>
    <w:p w:rsidR="009E75AA" w:rsidRPr="00DD25D7" w:rsidRDefault="009E75AA" w:rsidP="009E75AA">
      <w:r w:rsidRPr="00DD25D7">
        <w:t xml:space="preserve">In accordance with the EMA </w:t>
      </w:r>
      <w:r w:rsidR="00743EF5" w:rsidRPr="00DD25D7">
        <w:t>‘</w:t>
      </w:r>
      <w:r w:rsidRPr="00DD25D7">
        <w:t>Guideline on Clinical Evaluation of New Vaccines</w:t>
      </w:r>
      <w:r w:rsidR="00743EF5" w:rsidRPr="00DD25D7">
        <w:t>’</w:t>
      </w:r>
      <w:r w:rsidRPr="00DD25D7">
        <w:t>, the pharmacodynamic profile for the Trumenba vaccine was defined by its immunogenicity profile.</w:t>
      </w:r>
    </w:p>
    <w:p w:rsidR="00C22678" w:rsidRPr="00DD25D7" w:rsidRDefault="00C22678" w:rsidP="00C22678">
      <w:pPr>
        <w:pStyle w:val="Heading2"/>
      </w:pPr>
      <w:bookmarkStart w:id="30" w:name="_Toc524443897"/>
      <w:r w:rsidRPr="00DD25D7">
        <w:t>Dosage selection for the pivotal studies</w:t>
      </w:r>
      <w:bookmarkEnd w:id="30"/>
    </w:p>
    <w:p w:rsidR="00002D4F" w:rsidRPr="008D7F95" w:rsidRDefault="009E75AA" w:rsidP="00002D4F">
      <w:r w:rsidRPr="008D7F95">
        <w:rPr>
          <w:lang w:eastAsia="ja-JP"/>
        </w:rPr>
        <w:t xml:space="preserve">Study B1971003 was a </w:t>
      </w:r>
      <w:r w:rsidR="00743EF5" w:rsidRPr="008D7F95">
        <w:rPr>
          <w:lang w:eastAsia="ja-JP"/>
        </w:rPr>
        <w:t>Phase I/II</w:t>
      </w:r>
      <w:r w:rsidRPr="008D7F95">
        <w:rPr>
          <w:lang w:eastAsia="ja-JP"/>
        </w:rPr>
        <w:t xml:space="preserve">, single arm, </w:t>
      </w:r>
      <w:r w:rsidR="00743EF5" w:rsidRPr="008D7F95">
        <w:rPr>
          <w:lang w:eastAsia="ja-JP"/>
        </w:rPr>
        <w:t>open label</w:t>
      </w:r>
      <w:r w:rsidRPr="008D7F95">
        <w:rPr>
          <w:lang w:eastAsia="ja-JP"/>
        </w:rPr>
        <w:t xml:space="preserve"> study that recruited a total of 60 Australian adult subjects (aged 18 to </w:t>
      </w:r>
      <w:r w:rsidR="00743EF5" w:rsidRPr="00DD25D7">
        <w:t xml:space="preserve">≤ </w:t>
      </w:r>
      <w:r w:rsidRPr="00DD25D7">
        <w:t>4</w:t>
      </w:r>
      <w:r w:rsidRPr="008D7F95">
        <w:rPr>
          <w:lang w:eastAsia="ja-JP"/>
        </w:rPr>
        <w:t xml:space="preserve">0 years) who received the final formulation of 120 </w:t>
      </w:r>
      <w:r w:rsidR="00743EF5" w:rsidRPr="008D7F95">
        <w:rPr>
          <w:lang w:eastAsia="ja-JP"/>
        </w:rPr>
        <w:t>μ</w:t>
      </w:r>
      <w:r w:rsidRPr="008D7F95">
        <w:rPr>
          <w:lang w:eastAsia="ja-JP"/>
        </w:rPr>
        <w:t xml:space="preserve">g of bivalent rLP2086 given on a 0, 1, </w:t>
      </w:r>
      <w:r w:rsidR="00743EF5" w:rsidRPr="008D7F95">
        <w:rPr>
          <w:lang w:eastAsia="ja-JP"/>
        </w:rPr>
        <w:t>6 month</w:t>
      </w:r>
      <w:r w:rsidRPr="008D7F95">
        <w:rPr>
          <w:lang w:eastAsia="ja-JP"/>
        </w:rPr>
        <w:t xml:space="preserve"> schedule. This population was chosen to establish the appropriate dose in adults before a clinical trial in adolescents could be designed. This study was also designed for serological assay development. An exploratory objective of this study was to assess the immunogenicity of the </w:t>
      </w:r>
      <w:r w:rsidRPr="00DD25D7">
        <w:t>120</w:t>
      </w:r>
      <w:r w:rsidRPr="008D7F95">
        <w:rPr>
          <w:lang w:eastAsia="ja-JP"/>
        </w:rPr>
        <w:t xml:space="preserve"> µg dose formulation of bivalent rLP2086 as measured by </w:t>
      </w:r>
      <w:proofErr w:type="spellStart"/>
      <w:r w:rsidRPr="008D7F95">
        <w:rPr>
          <w:lang w:eastAsia="ja-JP"/>
        </w:rPr>
        <w:t>hSBA</w:t>
      </w:r>
      <w:proofErr w:type="spellEnd"/>
      <w:r w:rsidRPr="008D7F95">
        <w:rPr>
          <w:lang w:eastAsia="ja-JP"/>
        </w:rPr>
        <w:t xml:space="preserve"> and/or levels of antibody specific to LP2086 antigens.</w:t>
      </w:r>
    </w:p>
    <w:p w:rsidR="00743EF5" w:rsidRPr="001B1D36" w:rsidRDefault="00002D4F" w:rsidP="009E75AA">
      <w:pPr>
        <w:rPr>
          <w:lang w:eastAsia="ja-JP"/>
        </w:rPr>
      </w:pPr>
      <w:r w:rsidRPr="008D7F95">
        <w:t xml:space="preserve">Functional antibody responses using </w:t>
      </w:r>
      <w:proofErr w:type="spellStart"/>
      <w:r w:rsidRPr="008D7F95">
        <w:t>hSBA</w:t>
      </w:r>
      <w:proofErr w:type="spellEnd"/>
      <w:r w:rsidRPr="008D7F95">
        <w:t xml:space="preserve"> were performed with the following </w:t>
      </w:r>
      <w:proofErr w:type="spellStart"/>
      <w:r w:rsidRPr="008D7F95">
        <w:t>MnB</w:t>
      </w:r>
      <w:proofErr w:type="spellEnd"/>
      <w:r w:rsidRPr="008D7F95">
        <w:t xml:space="preserve"> test strains: PMB1745 (A05), which expresses an </w:t>
      </w:r>
      <w:proofErr w:type="spellStart"/>
      <w:r w:rsidRPr="008D7F95">
        <w:t>fHBP</w:t>
      </w:r>
      <w:proofErr w:type="spellEnd"/>
      <w:r w:rsidRPr="008D7F95">
        <w:t xml:space="preserve"> variant homologous to one of bivalent rLP2086 antigens, rLP2086-A05, and PMB17 (B02), which expresses an </w:t>
      </w:r>
      <w:proofErr w:type="spellStart"/>
      <w:r w:rsidRPr="008D7F95">
        <w:t>fHBP</w:t>
      </w:r>
      <w:proofErr w:type="spellEnd"/>
      <w:r w:rsidRPr="008D7F95">
        <w:t xml:space="preserve"> variant that is heterologous to the other vaccine antigen, rLP2086-B01. </w:t>
      </w:r>
      <w:r w:rsidR="009E75AA" w:rsidRPr="001B1D36">
        <w:rPr>
          <w:lang w:eastAsia="ja-JP"/>
        </w:rPr>
        <w:t xml:space="preserve">Safety was evaluated based on local reactions and systemic events occurring within 7 days after each vaccination and recorded by the subject in an e-diary. AEs, SAEs, NDCMCs, were collected at </w:t>
      </w:r>
      <w:r w:rsidR="00743EF5" w:rsidRPr="001B1D36">
        <w:rPr>
          <w:lang w:eastAsia="ja-JP"/>
        </w:rPr>
        <w:t>protocol specified</w:t>
      </w:r>
      <w:r w:rsidR="009E75AA" w:rsidRPr="001B1D36">
        <w:rPr>
          <w:lang w:eastAsia="ja-JP"/>
        </w:rPr>
        <w:t xml:space="preserve"> time periods</w:t>
      </w:r>
      <w:r w:rsidR="00743EF5" w:rsidRPr="001B1D36">
        <w:rPr>
          <w:lang w:eastAsia="ja-JP"/>
        </w:rPr>
        <w:t>.</w:t>
      </w:r>
    </w:p>
    <w:p w:rsidR="00743EF5" w:rsidRPr="001B1D36" w:rsidRDefault="009E75AA" w:rsidP="009E75AA">
      <w:pPr>
        <w:rPr>
          <w:lang w:eastAsia="ja-JP"/>
        </w:rPr>
      </w:pPr>
      <w:r w:rsidRPr="001B1D36">
        <w:rPr>
          <w:lang w:eastAsia="ja-JP"/>
        </w:rPr>
        <w:t xml:space="preserve">Study B1971004 was a </w:t>
      </w:r>
      <w:r w:rsidR="00743EF5" w:rsidRPr="001B1D36">
        <w:rPr>
          <w:lang w:eastAsia="ja-JP"/>
        </w:rPr>
        <w:t>Phase I</w:t>
      </w:r>
      <w:r w:rsidRPr="001B1D36">
        <w:rPr>
          <w:lang w:eastAsia="ja-JP"/>
        </w:rPr>
        <w:t xml:space="preserve"> study conducted in the US in which 48 subjects (aged 18 </w:t>
      </w:r>
      <w:r w:rsidRPr="00DD25D7">
        <w:t xml:space="preserve">to </w:t>
      </w:r>
      <w:r w:rsidR="00743EF5" w:rsidRPr="00DD25D7">
        <w:t xml:space="preserve">≤ </w:t>
      </w:r>
      <w:r w:rsidRPr="00DD25D7">
        <w:t>40</w:t>
      </w:r>
      <w:r w:rsidRPr="001B1D36">
        <w:rPr>
          <w:lang w:eastAsia="ja-JP"/>
        </w:rPr>
        <w:t xml:space="preserve"> years) were random</w:t>
      </w:r>
      <w:r w:rsidR="00292798" w:rsidRPr="001B1D36">
        <w:rPr>
          <w:lang w:eastAsia="ja-JP"/>
        </w:rPr>
        <w:t>ise</w:t>
      </w:r>
      <w:r w:rsidRPr="001B1D36">
        <w:rPr>
          <w:lang w:eastAsia="ja-JP"/>
        </w:rPr>
        <w:t xml:space="preserve">d to </w:t>
      </w:r>
      <w:r w:rsidRPr="00DD25D7">
        <w:t xml:space="preserve">an </w:t>
      </w:r>
      <w:r w:rsidR="00743EF5" w:rsidRPr="00DD25D7">
        <w:t>open label</w:t>
      </w:r>
      <w:r w:rsidRPr="00DD25D7">
        <w:t xml:space="preserve">, </w:t>
      </w:r>
      <w:r w:rsidR="00D44CEC" w:rsidRPr="00DD25D7">
        <w:t>parallel group</w:t>
      </w:r>
      <w:r w:rsidRPr="00DD25D7">
        <w:t xml:space="preserve"> clinical trial with 3 bivalent</w:t>
      </w:r>
      <w:r w:rsidRPr="001B1D36">
        <w:rPr>
          <w:lang w:eastAsia="ja-JP"/>
        </w:rPr>
        <w:t xml:space="preserve"> rLP2086 dose groups (60 µg, 120 µg, or 200 µg) and </w:t>
      </w:r>
      <w:r w:rsidRPr="00DD25D7">
        <w:t>a control group. The subjects in the bivalent rLP2086 groups received the final vaccine formulation using a 0, 2,</w:t>
      </w:r>
      <w:r w:rsidRPr="001B1D36">
        <w:rPr>
          <w:lang w:eastAsia="ja-JP"/>
        </w:rPr>
        <w:t xml:space="preserve"> </w:t>
      </w:r>
      <w:r w:rsidR="00743EF5" w:rsidRPr="001B1D36">
        <w:rPr>
          <w:lang w:eastAsia="ja-JP"/>
        </w:rPr>
        <w:t>6 month</w:t>
      </w:r>
      <w:r w:rsidRPr="001B1D36">
        <w:rPr>
          <w:lang w:eastAsia="ja-JP"/>
        </w:rPr>
        <w:t xml:space="preserve"> schedule. The study control group rec</w:t>
      </w:r>
      <w:r w:rsidR="00292798" w:rsidRPr="001B1D36">
        <w:rPr>
          <w:lang w:eastAsia="ja-JP"/>
        </w:rPr>
        <w:t xml:space="preserve">eived </w:t>
      </w:r>
      <w:proofErr w:type="spellStart"/>
      <w:r w:rsidR="00292798" w:rsidRPr="001B1D36">
        <w:rPr>
          <w:lang w:eastAsia="ja-JP"/>
        </w:rPr>
        <w:t>Tdap</w:t>
      </w:r>
      <w:proofErr w:type="spellEnd"/>
      <w:r w:rsidR="00292798" w:rsidRPr="001B1D36">
        <w:rPr>
          <w:lang w:eastAsia="ja-JP"/>
        </w:rPr>
        <w:t xml:space="preserve"> vaccine (</w:t>
      </w:r>
      <w:proofErr w:type="spellStart"/>
      <w:r w:rsidR="00292798" w:rsidRPr="001B1D36">
        <w:rPr>
          <w:lang w:eastAsia="ja-JP"/>
        </w:rPr>
        <w:t>Adacel</w:t>
      </w:r>
      <w:proofErr w:type="spellEnd"/>
      <w:r w:rsidR="00292798" w:rsidRPr="001B1D36">
        <w:rPr>
          <w:lang w:eastAsia="ja-JP"/>
        </w:rPr>
        <w:t>) at M</w:t>
      </w:r>
      <w:r w:rsidRPr="001B1D36">
        <w:rPr>
          <w:lang w:eastAsia="ja-JP"/>
        </w:rPr>
        <w:t xml:space="preserve">onth 0 and saline at subsequent injection visits. This trial is the only study in the program with routine assessment of clinical pathology laboratory assays. Immunogenicity of 60, 120, and 200 µg doses of bivalent rLP2086 was assessed by immunoglobulin G (IgG) </w:t>
      </w:r>
      <w:r w:rsidR="00EA5CCB" w:rsidRPr="001B1D36">
        <w:rPr>
          <w:lang w:eastAsia="ja-JP"/>
        </w:rPr>
        <w:t>titre</w:t>
      </w:r>
      <w:r w:rsidRPr="001B1D36">
        <w:rPr>
          <w:lang w:eastAsia="ja-JP"/>
        </w:rPr>
        <w:t>s that were elicited by bivalent rLP2086. Safety was evaluated as described for Study B1971003</w:t>
      </w:r>
      <w:r w:rsidR="00743EF5" w:rsidRPr="001B1D36">
        <w:rPr>
          <w:lang w:eastAsia="ja-JP"/>
        </w:rPr>
        <w:t>.</w:t>
      </w:r>
    </w:p>
    <w:p w:rsidR="00743EF5" w:rsidRPr="001B1D36" w:rsidRDefault="009E75AA" w:rsidP="009E75AA">
      <w:pPr>
        <w:rPr>
          <w:lang w:eastAsia="ja-JP"/>
        </w:rPr>
      </w:pPr>
      <w:r w:rsidRPr="001B1D36">
        <w:rPr>
          <w:lang w:eastAsia="ja-JP"/>
        </w:rPr>
        <w:t xml:space="preserve">Study B1971005 is a </w:t>
      </w:r>
      <w:r w:rsidR="00743EF5" w:rsidRPr="001B1D36">
        <w:rPr>
          <w:lang w:eastAsia="ja-JP"/>
        </w:rPr>
        <w:t>Phase II</w:t>
      </w:r>
      <w:r w:rsidRPr="001B1D36">
        <w:rPr>
          <w:lang w:eastAsia="ja-JP"/>
        </w:rPr>
        <w:t>, random</w:t>
      </w:r>
      <w:r w:rsidR="00292798" w:rsidRPr="001B1D36">
        <w:rPr>
          <w:lang w:eastAsia="ja-JP"/>
        </w:rPr>
        <w:t>ise</w:t>
      </w:r>
      <w:r w:rsidRPr="001B1D36">
        <w:rPr>
          <w:lang w:eastAsia="ja-JP"/>
        </w:rPr>
        <w:t xml:space="preserve">d, </w:t>
      </w:r>
      <w:r w:rsidR="00743EF5" w:rsidRPr="001B1D36">
        <w:rPr>
          <w:lang w:eastAsia="ja-JP"/>
        </w:rPr>
        <w:t>single blind</w:t>
      </w:r>
      <w:r w:rsidRPr="001B1D36">
        <w:rPr>
          <w:lang w:eastAsia="ja-JP"/>
        </w:rPr>
        <w:t xml:space="preserve">, </w:t>
      </w:r>
      <w:r w:rsidR="00743EF5" w:rsidRPr="001B1D36">
        <w:rPr>
          <w:lang w:eastAsia="ja-JP"/>
        </w:rPr>
        <w:t>placebo controlled</w:t>
      </w:r>
      <w:r w:rsidRPr="001B1D36">
        <w:rPr>
          <w:lang w:eastAsia="ja-JP"/>
        </w:rPr>
        <w:t xml:space="preserve"> dose selection study that enrolled 539 European or Australian subjects aged 11 </w:t>
      </w:r>
      <w:r w:rsidRPr="00DD25D7">
        <w:t>to ≤</w:t>
      </w:r>
      <w:r w:rsidR="00743EF5" w:rsidRPr="00DD25D7">
        <w:t xml:space="preserve"> </w:t>
      </w:r>
      <w:r w:rsidRPr="00DD25D7">
        <w:t>18</w:t>
      </w:r>
      <w:r w:rsidRPr="001B1D36">
        <w:rPr>
          <w:lang w:eastAsia="ja-JP"/>
        </w:rPr>
        <w:t xml:space="preserve"> years who received bivalent rLP2086 using a 0, 2, </w:t>
      </w:r>
      <w:r w:rsidR="00743EF5" w:rsidRPr="001B1D36">
        <w:rPr>
          <w:lang w:eastAsia="ja-JP"/>
        </w:rPr>
        <w:t>6 month</w:t>
      </w:r>
      <w:r w:rsidRPr="001B1D36">
        <w:rPr>
          <w:lang w:eastAsia="ja-JP"/>
        </w:rPr>
        <w:t xml:space="preserve"> schedule. The control group received saline at each vaccination visit</w:t>
      </w:r>
      <w:r w:rsidR="00743EF5" w:rsidRPr="001B1D36">
        <w:rPr>
          <w:lang w:eastAsia="ja-JP"/>
        </w:rPr>
        <w:t>.</w:t>
      </w:r>
    </w:p>
    <w:p w:rsidR="00743EF5" w:rsidRPr="001B1D36" w:rsidRDefault="009E75AA" w:rsidP="009E75AA">
      <w:pPr>
        <w:rPr>
          <w:lang w:eastAsia="ja-JP"/>
        </w:rPr>
      </w:pPr>
      <w:r w:rsidRPr="001B1D36">
        <w:rPr>
          <w:lang w:eastAsia="ja-JP"/>
        </w:rPr>
        <w:t>Stage 1: Subjects were random</w:t>
      </w:r>
      <w:r w:rsidR="00292798" w:rsidRPr="001B1D36">
        <w:rPr>
          <w:lang w:eastAsia="ja-JP"/>
        </w:rPr>
        <w:t>ise</w:t>
      </w:r>
      <w:r w:rsidRPr="001B1D36">
        <w:rPr>
          <w:lang w:eastAsia="ja-JP"/>
        </w:rPr>
        <w:t xml:space="preserve">d to 60 µg, 120 µg, or 200 µg bivalent rLP2086, or saline groups and safety and immunogenicity were compared across dosing groups to determine the final vaccine dose (120 µg) that would be used in all subsequent studies. Functional antibody responses, expressed as interpolated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s, were determin</w:t>
      </w:r>
      <w:r w:rsidR="00743EF5" w:rsidRPr="001B1D36">
        <w:rPr>
          <w:lang w:eastAsia="ja-JP"/>
        </w:rPr>
        <w:t xml:space="preserve">ed using qualified </w:t>
      </w:r>
      <w:proofErr w:type="spellStart"/>
      <w:r w:rsidR="00743EF5" w:rsidRPr="001B1D36">
        <w:rPr>
          <w:lang w:eastAsia="ja-JP"/>
        </w:rPr>
        <w:t>hSBAs</w:t>
      </w:r>
      <w:proofErr w:type="spellEnd"/>
      <w:r w:rsidR="00743EF5" w:rsidRPr="001B1D36">
        <w:rPr>
          <w:lang w:eastAsia="ja-JP"/>
        </w:rPr>
        <w:t xml:space="preserve"> with 2 </w:t>
      </w:r>
      <w:r w:rsidRPr="001B1D36">
        <w:rPr>
          <w:lang w:eastAsia="ja-JP"/>
        </w:rPr>
        <w:t xml:space="preserve">of the 4 primary </w:t>
      </w:r>
      <w:proofErr w:type="spellStart"/>
      <w:r w:rsidRPr="001B1D36">
        <w:rPr>
          <w:lang w:eastAsia="ja-JP"/>
        </w:rPr>
        <w:t>MnB</w:t>
      </w:r>
      <w:proofErr w:type="spellEnd"/>
      <w:r w:rsidRPr="001B1D36">
        <w:rPr>
          <w:lang w:eastAsia="ja-JP"/>
        </w:rPr>
        <w:t xml:space="preserve"> test strains, PMB2001 (A56) and PMB2707 (B44) and additional </w:t>
      </w:r>
      <w:proofErr w:type="spellStart"/>
      <w:r w:rsidRPr="001B1D36">
        <w:rPr>
          <w:lang w:eastAsia="ja-JP"/>
        </w:rPr>
        <w:t>MnB</w:t>
      </w:r>
      <w:proofErr w:type="spellEnd"/>
      <w:r w:rsidRPr="001B1D36">
        <w:rPr>
          <w:lang w:eastAsia="ja-JP"/>
        </w:rPr>
        <w:t xml:space="preserve"> test strains PMB3302 (A04), PMB1745 (A05), PMB17 (B02), and PMB1256 (B03). Stage 1 (</w:t>
      </w:r>
      <w:r w:rsidR="00292798" w:rsidRPr="001B1D36">
        <w:rPr>
          <w:lang w:eastAsia="ja-JP"/>
        </w:rPr>
        <w:t>Vaccin</w:t>
      </w:r>
      <w:r w:rsidRPr="001B1D36">
        <w:rPr>
          <w:lang w:eastAsia="ja-JP"/>
        </w:rPr>
        <w:t xml:space="preserve">ation phase) was completed prior to agreement on the </w:t>
      </w:r>
      <w:r w:rsidR="00743EF5" w:rsidRPr="001B1D36">
        <w:rPr>
          <w:lang w:eastAsia="ja-JP"/>
        </w:rPr>
        <w:t>Phase III</w:t>
      </w:r>
      <w:r w:rsidRPr="001B1D36">
        <w:rPr>
          <w:lang w:eastAsia="ja-JP"/>
        </w:rPr>
        <w:t xml:space="preserve"> test strains and </w:t>
      </w:r>
      <w:r w:rsidRPr="001B1D36">
        <w:rPr>
          <w:lang w:eastAsia="ja-JP"/>
        </w:rPr>
        <w:lastRenderedPageBreak/>
        <w:t xml:space="preserve">endpoints, and hence the </w:t>
      </w:r>
      <w:r w:rsidR="00743EF5" w:rsidRPr="001B1D36">
        <w:rPr>
          <w:lang w:eastAsia="ja-JP"/>
        </w:rPr>
        <w:t>Phase III</w:t>
      </w:r>
      <w:r w:rsidRPr="001B1D36">
        <w:rPr>
          <w:lang w:eastAsia="ja-JP"/>
        </w:rPr>
        <w:t xml:space="preserve"> endpoints initially were not available for Stage 1 of this study. However, during Stage 2 of </w:t>
      </w:r>
      <w:r w:rsidR="00032B77" w:rsidRPr="001B1D36">
        <w:rPr>
          <w:lang w:eastAsia="ja-JP"/>
        </w:rPr>
        <w:t>Stud</w:t>
      </w:r>
      <w:r w:rsidRPr="001B1D36">
        <w:rPr>
          <w:lang w:eastAsia="ja-JP"/>
        </w:rPr>
        <w:t xml:space="preserve">y B1971005, </w:t>
      </w:r>
      <w:proofErr w:type="spellStart"/>
      <w:r w:rsidRPr="001B1D36">
        <w:rPr>
          <w:lang w:eastAsia="ja-JP"/>
        </w:rPr>
        <w:t>hSBA</w:t>
      </w:r>
      <w:proofErr w:type="spellEnd"/>
      <w:r w:rsidRPr="001B1D36">
        <w:rPr>
          <w:lang w:eastAsia="ja-JP"/>
        </w:rPr>
        <w:t xml:space="preserve"> testing was performed using samples collected at some Stage 1 time points, and results are included in the across study analyses. Safety in Stage 1 was evaluated as described for other </w:t>
      </w:r>
      <w:r w:rsidR="00743EF5" w:rsidRPr="001B1D36">
        <w:rPr>
          <w:lang w:eastAsia="ja-JP"/>
        </w:rPr>
        <w:t>Phase II</w:t>
      </w:r>
      <w:r w:rsidRPr="001B1D36">
        <w:rPr>
          <w:lang w:eastAsia="ja-JP"/>
        </w:rPr>
        <w:t xml:space="preserve"> studies</w:t>
      </w:r>
      <w:r w:rsidR="00743EF5" w:rsidRPr="001B1D36">
        <w:rPr>
          <w:lang w:eastAsia="ja-JP"/>
        </w:rPr>
        <w:t>.</w:t>
      </w:r>
    </w:p>
    <w:p w:rsidR="00743EF5" w:rsidRPr="001B1D36" w:rsidRDefault="009E75AA" w:rsidP="009E75AA">
      <w:pPr>
        <w:rPr>
          <w:lang w:eastAsia="ja-JP"/>
        </w:rPr>
      </w:pPr>
      <w:r w:rsidRPr="001B1D36">
        <w:rPr>
          <w:lang w:eastAsia="ja-JP"/>
        </w:rPr>
        <w:t xml:space="preserve">Stage 2 (persistence of immune response): The persistence stage of the study was designed to evaluate the duration of the </w:t>
      </w:r>
      <w:proofErr w:type="spellStart"/>
      <w:r w:rsidRPr="001B1D36">
        <w:rPr>
          <w:lang w:eastAsia="ja-JP"/>
        </w:rPr>
        <w:t>MnB</w:t>
      </w:r>
      <w:proofErr w:type="spellEnd"/>
      <w:r w:rsidRPr="001B1D36">
        <w:rPr>
          <w:lang w:eastAsia="ja-JP"/>
        </w:rPr>
        <w:t>-specific immune responses for up to 4 years after the third vaccination with bivalent rLP2086. Only Stage 1 subjects who received bivalent rLP2086 at the dose levels selected for the second stage of the study (120 µg and 200</w:t>
      </w:r>
      <w:r w:rsidR="00743EF5" w:rsidRPr="001B1D36">
        <w:rPr>
          <w:lang w:eastAsia="ja-JP"/>
        </w:rPr>
        <w:t xml:space="preserve"> </w:t>
      </w:r>
      <w:r w:rsidRPr="001B1D36">
        <w:rPr>
          <w:lang w:eastAsia="ja-JP"/>
        </w:rPr>
        <w:t xml:space="preserve">µg), and saline control recipients, were invited to continue in Stage 2, which was </w:t>
      </w:r>
      <w:r w:rsidR="00743EF5" w:rsidRPr="001B1D36">
        <w:rPr>
          <w:lang w:eastAsia="ja-JP"/>
        </w:rPr>
        <w:t>open label</w:t>
      </w:r>
      <w:r w:rsidRPr="001B1D36">
        <w:rPr>
          <w:lang w:eastAsia="ja-JP"/>
        </w:rPr>
        <w:t xml:space="preserve">. The results for Stage 2 included immunogenicity data from a study visit conducted at 6 months and 1 week after the third vaccination with bivalent rLP2086 during Stage. Immunogenicity of bivalent rLP2086 was measured by validated </w:t>
      </w:r>
      <w:proofErr w:type="spellStart"/>
      <w:r w:rsidRPr="001B1D36">
        <w:rPr>
          <w:lang w:eastAsia="ja-JP"/>
        </w:rPr>
        <w:t>hSBAs</w:t>
      </w:r>
      <w:proofErr w:type="spellEnd"/>
      <w:r w:rsidRPr="001B1D36">
        <w:rPr>
          <w:lang w:eastAsia="ja-JP"/>
        </w:rPr>
        <w:t xml:space="preserve"> with the 4 primary </w:t>
      </w:r>
      <w:proofErr w:type="spellStart"/>
      <w:r w:rsidRPr="001B1D36">
        <w:rPr>
          <w:lang w:eastAsia="ja-JP"/>
        </w:rPr>
        <w:t>MnB</w:t>
      </w:r>
      <w:proofErr w:type="spellEnd"/>
      <w:r w:rsidRPr="001B1D36">
        <w:rPr>
          <w:lang w:eastAsia="ja-JP"/>
        </w:rPr>
        <w:t xml:space="preserve"> test strains PMB80 (A22), PMB2001 (A56), PMB2948 (B24), and PMB2707 (B44) using blood samples collected at 6 months </w:t>
      </w:r>
      <w:r w:rsidR="00032B77" w:rsidRPr="001B1D36">
        <w:rPr>
          <w:lang w:eastAsia="ja-JP"/>
        </w:rPr>
        <w:t>+ 1 </w:t>
      </w:r>
      <w:r w:rsidRPr="001B1D36">
        <w:rPr>
          <w:lang w:eastAsia="ja-JP"/>
        </w:rPr>
        <w:t xml:space="preserve">week, and 12, 24, and 48 months after Dose 3. Stage 2 persistence testing using the validated </w:t>
      </w:r>
      <w:proofErr w:type="spellStart"/>
      <w:r w:rsidRPr="001B1D36">
        <w:rPr>
          <w:lang w:eastAsia="ja-JP"/>
        </w:rPr>
        <w:t>hSBAs</w:t>
      </w:r>
      <w:proofErr w:type="spellEnd"/>
      <w:r w:rsidRPr="001B1D36">
        <w:rPr>
          <w:lang w:eastAsia="ja-JP"/>
        </w:rPr>
        <w:t xml:space="preserve"> and 4 primary test strains was also performed on samples collected at Stage 1 time points (pre immuni</w:t>
      </w:r>
      <w:r w:rsidR="00DD25D7">
        <w:rPr>
          <w:lang w:eastAsia="ja-JP"/>
        </w:rPr>
        <w:t>sation</w:t>
      </w:r>
      <w:r w:rsidRPr="001B1D36">
        <w:rPr>
          <w:lang w:eastAsia="ja-JP"/>
        </w:rPr>
        <w:t xml:space="preserve"> and 1 month </w:t>
      </w:r>
      <w:r w:rsidR="00032B77" w:rsidRPr="001B1D36">
        <w:rPr>
          <w:lang w:eastAsia="ja-JP"/>
        </w:rPr>
        <w:t>post dose</w:t>
      </w:r>
      <w:r w:rsidRPr="001B1D36">
        <w:rPr>
          <w:lang w:eastAsia="ja-JP"/>
        </w:rPr>
        <w:t xml:space="preserve"> 3). In the safety evaluation for Stage 2, SAEs were reported for 7 days following each blood draw, from Visit 8 onward</w:t>
      </w:r>
      <w:r w:rsidR="00743EF5" w:rsidRPr="001B1D36">
        <w:rPr>
          <w:lang w:eastAsia="ja-JP"/>
        </w:rPr>
        <w:t>.</w:t>
      </w:r>
    </w:p>
    <w:p w:rsidR="009E75AA" w:rsidRPr="00DD25D7" w:rsidRDefault="009E75AA" w:rsidP="009E75AA">
      <w:pPr>
        <w:pStyle w:val="Heading3"/>
      </w:pPr>
      <w:bookmarkStart w:id="31" w:name="_Toc416353713"/>
      <w:bookmarkStart w:id="32" w:name="_Toc421005266"/>
      <w:bookmarkStart w:id="33" w:name="_Toc432079148"/>
      <w:bookmarkStart w:id="34" w:name="_Toc432080721"/>
      <w:bookmarkStart w:id="35" w:name="_Toc464739494"/>
      <w:bookmarkStart w:id="36" w:name="_Toc524443898"/>
      <w:r w:rsidRPr="00DD25D7">
        <w:t>Evaluator’s conclusions on dose finding for the pivotal studies</w:t>
      </w:r>
      <w:bookmarkEnd w:id="31"/>
      <w:bookmarkEnd w:id="32"/>
      <w:bookmarkEnd w:id="33"/>
      <w:bookmarkEnd w:id="34"/>
      <w:bookmarkEnd w:id="35"/>
      <w:bookmarkEnd w:id="36"/>
    </w:p>
    <w:p w:rsidR="009E75AA" w:rsidRPr="00DD25D7" w:rsidRDefault="009E75AA" w:rsidP="009E75AA">
      <w:r w:rsidRPr="00DD25D7">
        <w:t>The dose finding studies are satisfactory.</w:t>
      </w:r>
    </w:p>
    <w:p w:rsidR="00C22678" w:rsidRPr="00DD25D7" w:rsidRDefault="00C22678" w:rsidP="00C22678">
      <w:pPr>
        <w:pStyle w:val="Heading2"/>
      </w:pPr>
      <w:bookmarkStart w:id="37" w:name="_Toc524443899"/>
      <w:r w:rsidRPr="00DD25D7">
        <w:t>Clinical efficacy</w:t>
      </w:r>
      <w:bookmarkEnd w:id="37"/>
    </w:p>
    <w:p w:rsidR="009E75AA" w:rsidRPr="001B1D36" w:rsidRDefault="009E75AA" w:rsidP="009E75AA">
      <w:pPr>
        <w:rPr>
          <w:lang w:eastAsia="ja-JP"/>
        </w:rPr>
      </w:pPr>
      <w:r w:rsidRPr="001B1D36">
        <w:rPr>
          <w:lang w:eastAsia="ja-JP"/>
        </w:rPr>
        <w:t xml:space="preserve">The following studies contributed to the </w:t>
      </w:r>
      <w:r w:rsidR="002B1516" w:rsidRPr="001B1D36">
        <w:rPr>
          <w:lang w:eastAsia="ja-JP"/>
        </w:rPr>
        <w:t>immunogenicity</w:t>
      </w:r>
      <w:r w:rsidRPr="001B1D36">
        <w:rPr>
          <w:lang w:eastAsia="ja-JP"/>
        </w:rPr>
        <w:t xml:space="preserve"> data:</w:t>
      </w:r>
    </w:p>
    <w:p w:rsidR="009E75AA" w:rsidRPr="001B1D36" w:rsidRDefault="00743EF5" w:rsidP="009E75AA">
      <w:pPr>
        <w:rPr>
          <w:lang w:eastAsia="ja-JP"/>
        </w:rPr>
      </w:pPr>
      <w:r w:rsidRPr="001B1D36">
        <w:rPr>
          <w:lang w:eastAsia="ja-JP"/>
        </w:rPr>
        <w:t>Early studies;</w:t>
      </w:r>
    </w:p>
    <w:p w:rsidR="009E75AA" w:rsidRPr="001B1D36" w:rsidRDefault="009E75AA" w:rsidP="009E75AA">
      <w:pPr>
        <w:pStyle w:val="ListBullet"/>
        <w:rPr>
          <w:lang w:eastAsia="ja-JP"/>
        </w:rPr>
      </w:pPr>
      <w:r w:rsidRPr="001B1D36">
        <w:rPr>
          <w:lang w:eastAsia="ja-JP"/>
        </w:rPr>
        <w:t xml:space="preserve">A </w:t>
      </w:r>
      <w:r w:rsidR="00743EF5" w:rsidRPr="001B1D36">
        <w:rPr>
          <w:lang w:eastAsia="ja-JP"/>
        </w:rPr>
        <w:t>Phase I</w:t>
      </w:r>
      <w:r w:rsidRPr="001B1D36">
        <w:rPr>
          <w:lang w:eastAsia="ja-JP"/>
        </w:rPr>
        <w:t xml:space="preserve"> </w:t>
      </w:r>
      <w:r w:rsidR="00032B77" w:rsidRPr="001B1D36">
        <w:rPr>
          <w:lang w:eastAsia="ja-JP"/>
        </w:rPr>
        <w:t>Stud</w:t>
      </w:r>
      <w:r w:rsidRPr="001B1D36">
        <w:rPr>
          <w:lang w:eastAsia="ja-JP"/>
        </w:rPr>
        <w:t xml:space="preserve">y (B1971004) and a </w:t>
      </w:r>
      <w:r w:rsidR="00743EF5" w:rsidRPr="001B1D36">
        <w:rPr>
          <w:lang w:eastAsia="ja-JP"/>
        </w:rPr>
        <w:t>Phase I/II</w:t>
      </w:r>
      <w:r w:rsidRPr="001B1D36">
        <w:rPr>
          <w:lang w:eastAsia="ja-JP"/>
        </w:rPr>
        <w:t xml:space="preserve"> </w:t>
      </w:r>
      <w:r w:rsidR="00032B77" w:rsidRPr="001B1D36">
        <w:rPr>
          <w:lang w:eastAsia="ja-JP"/>
        </w:rPr>
        <w:t>Stud</w:t>
      </w:r>
      <w:r w:rsidRPr="001B1D36">
        <w:rPr>
          <w:lang w:eastAsia="ja-JP"/>
        </w:rPr>
        <w:t xml:space="preserve">y (B1971003) were conducted in </w:t>
      </w:r>
      <w:r w:rsidRPr="001B1D36">
        <w:rPr>
          <w:rFonts w:ascii="MS Mincho" w:eastAsia="MS Mincho" w:hAnsi="MS Mincho" w:cs="MS Mincho"/>
          <w:lang w:eastAsia="ja-JP"/>
        </w:rPr>
        <w:t> </w:t>
      </w:r>
      <w:r w:rsidRPr="001B1D36">
        <w:rPr>
          <w:lang w:eastAsia="ja-JP"/>
        </w:rPr>
        <w:t>subjects 18 to 40 years of a</w:t>
      </w:r>
      <w:r w:rsidR="00743EF5" w:rsidRPr="001B1D36">
        <w:rPr>
          <w:lang w:eastAsia="ja-JP"/>
        </w:rPr>
        <w:t>ge.</w:t>
      </w:r>
    </w:p>
    <w:p w:rsidR="009E75AA" w:rsidRPr="00DD25D7" w:rsidRDefault="009E75AA" w:rsidP="00743EF5">
      <w:pPr>
        <w:pStyle w:val="ListBullet"/>
      </w:pPr>
      <w:r w:rsidRPr="00DD25D7">
        <w:t xml:space="preserve">A </w:t>
      </w:r>
      <w:r w:rsidR="00743EF5" w:rsidRPr="00DD25D7">
        <w:t>Phase II</w:t>
      </w:r>
      <w:r w:rsidRPr="00DD25D7">
        <w:t xml:space="preserve"> </w:t>
      </w:r>
      <w:r w:rsidR="00743EF5" w:rsidRPr="00DD25D7">
        <w:t>proof of concept</w:t>
      </w:r>
      <w:r w:rsidRPr="00DD25D7">
        <w:t xml:space="preserve"> and dose selection </w:t>
      </w:r>
      <w:r w:rsidR="00032B77" w:rsidRPr="00DD25D7">
        <w:t>Stud</w:t>
      </w:r>
      <w:r w:rsidRPr="00DD25D7">
        <w:t>y (B1971005-Stage 1) was conducted in subjects 11 to 18 years of age where the final dose level of 120 μg of bivalent rLP2086 was cho</w:t>
      </w:r>
      <w:r w:rsidR="00743EF5" w:rsidRPr="00DD25D7">
        <w:t>sen for all subsequent studies.</w:t>
      </w:r>
    </w:p>
    <w:p w:rsidR="00743EF5" w:rsidRPr="001B1D36" w:rsidRDefault="009E75AA" w:rsidP="009E75AA">
      <w:pPr>
        <w:pStyle w:val="ListBullet"/>
        <w:rPr>
          <w:lang w:eastAsia="ja-JP"/>
        </w:rPr>
      </w:pPr>
      <w:r w:rsidRPr="001B1D36">
        <w:rPr>
          <w:lang w:eastAsia="ja-JP"/>
        </w:rPr>
        <w:t xml:space="preserve">Study B1971005 (Stage 2) also evaluated immunogenicity of bivalent rLP2086 for up to 48 months after the last dose. As part of the Stage 2 evaluation of bactericidal antibody persistence, </w:t>
      </w:r>
      <w:proofErr w:type="spellStart"/>
      <w:r w:rsidRPr="001B1D36">
        <w:rPr>
          <w:lang w:eastAsia="ja-JP"/>
        </w:rPr>
        <w:t>hSBAs</w:t>
      </w:r>
      <w:proofErr w:type="spellEnd"/>
      <w:r w:rsidRPr="001B1D36">
        <w:rPr>
          <w:lang w:eastAsia="ja-JP"/>
        </w:rPr>
        <w:t xml:space="preserve"> with the 4 primary </w:t>
      </w:r>
      <w:proofErr w:type="spellStart"/>
      <w:r w:rsidRPr="001B1D36">
        <w:rPr>
          <w:lang w:eastAsia="ja-JP"/>
        </w:rPr>
        <w:t>MnB</w:t>
      </w:r>
      <w:proofErr w:type="spellEnd"/>
      <w:r w:rsidRPr="001B1D36">
        <w:rPr>
          <w:lang w:eastAsia="ja-JP"/>
        </w:rPr>
        <w:t xml:space="preserve"> test strains were performed with sera from essentially all Stage 2 subjects and a subset of sera from Stage 1 subjects (limited serum availability from Stage 1 subjects)</w:t>
      </w:r>
      <w:r w:rsidR="00743EF5" w:rsidRPr="001B1D36">
        <w:rPr>
          <w:lang w:eastAsia="ja-JP"/>
        </w:rPr>
        <w:t>.</w:t>
      </w:r>
    </w:p>
    <w:p w:rsidR="009E75AA" w:rsidRPr="001B1D36" w:rsidRDefault="00743EF5" w:rsidP="009E75AA">
      <w:pPr>
        <w:rPr>
          <w:lang w:eastAsia="ja-JP"/>
        </w:rPr>
      </w:pPr>
      <w:r w:rsidRPr="001B1D36">
        <w:rPr>
          <w:lang w:eastAsia="ja-JP"/>
        </w:rPr>
        <w:t>Phase II studies</w:t>
      </w:r>
      <w:r w:rsidR="00D72802" w:rsidRPr="001B1D36">
        <w:rPr>
          <w:lang w:eastAsia="ja-JP"/>
        </w:rPr>
        <w:t>;</w:t>
      </w:r>
    </w:p>
    <w:p w:rsidR="009E75AA" w:rsidRPr="001B1D36" w:rsidRDefault="00743EF5" w:rsidP="009E75AA">
      <w:pPr>
        <w:pStyle w:val="ListBullet"/>
        <w:rPr>
          <w:lang w:eastAsia="ja-JP"/>
        </w:rPr>
      </w:pPr>
      <w:r w:rsidRPr="001B1D36">
        <w:rPr>
          <w:lang w:eastAsia="ja-JP"/>
        </w:rPr>
        <w:t>Phase II</w:t>
      </w:r>
      <w:r w:rsidR="009E75AA" w:rsidRPr="001B1D36">
        <w:rPr>
          <w:lang w:eastAsia="ja-JP"/>
        </w:rPr>
        <w:t xml:space="preserve"> study evaluating various 2 a</w:t>
      </w:r>
      <w:r w:rsidRPr="001B1D36">
        <w:rPr>
          <w:lang w:eastAsia="ja-JP"/>
        </w:rPr>
        <w:t>nd 3 dose vaccination schedules</w:t>
      </w:r>
    </w:p>
    <w:p w:rsidR="00743EF5" w:rsidRPr="001B1D36" w:rsidRDefault="009E75AA" w:rsidP="001B1D36">
      <w:pPr>
        <w:pStyle w:val="ListBullet2"/>
        <w:rPr>
          <w:lang w:eastAsia="ja-JP"/>
        </w:rPr>
      </w:pPr>
      <w:r w:rsidRPr="001B1D36">
        <w:rPr>
          <w:lang w:eastAsia="ja-JP"/>
        </w:rPr>
        <w:t xml:space="preserve">Study B1971012 was conducted in adolescents 11 to </w:t>
      </w:r>
      <w:r w:rsidR="00032B77" w:rsidRPr="00DD25D7">
        <w:t xml:space="preserve">&lt; </w:t>
      </w:r>
      <w:r w:rsidRPr="001B1D36">
        <w:rPr>
          <w:lang w:eastAsia="ja-JP"/>
        </w:rPr>
        <w:t>19 years of age to assess the immunogenicity and safety of rLP2086 whe</w:t>
      </w:r>
      <w:r w:rsidR="00743EF5" w:rsidRPr="001B1D36">
        <w:rPr>
          <w:lang w:eastAsia="ja-JP"/>
        </w:rPr>
        <w:t xml:space="preserve">n administered in two different 3 </w:t>
      </w:r>
      <w:r w:rsidRPr="001B1D36">
        <w:rPr>
          <w:lang w:eastAsia="ja-JP"/>
        </w:rPr>
        <w:t xml:space="preserve">dose regimens (0, 1, </w:t>
      </w:r>
      <w:r w:rsidR="00743EF5" w:rsidRPr="001B1D36">
        <w:rPr>
          <w:lang w:eastAsia="ja-JP"/>
        </w:rPr>
        <w:t>6 month</w:t>
      </w:r>
      <w:r w:rsidRPr="001B1D36">
        <w:rPr>
          <w:lang w:eastAsia="ja-JP"/>
        </w:rPr>
        <w:t xml:space="preserve"> or 0. 2, </w:t>
      </w:r>
      <w:r w:rsidR="00743EF5" w:rsidRPr="001B1D36">
        <w:rPr>
          <w:lang w:eastAsia="ja-JP"/>
        </w:rPr>
        <w:t xml:space="preserve">6 month schedule) and in three different 2 dose regimens (0, 2 </w:t>
      </w:r>
      <w:r w:rsidRPr="001B1D36">
        <w:rPr>
          <w:lang w:eastAsia="ja-JP"/>
        </w:rPr>
        <w:t xml:space="preserve">month, 0, </w:t>
      </w:r>
      <w:r w:rsidR="00743EF5" w:rsidRPr="001B1D36">
        <w:rPr>
          <w:lang w:eastAsia="ja-JP"/>
        </w:rPr>
        <w:t>4 month</w:t>
      </w:r>
      <w:r w:rsidRPr="001B1D36">
        <w:rPr>
          <w:lang w:eastAsia="ja-JP"/>
        </w:rPr>
        <w:t xml:space="preserve">, or 0, </w:t>
      </w:r>
      <w:r w:rsidR="00743EF5" w:rsidRPr="001B1D36">
        <w:rPr>
          <w:lang w:eastAsia="ja-JP"/>
        </w:rPr>
        <w:t>6 month</w:t>
      </w:r>
      <w:r w:rsidRPr="001B1D36">
        <w:rPr>
          <w:lang w:eastAsia="ja-JP"/>
        </w:rPr>
        <w:t xml:space="preserve"> schedules)</w:t>
      </w:r>
      <w:r w:rsidR="00D72802" w:rsidRPr="001B1D36">
        <w:rPr>
          <w:lang w:eastAsia="ja-JP"/>
        </w:rPr>
        <w:t>.</w:t>
      </w:r>
    </w:p>
    <w:p w:rsidR="009E75AA" w:rsidRPr="001B1D36" w:rsidRDefault="00743EF5" w:rsidP="009E75AA">
      <w:pPr>
        <w:pStyle w:val="ListBullet"/>
        <w:rPr>
          <w:lang w:eastAsia="ja-JP"/>
        </w:rPr>
      </w:pPr>
      <w:r w:rsidRPr="001B1D36">
        <w:rPr>
          <w:lang w:eastAsia="ja-JP"/>
        </w:rPr>
        <w:t>Phase II</w:t>
      </w:r>
      <w:r w:rsidR="00D72802" w:rsidRPr="001B1D36">
        <w:rPr>
          <w:lang w:eastAsia="ja-JP"/>
        </w:rPr>
        <w:t xml:space="preserve"> concomitant vaccine studies</w:t>
      </w:r>
    </w:p>
    <w:p w:rsidR="00743EF5" w:rsidRPr="001B1D36" w:rsidRDefault="009E75AA" w:rsidP="001B1D36">
      <w:pPr>
        <w:pStyle w:val="ListBullet2"/>
        <w:rPr>
          <w:lang w:eastAsia="ja-JP"/>
        </w:rPr>
      </w:pPr>
      <w:r w:rsidRPr="001B1D36">
        <w:rPr>
          <w:lang w:eastAsia="ja-JP"/>
        </w:rPr>
        <w:t>After the final dose level of 120 μg of biv</w:t>
      </w:r>
      <w:r w:rsidR="00D72802" w:rsidRPr="001B1D36">
        <w:rPr>
          <w:lang w:eastAsia="ja-JP"/>
        </w:rPr>
        <w:t xml:space="preserve">alent rLP2086 was established, </w:t>
      </w:r>
      <w:r w:rsidR="00743EF5" w:rsidRPr="001B1D36">
        <w:rPr>
          <w:lang w:eastAsia="ja-JP"/>
        </w:rPr>
        <w:t>Phase II</w:t>
      </w:r>
      <w:r w:rsidRPr="001B1D36">
        <w:rPr>
          <w:lang w:eastAsia="ja-JP"/>
        </w:rPr>
        <w:t xml:space="preserve"> concomitant vaccine ad</w:t>
      </w:r>
      <w:r w:rsidR="00743EF5" w:rsidRPr="001B1D36">
        <w:rPr>
          <w:lang w:eastAsia="ja-JP"/>
        </w:rPr>
        <w:t xml:space="preserve">ministration </w:t>
      </w:r>
      <w:r w:rsidR="00032B77" w:rsidRPr="001B1D36">
        <w:rPr>
          <w:lang w:eastAsia="ja-JP"/>
        </w:rPr>
        <w:t>Stud</w:t>
      </w:r>
      <w:r w:rsidR="00743EF5" w:rsidRPr="001B1D36">
        <w:rPr>
          <w:lang w:eastAsia="ja-JP"/>
        </w:rPr>
        <w:t>ies (B1971010; concomitant with Repevax</w:t>
      </w:r>
      <w:r w:rsidRPr="001B1D36">
        <w:rPr>
          <w:lang w:eastAsia="ja-JP"/>
        </w:rPr>
        <w:t xml:space="preserve">, </w:t>
      </w:r>
      <w:r w:rsidR="00743EF5" w:rsidRPr="00DD25D7">
        <w:lastRenderedPageBreak/>
        <w:t>B1971011; concomitant</w:t>
      </w:r>
      <w:r w:rsidR="00743EF5" w:rsidRPr="001B1D36">
        <w:rPr>
          <w:lang w:eastAsia="ja-JP"/>
        </w:rPr>
        <w:t xml:space="preserve"> with Gardasil</w:t>
      </w:r>
      <w:r w:rsidRPr="001B1D36">
        <w:rPr>
          <w:lang w:eastAsia="ja-JP"/>
        </w:rPr>
        <w:t xml:space="preserve">, and </w:t>
      </w:r>
      <w:r w:rsidRPr="00DD25D7">
        <w:t>B1971</w:t>
      </w:r>
      <w:r w:rsidR="00743EF5" w:rsidRPr="00DD25D7">
        <w:t>015;</w:t>
      </w:r>
      <w:r w:rsidRPr="00DD25D7">
        <w:t xml:space="preserve"> concomitant with </w:t>
      </w:r>
      <w:proofErr w:type="spellStart"/>
      <w:r w:rsidRPr="00DD25D7">
        <w:t>Menactrac</w:t>
      </w:r>
      <w:proofErr w:type="spellEnd"/>
      <w:r w:rsidRPr="00DD25D7">
        <w:t xml:space="preserve"> and </w:t>
      </w:r>
      <w:proofErr w:type="spellStart"/>
      <w:r w:rsidRPr="00DD25D7">
        <w:t>Adacel</w:t>
      </w:r>
      <w:proofErr w:type="spellEnd"/>
      <w:r w:rsidRPr="00DD25D7">
        <w:t>) were initiated in subjects 10 to 18 years of ag</w:t>
      </w:r>
      <w:r w:rsidRPr="001B1D36">
        <w:rPr>
          <w:lang w:eastAsia="ja-JP"/>
        </w:rPr>
        <w:t>e</w:t>
      </w:r>
      <w:r w:rsidR="00A315FB" w:rsidRPr="00DD25D7">
        <w:rPr>
          <w:rStyle w:val="FootnoteReference"/>
        </w:rPr>
        <w:footnoteReference w:id="1"/>
      </w:r>
      <w:r w:rsidR="00743EF5" w:rsidRPr="001B1D36">
        <w:rPr>
          <w:lang w:eastAsia="ja-JP"/>
        </w:rPr>
        <w:t>.</w:t>
      </w:r>
    </w:p>
    <w:p w:rsidR="00743EF5" w:rsidRPr="001B1D36" w:rsidRDefault="00743EF5" w:rsidP="009E75AA">
      <w:pPr>
        <w:pStyle w:val="ListBullet"/>
        <w:rPr>
          <w:lang w:eastAsia="ja-JP"/>
        </w:rPr>
      </w:pPr>
      <w:r w:rsidRPr="001B1D36">
        <w:rPr>
          <w:lang w:eastAsia="ja-JP"/>
        </w:rPr>
        <w:t>Phase II</w:t>
      </w:r>
      <w:r w:rsidR="009E75AA" w:rsidRPr="001B1D36">
        <w:rPr>
          <w:lang w:eastAsia="ja-JP"/>
        </w:rPr>
        <w:t xml:space="preserve"> study in laboratory </w:t>
      </w:r>
      <w:r w:rsidR="009E75AA" w:rsidRPr="00DD25D7">
        <w:t>workers</w:t>
      </w:r>
      <w:r w:rsidR="00032B77" w:rsidRPr="00DD25D7">
        <w:t>,</w:t>
      </w:r>
      <w:r w:rsidRPr="00DD25D7">
        <w:t xml:space="preserve"> </w:t>
      </w:r>
      <w:r w:rsidR="009E75AA" w:rsidRPr="00DD25D7">
        <w:t>Study B1971042</w:t>
      </w:r>
      <w:r w:rsidR="009E75AA" w:rsidRPr="001B1D36">
        <w:rPr>
          <w:lang w:eastAsia="ja-JP"/>
        </w:rPr>
        <w:t xml:space="preserve"> was initiated in laboratory workers 18 to 65 years of age</w:t>
      </w:r>
      <w:r w:rsidRPr="001B1D36">
        <w:rPr>
          <w:lang w:eastAsia="ja-JP"/>
        </w:rPr>
        <w:t>.</w:t>
      </w:r>
    </w:p>
    <w:p w:rsidR="009E75AA" w:rsidRPr="001B1D36" w:rsidRDefault="00743EF5" w:rsidP="009E75AA">
      <w:pPr>
        <w:rPr>
          <w:lang w:eastAsia="ja-JP"/>
        </w:rPr>
      </w:pPr>
      <w:r w:rsidRPr="001B1D36">
        <w:rPr>
          <w:lang w:eastAsia="ja-JP"/>
        </w:rPr>
        <w:t>Phase III</w:t>
      </w:r>
      <w:r w:rsidR="00D72802" w:rsidRPr="001B1D36">
        <w:rPr>
          <w:lang w:eastAsia="ja-JP"/>
        </w:rPr>
        <w:t xml:space="preserve"> studies</w:t>
      </w:r>
    </w:p>
    <w:p w:rsidR="00743EF5" w:rsidRPr="001B1D36" w:rsidRDefault="009E75AA" w:rsidP="009E75AA">
      <w:pPr>
        <w:rPr>
          <w:lang w:eastAsia="ja-JP"/>
        </w:rPr>
      </w:pPr>
      <w:r w:rsidRPr="001B1D36">
        <w:rPr>
          <w:lang w:eastAsia="ja-JP"/>
        </w:rPr>
        <w:t xml:space="preserve">After the safety and immunogenicity of bivalent rLP2086 was established, </w:t>
      </w:r>
      <w:r w:rsidR="00743EF5" w:rsidRPr="001B1D36">
        <w:rPr>
          <w:lang w:eastAsia="ja-JP"/>
        </w:rPr>
        <w:t>three</w:t>
      </w:r>
      <w:r w:rsidRPr="001B1D36">
        <w:rPr>
          <w:lang w:eastAsia="ja-JP"/>
        </w:rPr>
        <w:t xml:space="preserve"> </w:t>
      </w:r>
      <w:r w:rsidR="00743EF5" w:rsidRPr="001B1D36">
        <w:rPr>
          <w:lang w:eastAsia="ja-JP"/>
        </w:rPr>
        <w:t>Phase III</w:t>
      </w:r>
      <w:r w:rsidRPr="001B1D36">
        <w:rPr>
          <w:lang w:eastAsia="ja-JP"/>
        </w:rPr>
        <w:t xml:space="preserve"> studies were conducted: B1971009, a lot consistency immunogenicity and safety study in adolescents 10 to 18 years old; B1971016, an immunogenicity and safety</w:t>
      </w:r>
      <w:r w:rsidR="00743EF5" w:rsidRPr="001B1D36">
        <w:rPr>
          <w:lang w:eastAsia="ja-JP"/>
        </w:rPr>
        <w:t xml:space="preserve"> study in young adults 18 to 25 </w:t>
      </w:r>
      <w:r w:rsidRPr="001B1D36">
        <w:rPr>
          <w:lang w:eastAsia="ja-JP"/>
        </w:rPr>
        <w:t>years old; and B1971014, a large scale safety study in adoles</w:t>
      </w:r>
      <w:r w:rsidR="00743EF5" w:rsidRPr="001B1D36">
        <w:rPr>
          <w:lang w:eastAsia="ja-JP"/>
        </w:rPr>
        <w:t>cents and young adults 10 to 25 </w:t>
      </w:r>
      <w:r w:rsidRPr="001B1D36">
        <w:rPr>
          <w:lang w:eastAsia="ja-JP"/>
        </w:rPr>
        <w:t>years old in which immunogenicity was not evaluated</w:t>
      </w:r>
      <w:r w:rsidR="00743EF5" w:rsidRPr="001B1D36">
        <w:rPr>
          <w:lang w:eastAsia="ja-JP"/>
        </w:rPr>
        <w:t>.</w:t>
      </w:r>
    </w:p>
    <w:p w:rsidR="009E75AA" w:rsidRPr="00DD25D7" w:rsidRDefault="009E75AA" w:rsidP="00025BCE">
      <w:pPr>
        <w:pStyle w:val="Heading3"/>
      </w:pPr>
      <w:bookmarkStart w:id="38" w:name="_Toc464739497"/>
      <w:bookmarkStart w:id="39" w:name="_Toc524443900"/>
      <w:r w:rsidRPr="00DD25D7">
        <w:t>Pivotal or main efficacy studies</w:t>
      </w:r>
      <w:bookmarkEnd w:id="38"/>
      <w:bookmarkEnd w:id="39"/>
    </w:p>
    <w:p w:rsidR="009E75AA" w:rsidRPr="00DD25D7" w:rsidRDefault="009E75AA" w:rsidP="00025BCE">
      <w:pPr>
        <w:pStyle w:val="Heading4"/>
      </w:pPr>
      <w:bookmarkStart w:id="40" w:name="_Ref243301615"/>
      <w:bookmarkStart w:id="41" w:name="_Ref271040927"/>
      <w:bookmarkStart w:id="42" w:name="_Ref271040932"/>
      <w:bookmarkStart w:id="43" w:name="_Toc272414653"/>
      <w:bookmarkStart w:id="44" w:name="_Toc290888501"/>
      <w:bookmarkStart w:id="45" w:name="_Toc416353717"/>
      <w:r w:rsidRPr="00DD25D7">
        <w:t xml:space="preserve">Study </w:t>
      </w:r>
      <w:bookmarkEnd w:id="40"/>
      <w:bookmarkEnd w:id="41"/>
      <w:bookmarkEnd w:id="42"/>
      <w:bookmarkEnd w:id="43"/>
      <w:bookmarkEnd w:id="44"/>
      <w:bookmarkEnd w:id="45"/>
      <w:r w:rsidRPr="00DD25D7">
        <w:t>B1971009</w:t>
      </w:r>
    </w:p>
    <w:p w:rsidR="00743EF5" w:rsidRPr="00DD25D7" w:rsidRDefault="009E75AA" w:rsidP="00743EF5">
      <w:r w:rsidRPr="00DD25D7">
        <w:t xml:space="preserve">Study B1971009 was a </w:t>
      </w:r>
      <w:r w:rsidR="00743EF5" w:rsidRPr="00DD25D7">
        <w:t>Phase III</w:t>
      </w:r>
      <w:r w:rsidRPr="00DD25D7">
        <w:t xml:space="preserve">, </w:t>
      </w:r>
      <w:r w:rsidR="00743EF5" w:rsidRPr="00DD25D7">
        <w:t>random</w:t>
      </w:r>
      <w:r w:rsidR="00292798" w:rsidRPr="00DD25D7">
        <w:t>ise</w:t>
      </w:r>
      <w:r w:rsidR="00743EF5" w:rsidRPr="00DD25D7">
        <w:t>d;</w:t>
      </w:r>
      <w:r w:rsidRPr="00DD25D7">
        <w:t xml:space="preserve"> </w:t>
      </w:r>
      <w:r w:rsidR="00743EF5" w:rsidRPr="00DD25D7">
        <w:t>active controlled</w:t>
      </w:r>
      <w:r w:rsidRPr="00DD25D7">
        <w:t xml:space="preserve">, </w:t>
      </w:r>
      <w:r w:rsidR="00032B77" w:rsidRPr="00DD25D7">
        <w:t>observer blinded</w:t>
      </w:r>
      <w:r w:rsidRPr="00DD25D7">
        <w:t xml:space="preserve">, </w:t>
      </w:r>
      <w:r w:rsidR="00743EF5" w:rsidRPr="00DD25D7">
        <w:t>multicentre</w:t>
      </w:r>
      <w:r w:rsidRPr="00DD25D7">
        <w:t xml:space="preserve"> trial in which subjects aged 10 to </w:t>
      </w:r>
      <w:r w:rsidR="00032B77" w:rsidRPr="00DD25D7">
        <w:t xml:space="preserve">&lt; </w:t>
      </w:r>
      <w:r w:rsidRPr="00DD25D7">
        <w:t xml:space="preserve">19 years received 1 of 3 lots of the bivalent rLP2086 or the active control HAV vaccine /saline. The study assessed the safety, tolerability, immunogenicity, and lot consistency of 3 lots of 120 µg bivalent rLP2086 administered on a 0, 2, and </w:t>
      </w:r>
      <w:r w:rsidR="00743EF5" w:rsidRPr="00DD25D7">
        <w:t>6 month</w:t>
      </w:r>
      <w:r w:rsidRPr="00DD25D7">
        <w:t xml:space="preserve"> schedule</w:t>
      </w:r>
      <w:r w:rsidR="00743EF5" w:rsidRPr="00DD25D7">
        <w:t>.</w:t>
      </w:r>
    </w:p>
    <w:p w:rsidR="009E75AA" w:rsidRPr="00DD25D7" w:rsidRDefault="009E75AA" w:rsidP="00025BCE">
      <w:pPr>
        <w:pStyle w:val="Heading5"/>
      </w:pPr>
      <w:r w:rsidRPr="00DD25D7">
        <w:t>Study design, objectives, locations and dates</w:t>
      </w:r>
    </w:p>
    <w:p w:rsidR="00743EF5" w:rsidRPr="00DD25D7" w:rsidRDefault="009E75AA" w:rsidP="00743EF5">
      <w:r w:rsidRPr="00DD25D7">
        <w:t>This study was conducted at 82 sites in Canada, the United States, Czech Republic, Finland, Germany, Italy, Poland, and the United Kingdom. It wa</w:t>
      </w:r>
      <w:r w:rsidR="00743EF5" w:rsidRPr="00DD25D7">
        <w:t xml:space="preserve">s conducted between </w:t>
      </w:r>
      <w:proofErr w:type="gramStart"/>
      <w:r w:rsidR="00743EF5" w:rsidRPr="00DD25D7">
        <w:t>April</w:t>
      </w:r>
      <w:proofErr w:type="gramEnd"/>
      <w:r w:rsidR="00743EF5" w:rsidRPr="00DD25D7">
        <w:t xml:space="preserve"> 2013-</w:t>
      </w:r>
      <w:r w:rsidRPr="00DD25D7">
        <w:t>2015. Subjects were randomly assigned to receive 1 of 3 lots of bivalent rLP2086 or the active control/saline. Subjects had vaccination visits at Months 0, 2, and 6 and blood draw visits at Months 0, 3, and 7</w:t>
      </w:r>
      <w:r w:rsidR="00743EF5" w:rsidRPr="00DD25D7">
        <w:t>.</w:t>
      </w:r>
    </w:p>
    <w:p w:rsidR="00743EF5" w:rsidRPr="00DD25D7" w:rsidRDefault="009E75AA" w:rsidP="00025BCE">
      <w:r w:rsidRPr="00DD25D7">
        <w:t>The primary objective was to assess the immune response as measured by serum bactericidal assay using human complement (</w:t>
      </w:r>
      <w:proofErr w:type="spellStart"/>
      <w:r w:rsidRPr="00DD25D7">
        <w:t>hSBA</w:t>
      </w:r>
      <w:proofErr w:type="spellEnd"/>
      <w:r w:rsidRPr="00DD25D7">
        <w:t xml:space="preserve">) performed with 4 primary </w:t>
      </w:r>
      <w:r w:rsidRPr="001B1D36">
        <w:rPr>
          <w:i/>
        </w:rPr>
        <w:t>N meningitidis</w:t>
      </w:r>
      <w:r w:rsidR="00743EF5" w:rsidRPr="001B1D36">
        <w:t xml:space="preserve"> </w:t>
      </w:r>
      <w:r w:rsidRPr="001B1D36">
        <w:t xml:space="preserve">serogroup B </w:t>
      </w:r>
      <w:r w:rsidRPr="00DD25D7">
        <w:t>(</w:t>
      </w:r>
      <w:proofErr w:type="spellStart"/>
      <w:r w:rsidRPr="00DD25D7">
        <w:t>MnB</w:t>
      </w:r>
      <w:proofErr w:type="spellEnd"/>
      <w:r w:rsidRPr="00DD25D7">
        <w:t xml:space="preserve">) test strains, 2 expressing an LP2086 subfamily A protein and 2 expressing an LP2086 subfamily B protein, measured 1 month after the third vaccination with bivalent rLP2086. The co-primary objective was to demonstrate that the immune responses induced by 3 lots of bivalent rLP2086 are equivalent as measured by </w:t>
      </w:r>
      <w:proofErr w:type="spellStart"/>
      <w:r w:rsidRPr="00DD25D7">
        <w:t>hSBA</w:t>
      </w:r>
      <w:proofErr w:type="spellEnd"/>
      <w:r w:rsidRPr="00DD25D7">
        <w:t xml:space="preserve"> performed with 2 primary </w:t>
      </w:r>
      <w:proofErr w:type="spellStart"/>
      <w:r w:rsidRPr="00DD25D7">
        <w:t>MnB</w:t>
      </w:r>
      <w:proofErr w:type="spellEnd"/>
      <w:r w:rsidRPr="00DD25D7">
        <w:t xml:space="preserve"> test strains, 1 expressing an LP2086 subfamily </w:t>
      </w:r>
      <w:proofErr w:type="gramStart"/>
      <w:r w:rsidRPr="00DD25D7">
        <w:t>A</w:t>
      </w:r>
      <w:proofErr w:type="gramEnd"/>
      <w:r w:rsidRPr="00DD25D7">
        <w:t xml:space="preserve"> protein and 1 expressing an LP2086 subfamily B protein, 1 month after the third vaccination with bivalent rLP2086. The primary safety objective was to evaluate the safety profile of bivalent rLP2086 compared to a control (hepatitis A virus </w:t>
      </w:r>
      <w:r w:rsidR="00DD25D7" w:rsidRPr="00DD25D7">
        <w:t>(</w:t>
      </w:r>
      <w:r w:rsidRPr="00DD25D7">
        <w:t>HAV</w:t>
      </w:r>
      <w:r w:rsidR="00DD25D7" w:rsidRPr="00DD25D7">
        <w:t>)</w:t>
      </w:r>
      <w:r w:rsidRPr="00DD25D7">
        <w:t xml:space="preserve"> vaccine/saline), as measured by local reactions, systemic events, adverse events (AEs), serious adverse events (SAEs), newly diagnosed chronic medical conditions (NDCMCs), medically attended AEs (MAEs), and immediate AEs</w:t>
      </w:r>
      <w:r w:rsidR="00743EF5" w:rsidRPr="00DD25D7">
        <w:t>.</w:t>
      </w:r>
    </w:p>
    <w:p w:rsidR="009E75AA" w:rsidRPr="00DD25D7" w:rsidRDefault="009E75AA" w:rsidP="00025BCE">
      <w:pPr>
        <w:pStyle w:val="Heading5"/>
      </w:pPr>
      <w:r w:rsidRPr="00DD25D7">
        <w:t>Inclusion and exclusion criteria</w:t>
      </w:r>
    </w:p>
    <w:p w:rsidR="00743EF5" w:rsidRPr="001B1D36" w:rsidRDefault="00743EF5" w:rsidP="00743EF5">
      <w:pPr>
        <w:pStyle w:val="Heading6"/>
        <w:rPr>
          <w:lang w:val="en-US" w:eastAsia="ja-JP"/>
        </w:rPr>
      </w:pPr>
      <w:r w:rsidRPr="001B1D36">
        <w:rPr>
          <w:lang w:val="en-US" w:eastAsia="ja-JP"/>
        </w:rPr>
        <w:t xml:space="preserve">Inclusion </w:t>
      </w:r>
      <w:r w:rsidR="009D786E">
        <w:rPr>
          <w:lang w:val="en-US" w:eastAsia="ja-JP"/>
        </w:rPr>
        <w:t>c</w:t>
      </w:r>
      <w:r w:rsidRPr="001B1D36">
        <w:rPr>
          <w:lang w:val="en-US" w:eastAsia="ja-JP"/>
        </w:rPr>
        <w:t>riteria</w:t>
      </w:r>
    </w:p>
    <w:p w:rsidR="00743EF5" w:rsidRPr="001B1D36" w:rsidRDefault="009E75AA" w:rsidP="00025BCE">
      <w:pPr>
        <w:rPr>
          <w:lang w:val="en-US" w:eastAsia="ja-JP"/>
        </w:rPr>
      </w:pPr>
      <w:r w:rsidRPr="001B1D36">
        <w:rPr>
          <w:lang w:val="en-US" w:eastAsia="ja-JP"/>
        </w:rPr>
        <w:t>Subjects were eligible to participate in the study if they met all of the following inclusion criteria</w:t>
      </w:r>
      <w:r w:rsidR="00743EF5" w:rsidRPr="001B1D36">
        <w:rPr>
          <w:lang w:val="en-US" w:eastAsia="ja-JP"/>
        </w:rPr>
        <w:t>:</w:t>
      </w:r>
    </w:p>
    <w:p w:rsidR="00743EF5" w:rsidRPr="00DD25D7" w:rsidRDefault="009E75AA" w:rsidP="00025BCE">
      <w:pPr>
        <w:pStyle w:val="ListBullet"/>
      </w:pPr>
      <w:r w:rsidRPr="00DD25D7">
        <w:t>Evidence of a personally signed and dated Informed Consent Document. Parent/legally author</w:t>
      </w:r>
      <w:r w:rsidR="00292798" w:rsidRPr="00DD25D7">
        <w:t>ise</w:t>
      </w:r>
      <w:r w:rsidRPr="00DD25D7">
        <w:t>d representative and/or subjects who were willing and able to comply with scheduled visits, laboratory tests, and other study procedures</w:t>
      </w:r>
      <w:r w:rsidR="00743EF5" w:rsidRPr="00DD25D7">
        <w:t>.</w:t>
      </w:r>
    </w:p>
    <w:p w:rsidR="00743EF5" w:rsidRPr="00DD25D7" w:rsidRDefault="009E75AA" w:rsidP="00025BCE">
      <w:pPr>
        <w:pStyle w:val="ListBullet"/>
      </w:pPr>
      <w:r w:rsidRPr="00DD25D7">
        <w:t xml:space="preserve">Male or female subject aged </w:t>
      </w:r>
      <w:r w:rsidR="00743EF5" w:rsidRPr="00DD25D7">
        <w:t xml:space="preserve">≥ </w:t>
      </w:r>
      <w:r w:rsidRPr="00DD25D7">
        <w:t xml:space="preserve">10 and </w:t>
      </w:r>
      <w:r w:rsidR="00032B77" w:rsidRPr="00DD25D7">
        <w:t xml:space="preserve">&lt; </w:t>
      </w:r>
      <w:r w:rsidRPr="00DD25D7">
        <w:t>19 years at the time of enrolment</w:t>
      </w:r>
      <w:r w:rsidR="00743EF5" w:rsidRPr="00DD25D7">
        <w:t>.</w:t>
      </w:r>
    </w:p>
    <w:p w:rsidR="00743EF5" w:rsidRPr="00DD25D7" w:rsidRDefault="009E75AA" w:rsidP="00025BCE">
      <w:pPr>
        <w:pStyle w:val="ListBullet"/>
      </w:pPr>
      <w:r w:rsidRPr="00DD25D7">
        <w:lastRenderedPageBreak/>
        <w:t>Available for the entire study period and could be reached by telephone</w:t>
      </w:r>
      <w:r w:rsidR="00743EF5" w:rsidRPr="00DD25D7">
        <w:t>.</w:t>
      </w:r>
    </w:p>
    <w:p w:rsidR="00743EF5" w:rsidRPr="00DD25D7" w:rsidRDefault="009E75AA" w:rsidP="00025BCE">
      <w:pPr>
        <w:pStyle w:val="ListBullet"/>
      </w:pPr>
      <w:r w:rsidRPr="00DD25D7">
        <w:t>Healthy subject as determined by medical history, physical examination, and judgment of the investigator</w:t>
      </w:r>
      <w:r w:rsidR="00743EF5" w:rsidRPr="00DD25D7">
        <w:t>.</w:t>
      </w:r>
    </w:p>
    <w:p w:rsidR="009E75AA" w:rsidRPr="00DD25D7" w:rsidRDefault="009E75AA" w:rsidP="00025BCE">
      <w:pPr>
        <w:pStyle w:val="ListBullet"/>
      </w:pPr>
      <w:r w:rsidRPr="00DD25D7">
        <w:t>Male and female subjects of childbearing potential must have agreed to use a highly effective method of contraception throughout the study.</w:t>
      </w:r>
    </w:p>
    <w:p w:rsidR="00743EF5" w:rsidRPr="00DD25D7" w:rsidRDefault="009E75AA" w:rsidP="00025BCE">
      <w:pPr>
        <w:pStyle w:val="ListBullet"/>
      </w:pPr>
      <w:r w:rsidRPr="00DD25D7">
        <w:t>Negative urine pregnancy test for all female subjects</w:t>
      </w:r>
      <w:r w:rsidR="00743EF5" w:rsidRPr="00DD25D7">
        <w:t>.</w:t>
      </w:r>
    </w:p>
    <w:p w:rsidR="00743EF5" w:rsidRPr="00DD25D7" w:rsidRDefault="00743EF5" w:rsidP="00743EF5">
      <w:pPr>
        <w:pStyle w:val="Heading6"/>
      </w:pPr>
      <w:r w:rsidRPr="00DD25D7">
        <w:t>Exclusion Criteria</w:t>
      </w:r>
    </w:p>
    <w:p w:rsidR="00743EF5" w:rsidRPr="00DD25D7" w:rsidRDefault="009E75AA" w:rsidP="00025BCE">
      <w:r w:rsidRPr="00DD25D7">
        <w:t>Subjects presenting with any of the following were not to be included in the study</w:t>
      </w:r>
      <w:r w:rsidR="00743EF5" w:rsidRPr="00DD25D7">
        <w:t>:</w:t>
      </w:r>
    </w:p>
    <w:p w:rsidR="00743EF5" w:rsidRPr="001B1D36" w:rsidRDefault="009E75AA" w:rsidP="00025BCE">
      <w:pPr>
        <w:pStyle w:val="ListBullet"/>
        <w:rPr>
          <w:lang w:eastAsia="ja-JP"/>
        </w:rPr>
      </w:pPr>
      <w:r w:rsidRPr="001B1D36">
        <w:rPr>
          <w:lang w:eastAsia="ja-JP"/>
        </w:rPr>
        <w:t>Previous vaccination with any meningococcal serogroup B vaccine</w:t>
      </w:r>
      <w:r w:rsidR="00743EF5" w:rsidRPr="001B1D36">
        <w:rPr>
          <w:lang w:eastAsia="ja-JP"/>
        </w:rPr>
        <w:t>.</w:t>
      </w:r>
    </w:p>
    <w:p w:rsidR="00743EF5" w:rsidRPr="001B1D36" w:rsidRDefault="009E75AA" w:rsidP="00025BCE">
      <w:pPr>
        <w:pStyle w:val="ListBullet"/>
        <w:rPr>
          <w:lang w:eastAsia="ja-JP"/>
        </w:rPr>
      </w:pPr>
      <w:r w:rsidRPr="001B1D36">
        <w:rPr>
          <w:lang w:eastAsia="ja-JP"/>
        </w:rPr>
        <w:t xml:space="preserve">A previous anaphylactic reaction to any vaccine or </w:t>
      </w:r>
      <w:r w:rsidR="00743EF5" w:rsidRPr="001B1D36">
        <w:rPr>
          <w:lang w:eastAsia="ja-JP"/>
        </w:rPr>
        <w:t>vaccine related</w:t>
      </w:r>
      <w:r w:rsidRPr="001B1D36">
        <w:rPr>
          <w:lang w:eastAsia="ja-JP"/>
        </w:rPr>
        <w:t xml:space="preserve"> component</w:t>
      </w:r>
      <w:r w:rsidR="00743EF5" w:rsidRPr="001B1D36">
        <w:rPr>
          <w:lang w:eastAsia="ja-JP"/>
        </w:rPr>
        <w:t>.</w:t>
      </w:r>
    </w:p>
    <w:p w:rsidR="00743EF5" w:rsidRPr="001B1D36" w:rsidRDefault="009E75AA" w:rsidP="00025BCE">
      <w:pPr>
        <w:pStyle w:val="ListBullet"/>
        <w:rPr>
          <w:lang w:eastAsia="ja-JP"/>
        </w:rPr>
      </w:pPr>
      <w:r w:rsidRPr="001B1D36">
        <w:rPr>
          <w:lang w:eastAsia="ja-JP"/>
        </w:rPr>
        <w:t>Subjects who had received prior HAV vaccination</w:t>
      </w:r>
      <w:r w:rsidR="00743EF5" w:rsidRPr="001B1D36">
        <w:rPr>
          <w:lang w:eastAsia="ja-JP"/>
        </w:rPr>
        <w:t>.</w:t>
      </w:r>
    </w:p>
    <w:p w:rsidR="00743EF5" w:rsidRPr="001B1D36" w:rsidRDefault="009E75AA" w:rsidP="00025BCE">
      <w:pPr>
        <w:pStyle w:val="ListBullet"/>
        <w:rPr>
          <w:lang w:eastAsia="ja-JP"/>
        </w:rPr>
      </w:pPr>
      <w:r w:rsidRPr="001B1D36">
        <w:rPr>
          <w:lang w:eastAsia="ja-JP"/>
        </w:rPr>
        <w:t>Contraindication to vaccination with any HAV vaccine</w:t>
      </w:r>
      <w:r w:rsidR="00743EF5" w:rsidRPr="001B1D36">
        <w:rPr>
          <w:lang w:eastAsia="ja-JP"/>
        </w:rPr>
        <w:t>.</w:t>
      </w:r>
    </w:p>
    <w:p w:rsidR="00743EF5" w:rsidRPr="001B1D36" w:rsidRDefault="009E75AA" w:rsidP="00025BCE">
      <w:pPr>
        <w:pStyle w:val="ListBullet"/>
        <w:rPr>
          <w:lang w:eastAsia="ja-JP"/>
        </w:rPr>
      </w:pPr>
      <w:r w:rsidRPr="001B1D36">
        <w:rPr>
          <w:lang w:eastAsia="ja-JP"/>
        </w:rPr>
        <w:t xml:space="preserve">Subjects who were scheduled to receive 1 or more doses of a human papillomavirus (HPV) vaccine as part of a </w:t>
      </w:r>
      <w:r w:rsidR="00743EF5" w:rsidRPr="001B1D36">
        <w:rPr>
          <w:lang w:eastAsia="ja-JP"/>
        </w:rPr>
        <w:t xml:space="preserve">3 dose </w:t>
      </w:r>
      <w:r w:rsidRPr="001B1D36">
        <w:rPr>
          <w:lang w:eastAsia="ja-JP"/>
        </w:rPr>
        <w:t>series during the period between Visit 1 and 28 days after the second vaccination</w:t>
      </w:r>
      <w:r w:rsidR="00743EF5" w:rsidRPr="001B1D36">
        <w:rPr>
          <w:lang w:eastAsia="ja-JP"/>
        </w:rPr>
        <w:t>.</w:t>
      </w:r>
    </w:p>
    <w:p w:rsidR="00743EF5" w:rsidRPr="001B1D36" w:rsidRDefault="009E75AA" w:rsidP="00025BCE">
      <w:pPr>
        <w:pStyle w:val="ListBullet"/>
        <w:rPr>
          <w:lang w:eastAsia="ja-JP"/>
        </w:rPr>
      </w:pPr>
      <w:r w:rsidRPr="001B1D36">
        <w:rPr>
          <w:lang w:eastAsia="ja-JP"/>
        </w:rPr>
        <w:t>Subjects who were receiving any allergen immunotherapy with a non</w:t>
      </w:r>
      <w:r w:rsidR="00D72802" w:rsidRPr="001B1D36">
        <w:rPr>
          <w:lang w:eastAsia="ja-JP"/>
        </w:rPr>
        <w:t xml:space="preserve"> </w:t>
      </w:r>
      <w:r w:rsidRPr="001B1D36">
        <w:rPr>
          <w:lang w:eastAsia="ja-JP"/>
        </w:rPr>
        <w:t>licensed product or receiving allergen immunotherapy with a licensed product and were not on stable maintenance doses</w:t>
      </w:r>
      <w:r w:rsidR="00743EF5" w:rsidRPr="001B1D36">
        <w:rPr>
          <w:lang w:eastAsia="ja-JP"/>
        </w:rPr>
        <w:t>.</w:t>
      </w:r>
    </w:p>
    <w:p w:rsidR="00743EF5" w:rsidRPr="001B1D36" w:rsidRDefault="009E75AA" w:rsidP="00025BCE">
      <w:pPr>
        <w:pStyle w:val="ListBullet"/>
        <w:rPr>
          <w:lang w:eastAsia="ja-JP"/>
        </w:rPr>
      </w:pPr>
      <w:r w:rsidRPr="001B1D36">
        <w:rPr>
          <w:lang w:eastAsia="ja-JP"/>
        </w:rPr>
        <w:t>Bleeding diathesis or condition associated with prolonged bleeding time that would contraindicate intramuscular injection</w:t>
      </w:r>
      <w:r w:rsidR="00743EF5" w:rsidRPr="001B1D36">
        <w:rPr>
          <w:lang w:eastAsia="ja-JP"/>
        </w:rPr>
        <w:t>.</w:t>
      </w:r>
    </w:p>
    <w:p w:rsidR="009E75AA" w:rsidRPr="001B1D36" w:rsidRDefault="009E75AA" w:rsidP="00025BCE">
      <w:pPr>
        <w:pStyle w:val="ListBullet"/>
        <w:rPr>
          <w:lang w:eastAsia="ja-JP"/>
        </w:rPr>
      </w:pPr>
      <w:r w:rsidRPr="001B1D36">
        <w:rPr>
          <w:lang w:eastAsia="ja-JP"/>
        </w:rPr>
        <w:t>A known or suspected defect of the immune system that would prevent an immune response to the vaccine, such as subjects with congenital or acquired defects in B cell function, those receiving chronic systemic (oral, intravenous, or intramuscular) corticosteroid therapy, or those receiving immunosuppressive therapy. Subjects in the US with terminal complement deficiency were excluded from participation in this study.</w:t>
      </w:r>
    </w:p>
    <w:p w:rsidR="00743EF5" w:rsidRPr="001B1D36" w:rsidRDefault="009E75AA" w:rsidP="00025BCE">
      <w:pPr>
        <w:pStyle w:val="ListBullet"/>
        <w:rPr>
          <w:lang w:eastAsia="ja-JP"/>
        </w:rPr>
      </w:pPr>
      <w:r w:rsidRPr="001B1D36">
        <w:rPr>
          <w:lang w:eastAsia="ja-JP"/>
        </w:rPr>
        <w:t>History of microbiologically proven disease caused by N meningitidis</w:t>
      </w:r>
      <w:r w:rsidR="00743EF5" w:rsidRPr="001B1D36">
        <w:rPr>
          <w:lang w:eastAsia="ja-JP"/>
        </w:rPr>
        <w:t xml:space="preserve"> </w:t>
      </w:r>
      <w:r w:rsidRPr="001B1D36">
        <w:rPr>
          <w:lang w:eastAsia="ja-JP"/>
        </w:rPr>
        <w:t>or Neisseria gonorrhoeae</w:t>
      </w:r>
      <w:r w:rsidR="00743EF5" w:rsidRPr="001B1D36">
        <w:rPr>
          <w:lang w:eastAsia="ja-JP"/>
        </w:rPr>
        <w:t>.</w:t>
      </w:r>
    </w:p>
    <w:p w:rsidR="00743EF5" w:rsidRPr="001B1D36" w:rsidRDefault="009E75AA" w:rsidP="00025BCE">
      <w:pPr>
        <w:pStyle w:val="ListBullet"/>
        <w:rPr>
          <w:lang w:eastAsia="ja-JP"/>
        </w:rPr>
      </w:pPr>
      <w:r w:rsidRPr="001B1D36">
        <w:rPr>
          <w:lang w:eastAsia="ja-JP"/>
        </w:rPr>
        <w:t>Significant neurological disorder or history of seizure (excluding simple febrile seizure)</w:t>
      </w:r>
      <w:r w:rsidR="00743EF5" w:rsidRPr="001B1D36">
        <w:rPr>
          <w:lang w:eastAsia="ja-JP"/>
        </w:rPr>
        <w:t>.</w:t>
      </w:r>
    </w:p>
    <w:p w:rsidR="00743EF5" w:rsidRPr="001B1D36" w:rsidRDefault="009E75AA" w:rsidP="00025BCE">
      <w:pPr>
        <w:pStyle w:val="ListBullet"/>
        <w:rPr>
          <w:lang w:eastAsia="ja-JP"/>
        </w:rPr>
      </w:pPr>
      <w:r w:rsidRPr="001B1D36">
        <w:rPr>
          <w:lang w:eastAsia="ja-JP"/>
        </w:rPr>
        <w:t>Receipt of any blood products, including immunoglobulin within 6 months before the first study vaccination</w:t>
      </w:r>
      <w:r w:rsidR="00743EF5" w:rsidRPr="001B1D36">
        <w:rPr>
          <w:lang w:eastAsia="ja-JP"/>
        </w:rPr>
        <w:t>.</w:t>
      </w:r>
    </w:p>
    <w:p w:rsidR="00743EF5" w:rsidRPr="001B1D36" w:rsidRDefault="009E75AA" w:rsidP="00025BCE">
      <w:pPr>
        <w:pStyle w:val="ListBullet"/>
        <w:rPr>
          <w:lang w:eastAsia="ja-JP"/>
        </w:rPr>
      </w:pPr>
      <w:r w:rsidRPr="001B1D36">
        <w:rPr>
          <w:lang w:eastAsia="ja-JP"/>
        </w:rPr>
        <w:t>Current chronic use of systemic antibiotics</w:t>
      </w:r>
      <w:r w:rsidR="00743EF5" w:rsidRPr="001B1D36">
        <w:rPr>
          <w:lang w:eastAsia="ja-JP"/>
        </w:rPr>
        <w:t>.</w:t>
      </w:r>
    </w:p>
    <w:p w:rsidR="00743EF5" w:rsidRPr="001B1D36" w:rsidRDefault="009E75AA" w:rsidP="00025BCE">
      <w:pPr>
        <w:pStyle w:val="ListBullet"/>
        <w:rPr>
          <w:lang w:eastAsia="ja-JP"/>
        </w:rPr>
      </w:pPr>
      <w:r w:rsidRPr="001B1D36">
        <w:rPr>
          <w:lang w:eastAsia="ja-JP"/>
        </w:rPr>
        <w:t>Current participation in another investigational study. Participation in purely observational studies was acceptable</w:t>
      </w:r>
      <w:r w:rsidR="00743EF5" w:rsidRPr="001B1D36">
        <w:rPr>
          <w:lang w:eastAsia="ja-JP"/>
        </w:rPr>
        <w:t>.</w:t>
      </w:r>
    </w:p>
    <w:p w:rsidR="00743EF5" w:rsidRPr="001B1D36" w:rsidRDefault="009E75AA" w:rsidP="00025BCE">
      <w:pPr>
        <w:pStyle w:val="ListBullet"/>
        <w:rPr>
          <w:lang w:eastAsia="ja-JP"/>
        </w:rPr>
      </w:pPr>
      <w:r w:rsidRPr="001B1D36">
        <w:rPr>
          <w:lang w:eastAsia="ja-JP"/>
        </w:rPr>
        <w:t>Received any investigational vaccines, drugs, or devices within 28 days before administration of the first study vaccination</w:t>
      </w:r>
      <w:r w:rsidR="00743EF5" w:rsidRPr="001B1D36">
        <w:rPr>
          <w:lang w:eastAsia="ja-JP"/>
        </w:rPr>
        <w:t>.</w:t>
      </w:r>
    </w:p>
    <w:p w:rsidR="00743EF5" w:rsidRPr="001B1D36" w:rsidRDefault="009E75AA" w:rsidP="00025BCE">
      <w:pPr>
        <w:pStyle w:val="ListBullet"/>
        <w:rPr>
          <w:lang w:eastAsia="ja-JP"/>
        </w:rPr>
      </w:pPr>
      <w:r w:rsidRPr="001B1D36">
        <w:rPr>
          <w:lang w:eastAsia="ja-JP"/>
        </w:rPr>
        <w:t>Any neuroinflammatory or autoimmune condition, including, but not limited to, transverse myelitis, uveitis, optic neuritis, and multiple sclerosis</w:t>
      </w:r>
      <w:r w:rsidR="00743EF5" w:rsidRPr="001B1D36">
        <w:rPr>
          <w:lang w:eastAsia="ja-JP"/>
        </w:rPr>
        <w:t>.</w:t>
      </w:r>
    </w:p>
    <w:p w:rsidR="00743EF5" w:rsidRPr="001B1D36" w:rsidRDefault="009E75AA" w:rsidP="00025BCE">
      <w:pPr>
        <w:pStyle w:val="ListBullet"/>
        <w:rPr>
          <w:lang w:eastAsia="ja-JP"/>
        </w:rPr>
      </w:pPr>
      <w:r w:rsidRPr="001B1D36">
        <w:rPr>
          <w:lang w:eastAsia="ja-JP"/>
        </w:rPr>
        <w:t>Other severe acute or chronic medical or psychiatric condition or laboratory abnormality that may increase the risk associated with study participation or investigational product administration or may interfere with the interpretation of study results and, in the judgment of the investigator, would have made the subject inappropriate for entry into this study</w:t>
      </w:r>
      <w:r w:rsidR="00743EF5" w:rsidRPr="001B1D36">
        <w:rPr>
          <w:lang w:eastAsia="ja-JP"/>
        </w:rPr>
        <w:t>.</w:t>
      </w:r>
    </w:p>
    <w:p w:rsidR="00743EF5" w:rsidRPr="001B1D36" w:rsidRDefault="009E75AA" w:rsidP="00025BCE">
      <w:pPr>
        <w:pStyle w:val="ListBullet"/>
        <w:rPr>
          <w:lang w:eastAsia="ja-JP"/>
        </w:rPr>
      </w:pPr>
      <w:r w:rsidRPr="001B1D36">
        <w:rPr>
          <w:lang w:eastAsia="ja-JP"/>
        </w:rPr>
        <w:lastRenderedPageBreak/>
        <w:t xml:space="preserve">Subjects who were investigational site staff members or relatives of those site staff members, or subjects who were </w:t>
      </w:r>
      <w:r w:rsidR="00DD25D7">
        <w:rPr>
          <w:lang w:eastAsia="ja-JP"/>
        </w:rPr>
        <w:t>sponsor</w:t>
      </w:r>
      <w:r w:rsidRPr="001B1D36">
        <w:rPr>
          <w:lang w:eastAsia="ja-JP"/>
        </w:rPr>
        <w:t xml:space="preserve"> employees directly involved in the conduct of the trial</w:t>
      </w:r>
      <w:r w:rsidR="00743EF5" w:rsidRPr="001B1D36">
        <w:rPr>
          <w:lang w:eastAsia="ja-JP"/>
        </w:rPr>
        <w:t>.</w:t>
      </w:r>
    </w:p>
    <w:p w:rsidR="00743EF5" w:rsidRPr="001B1D36" w:rsidRDefault="009E75AA" w:rsidP="00025BCE">
      <w:pPr>
        <w:pStyle w:val="ListBullet"/>
        <w:rPr>
          <w:lang w:eastAsia="ja-JP"/>
        </w:rPr>
      </w:pPr>
      <w:r w:rsidRPr="001B1D36">
        <w:rPr>
          <w:lang w:eastAsia="ja-JP"/>
        </w:rPr>
        <w:t>Subject was pregnant or breastfeeding</w:t>
      </w:r>
      <w:r w:rsidR="00743EF5" w:rsidRPr="001B1D36">
        <w:rPr>
          <w:lang w:eastAsia="ja-JP"/>
        </w:rPr>
        <w:t>.</w:t>
      </w:r>
    </w:p>
    <w:p w:rsidR="009E75AA" w:rsidRPr="00DD25D7" w:rsidRDefault="009E75AA" w:rsidP="00025BCE">
      <w:pPr>
        <w:pStyle w:val="Heading5"/>
      </w:pPr>
      <w:r w:rsidRPr="00DD25D7">
        <w:t>Study treatments</w:t>
      </w:r>
    </w:p>
    <w:p w:rsidR="00743EF5" w:rsidRPr="001B1D36" w:rsidRDefault="009E75AA" w:rsidP="00025BCE">
      <w:r w:rsidRPr="001B1D36">
        <w:t>Vaccines Administered: Subjects in Groups 1, 2, and 3 received 1 dose (0.5 mL) of bivalent rLP2086 (Lots 1, 2, or 3, respectively) at each of the 3 vaccination visits (Visits 1, 2, and 4); subjects in Group 4 received 1 dose (0.5 mL or 1.0 mL, depending on country-specific guidelines) of HAV vaccine at Visit 1, 1 dose (0.5 mL) of saline at Visit 2, and 1 dose (0.5 mL or 1.0 mL, depending on country-specific guidelines) of HAV vaccine at Visit 4, according to the study design</w:t>
      </w:r>
      <w:r w:rsidR="00743EF5" w:rsidRPr="001B1D36">
        <w:t>.</w:t>
      </w:r>
    </w:p>
    <w:p w:rsidR="00743EF5" w:rsidRPr="001B1D36" w:rsidRDefault="009E75AA" w:rsidP="00025BCE">
      <w:r w:rsidRPr="001B1D36">
        <w:t>Investigational product was administered by intramuscular injection into the upper deltoid muscle of the arm</w:t>
      </w:r>
      <w:r w:rsidR="00743EF5" w:rsidRPr="001B1D36">
        <w:t>.</w:t>
      </w:r>
    </w:p>
    <w:p w:rsidR="009E75AA" w:rsidRPr="00DD25D7" w:rsidRDefault="004C4BD0" w:rsidP="00025BCE">
      <w:pPr>
        <w:pStyle w:val="Heading5"/>
      </w:pPr>
      <w:r w:rsidRPr="00DD25D7">
        <w:t>Immunogenicity</w:t>
      </w:r>
      <w:r w:rsidR="009E75AA" w:rsidRPr="00DD25D7">
        <w:t xml:space="preserve"> variables and outcomes</w:t>
      </w:r>
    </w:p>
    <w:p w:rsidR="00743EF5" w:rsidRPr="001B1D36" w:rsidRDefault="009E75AA" w:rsidP="00025BCE">
      <w:r w:rsidRPr="001B1D36">
        <w:t xml:space="preserve">The first primary objective of this study was to assess the immune response as measured by </w:t>
      </w:r>
      <w:proofErr w:type="spellStart"/>
      <w:r w:rsidRPr="001B1D36">
        <w:t>hSBA</w:t>
      </w:r>
      <w:proofErr w:type="spellEnd"/>
      <w:r w:rsidRPr="001B1D36">
        <w:t xml:space="preserve"> performed with 4 primary </w:t>
      </w:r>
      <w:proofErr w:type="spellStart"/>
      <w:r w:rsidRPr="001B1D36">
        <w:t>MnB</w:t>
      </w:r>
      <w:proofErr w:type="spellEnd"/>
      <w:r w:rsidRPr="001B1D36">
        <w:t xml:space="preserve"> test strains, 2 expressing a LP2086 subfamily A protein (PMB80 </w:t>
      </w:r>
      <w:r w:rsidR="00DD25D7" w:rsidRPr="001B1D36">
        <w:t>(</w:t>
      </w:r>
      <w:r w:rsidRPr="001B1D36">
        <w:t>A22</w:t>
      </w:r>
      <w:r w:rsidR="00DD25D7" w:rsidRPr="001B1D36">
        <w:t>)</w:t>
      </w:r>
      <w:r w:rsidRPr="001B1D36">
        <w:t xml:space="preserve"> and PMB2001 </w:t>
      </w:r>
      <w:r w:rsidR="00DD25D7" w:rsidRPr="001B1D36">
        <w:t>(</w:t>
      </w:r>
      <w:r w:rsidRPr="001B1D36">
        <w:t>A56</w:t>
      </w:r>
      <w:r w:rsidR="00DD25D7" w:rsidRPr="001B1D36">
        <w:t>)</w:t>
      </w:r>
      <w:r w:rsidRPr="001B1D36">
        <w:t xml:space="preserve">) and 2 expressing a LP2086 subfamily B protein (PMB2948 </w:t>
      </w:r>
      <w:r w:rsidR="00DD25D7" w:rsidRPr="001B1D36">
        <w:t>(</w:t>
      </w:r>
      <w:r w:rsidRPr="001B1D36">
        <w:t>B24</w:t>
      </w:r>
      <w:r w:rsidR="00DD25D7" w:rsidRPr="001B1D36">
        <w:t>)</w:t>
      </w:r>
      <w:r w:rsidRPr="001B1D36">
        <w:t xml:space="preserve"> and PMB2707 </w:t>
      </w:r>
      <w:r w:rsidR="00DD25D7" w:rsidRPr="001B1D36">
        <w:t>(</w:t>
      </w:r>
      <w:r w:rsidRPr="001B1D36">
        <w:t>B44</w:t>
      </w:r>
      <w:r w:rsidR="00DD25D7" w:rsidRPr="001B1D36">
        <w:t>)</w:t>
      </w:r>
      <w:r w:rsidRPr="001B1D36">
        <w:t xml:space="preserve">), measured 1 month after the third vaccination with bivalent rLP2086. The 5 co-primary endpoints for this objective were the proportion of subjects in Group 1 achieving at least a </w:t>
      </w:r>
      <w:r w:rsidR="00743EF5" w:rsidRPr="001B1D36">
        <w:t>4 fold</w:t>
      </w:r>
      <w:r w:rsidRPr="001B1D36">
        <w:t xml:space="preserve"> rise in </w:t>
      </w:r>
      <w:proofErr w:type="spellStart"/>
      <w:r w:rsidRPr="001B1D36">
        <w:t>hSBA</w:t>
      </w:r>
      <w:proofErr w:type="spellEnd"/>
      <w:r w:rsidRPr="001B1D36">
        <w:t xml:space="preserve"> </w:t>
      </w:r>
      <w:r w:rsidR="00EA5CCB" w:rsidRPr="001B1D36">
        <w:t>titre</w:t>
      </w:r>
      <w:r w:rsidRPr="001B1D36">
        <w:t xml:space="preserve"> for each of the 4 primary </w:t>
      </w:r>
      <w:proofErr w:type="spellStart"/>
      <w:r w:rsidRPr="001B1D36">
        <w:t>MnB</w:t>
      </w:r>
      <w:proofErr w:type="spellEnd"/>
      <w:r w:rsidRPr="001B1D36">
        <w:t xml:space="preserve"> test strains and the proportion of subjects achieving a composite response</w:t>
      </w:r>
      <w:r w:rsidR="00FA5420" w:rsidRPr="001B1D36">
        <w:rPr>
          <w:rStyle w:val="FootnoteReference"/>
        </w:rPr>
        <w:footnoteReference w:id="2"/>
      </w:r>
      <w:r w:rsidRPr="001B1D36">
        <w:t xml:space="preserve"> at 1 month after the third vaccination with bivalent rLP2086</w:t>
      </w:r>
      <w:r w:rsidR="00743EF5" w:rsidRPr="001B1D36">
        <w:t>.</w:t>
      </w:r>
    </w:p>
    <w:p w:rsidR="00743EF5" w:rsidRPr="001B1D36" w:rsidRDefault="009E75AA" w:rsidP="00025BCE">
      <w:r w:rsidRPr="001B1D36">
        <w:t xml:space="preserve">The second primary objective (lot consistency) was to demonstrate that the immune responses induced by 3 lots of bivalent rLP2086 were equivalent as measured by </w:t>
      </w:r>
      <w:proofErr w:type="spellStart"/>
      <w:r w:rsidRPr="001B1D36">
        <w:t>hSBA</w:t>
      </w:r>
      <w:proofErr w:type="spellEnd"/>
      <w:r w:rsidRPr="001B1D36">
        <w:t xml:space="preserve"> with 2 primary </w:t>
      </w:r>
      <w:proofErr w:type="spellStart"/>
      <w:r w:rsidRPr="001B1D36">
        <w:t>MnB</w:t>
      </w:r>
      <w:proofErr w:type="spellEnd"/>
      <w:r w:rsidRPr="001B1D36">
        <w:t xml:space="preserve"> test strains, 1 expressing an LP2086 subfamily </w:t>
      </w:r>
      <w:proofErr w:type="gramStart"/>
      <w:r w:rsidRPr="001B1D36">
        <w:t>A</w:t>
      </w:r>
      <w:proofErr w:type="gramEnd"/>
      <w:r w:rsidRPr="001B1D36">
        <w:t xml:space="preserve"> protein and 1 expressing an LP2086 subfamily B protein, 1 month after the third vaccination with bivalent rLP2086. The primary endpoints for the lot consistency objective were </w:t>
      </w:r>
      <w:proofErr w:type="spellStart"/>
      <w:r w:rsidRPr="001B1D36">
        <w:t>hSBA</w:t>
      </w:r>
      <w:proofErr w:type="spellEnd"/>
      <w:r w:rsidRPr="001B1D36">
        <w:t xml:space="preserve"> GMTs for each of the 2 primary </w:t>
      </w:r>
      <w:proofErr w:type="spellStart"/>
      <w:r w:rsidRPr="001B1D36">
        <w:t>MnB</w:t>
      </w:r>
      <w:proofErr w:type="spellEnd"/>
      <w:r w:rsidRPr="001B1D36">
        <w:t xml:space="preserve"> test strains PMB80 (A22) and PMB2948 (B24), at 1 month after the third vaccination with bivalent rLP2086 for subjects in Groups 1, 2, and 3</w:t>
      </w:r>
      <w:r w:rsidR="00743EF5" w:rsidRPr="001B1D36">
        <w:t>.</w:t>
      </w:r>
    </w:p>
    <w:p w:rsidR="00743EF5" w:rsidRPr="001B1D36" w:rsidRDefault="009E75AA" w:rsidP="00025BCE">
      <w:r w:rsidRPr="001B1D36">
        <w:t xml:space="preserve">Secondary </w:t>
      </w:r>
      <w:r w:rsidR="003D5E26" w:rsidRPr="001B1D36">
        <w:t>o</w:t>
      </w:r>
      <w:r w:rsidRPr="001B1D36">
        <w:t>bjectives</w:t>
      </w:r>
      <w:r w:rsidR="00743EF5" w:rsidRPr="001B1D36">
        <w:t>:</w:t>
      </w:r>
    </w:p>
    <w:p w:rsidR="00743EF5" w:rsidRPr="001B1D36" w:rsidRDefault="009E75AA" w:rsidP="00025BCE">
      <w:pPr>
        <w:pStyle w:val="ListBullet"/>
      </w:pPr>
      <w:r w:rsidRPr="001B1D36">
        <w:t xml:space="preserve">To describe the immune response as measured by </w:t>
      </w:r>
      <w:proofErr w:type="spellStart"/>
      <w:r w:rsidRPr="001B1D36">
        <w:t>hSBA</w:t>
      </w:r>
      <w:proofErr w:type="spellEnd"/>
      <w:r w:rsidRPr="001B1D36">
        <w:t xml:space="preserve"> performed with 10 secondary </w:t>
      </w:r>
      <w:proofErr w:type="spellStart"/>
      <w:r w:rsidRPr="001B1D36">
        <w:t>MnB</w:t>
      </w:r>
      <w:proofErr w:type="spellEnd"/>
      <w:r w:rsidRPr="001B1D36">
        <w:t xml:space="preserve"> test strains expressing LP2086 subfamily A or B proteins, measured 1 month after the third vaccination with bivalent rLP2086</w:t>
      </w:r>
      <w:r w:rsidR="00743EF5" w:rsidRPr="001B1D36">
        <w:t>.</w:t>
      </w:r>
    </w:p>
    <w:p w:rsidR="00743EF5" w:rsidRPr="001B1D36" w:rsidRDefault="009E75AA" w:rsidP="00025BCE">
      <w:pPr>
        <w:pStyle w:val="ListBullet"/>
      </w:pPr>
      <w:r w:rsidRPr="001B1D36">
        <w:t xml:space="preserve">To describe the immune response as measured by </w:t>
      </w:r>
      <w:proofErr w:type="spellStart"/>
      <w:r w:rsidRPr="001B1D36">
        <w:t>hSBA</w:t>
      </w:r>
      <w:proofErr w:type="spellEnd"/>
      <w:r w:rsidRPr="001B1D36">
        <w:t xml:space="preserve"> performed with 4 primary </w:t>
      </w:r>
      <w:proofErr w:type="spellStart"/>
      <w:r w:rsidRPr="001B1D36">
        <w:t>MnB</w:t>
      </w:r>
      <w:proofErr w:type="spellEnd"/>
      <w:r w:rsidRPr="001B1D36">
        <w:t xml:space="preserve"> test strains, 2 expressing a LP2086 subfamily </w:t>
      </w:r>
      <w:proofErr w:type="gramStart"/>
      <w:r w:rsidRPr="001B1D36">
        <w:t>A</w:t>
      </w:r>
      <w:proofErr w:type="gramEnd"/>
      <w:r w:rsidRPr="001B1D36">
        <w:t xml:space="preserve"> protein and 2 expressing a LP2086 subfamily B protein, measured 1 month after the second vaccination with bivalent rLP2086</w:t>
      </w:r>
      <w:r w:rsidR="00743EF5" w:rsidRPr="001B1D36">
        <w:t>.</w:t>
      </w:r>
    </w:p>
    <w:p w:rsidR="009E75AA" w:rsidRPr="00DD25D7" w:rsidRDefault="009E75AA" w:rsidP="00025BCE">
      <w:pPr>
        <w:pStyle w:val="Heading5"/>
      </w:pPr>
      <w:r w:rsidRPr="00DD25D7">
        <w:t>Randomisation and blinding methods</w:t>
      </w:r>
    </w:p>
    <w:p w:rsidR="009E75AA" w:rsidRPr="001B1D36" w:rsidRDefault="009E75AA" w:rsidP="00025BCE">
      <w:r w:rsidRPr="001B1D36">
        <w:t>Subjects were electronically random</w:t>
      </w:r>
      <w:r w:rsidR="00292798" w:rsidRPr="001B1D36">
        <w:t>ise</w:t>
      </w:r>
      <w:r w:rsidRPr="001B1D36">
        <w:t>d into 1 of 4 groups in a 5:2:2:3 ratio (Lot 1</w:t>
      </w:r>
      <w:proofErr w:type="gramStart"/>
      <w:r w:rsidRPr="001B1D36">
        <w:t>:Lot</w:t>
      </w:r>
      <w:proofErr w:type="gramEnd"/>
      <w:r w:rsidRPr="001B1D36">
        <w:t xml:space="preserve"> 2:Lot 3:HAV vaccine/saline). </w:t>
      </w:r>
      <w:r w:rsidRPr="00DD25D7">
        <w:t>Randomisation was stratified</w:t>
      </w:r>
      <w:r w:rsidRPr="001B1D36">
        <w:t xml:space="preserve"> by geographic region. Regional stratification ensured sufficient population representation.</w:t>
      </w:r>
    </w:p>
    <w:p w:rsidR="00743EF5" w:rsidRPr="001B1D36" w:rsidRDefault="009E75AA" w:rsidP="00025BCE">
      <w:r w:rsidRPr="001B1D36">
        <w:t xml:space="preserve">This was an </w:t>
      </w:r>
      <w:r w:rsidR="00032B77" w:rsidRPr="001B1D36">
        <w:t>observer blinded</w:t>
      </w:r>
      <w:r w:rsidRPr="001B1D36">
        <w:t xml:space="preserve"> study, and only the study staff dispensing and administering the vaccine were unblinded. All other study personnel, including the principal investigator, subject, and the sponsor, were blinded. In particular, the individuals who evaluated subject safety and the subjects were blinded</w:t>
      </w:r>
      <w:r w:rsidR="00743EF5" w:rsidRPr="001B1D36">
        <w:t>.</w:t>
      </w:r>
    </w:p>
    <w:p w:rsidR="009E75AA" w:rsidRPr="00DD25D7" w:rsidRDefault="009E75AA" w:rsidP="00025BCE">
      <w:pPr>
        <w:pStyle w:val="Heading5"/>
      </w:pPr>
      <w:r w:rsidRPr="00DD25D7">
        <w:lastRenderedPageBreak/>
        <w:t>Analysis populations</w:t>
      </w:r>
    </w:p>
    <w:p w:rsidR="00743EF5" w:rsidRPr="001B1D36" w:rsidRDefault="009E75AA" w:rsidP="00025BCE">
      <w:pPr>
        <w:rPr>
          <w:lang w:eastAsia="ja-JP"/>
        </w:rPr>
      </w:pPr>
      <w:r w:rsidRPr="001B1D36">
        <w:rPr>
          <w:lang w:eastAsia="ja-JP"/>
        </w:rPr>
        <w:t>The evaluable immunogenicity population was the primary analysis population for immunogenicity data</w:t>
      </w:r>
      <w:r w:rsidR="00743EF5" w:rsidRPr="001B1D36">
        <w:rPr>
          <w:lang w:eastAsia="ja-JP"/>
        </w:rPr>
        <w:t>.</w:t>
      </w:r>
    </w:p>
    <w:p w:rsidR="009E75AA" w:rsidRPr="00DD25D7" w:rsidRDefault="009E75AA" w:rsidP="00025BCE">
      <w:pPr>
        <w:pStyle w:val="Heading5"/>
      </w:pPr>
      <w:r w:rsidRPr="00DD25D7" w:rsidDel="0081373E">
        <w:t>S</w:t>
      </w:r>
      <w:r w:rsidRPr="00DD25D7">
        <w:t>ample size</w:t>
      </w:r>
    </w:p>
    <w:p w:rsidR="00743EF5" w:rsidRPr="001B1D36" w:rsidRDefault="009E75AA" w:rsidP="00025BCE">
      <w:r w:rsidRPr="001B1D36">
        <w:t>The planned sample size was approximately 1800 subjects from US investigative sites, 1440 subjects from European investigative sites, and 360 subjects from additional regions were to be enrolled</w:t>
      </w:r>
      <w:r w:rsidR="00743EF5" w:rsidRPr="001B1D36">
        <w:t>.</w:t>
      </w:r>
    </w:p>
    <w:p w:rsidR="009E75AA" w:rsidRPr="00DD25D7" w:rsidRDefault="009E75AA" w:rsidP="00025BCE">
      <w:pPr>
        <w:pStyle w:val="Heading5"/>
      </w:pPr>
      <w:r w:rsidRPr="00DD25D7">
        <w:t>Statistical methods</w:t>
      </w:r>
    </w:p>
    <w:p w:rsidR="00743EF5" w:rsidRPr="001B1D36" w:rsidRDefault="009E75AA" w:rsidP="00025BCE">
      <w:r w:rsidRPr="00DD25D7">
        <w:t>The primary analysis for the primary immunogenicity objective at</w:t>
      </w:r>
      <w:r w:rsidR="00032B77" w:rsidRPr="00DD25D7">
        <w:t xml:space="preserve"> </w:t>
      </w:r>
      <w:r w:rsidRPr="00DD25D7">
        <w:t xml:space="preserve">1 month after the third vaccination with bivalent rLP2086 was based on the evaluable immunogenicity population for the 5 co-primary endpoints (composite </w:t>
      </w:r>
      <w:proofErr w:type="spellStart"/>
      <w:r w:rsidRPr="00DD25D7">
        <w:t>hSBA</w:t>
      </w:r>
      <w:proofErr w:type="spellEnd"/>
      <w:r w:rsidRPr="00DD25D7">
        <w:t xml:space="preserve"> response and </w:t>
      </w:r>
      <w:r w:rsidR="00743EF5" w:rsidRPr="00DD25D7">
        <w:t>4 fold</w:t>
      </w:r>
      <w:r w:rsidRPr="00DD25D7">
        <w:t xml:space="preserve"> increase from </w:t>
      </w:r>
      <w:r w:rsidR="008B4D82" w:rsidRPr="00DD25D7">
        <w:t>Baseline</w:t>
      </w:r>
      <w:r w:rsidRPr="00DD25D7">
        <w:t xml:space="preserve"> for each of the 4 primary </w:t>
      </w:r>
      <w:proofErr w:type="spellStart"/>
      <w:r w:rsidRPr="00DD25D7">
        <w:t>MnB</w:t>
      </w:r>
      <w:proofErr w:type="spellEnd"/>
      <w:r w:rsidRPr="00DD25D7">
        <w:t xml:space="preserve"> test strains) in Group 1. The 95% confidence intervals (CIs) were presented along with the response rate. The study objectives were achieved if the lower bounds of the 95% CIs at Visit 5 were greater than</w:t>
      </w:r>
      <w:r w:rsidRPr="001B1D36">
        <w:rPr>
          <w:lang w:eastAsia="ja-JP"/>
        </w:rPr>
        <w:t xml:space="preserve"> the thresholds specified for each of the 5 co-primary endpoints among subjects in Group 1. The statistical methodology for the primary outcome was based on the use of the two-sided 95% Confidence Interval (CI). </w:t>
      </w:r>
      <w:r w:rsidRPr="001B1D36">
        <w:t xml:space="preserve">The first primary objective would be achieved if the lower bound of the 95% CI at one month after the third vaccination was greater than the threshold specified in </w:t>
      </w:r>
      <w:r w:rsidR="002310F7" w:rsidRPr="001B1D36">
        <w:t xml:space="preserve">Table 1 </w:t>
      </w:r>
      <w:r w:rsidRPr="001B1D36">
        <w:t xml:space="preserve">for each of the 5 co-primary endpoints among subjects in Group 1. </w:t>
      </w:r>
      <w:r w:rsidR="00DD25D7">
        <w:t>The sponsor</w:t>
      </w:r>
      <w:r w:rsidRPr="001B1D36">
        <w:t xml:space="preserve"> and regulatory authorities had agreed upon the success criteria (lower bound of the 95% CI for the response rate) for the 5 co-primary endpoints based on exploratory </w:t>
      </w:r>
      <w:r w:rsidR="00032B77" w:rsidRPr="001B1D36">
        <w:t>post dose</w:t>
      </w:r>
      <w:r w:rsidRPr="001B1D36">
        <w:t xml:space="preserve"> 3 immunogenicity data from the adolescent Study B1971012</w:t>
      </w:r>
      <w:r w:rsidR="00743EF5" w:rsidRPr="001B1D36">
        <w:t>.</w:t>
      </w:r>
    </w:p>
    <w:p w:rsidR="00743EF5" w:rsidRPr="001B1D36" w:rsidRDefault="009E75AA" w:rsidP="00025BCE">
      <w:r w:rsidRPr="001B1D36">
        <w:t xml:space="preserve">The lot consistency objective would be achieved if the 2-sided 95% CIs on the </w:t>
      </w:r>
      <w:proofErr w:type="spellStart"/>
      <w:r w:rsidRPr="001B1D36">
        <w:t>hSBA</w:t>
      </w:r>
      <w:proofErr w:type="spellEnd"/>
      <w:r w:rsidRPr="001B1D36">
        <w:t xml:space="preserve"> GMT ratio (</w:t>
      </w:r>
      <w:r w:rsidR="00032B77" w:rsidRPr="001B1D36">
        <w:t>that is</w:t>
      </w:r>
      <w:r w:rsidRPr="001B1D36">
        <w:t xml:space="preserve">, geometric mean ratio </w:t>
      </w:r>
      <w:r w:rsidR="00DD25D7" w:rsidRPr="001B1D36">
        <w:t>(</w:t>
      </w:r>
      <w:r w:rsidRPr="001B1D36">
        <w:t>GMR</w:t>
      </w:r>
      <w:r w:rsidR="00DD25D7" w:rsidRPr="001B1D36">
        <w:t>)</w:t>
      </w:r>
      <w:r w:rsidRPr="001B1D36">
        <w:t xml:space="preserve">) between any 2 of the 3 lots for both PMB80 (A22) and PMB2948 (B24) were within the interval (0.5, 2.0) 1 month after </w:t>
      </w:r>
      <w:r w:rsidR="008B4D82" w:rsidRPr="001B1D36">
        <w:t>Vaccination</w:t>
      </w:r>
      <w:r w:rsidRPr="001B1D36">
        <w:t xml:space="preserve"> 3, after the primary immunogenicity objective was achieved</w:t>
      </w:r>
      <w:r w:rsidR="00743EF5" w:rsidRPr="001B1D36">
        <w:t>.</w:t>
      </w:r>
    </w:p>
    <w:p w:rsidR="0064126A" w:rsidRPr="001B1D36" w:rsidRDefault="0064126A" w:rsidP="0064126A">
      <w:pPr>
        <w:pStyle w:val="Tabletitle"/>
      </w:pPr>
      <w:r w:rsidRPr="001B1D36">
        <w:lastRenderedPageBreak/>
        <w:t>Table</w:t>
      </w:r>
      <w:r w:rsidR="002310F7" w:rsidRPr="001B1D36">
        <w:t xml:space="preserve"> 1</w:t>
      </w:r>
      <w:r w:rsidRPr="001B1D36">
        <w:t xml:space="preserve">: </w:t>
      </w:r>
      <w:r w:rsidR="003D5E26" w:rsidRPr="001B1D36">
        <w:t>Primary</w:t>
      </w:r>
      <w:r w:rsidR="002310F7" w:rsidRPr="001B1D36">
        <w:t xml:space="preserve"> i</w:t>
      </w:r>
      <w:r w:rsidRPr="001B1D36">
        <w:t xml:space="preserve">mmunogenicity </w:t>
      </w:r>
      <w:r w:rsidR="002310F7" w:rsidRPr="001B1D36">
        <w:t xml:space="preserve">analysis; subjects achieving </w:t>
      </w:r>
      <w:r w:rsidRPr="001B1D36">
        <w:t xml:space="preserve">≥ </w:t>
      </w:r>
      <w:r w:rsidR="002310F7" w:rsidRPr="001B1D36">
        <w:t xml:space="preserve">4 fold rise </w:t>
      </w:r>
      <w:r w:rsidRPr="001B1D36">
        <w:t xml:space="preserve">in </w:t>
      </w:r>
      <w:proofErr w:type="spellStart"/>
      <w:r w:rsidRPr="001B1D36">
        <w:t>hSBA</w:t>
      </w:r>
      <w:proofErr w:type="spellEnd"/>
      <w:r w:rsidRPr="001B1D36">
        <w:t xml:space="preserve"> </w:t>
      </w:r>
      <w:r w:rsidR="00EA5CCB" w:rsidRPr="001B1D36">
        <w:t>titre</w:t>
      </w:r>
      <w:r w:rsidRPr="001B1D36">
        <w:t xml:space="preserve"> and </w:t>
      </w:r>
      <w:r w:rsidR="002310F7" w:rsidRPr="001B1D36">
        <w:t>composite response at 1 month after</w:t>
      </w:r>
      <w:r w:rsidRPr="001B1D36">
        <w:t xml:space="preserve"> Vaccination 3 </w:t>
      </w:r>
      <w:r w:rsidR="002310F7" w:rsidRPr="001B1D36">
        <w:t>for primary strains; evaluable immunogenicity population</w:t>
      </w:r>
      <w:r w:rsidRPr="001B1D36">
        <w:t xml:space="preserve"> (Study B1971009)</w:t>
      </w:r>
    </w:p>
    <w:p w:rsidR="0064126A" w:rsidRPr="001B1D36" w:rsidRDefault="00D962FB" w:rsidP="0064126A">
      <w:r w:rsidRPr="00DD25D7">
        <w:rPr>
          <w:noProof/>
          <w:lang w:eastAsia="en-AU"/>
        </w:rPr>
        <w:drawing>
          <wp:inline distT="0" distB="0" distL="0" distR="0" wp14:anchorId="1BAA9DA6" wp14:editId="7B6EA83E">
            <wp:extent cx="5731510" cy="5559442"/>
            <wp:effectExtent l="0" t="0" r="2540" b="3175"/>
            <wp:docPr id="28" name="Picture 28" descr="Table 1: Primary immunogenicity analysis; subjects achieving ≥ 4 fold rise in hSBA titer and composite response at 1 month after Vaccination 3 for primary strains; evaluable immunogenicity population (Study B197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5559442"/>
                    </a:xfrm>
                    <a:prstGeom prst="rect">
                      <a:avLst/>
                    </a:prstGeom>
                  </pic:spPr>
                </pic:pic>
              </a:graphicData>
            </a:graphic>
          </wp:inline>
        </w:drawing>
      </w:r>
    </w:p>
    <w:p w:rsidR="009E75AA" w:rsidRPr="00DD25D7" w:rsidRDefault="008B4D82" w:rsidP="00025BCE">
      <w:pPr>
        <w:pStyle w:val="Heading5"/>
      </w:pPr>
      <w:r w:rsidRPr="00DD25D7">
        <w:t>Participant flow</w:t>
      </w:r>
    </w:p>
    <w:p w:rsidR="00743EF5" w:rsidRPr="001B1D36" w:rsidRDefault="009E75AA" w:rsidP="00025BCE">
      <w:r w:rsidRPr="001B1D36">
        <w:t>A total of 3596 subjects were random</w:t>
      </w:r>
      <w:r w:rsidR="00292798" w:rsidRPr="001B1D36">
        <w:t>ise</w:t>
      </w:r>
      <w:r w:rsidRPr="001B1D36">
        <w:t>d in this study. Of the subjects random</w:t>
      </w:r>
      <w:r w:rsidR="00292798" w:rsidRPr="001B1D36">
        <w:t>ise</w:t>
      </w:r>
      <w:r w:rsidRPr="001B1D36">
        <w:t>d, 1509 subjects were in Group 1 (bivalent rLP2086 Lot 1), 600 subjects were in Group 2 (bivalent rLP2086 Lot 2), 589 subjects were in Group 3 (bivalent rLP2086 Lot 3), and 898 subjects were in Group 4 (HAV vaccine/saline). Six (6) subjects (1 in Group 1, 2 in Group 2, 2 in Group 3, and 1 in Group 4) were random</w:t>
      </w:r>
      <w:r w:rsidR="00292798" w:rsidRPr="001B1D36">
        <w:t>ise</w:t>
      </w:r>
      <w:r w:rsidRPr="001B1D36">
        <w:t>d but withdrew from the study before vaccination. A total of 3226 (89.7%) subjects completed the study (Group 1: n = 1353, 89.7%; Group 2: n = 537, 89.5%; Group 3: n = 521, 88.5%; and Group 4, n = 815, 90.8%</w:t>
      </w:r>
      <w:r w:rsidR="00743EF5" w:rsidRPr="001B1D36">
        <w:t>.</w:t>
      </w:r>
    </w:p>
    <w:p w:rsidR="009E75AA" w:rsidRPr="00DD25D7" w:rsidRDefault="009E75AA" w:rsidP="00025BCE">
      <w:pPr>
        <w:pStyle w:val="Heading5"/>
      </w:pPr>
      <w:r w:rsidRPr="00DD25D7">
        <w:t>Major protocol violations/deviations</w:t>
      </w:r>
    </w:p>
    <w:p w:rsidR="009E75AA" w:rsidRPr="00DD25D7" w:rsidRDefault="009E75AA" w:rsidP="00025BCE">
      <w:r w:rsidRPr="00DD25D7">
        <w:t>A total of 99.8% of random</w:t>
      </w:r>
      <w:r w:rsidR="00292798" w:rsidRPr="00DD25D7">
        <w:t>ise</w:t>
      </w:r>
      <w:r w:rsidRPr="00DD25D7">
        <w:t>d subjects received vaccines at Vaccination 1. The proportions of random</w:t>
      </w:r>
      <w:r w:rsidR="00292798" w:rsidRPr="00DD25D7">
        <w:t>ise</w:t>
      </w:r>
      <w:r w:rsidRPr="00DD25D7">
        <w:t xml:space="preserve">d subjects that received vaccines within the </w:t>
      </w:r>
      <w:r w:rsidR="00743EF5" w:rsidRPr="00DD25D7">
        <w:t>protocol specified</w:t>
      </w:r>
      <w:r w:rsidRPr="00DD25D7">
        <w:t xml:space="preserve"> visit window requirement for Vaccination 2 and Vaccination 3 were 93.7% and 87.5%, respectively. The range of the proportion of subjects at Vaccination 2 with vaccinations before the pre-specified window was 0.1% to 0.5% and at Vaccination 3 was 0.3% to 0.7%. The range of the percentage </w:t>
      </w:r>
      <w:r w:rsidRPr="00DD25D7">
        <w:lastRenderedPageBreak/>
        <w:t>of subjects at Vaccination 2 with vaccinations after the pre-specified window was 0.5% to 2.1% and for Vaccination 3 was 2.8% to 4.0%. Subjects were not excluded from the evaluable immunogenicity populations due to vaccination window violations.</w:t>
      </w:r>
    </w:p>
    <w:p w:rsidR="009E75AA" w:rsidRPr="00DD25D7" w:rsidRDefault="009E75AA" w:rsidP="00025BCE">
      <w:pPr>
        <w:pStyle w:val="Heading5"/>
      </w:pPr>
      <w:r w:rsidRPr="00DD25D7">
        <w:t>Baseline data</w:t>
      </w:r>
    </w:p>
    <w:p w:rsidR="00743EF5" w:rsidRPr="001B1D36" w:rsidRDefault="009E75AA" w:rsidP="00025BCE">
      <w:r w:rsidRPr="001B1D36">
        <w:t>Among 3</w:t>
      </w:r>
      <w:r w:rsidR="00032B77" w:rsidRPr="001B1D36">
        <w:t>,</w:t>
      </w:r>
      <w:r w:rsidRPr="001B1D36">
        <w:t>590 vaccinated subjects, 1</w:t>
      </w:r>
      <w:r w:rsidR="008B4D82" w:rsidRPr="001B1D36">
        <w:t>,</w:t>
      </w:r>
      <w:r w:rsidRPr="001B1D36">
        <w:t>850 (51.5%) were male and 1</w:t>
      </w:r>
      <w:r w:rsidR="00032B77" w:rsidRPr="001B1D36">
        <w:t>,</w:t>
      </w:r>
      <w:r w:rsidRPr="001B1D36">
        <w:t xml:space="preserve">740 (48.5%) were female. The majority of subjects were </w:t>
      </w:r>
      <w:r w:rsidR="00032B77" w:rsidRPr="001B1D36">
        <w:t>White</w:t>
      </w:r>
      <w:r w:rsidRPr="001B1D36">
        <w:t xml:space="preserve">. The number and percent of subjects in each racial group were as follows: </w:t>
      </w:r>
      <w:r w:rsidR="00032B77" w:rsidRPr="001B1D36">
        <w:t>White</w:t>
      </w:r>
      <w:r w:rsidRPr="001B1D36">
        <w:t xml:space="preserve">, n = 3134, 87.3%; </w:t>
      </w:r>
      <w:r w:rsidR="00032B77" w:rsidRPr="001B1D36">
        <w:t>Black</w:t>
      </w:r>
      <w:r w:rsidRPr="001B1D36">
        <w:t xml:space="preserve">, n = 292, 8.1%; other, n = 148 (4.1%); Asian, n = 16 (0.4%). The mean age at vaccination was 13.9 years (SD 2.6), with ages of study subjects ranging from 10 years to 19 </w:t>
      </w:r>
      <w:proofErr w:type="gramStart"/>
      <w:r w:rsidRPr="00DD25D7">
        <w:t>years.</w:t>
      </w:r>
      <w:proofErr w:type="gramEnd"/>
      <w:r w:rsidRPr="00DD25D7">
        <w:t xml:space="preserve"> Percentages</w:t>
      </w:r>
      <w:r w:rsidRPr="001B1D36">
        <w:t xml:space="preserve"> by sex and race/ethnicity and mean age at vaccination were similar in each study group</w:t>
      </w:r>
      <w:r w:rsidR="00743EF5" w:rsidRPr="001B1D36">
        <w:t>.</w:t>
      </w:r>
    </w:p>
    <w:p w:rsidR="00743EF5" w:rsidRPr="001B1D36" w:rsidRDefault="009E75AA" w:rsidP="00025BCE">
      <w:r w:rsidRPr="001B1D36">
        <w:t>A total of 3059 (85.1%) subjects were included in the evaluable immunogenicity population (Group 1, n = 1279, 84.8%; Group 2, n = 519, 86.5%; Group 3, n = 493, 83.7%; Group 4, n = 768, 85.5%)</w:t>
      </w:r>
      <w:r w:rsidR="00743EF5" w:rsidRPr="001B1D36">
        <w:t>.</w:t>
      </w:r>
    </w:p>
    <w:p w:rsidR="009E75AA" w:rsidRPr="00DD25D7" w:rsidRDefault="009E75AA" w:rsidP="00025BCE">
      <w:pPr>
        <w:pStyle w:val="Heading5"/>
      </w:pPr>
      <w:r w:rsidRPr="00DD25D7">
        <w:t>Results for the primary effi</w:t>
      </w:r>
      <w:r w:rsidR="00032B77" w:rsidRPr="00DD25D7">
        <w:t>cacy outcome</w:t>
      </w:r>
    </w:p>
    <w:p w:rsidR="00743EF5" w:rsidRPr="001B1D36" w:rsidRDefault="009E75AA" w:rsidP="00025BCE">
      <w:r w:rsidRPr="001B1D36">
        <w:t xml:space="preserve">For the evaluable immunogenicity population, the proportion of subjects achieving a </w:t>
      </w:r>
      <w:r w:rsidR="008B4D82" w:rsidRPr="001B1D36">
        <w:t xml:space="preserve">≥ </w:t>
      </w:r>
      <w:r w:rsidR="00743EF5" w:rsidRPr="001B1D36">
        <w:t>4 fold</w:t>
      </w:r>
      <w:r w:rsidRPr="001B1D36">
        <w:t xml:space="preserve"> rise in </w:t>
      </w:r>
      <w:proofErr w:type="spellStart"/>
      <w:r w:rsidRPr="001B1D36">
        <w:t>hSBA</w:t>
      </w:r>
      <w:proofErr w:type="spellEnd"/>
      <w:r w:rsidRPr="001B1D36">
        <w:t xml:space="preserve"> </w:t>
      </w:r>
      <w:r w:rsidR="00EA5CCB" w:rsidRPr="001B1D36">
        <w:t>titre</w:t>
      </w:r>
      <w:r w:rsidRPr="001B1D36">
        <w:t xml:space="preserve"> in Group 1 was as follows: 83.2% (95% CI: 81.0, 85.2) for PMB80 (A22); 90.2% (95% CI: 88.4, 91.9) for PMB2001 (A56); 79.8% (95% CI: 77.4, 82.0) for PMB2948 (B24); 85.9% (95% CI: 83.8, 87.8) for PMB2707 (B44); and 83.5% (95% CI: 81.3, 85.6) for the composite </w:t>
      </w:r>
      <w:proofErr w:type="spellStart"/>
      <w:r w:rsidRPr="001B1D36">
        <w:t>hSBA</w:t>
      </w:r>
      <w:proofErr w:type="spellEnd"/>
      <w:r w:rsidRPr="001B1D36">
        <w:t xml:space="preserve"> response. The lower limit of the 2-sided 95% CI was greater than the corresponding pre-specified lower bound threshold for each of the 4 primary </w:t>
      </w:r>
      <w:proofErr w:type="spellStart"/>
      <w:r w:rsidRPr="001B1D36">
        <w:t>MnB</w:t>
      </w:r>
      <w:proofErr w:type="spellEnd"/>
      <w:r w:rsidRPr="001B1D36">
        <w:t xml:space="preserve"> strains and for the composite response; thus, the first primary obje</w:t>
      </w:r>
      <w:r w:rsidR="002310F7" w:rsidRPr="001B1D36">
        <w:t>ctive (immunogenicity) was met (Table 1</w:t>
      </w:r>
      <w:r w:rsidRPr="001B1D36">
        <w:t>)</w:t>
      </w:r>
      <w:r w:rsidR="00743EF5" w:rsidRPr="001B1D36">
        <w:t>.</w:t>
      </w:r>
    </w:p>
    <w:p w:rsidR="00743EF5" w:rsidRPr="00DD25D7" w:rsidRDefault="009E75AA" w:rsidP="008B4D82">
      <w:r w:rsidRPr="00DD25D7">
        <w:t>For the lot to lot consistency outcome, for PMB80 (A22), the GMRs (95% CIs) were as follows: 1.03 (0.93, 1.14) for Lot 1 to</w:t>
      </w:r>
      <w:r w:rsidR="008B4D82" w:rsidRPr="00DD25D7">
        <w:t xml:space="preserve"> </w:t>
      </w:r>
      <w:r w:rsidRPr="00DD25D7">
        <w:t>Lot 2; 1.02 (0.92, 1.13) for Lot 1 to Lot 3; and 0.99 (0.88, 1.12) for Lot 2 to Lot 3. For PMB2948 (B24), the GMRs (95% CIs) were: 0.95 (0.85, 1.06) for Lot 1 to Lot 2; 0.95 (0.86, 1.06) for Lot 1 to Lot 3; and 1.00 (0.88, 1.14) for Lot 2 to Lot 3 (</w:t>
      </w:r>
      <w:r w:rsidR="002310F7" w:rsidRPr="00DD25D7">
        <w:t>Table 2</w:t>
      </w:r>
      <w:r w:rsidRPr="00DD25D7">
        <w:t>)</w:t>
      </w:r>
      <w:r w:rsidR="00743EF5" w:rsidRPr="00DD25D7">
        <w:t>.</w:t>
      </w:r>
    </w:p>
    <w:p w:rsidR="00743EF5" w:rsidRPr="001B1D36" w:rsidRDefault="009E75AA" w:rsidP="00025BCE">
      <w:r w:rsidRPr="001B1D36">
        <w:t>The 95% CI for all pairwise GMRs between lots were within the interval (0.5, 2.0), for both test strains PMB80 (A22) and PMB2948 (B24). Therefore, the lot consistency objective was met</w:t>
      </w:r>
      <w:r w:rsidR="00743EF5" w:rsidRPr="001B1D36">
        <w:t>.</w:t>
      </w:r>
    </w:p>
    <w:p w:rsidR="0064126A" w:rsidRPr="00DD25D7" w:rsidRDefault="002310F7" w:rsidP="0064126A">
      <w:pPr>
        <w:pStyle w:val="Tabletitle"/>
      </w:pPr>
      <w:r w:rsidRPr="00DD25D7">
        <w:t>Table 2</w:t>
      </w:r>
      <w:r w:rsidR="0064126A" w:rsidRPr="00DD25D7">
        <w:t xml:space="preserve">: Primary </w:t>
      </w:r>
      <w:r w:rsidRPr="00DD25D7">
        <w:t>lot consistency analysis</w:t>
      </w:r>
      <w:r w:rsidR="0064126A" w:rsidRPr="00DD25D7">
        <w:t xml:space="preserve">; </w:t>
      </w:r>
      <w:r w:rsidRPr="00DD25D7">
        <w:t>c</w:t>
      </w:r>
      <w:r w:rsidR="0064126A" w:rsidRPr="00DD25D7">
        <w:t xml:space="preserve">omparison of </w:t>
      </w:r>
      <w:proofErr w:type="spellStart"/>
      <w:r w:rsidR="0064126A" w:rsidRPr="00DD25D7">
        <w:t>hSBA</w:t>
      </w:r>
      <w:proofErr w:type="spellEnd"/>
      <w:r w:rsidR="0064126A" w:rsidRPr="00DD25D7">
        <w:t xml:space="preserve"> GMTs 1 </w:t>
      </w:r>
      <w:r w:rsidRPr="00DD25D7">
        <w:t>m</w:t>
      </w:r>
      <w:r w:rsidR="0064126A" w:rsidRPr="00DD25D7">
        <w:t xml:space="preserve">onth after Vaccination 3 for </w:t>
      </w:r>
      <w:r w:rsidRPr="00DD25D7">
        <w:t>primary strains; evaluable immunogenicity po</w:t>
      </w:r>
      <w:r w:rsidR="0064126A" w:rsidRPr="00DD25D7">
        <w:t>pulation (Study B1971009)</w:t>
      </w:r>
    </w:p>
    <w:p w:rsidR="0064126A" w:rsidRPr="00DD25D7" w:rsidRDefault="0064126A" w:rsidP="00025BCE">
      <w:r w:rsidRPr="00153D26">
        <w:rPr>
          <w:noProof/>
          <w:lang w:eastAsia="en-AU"/>
        </w:rPr>
        <w:drawing>
          <wp:inline distT="0" distB="0" distL="0" distR="0" wp14:anchorId="5F39428A" wp14:editId="32BA9741">
            <wp:extent cx="5731510" cy="2115638"/>
            <wp:effectExtent l="0" t="0" r="2540" b="0"/>
            <wp:docPr id="5" name="Picture 5" descr="Table 2: Primary lot consistency analysis; comparison of hSBA GMTs 1 month after Vaccination 3 for primary strains; evaluable immunogenicity population (Study B197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115638"/>
                    </a:xfrm>
                    <a:prstGeom prst="rect">
                      <a:avLst/>
                    </a:prstGeom>
                  </pic:spPr>
                </pic:pic>
              </a:graphicData>
            </a:graphic>
          </wp:inline>
        </w:drawing>
      </w:r>
    </w:p>
    <w:p w:rsidR="009E75AA" w:rsidRPr="00DD25D7" w:rsidRDefault="009E75AA" w:rsidP="00025BCE">
      <w:pPr>
        <w:pStyle w:val="Heading5"/>
      </w:pPr>
      <w:r w:rsidRPr="00DD25D7">
        <w:lastRenderedPageBreak/>
        <w:t xml:space="preserve">Results for other </w:t>
      </w:r>
      <w:r w:rsidR="004C3790" w:rsidRPr="00DD25D7">
        <w:t>immunogenicity</w:t>
      </w:r>
      <w:r w:rsidRPr="00DD25D7">
        <w:t xml:space="preserve"> outcomes</w:t>
      </w:r>
    </w:p>
    <w:p w:rsidR="009E75AA" w:rsidRPr="001B1D36" w:rsidRDefault="009E75AA" w:rsidP="00025BCE">
      <w:pPr>
        <w:pStyle w:val="Heading6"/>
        <w:rPr>
          <w:lang w:eastAsia="ja-JP"/>
        </w:rPr>
      </w:pPr>
      <w:bookmarkStart w:id="46" w:name="_Ref271037188"/>
      <w:bookmarkStart w:id="47" w:name="_Ref271037210"/>
      <w:bookmarkStart w:id="48" w:name="_Toc272414655"/>
      <w:bookmarkStart w:id="49" w:name="_Toc290888503"/>
      <w:bookmarkStart w:id="50" w:name="_Toc416353719"/>
      <w:bookmarkStart w:id="51" w:name="_Toc421005270"/>
      <w:bookmarkStart w:id="52" w:name="_Toc432079152"/>
      <w:bookmarkStart w:id="53" w:name="_Toc432080725"/>
      <w:bookmarkStart w:id="54" w:name="_Toc241374311"/>
      <w:bookmarkStart w:id="55" w:name="_Ref243294291"/>
      <w:proofErr w:type="spellStart"/>
      <w:proofErr w:type="gramStart"/>
      <w:r w:rsidRPr="001B1D36">
        <w:rPr>
          <w:lang w:eastAsia="ja-JP"/>
        </w:rPr>
        <w:t>hSBA</w:t>
      </w:r>
      <w:proofErr w:type="spellEnd"/>
      <w:proofErr w:type="gramEnd"/>
      <w:r w:rsidRPr="001B1D36">
        <w:rPr>
          <w:lang w:eastAsia="ja-JP"/>
        </w:rPr>
        <w:t xml:space="preserve"> </w:t>
      </w:r>
      <w:r w:rsidR="00743EF5" w:rsidRPr="00DD25D7">
        <w:rPr>
          <w:rFonts w:eastAsia="MS Gothic"/>
        </w:rPr>
        <w:t xml:space="preserve">≥ </w:t>
      </w:r>
      <w:r w:rsidR="00032B77" w:rsidRPr="001B1D36">
        <w:rPr>
          <w:lang w:eastAsia="ja-JP"/>
        </w:rPr>
        <w:t xml:space="preserve">4 </w:t>
      </w:r>
      <w:r w:rsidR="003D5E26" w:rsidRPr="001B1D36">
        <w:rPr>
          <w:lang w:eastAsia="ja-JP"/>
        </w:rPr>
        <w:t>fold rise and composite response</w:t>
      </w:r>
    </w:p>
    <w:p w:rsidR="00743EF5" w:rsidRPr="001B1D36" w:rsidRDefault="009E75AA" w:rsidP="00025BCE">
      <w:pPr>
        <w:rPr>
          <w:lang w:eastAsia="ja-JP"/>
        </w:rPr>
      </w:pPr>
      <w:r w:rsidRPr="001B1D36">
        <w:rPr>
          <w:lang w:eastAsia="ja-JP"/>
        </w:rPr>
        <w:t xml:space="preserve">The proportion of subjects in Group 1 achieving an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 xml:space="preserve"> fold rise </w:t>
      </w:r>
      <w:r w:rsidR="00743EF5" w:rsidRPr="00DD25D7">
        <w:t xml:space="preserve">≥ </w:t>
      </w:r>
      <w:r w:rsidRPr="001B1D36">
        <w:rPr>
          <w:lang w:eastAsia="ja-JP"/>
        </w:rPr>
        <w:t xml:space="preserve">4 from </w:t>
      </w:r>
      <w:r w:rsidR="008B4D82" w:rsidRPr="001B1D36">
        <w:rPr>
          <w:lang w:eastAsia="ja-JP"/>
        </w:rPr>
        <w:t>Baseline</w:t>
      </w:r>
      <w:r w:rsidRPr="001B1D36">
        <w:rPr>
          <w:lang w:eastAsia="ja-JP"/>
        </w:rPr>
        <w:t xml:space="preserve"> to 1 month after </w:t>
      </w:r>
      <w:r w:rsidR="008B4D82" w:rsidRPr="001B1D36">
        <w:rPr>
          <w:lang w:eastAsia="ja-JP"/>
        </w:rPr>
        <w:t>V</w:t>
      </w:r>
      <w:r w:rsidRPr="001B1D36">
        <w:rPr>
          <w:lang w:eastAsia="ja-JP"/>
        </w:rPr>
        <w:t>accination 2 was: 73.8% for PMB80 (A22), 84.8% for PMB2001 (A56), 56.2% for PMB2948 (B24), and 55.9% for PMB2707 (B44)</w:t>
      </w:r>
      <w:r w:rsidR="00743EF5" w:rsidRPr="001B1D36">
        <w:rPr>
          <w:lang w:eastAsia="ja-JP"/>
        </w:rPr>
        <w:t>.</w:t>
      </w:r>
    </w:p>
    <w:p w:rsidR="00743EF5" w:rsidRPr="001B1D36" w:rsidRDefault="009E75AA" w:rsidP="00025BCE">
      <w:pPr>
        <w:rPr>
          <w:lang w:eastAsia="ja-JP"/>
        </w:rPr>
      </w:pPr>
      <w:r w:rsidRPr="001B1D36">
        <w:rPr>
          <w:lang w:eastAsia="ja-JP"/>
        </w:rPr>
        <w:t xml:space="preserve">The proportion of subjects in Group 1 achieving an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 xml:space="preserve"> fold rise</w:t>
      </w:r>
      <w:r w:rsidRPr="00DD25D7">
        <w:rPr>
          <w:rFonts w:ascii="MS Gothic" w:eastAsia="MS Gothic" w:hAnsi="MS Gothic"/>
          <w:color w:val="000000"/>
        </w:rPr>
        <w:t xml:space="preserve"> </w:t>
      </w:r>
      <w:r w:rsidR="00743EF5" w:rsidRPr="00DD25D7">
        <w:t xml:space="preserve">≥ </w:t>
      </w:r>
      <w:r w:rsidRPr="001B1D36">
        <w:rPr>
          <w:lang w:eastAsia="ja-JP"/>
        </w:rPr>
        <w:t xml:space="preserve">4 from </w:t>
      </w:r>
      <w:r w:rsidR="008B4D82" w:rsidRPr="001B1D36">
        <w:rPr>
          <w:lang w:eastAsia="ja-JP"/>
        </w:rPr>
        <w:t>Baseline to 1 </w:t>
      </w:r>
      <w:r w:rsidRPr="001B1D36">
        <w:rPr>
          <w:lang w:eastAsia="ja-JP"/>
        </w:rPr>
        <w:t xml:space="preserve">month after </w:t>
      </w:r>
      <w:r w:rsidR="00292798" w:rsidRPr="001B1D36">
        <w:rPr>
          <w:lang w:eastAsia="ja-JP"/>
        </w:rPr>
        <w:t>Vaccin</w:t>
      </w:r>
      <w:r w:rsidRPr="001B1D36">
        <w:rPr>
          <w:lang w:eastAsia="ja-JP"/>
        </w:rPr>
        <w:t>ation 3 was 83.2% for PMB80 (A22), 90.2% for PMB2001 (A56), 79.8% for PMB2948 (B24), and 85.9% for PMB2707 (B44)</w:t>
      </w:r>
      <w:r w:rsidR="00743EF5" w:rsidRPr="001B1D36">
        <w:rPr>
          <w:lang w:eastAsia="ja-JP"/>
        </w:rPr>
        <w:t>.</w:t>
      </w:r>
    </w:p>
    <w:p w:rsidR="00743EF5" w:rsidRPr="001B1D36" w:rsidRDefault="009E75AA" w:rsidP="00025BCE">
      <w:pPr>
        <w:rPr>
          <w:lang w:eastAsia="ja-JP"/>
        </w:rPr>
      </w:pPr>
      <w:proofErr w:type="spellStart"/>
      <w:proofErr w:type="gramStart"/>
      <w:r w:rsidRPr="001B1D36">
        <w:rPr>
          <w:lang w:eastAsia="ja-JP"/>
        </w:rPr>
        <w:t>hSBA</w:t>
      </w:r>
      <w:proofErr w:type="spellEnd"/>
      <w:proofErr w:type="gramEnd"/>
      <w:r w:rsidRPr="001B1D36">
        <w:rPr>
          <w:lang w:eastAsia="ja-JP"/>
        </w:rPr>
        <w:t xml:space="preserve"> responses for PMB80 (A22) and for PMB2948 (B24) in Groups 2 and 3 were numerically similar to those of Group 1 after </w:t>
      </w:r>
      <w:r w:rsidR="008B4D82" w:rsidRPr="001B1D36">
        <w:rPr>
          <w:lang w:eastAsia="ja-JP"/>
        </w:rPr>
        <w:t>V</w:t>
      </w:r>
      <w:r w:rsidRPr="001B1D36">
        <w:rPr>
          <w:lang w:eastAsia="ja-JP"/>
        </w:rPr>
        <w:t xml:space="preserve">accination 2 and </w:t>
      </w:r>
      <w:r w:rsidR="008B4D82" w:rsidRPr="001B1D36">
        <w:rPr>
          <w:lang w:eastAsia="ja-JP"/>
        </w:rPr>
        <w:t>V</w:t>
      </w:r>
      <w:r w:rsidRPr="001B1D36">
        <w:rPr>
          <w:lang w:eastAsia="ja-JP"/>
        </w:rPr>
        <w:t xml:space="preserve">accination 3. PMB2001 (A56) and PMB2707 (B44) were not assessed for Groups 2 and 3. The proportion of subjects with a composite response at </w:t>
      </w:r>
      <w:r w:rsidR="008B4D82" w:rsidRPr="001B1D36">
        <w:rPr>
          <w:lang w:eastAsia="ja-JP"/>
        </w:rPr>
        <w:t>Baseline</w:t>
      </w:r>
      <w:r w:rsidRPr="001B1D36">
        <w:rPr>
          <w:lang w:eastAsia="ja-JP"/>
        </w:rPr>
        <w:t xml:space="preserve"> for Group 1 was 1.1%, which was similar to the control group (2.0%; Group 4). In Group 1, the proportion of subjects achieving a composite response 1 month after the second and third vaccinations was 54.1% and 83.5%, respectively</w:t>
      </w:r>
      <w:r w:rsidR="00743EF5" w:rsidRPr="001B1D36">
        <w:rPr>
          <w:lang w:eastAsia="ja-JP"/>
        </w:rPr>
        <w:t>.</w:t>
      </w:r>
    </w:p>
    <w:p w:rsidR="00743EF5" w:rsidRPr="001B1D36" w:rsidRDefault="009E75AA" w:rsidP="00025BCE">
      <w:pPr>
        <w:rPr>
          <w:lang w:eastAsia="ja-JP"/>
        </w:rPr>
      </w:pPr>
      <w:r w:rsidRPr="001B1D36">
        <w:rPr>
          <w:lang w:eastAsia="ja-JP"/>
        </w:rPr>
        <w:t>The proportions of subjects in the control group (Group 4) who achieved composite responses 1 month after the second and third vaccinations were 2.9% and 2.8%, respectively</w:t>
      </w:r>
      <w:r w:rsidR="00743EF5" w:rsidRPr="001B1D36">
        <w:rPr>
          <w:lang w:eastAsia="ja-JP"/>
        </w:rPr>
        <w:t>.</w:t>
      </w:r>
    </w:p>
    <w:p w:rsidR="009E75AA" w:rsidRPr="001B1D36" w:rsidRDefault="009E75AA" w:rsidP="00025BCE">
      <w:pPr>
        <w:pStyle w:val="Heading6"/>
        <w:rPr>
          <w:lang w:eastAsia="ja-JP"/>
        </w:rPr>
      </w:pPr>
      <w:proofErr w:type="spellStart"/>
      <w:proofErr w:type="gramStart"/>
      <w:r w:rsidRPr="001B1D36">
        <w:rPr>
          <w:lang w:eastAsia="ja-JP"/>
        </w:rPr>
        <w:t>hSBA</w:t>
      </w:r>
      <w:proofErr w:type="spellEnd"/>
      <w:proofErr w:type="gramEnd"/>
      <w:r w:rsidRPr="001B1D36">
        <w:rPr>
          <w:lang w:eastAsia="ja-JP"/>
        </w:rPr>
        <w:t xml:space="preserve"> </w:t>
      </w:r>
      <w:r w:rsidR="00EA5CCB" w:rsidRPr="001B1D36">
        <w:rPr>
          <w:lang w:eastAsia="ja-JP"/>
        </w:rPr>
        <w:t>titre</w:t>
      </w:r>
      <w:r w:rsidRPr="001B1D36">
        <w:rPr>
          <w:lang w:eastAsia="ja-JP"/>
        </w:rPr>
        <w:t xml:space="preserve">s </w:t>
      </w:r>
      <w:r w:rsidR="00743EF5" w:rsidRPr="00DD25D7">
        <w:rPr>
          <w:rFonts w:eastAsia="MS Gothic"/>
        </w:rPr>
        <w:t xml:space="preserve">≥ </w:t>
      </w:r>
      <w:r w:rsidR="008B4D82" w:rsidRPr="001B1D36">
        <w:rPr>
          <w:lang w:eastAsia="ja-JP"/>
        </w:rPr>
        <w:t>LLOQ</w:t>
      </w:r>
    </w:p>
    <w:p w:rsidR="00743EF5" w:rsidRPr="001B1D36" w:rsidRDefault="009E75AA" w:rsidP="00025BCE">
      <w:pPr>
        <w:rPr>
          <w:lang w:eastAsia="ja-JP"/>
        </w:rPr>
      </w:pPr>
      <w:r w:rsidRPr="001B1D36">
        <w:rPr>
          <w:lang w:eastAsia="ja-JP"/>
        </w:rPr>
        <w:t xml:space="preserve">The proportions of subjects with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 xml:space="preserve">s </w:t>
      </w:r>
      <w:r w:rsidR="00743EF5" w:rsidRPr="00DD25D7">
        <w:t xml:space="preserve">≥ </w:t>
      </w:r>
      <w:r w:rsidRPr="001B1D36">
        <w:rPr>
          <w:lang w:eastAsia="ja-JP"/>
        </w:rPr>
        <w:t xml:space="preserve">LLOQ in Groups 1, 2 and 3 increased substantially from </w:t>
      </w:r>
      <w:r w:rsidR="008B4D82" w:rsidRPr="001B1D36">
        <w:rPr>
          <w:lang w:eastAsia="ja-JP"/>
        </w:rPr>
        <w:t>Baseline</w:t>
      </w:r>
      <w:r w:rsidRPr="001B1D36">
        <w:rPr>
          <w:lang w:eastAsia="ja-JP"/>
        </w:rPr>
        <w:t xml:space="preserve"> to 1 month after </w:t>
      </w:r>
      <w:r w:rsidR="00292798" w:rsidRPr="001B1D36">
        <w:rPr>
          <w:lang w:eastAsia="ja-JP"/>
        </w:rPr>
        <w:t>Vaccin</w:t>
      </w:r>
      <w:r w:rsidRPr="001B1D36">
        <w:rPr>
          <w:lang w:eastAsia="ja-JP"/>
        </w:rPr>
        <w:t xml:space="preserve">ation 2 with an additional increase 1 month after </w:t>
      </w:r>
      <w:r w:rsidR="00292798" w:rsidRPr="001B1D36">
        <w:rPr>
          <w:lang w:eastAsia="ja-JP"/>
        </w:rPr>
        <w:t>Vaccin</w:t>
      </w:r>
      <w:r w:rsidRPr="001B1D36">
        <w:rPr>
          <w:lang w:eastAsia="ja-JP"/>
        </w:rPr>
        <w:t xml:space="preserve">ation 3. After </w:t>
      </w:r>
      <w:r w:rsidR="00292798" w:rsidRPr="001B1D36">
        <w:rPr>
          <w:lang w:eastAsia="ja-JP"/>
        </w:rPr>
        <w:t>Vaccin</w:t>
      </w:r>
      <w:r w:rsidRPr="001B1D36">
        <w:rPr>
          <w:lang w:eastAsia="ja-JP"/>
        </w:rPr>
        <w:t xml:space="preserve">ation 2 the proportion of responders in Group 1 with </w:t>
      </w:r>
      <w:r w:rsidR="00EA5CCB" w:rsidRPr="001B1D36">
        <w:rPr>
          <w:lang w:eastAsia="ja-JP"/>
        </w:rPr>
        <w:t>titre</w:t>
      </w:r>
      <w:r w:rsidRPr="001B1D36">
        <w:rPr>
          <w:lang w:eastAsia="ja-JP"/>
        </w:rPr>
        <w:t xml:space="preserve">s at </w:t>
      </w:r>
      <w:r w:rsidR="008B4D82" w:rsidRPr="00DD25D7">
        <w:t>≥ </w:t>
      </w:r>
      <w:r w:rsidRPr="001B1D36">
        <w:rPr>
          <w:lang w:eastAsia="ja-JP"/>
        </w:rPr>
        <w:t xml:space="preserve">LLOQ was as follows: 94.3% for PMB80 (A22); 99.1% for PMB2001 (A56); 66.4% for PMB2948 (B24); and 64.0% for PMB2707 (B44). Results for PMB80 (A22) and PMB2948 (B24) in Groups 2 and 3 were numerically similar to those of Group 1. The proportion of responders in Group 1 one month after </w:t>
      </w:r>
      <w:r w:rsidR="00292798" w:rsidRPr="001B1D36">
        <w:rPr>
          <w:lang w:eastAsia="ja-JP"/>
        </w:rPr>
        <w:t>Vaccin</w:t>
      </w:r>
      <w:r w:rsidRPr="001B1D36">
        <w:rPr>
          <w:lang w:eastAsia="ja-JP"/>
        </w:rPr>
        <w:t>ation 3 was 97.8% for PMB80 (A22); 99.5% for PMB2001 (A56); 87.1% for PMB2948 (B24); and 89.3% for PMB2707 (B44). Results for PMB80 (A22) and PMB2948 (B24) in Groups 2 and 3 were numerically similar to those of Group 1</w:t>
      </w:r>
      <w:r w:rsidR="00743EF5" w:rsidRPr="001B1D36">
        <w:rPr>
          <w:lang w:eastAsia="ja-JP"/>
        </w:rPr>
        <w:t>.</w:t>
      </w:r>
    </w:p>
    <w:p w:rsidR="00743EF5" w:rsidRPr="001B1D36" w:rsidRDefault="009E75AA" w:rsidP="00025BCE">
      <w:pPr>
        <w:rPr>
          <w:lang w:eastAsia="ja-JP"/>
        </w:rPr>
      </w:pPr>
      <w:r w:rsidRPr="001B1D36">
        <w:rPr>
          <w:lang w:eastAsia="ja-JP"/>
        </w:rPr>
        <w:t xml:space="preserve">The responses in Group 4 (HAV/Saline) did not change (from </w:t>
      </w:r>
      <w:r w:rsidR="008B4D82" w:rsidRPr="001B1D36">
        <w:rPr>
          <w:lang w:eastAsia="ja-JP"/>
        </w:rPr>
        <w:t>Baseline</w:t>
      </w:r>
      <w:r w:rsidRPr="001B1D36">
        <w:rPr>
          <w:lang w:eastAsia="ja-JP"/>
        </w:rPr>
        <w:t>) over time</w:t>
      </w:r>
      <w:r w:rsidR="00743EF5" w:rsidRPr="001B1D36">
        <w:rPr>
          <w:lang w:eastAsia="ja-JP"/>
        </w:rPr>
        <w:t>.</w:t>
      </w:r>
    </w:p>
    <w:p w:rsidR="009E75AA" w:rsidRPr="001B1D36" w:rsidRDefault="008B4D82" w:rsidP="00025BCE">
      <w:pPr>
        <w:pStyle w:val="Heading6"/>
        <w:rPr>
          <w:lang w:eastAsia="ja-JP"/>
        </w:rPr>
      </w:pPr>
      <w:r w:rsidRPr="001B1D36">
        <w:rPr>
          <w:lang w:eastAsia="ja-JP"/>
        </w:rPr>
        <w:t xml:space="preserve">Defined </w:t>
      </w:r>
      <w:r w:rsidR="003D5E26" w:rsidRPr="001B1D36">
        <w:rPr>
          <w:lang w:eastAsia="ja-JP"/>
        </w:rPr>
        <w:t>l</w:t>
      </w:r>
      <w:r w:rsidRPr="001B1D36">
        <w:rPr>
          <w:lang w:eastAsia="ja-JP"/>
        </w:rPr>
        <w:t xml:space="preserve">evels of </w:t>
      </w:r>
      <w:proofErr w:type="spellStart"/>
      <w:r w:rsidRPr="001B1D36">
        <w:rPr>
          <w:lang w:eastAsia="ja-JP"/>
        </w:rPr>
        <w:t>hSBA</w:t>
      </w:r>
      <w:proofErr w:type="spellEnd"/>
      <w:r w:rsidRPr="001B1D36">
        <w:rPr>
          <w:lang w:eastAsia="ja-JP"/>
        </w:rPr>
        <w:t xml:space="preserve"> </w:t>
      </w:r>
      <w:r w:rsidR="003D5E26" w:rsidRPr="001B1D36">
        <w:rPr>
          <w:lang w:eastAsia="ja-JP"/>
        </w:rPr>
        <w:t>t</w:t>
      </w:r>
      <w:r w:rsidR="00EA5CCB" w:rsidRPr="001B1D36">
        <w:rPr>
          <w:lang w:eastAsia="ja-JP"/>
        </w:rPr>
        <w:t>itre</w:t>
      </w:r>
      <w:r w:rsidRPr="001B1D36">
        <w:rPr>
          <w:lang w:eastAsia="ja-JP"/>
        </w:rPr>
        <w:t>s</w:t>
      </w:r>
    </w:p>
    <w:p w:rsidR="00743EF5" w:rsidRPr="001B1D36" w:rsidRDefault="009E75AA" w:rsidP="00025BCE">
      <w:pPr>
        <w:rPr>
          <w:lang w:eastAsia="ja-JP"/>
        </w:rPr>
      </w:pPr>
      <w:r w:rsidRPr="001B1D36">
        <w:rPr>
          <w:lang w:eastAsia="ja-JP"/>
        </w:rPr>
        <w:t xml:space="preserve">One month after </w:t>
      </w:r>
      <w:r w:rsidR="008B4D82" w:rsidRPr="001B1D36">
        <w:rPr>
          <w:lang w:eastAsia="ja-JP"/>
        </w:rPr>
        <w:t>Vaccination</w:t>
      </w:r>
      <w:r w:rsidRPr="001B1D36">
        <w:rPr>
          <w:lang w:eastAsia="ja-JP"/>
        </w:rPr>
        <w:t xml:space="preserve"> 2, the proportions of subjects in Group 1 with an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 xml:space="preserve"> </w:t>
      </w:r>
      <w:r w:rsidR="00743EF5" w:rsidRPr="00DD25D7">
        <w:t xml:space="preserve">≥ </w:t>
      </w:r>
      <w:r w:rsidRPr="001B1D36">
        <w:rPr>
          <w:lang w:eastAsia="ja-JP"/>
        </w:rPr>
        <w:t>1:4 were 94.9% for PMB80 (A22), 99.1% for PMB2001 (A56), 69.2% for PMB2948 (B24), and 66.7% for PMB2707 (B44)</w:t>
      </w:r>
      <w:r w:rsidR="00743EF5" w:rsidRPr="001B1D36">
        <w:rPr>
          <w:lang w:eastAsia="ja-JP"/>
        </w:rPr>
        <w:t>.</w:t>
      </w:r>
    </w:p>
    <w:p w:rsidR="00743EF5" w:rsidRPr="001B1D36" w:rsidRDefault="009E75AA" w:rsidP="00025BCE">
      <w:pPr>
        <w:rPr>
          <w:lang w:eastAsia="ja-JP"/>
        </w:rPr>
      </w:pPr>
      <w:r w:rsidRPr="001B1D36">
        <w:rPr>
          <w:lang w:eastAsia="ja-JP"/>
        </w:rPr>
        <w:t xml:space="preserve">One month after </w:t>
      </w:r>
      <w:r w:rsidR="008B4D82" w:rsidRPr="001B1D36">
        <w:rPr>
          <w:lang w:eastAsia="ja-JP"/>
        </w:rPr>
        <w:t>Vaccination</w:t>
      </w:r>
      <w:r w:rsidRPr="001B1D36">
        <w:rPr>
          <w:lang w:eastAsia="ja-JP"/>
        </w:rPr>
        <w:t xml:space="preserve"> 3, the proportions of responders in Group 1 with an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 xml:space="preserve"> </w:t>
      </w:r>
      <w:r w:rsidR="00743EF5" w:rsidRPr="00DD25D7">
        <w:t>≥</w:t>
      </w:r>
      <w:r w:rsidR="001B1D36">
        <w:t> </w:t>
      </w:r>
      <w:r w:rsidRPr="001B1D36">
        <w:rPr>
          <w:lang w:eastAsia="ja-JP"/>
        </w:rPr>
        <w:t>1:4 were 97.9% for PMB80 (A22), 99.5% for PMB2001 (A56), 88.9% for PMB2948 (B24), and 90.4% for PMB2707 (B44). Results for PMB80 (A22) and PMB2948 (B24) in Groups 2 and 3 were numerically similar to those of Group 1</w:t>
      </w:r>
      <w:r w:rsidR="00743EF5" w:rsidRPr="001B1D36">
        <w:rPr>
          <w:lang w:eastAsia="ja-JP"/>
        </w:rPr>
        <w:t>.</w:t>
      </w:r>
    </w:p>
    <w:p w:rsidR="00743EF5" w:rsidRPr="001B1D36" w:rsidRDefault="009E75AA" w:rsidP="00025BCE">
      <w:pPr>
        <w:rPr>
          <w:lang w:eastAsia="ja-JP"/>
        </w:rPr>
      </w:pPr>
      <w:r w:rsidRPr="001B1D36">
        <w:rPr>
          <w:lang w:eastAsia="ja-JP"/>
        </w:rPr>
        <w:t xml:space="preserve">The responses in Group 4 (HAV/Saline) did not change (from </w:t>
      </w:r>
      <w:r w:rsidR="008B4D82" w:rsidRPr="001B1D36">
        <w:rPr>
          <w:lang w:eastAsia="ja-JP"/>
        </w:rPr>
        <w:t>Baseline</w:t>
      </w:r>
      <w:r w:rsidRPr="001B1D36">
        <w:rPr>
          <w:lang w:eastAsia="ja-JP"/>
        </w:rPr>
        <w:t>) over time for each primary test strain</w:t>
      </w:r>
      <w:r w:rsidR="00743EF5" w:rsidRPr="001B1D36">
        <w:rPr>
          <w:lang w:eastAsia="ja-JP"/>
        </w:rPr>
        <w:t>.</w:t>
      </w:r>
    </w:p>
    <w:p w:rsidR="009E75AA" w:rsidRPr="001B1D36" w:rsidRDefault="008B4D82" w:rsidP="00025BCE">
      <w:pPr>
        <w:pStyle w:val="Heading6"/>
        <w:rPr>
          <w:lang w:eastAsia="ja-JP"/>
        </w:rPr>
      </w:pPr>
      <w:proofErr w:type="spellStart"/>
      <w:proofErr w:type="gramStart"/>
      <w:r w:rsidRPr="001B1D36">
        <w:rPr>
          <w:lang w:eastAsia="ja-JP"/>
        </w:rPr>
        <w:t>hSBA</w:t>
      </w:r>
      <w:proofErr w:type="spellEnd"/>
      <w:proofErr w:type="gramEnd"/>
      <w:r w:rsidRPr="001B1D36">
        <w:rPr>
          <w:lang w:eastAsia="ja-JP"/>
        </w:rPr>
        <w:t xml:space="preserve"> GMTs</w:t>
      </w:r>
    </w:p>
    <w:p w:rsidR="00743EF5" w:rsidRPr="001B1D36" w:rsidRDefault="009E75AA" w:rsidP="00025BCE">
      <w:pPr>
        <w:rPr>
          <w:lang w:eastAsia="ja-JP"/>
        </w:rPr>
      </w:pPr>
      <w:r w:rsidRPr="001B1D36">
        <w:rPr>
          <w:lang w:eastAsia="ja-JP"/>
        </w:rPr>
        <w:t xml:space="preserve">The </w:t>
      </w:r>
      <w:proofErr w:type="spellStart"/>
      <w:r w:rsidRPr="001B1D36">
        <w:rPr>
          <w:lang w:eastAsia="ja-JP"/>
        </w:rPr>
        <w:t>hSBA</w:t>
      </w:r>
      <w:proofErr w:type="spellEnd"/>
      <w:r w:rsidRPr="001B1D36">
        <w:rPr>
          <w:lang w:eastAsia="ja-JP"/>
        </w:rPr>
        <w:t xml:space="preserve"> GMTs in Group 1 at 1 month after </w:t>
      </w:r>
      <w:r w:rsidR="008B4D82" w:rsidRPr="001B1D36">
        <w:rPr>
          <w:lang w:eastAsia="ja-JP"/>
        </w:rPr>
        <w:t>Vaccination</w:t>
      </w:r>
      <w:r w:rsidRPr="001B1D36">
        <w:rPr>
          <w:lang w:eastAsia="ja-JP"/>
        </w:rPr>
        <w:t xml:space="preserve"> 2 were 50.4 for PMB80 (A22), 131.2 for PMB2001 (A56), 14.3 for PMB2948 (B24), and 17.1 for PMB2707 (B44). The </w:t>
      </w:r>
      <w:proofErr w:type="spellStart"/>
      <w:r w:rsidRPr="001B1D36">
        <w:rPr>
          <w:lang w:eastAsia="ja-JP"/>
        </w:rPr>
        <w:t>hSBA</w:t>
      </w:r>
      <w:proofErr w:type="spellEnd"/>
      <w:r w:rsidRPr="001B1D36">
        <w:rPr>
          <w:lang w:eastAsia="ja-JP"/>
        </w:rPr>
        <w:t xml:space="preserve"> GMTs in Group 1 at 1 month after </w:t>
      </w:r>
      <w:r w:rsidR="008B4D82" w:rsidRPr="001B1D36">
        <w:rPr>
          <w:lang w:eastAsia="ja-JP"/>
        </w:rPr>
        <w:t>Vaccination</w:t>
      </w:r>
      <w:r w:rsidRPr="001B1D36">
        <w:rPr>
          <w:lang w:eastAsia="ja-JP"/>
        </w:rPr>
        <w:t xml:space="preserve"> 3 were 86.8 for PMB80 (A22), 222.5 for PMB2001 (A56), 24.1 for PMB2948 (B24), and 50.9 for PMB2707 (B44)</w:t>
      </w:r>
      <w:r w:rsidR="00743EF5" w:rsidRPr="001B1D36">
        <w:rPr>
          <w:lang w:eastAsia="ja-JP"/>
        </w:rPr>
        <w:t>.</w:t>
      </w:r>
    </w:p>
    <w:p w:rsidR="00743EF5" w:rsidRPr="001B1D36" w:rsidRDefault="009E75AA" w:rsidP="00025BCE">
      <w:pPr>
        <w:rPr>
          <w:lang w:eastAsia="ja-JP"/>
        </w:rPr>
      </w:pPr>
      <w:r w:rsidRPr="001B1D36">
        <w:rPr>
          <w:lang w:eastAsia="ja-JP"/>
        </w:rPr>
        <w:t xml:space="preserve">The </w:t>
      </w:r>
      <w:proofErr w:type="spellStart"/>
      <w:r w:rsidRPr="001B1D36">
        <w:rPr>
          <w:lang w:eastAsia="ja-JP"/>
        </w:rPr>
        <w:t>hSBA</w:t>
      </w:r>
      <w:proofErr w:type="spellEnd"/>
      <w:r w:rsidRPr="001B1D36">
        <w:rPr>
          <w:lang w:eastAsia="ja-JP"/>
        </w:rPr>
        <w:t xml:space="preserve"> GMTs for the 4 primary test strains increased substantially from </w:t>
      </w:r>
      <w:r w:rsidR="008B4D82" w:rsidRPr="001B1D36">
        <w:rPr>
          <w:lang w:eastAsia="ja-JP"/>
        </w:rPr>
        <w:t>Baseline</w:t>
      </w:r>
      <w:r w:rsidRPr="001B1D36">
        <w:rPr>
          <w:lang w:eastAsia="ja-JP"/>
        </w:rPr>
        <w:t xml:space="preserve"> in Group 1 and for PMB80 (A22) and PMB2948 (B24) in Group 2 and Group 3 at 1 month after </w:t>
      </w:r>
      <w:r w:rsidR="008B4D82" w:rsidRPr="001B1D36">
        <w:rPr>
          <w:lang w:eastAsia="ja-JP"/>
        </w:rPr>
        <w:t>Vaccination </w:t>
      </w:r>
      <w:r w:rsidRPr="001B1D36">
        <w:rPr>
          <w:lang w:eastAsia="ja-JP"/>
        </w:rPr>
        <w:t xml:space="preserve">2 and </w:t>
      </w:r>
      <w:r w:rsidR="008B4D82" w:rsidRPr="001B1D36">
        <w:rPr>
          <w:lang w:eastAsia="ja-JP"/>
        </w:rPr>
        <w:t>Vaccination</w:t>
      </w:r>
      <w:r w:rsidRPr="001B1D36">
        <w:rPr>
          <w:lang w:eastAsia="ja-JP"/>
        </w:rPr>
        <w:t xml:space="preserve"> 3; </w:t>
      </w:r>
      <w:proofErr w:type="spellStart"/>
      <w:r w:rsidRPr="001B1D36">
        <w:rPr>
          <w:lang w:eastAsia="ja-JP"/>
        </w:rPr>
        <w:t>hSBA</w:t>
      </w:r>
      <w:proofErr w:type="spellEnd"/>
      <w:r w:rsidRPr="001B1D36">
        <w:rPr>
          <w:lang w:eastAsia="ja-JP"/>
        </w:rPr>
        <w:t xml:space="preserve"> GMTs also increased from </w:t>
      </w:r>
      <w:r w:rsidR="008B4D82" w:rsidRPr="001B1D36">
        <w:rPr>
          <w:lang w:eastAsia="ja-JP"/>
        </w:rPr>
        <w:t>Vaccination</w:t>
      </w:r>
      <w:r w:rsidRPr="001B1D36">
        <w:rPr>
          <w:lang w:eastAsia="ja-JP"/>
        </w:rPr>
        <w:t xml:space="preserve"> 2 to after </w:t>
      </w:r>
      <w:r w:rsidR="008B4D82" w:rsidRPr="001B1D36">
        <w:rPr>
          <w:lang w:eastAsia="ja-JP"/>
        </w:rPr>
        <w:lastRenderedPageBreak/>
        <w:t>Vaccination</w:t>
      </w:r>
      <w:r w:rsidRPr="001B1D36">
        <w:rPr>
          <w:lang w:eastAsia="ja-JP"/>
        </w:rPr>
        <w:t xml:space="preserve"> 3 for Groups 1, 2, and 3. </w:t>
      </w:r>
      <w:proofErr w:type="spellStart"/>
      <w:proofErr w:type="gramStart"/>
      <w:r w:rsidRPr="001B1D36">
        <w:rPr>
          <w:lang w:eastAsia="ja-JP"/>
        </w:rPr>
        <w:t>hSBA</w:t>
      </w:r>
      <w:proofErr w:type="spellEnd"/>
      <w:proofErr w:type="gramEnd"/>
      <w:r w:rsidRPr="001B1D36">
        <w:rPr>
          <w:lang w:eastAsia="ja-JP"/>
        </w:rPr>
        <w:t xml:space="preserve"> GMTs in each group were notably higher when compared to </w:t>
      </w:r>
      <w:proofErr w:type="spellStart"/>
      <w:r w:rsidRPr="001B1D36">
        <w:rPr>
          <w:lang w:eastAsia="ja-JP"/>
        </w:rPr>
        <w:t>hSBA</w:t>
      </w:r>
      <w:proofErr w:type="spellEnd"/>
      <w:r w:rsidRPr="001B1D36">
        <w:rPr>
          <w:lang w:eastAsia="ja-JP"/>
        </w:rPr>
        <w:t xml:space="preserve"> GMTs in Group 4 (HAV/Saline) at both time points</w:t>
      </w:r>
      <w:r w:rsidR="00743EF5" w:rsidRPr="001B1D36">
        <w:rPr>
          <w:lang w:eastAsia="ja-JP"/>
        </w:rPr>
        <w:t>.</w:t>
      </w:r>
    </w:p>
    <w:p w:rsidR="009E75AA" w:rsidRPr="001B1D36" w:rsidRDefault="003C2371" w:rsidP="00025BCE">
      <w:pPr>
        <w:pStyle w:val="Heading6"/>
        <w:rPr>
          <w:lang w:eastAsia="ja-JP"/>
        </w:rPr>
      </w:pPr>
      <w:r w:rsidRPr="001B1D36">
        <w:rPr>
          <w:lang w:eastAsia="ja-JP"/>
        </w:rPr>
        <w:t xml:space="preserve">Reverse </w:t>
      </w:r>
      <w:r w:rsidR="003D5E26" w:rsidRPr="001B1D36">
        <w:rPr>
          <w:lang w:eastAsia="ja-JP"/>
        </w:rPr>
        <w:t xml:space="preserve">cumulative distribution curves for the primary </w:t>
      </w:r>
      <w:proofErr w:type="spellStart"/>
      <w:r w:rsidRPr="001B1D36">
        <w:rPr>
          <w:lang w:eastAsia="ja-JP"/>
        </w:rPr>
        <w:t>MnB</w:t>
      </w:r>
      <w:proofErr w:type="spellEnd"/>
      <w:r w:rsidRPr="001B1D36">
        <w:rPr>
          <w:lang w:eastAsia="ja-JP"/>
        </w:rPr>
        <w:t xml:space="preserve"> </w:t>
      </w:r>
      <w:r w:rsidR="003D5E26" w:rsidRPr="001B1D36">
        <w:rPr>
          <w:lang w:eastAsia="ja-JP"/>
        </w:rPr>
        <w:t>test strains</w:t>
      </w:r>
    </w:p>
    <w:p w:rsidR="00743EF5" w:rsidRPr="001B1D36" w:rsidRDefault="009E75AA" w:rsidP="00025BCE">
      <w:pPr>
        <w:rPr>
          <w:lang w:eastAsia="ja-JP"/>
        </w:rPr>
      </w:pPr>
      <w:r w:rsidRPr="001B1D36">
        <w:rPr>
          <w:lang w:eastAsia="ja-JP"/>
        </w:rPr>
        <w:t xml:space="preserve">The reverse cumulative distribution curves (RCDCs) showing the distribution of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s for PMB80 (A22), PMB2001 (A56), PMB2948 (B24), and PMB2707 (B44) by study group are presented in Figure</w:t>
      </w:r>
      <w:r w:rsidR="00E65C1B" w:rsidRPr="001B1D36">
        <w:rPr>
          <w:lang w:eastAsia="ja-JP"/>
        </w:rPr>
        <w:t>s</w:t>
      </w:r>
      <w:r w:rsidRPr="001B1D36">
        <w:rPr>
          <w:lang w:eastAsia="ja-JP"/>
        </w:rPr>
        <w:t xml:space="preserve"> 1-4 for Groups 1, 2, 3, and 4 at all sampling time points for the evaluable immunogenicity population. The RCDCs showed that a substantially high proportion of subjects achieved the LLOQ for each of the 4 test strains after </w:t>
      </w:r>
      <w:r w:rsidR="008B4D82" w:rsidRPr="001B1D36">
        <w:rPr>
          <w:lang w:eastAsia="ja-JP"/>
        </w:rPr>
        <w:t>Vaccination</w:t>
      </w:r>
      <w:r w:rsidRPr="001B1D36">
        <w:rPr>
          <w:lang w:eastAsia="ja-JP"/>
        </w:rPr>
        <w:t xml:space="preserve"> 2 and an even higher proportion of subjects achieved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 xml:space="preserve">s </w:t>
      </w:r>
      <w:r w:rsidR="00743EF5" w:rsidRPr="00DD25D7">
        <w:t xml:space="preserve">≥ </w:t>
      </w:r>
      <w:r w:rsidRPr="001B1D36">
        <w:rPr>
          <w:lang w:eastAsia="ja-JP"/>
        </w:rPr>
        <w:t xml:space="preserve">LOQ after </w:t>
      </w:r>
      <w:r w:rsidR="008B4D82" w:rsidRPr="001B1D36">
        <w:rPr>
          <w:lang w:eastAsia="ja-JP"/>
        </w:rPr>
        <w:t>Vaccination</w:t>
      </w:r>
      <w:r w:rsidRPr="001B1D36">
        <w:rPr>
          <w:lang w:eastAsia="ja-JP"/>
        </w:rPr>
        <w:t xml:space="preserve"> 3. The curves were similar for Groups 1, 2, and 3. </w:t>
      </w:r>
      <w:r w:rsidR="00EA5CCB" w:rsidRPr="001B1D36">
        <w:rPr>
          <w:lang w:eastAsia="ja-JP"/>
        </w:rPr>
        <w:t>Titre</w:t>
      </w:r>
      <w:r w:rsidRPr="001B1D36">
        <w:rPr>
          <w:lang w:eastAsia="ja-JP"/>
        </w:rPr>
        <w:t>s were below the LLOQ for a large majority of subjects in the control group (Group 4)</w:t>
      </w:r>
      <w:r w:rsidR="00743EF5" w:rsidRPr="001B1D36">
        <w:rPr>
          <w:lang w:eastAsia="ja-JP"/>
        </w:rPr>
        <w:t>.</w:t>
      </w:r>
    </w:p>
    <w:p w:rsidR="00E65C1B" w:rsidRPr="001B1D36" w:rsidRDefault="00E65C1B" w:rsidP="00E65C1B">
      <w:pPr>
        <w:pStyle w:val="FigureTitle"/>
        <w:keepNext/>
      </w:pPr>
      <w:bookmarkStart w:id="56" w:name="_Ref462405801"/>
      <w:bookmarkStart w:id="57" w:name="_Toc464821200"/>
      <w:r w:rsidRPr="00DD25D7">
        <w:lastRenderedPageBreak/>
        <w:t>Figure</w:t>
      </w:r>
      <w:bookmarkEnd w:id="56"/>
      <w:r w:rsidR="00D72802" w:rsidRPr="00DD25D7">
        <w:t xml:space="preserve"> 1:</w:t>
      </w:r>
      <w:r w:rsidRPr="00DD25D7">
        <w:t xml:space="preserve"> Reverse </w:t>
      </w:r>
      <w:r w:rsidR="00D72802" w:rsidRPr="001B1D36">
        <w:t>cumulative distribution curves</w:t>
      </w:r>
      <w:r w:rsidRPr="001B1D36">
        <w:t xml:space="preserve">, PMB80 (A22), </w:t>
      </w:r>
      <w:r w:rsidR="00D72802" w:rsidRPr="001B1D36">
        <w:t>evaluable immunogenicity population;</w:t>
      </w:r>
      <w:r w:rsidRPr="001B1D36">
        <w:t xml:space="preserve"> Study B1971009</w:t>
      </w:r>
      <w:bookmarkEnd w:id="57"/>
    </w:p>
    <w:p w:rsidR="00E65C1B" w:rsidRPr="001B1D36" w:rsidRDefault="00E65C1B" w:rsidP="00025BCE">
      <w:pPr>
        <w:rPr>
          <w:lang w:eastAsia="ja-JP"/>
        </w:rPr>
      </w:pPr>
      <w:r w:rsidRPr="00DD25D7">
        <w:rPr>
          <w:noProof/>
          <w:lang w:eastAsia="en-AU"/>
        </w:rPr>
        <w:drawing>
          <wp:inline distT="0" distB="0" distL="0" distR="0" wp14:anchorId="3B495A67" wp14:editId="081DE754">
            <wp:extent cx="4701654" cy="6452510"/>
            <wp:effectExtent l="0" t="0" r="3810" b="5715"/>
            <wp:docPr id="4" name="Picture 4" descr="Figure 1: Reverse cumulative distribution curves, PMB80 (A22), evaluable immunogenicity population; Study B197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01203" cy="6451891"/>
                    </a:xfrm>
                    <a:prstGeom prst="rect">
                      <a:avLst/>
                    </a:prstGeom>
                  </pic:spPr>
                </pic:pic>
              </a:graphicData>
            </a:graphic>
          </wp:inline>
        </w:drawing>
      </w:r>
    </w:p>
    <w:p w:rsidR="00E65C1B" w:rsidRPr="001B1D36" w:rsidRDefault="00E65C1B" w:rsidP="00E65C1B">
      <w:pPr>
        <w:pStyle w:val="FigureTitle"/>
        <w:keepNext/>
      </w:pPr>
      <w:bookmarkStart w:id="58" w:name="_Toc464821201"/>
      <w:r w:rsidRPr="00DD25D7">
        <w:lastRenderedPageBreak/>
        <w:t xml:space="preserve">Figure </w:t>
      </w:r>
      <w:r w:rsidR="00D72802" w:rsidRPr="00DD25D7">
        <w:t>2:</w:t>
      </w:r>
      <w:r w:rsidRPr="00DD25D7">
        <w:t xml:space="preserve"> Reverse </w:t>
      </w:r>
      <w:r w:rsidR="00D72802" w:rsidRPr="001B1D36">
        <w:t>cumulative distribution curves</w:t>
      </w:r>
      <w:r w:rsidRPr="001B1D36">
        <w:t xml:space="preserve">, PMB2001 (A56), </w:t>
      </w:r>
      <w:r w:rsidR="00D72802" w:rsidRPr="001B1D36">
        <w:t>eval</w:t>
      </w:r>
      <w:r w:rsidR="0003705D" w:rsidRPr="001B1D36">
        <w:t>uable immunogenicity population;</w:t>
      </w:r>
      <w:r w:rsidRPr="001B1D36">
        <w:t xml:space="preserve"> Study B1971009</w:t>
      </w:r>
      <w:bookmarkEnd w:id="58"/>
    </w:p>
    <w:p w:rsidR="00E65C1B" w:rsidRPr="001B1D36" w:rsidRDefault="00E65C1B" w:rsidP="00025BCE">
      <w:pPr>
        <w:rPr>
          <w:lang w:eastAsia="ja-JP"/>
        </w:rPr>
      </w:pPr>
      <w:r w:rsidRPr="00DD25D7">
        <w:rPr>
          <w:noProof/>
          <w:lang w:eastAsia="en-AU"/>
        </w:rPr>
        <w:drawing>
          <wp:inline distT="0" distB="0" distL="0" distR="0" wp14:anchorId="7E40470C" wp14:editId="02F286C8">
            <wp:extent cx="4817961" cy="6373504"/>
            <wp:effectExtent l="0" t="0" r="1905" b="8255"/>
            <wp:docPr id="16" name="Picture 16" descr="Figure 2: Reverse cumulative distribution curves, PMB2001 (A56), evaluable immunogenicity population; Study B197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18389" cy="6374070"/>
                    </a:xfrm>
                    <a:prstGeom prst="rect">
                      <a:avLst/>
                    </a:prstGeom>
                  </pic:spPr>
                </pic:pic>
              </a:graphicData>
            </a:graphic>
          </wp:inline>
        </w:drawing>
      </w:r>
    </w:p>
    <w:p w:rsidR="00E65C1B" w:rsidRPr="001B1D36" w:rsidRDefault="00E65C1B" w:rsidP="00E65C1B">
      <w:pPr>
        <w:pStyle w:val="FigureTitle"/>
        <w:keepNext/>
      </w:pPr>
      <w:bookmarkStart w:id="59" w:name="_Toc464821202"/>
      <w:r w:rsidRPr="00DD25D7">
        <w:lastRenderedPageBreak/>
        <w:t xml:space="preserve">Figure </w:t>
      </w:r>
      <w:r w:rsidR="0003705D" w:rsidRPr="00DD25D7">
        <w:t>3:</w:t>
      </w:r>
      <w:r w:rsidRPr="001B1D36">
        <w:t xml:space="preserve"> Reverse </w:t>
      </w:r>
      <w:r w:rsidR="0003705D" w:rsidRPr="001B1D36">
        <w:t>cumulative distribution curves</w:t>
      </w:r>
      <w:r w:rsidRPr="001B1D36">
        <w:t xml:space="preserve">, PMB2948 (B24), </w:t>
      </w:r>
      <w:r w:rsidR="0003705D" w:rsidRPr="001B1D36">
        <w:t xml:space="preserve">evaluable immunogenicity population; </w:t>
      </w:r>
      <w:r w:rsidRPr="001B1D36">
        <w:t>Study B1971009</w:t>
      </w:r>
      <w:bookmarkEnd w:id="59"/>
    </w:p>
    <w:p w:rsidR="00E65C1B" w:rsidRPr="001B1D36" w:rsidRDefault="00E65C1B" w:rsidP="00025BCE">
      <w:pPr>
        <w:rPr>
          <w:lang w:eastAsia="ja-JP"/>
        </w:rPr>
      </w:pPr>
      <w:r w:rsidRPr="00DD25D7">
        <w:rPr>
          <w:noProof/>
          <w:lang w:eastAsia="en-AU"/>
        </w:rPr>
        <w:drawing>
          <wp:inline distT="0" distB="0" distL="0" distR="0" wp14:anchorId="2D295E08" wp14:editId="2709154D">
            <wp:extent cx="4633415" cy="6141750"/>
            <wp:effectExtent l="0" t="0" r="0" b="0"/>
            <wp:docPr id="17" name="Picture 17" descr="Figure 3: Reverse cumulative distribution curves, PMB2948 (B24), evaluable immunogenicity population; Study B197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34838" cy="6143637"/>
                    </a:xfrm>
                    <a:prstGeom prst="rect">
                      <a:avLst/>
                    </a:prstGeom>
                  </pic:spPr>
                </pic:pic>
              </a:graphicData>
            </a:graphic>
          </wp:inline>
        </w:drawing>
      </w:r>
    </w:p>
    <w:p w:rsidR="00E65C1B" w:rsidRPr="001B1D36" w:rsidRDefault="00E65C1B" w:rsidP="00E65C1B">
      <w:pPr>
        <w:pStyle w:val="FigureTitle"/>
        <w:keepNext/>
      </w:pPr>
      <w:bookmarkStart w:id="60" w:name="_Toc464821203"/>
      <w:r w:rsidRPr="00DD25D7">
        <w:lastRenderedPageBreak/>
        <w:t xml:space="preserve">Figure </w:t>
      </w:r>
      <w:r w:rsidR="0003705D" w:rsidRPr="00DD25D7">
        <w:t>4:</w:t>
      </w:r>
      <w:r w:rsidRPr="001B1D36">
        <w:t xml:space="preserve"> Reverse </w:t>
      </w:r>
      <w:r w:rsidR="0003705D" w:rsidRPr="001B1D36">
        <w:t>cumulative distribution curves</w:t>
      </w:r>
      <w:r w:rsidRPr="001B1D36">
        <w:t xml:space="preserve">, PMB2707 (B44), </w:t>
      </w:r>
      <w:r w:rsidR="0003705D" w:rsidRPr="001B1D36">
        <w:t>evaluable immunogenicity population;</w:t>
      </w:r>
      <w:r w:rsidRPr="001B1D36">
        <w:t xml:space="preserve"> Study B1971009</w:t>
      </w:r>
      <w:bookmarkEnd w:id="60"/>
    </w:p>
    <w:p w:rsidR="00E65C1B" w:rsidRPr="001B1D36" w:rsidRDefault="00E65C1B" w:rsidP="00025BCE">
      <w:pPr>
        <w:rPr>
          <w:lang w:eastAsia="ja-JP"/>
        </w:rPr>
      </w:pPr>
      <w:r w:rsidRPr="00DD25D7">
        <w:rPr>
          <w:noProof/>
          <w:lang w:eastAsia="en-AU"/>
        </w:rPr>
        <w:drawing>
          <wp:inline distT="0" distB="0" distL="0" distR="0" wp14:anchorId="228304E4" wp14:editId="175F511C">
            <wp:extent cx="4920018" cy="6529011"/>
            <wp:effectExtent l="0" t="0" r="0" b="5715"/>
            <wp:docPr id="18" name="Picture 18" descr="Figure 4: Reverse cumulative distribution curves, PMB2707 (B44), evaluable immunogenicity population; Study B197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19546" cy="6528385"/>
                    </a:xfrm>
                    <a:prstGeom prst="rect">
                      <a:avLst/>
                    </a:prstGeom>
                  </pic:spPr>
                </pic:pic>
              </a:graphicData>
            </a:graphic>
          </wp:inline>
        </w:drawing>
      </w:r>
    </w:p>
    <w:p w:rsidR="009E75AA" w:rsidRPr="001B1D36" w:rsidRDefault="009E75AA" w:rsidP="00E65C1B">
      <w:pPr>
        <w:pStyle w:val="Heading6"/>
        <w:ind w:left="0"/>
        <w:rPr>
          <w:lang w:eastAsia="ja-JP"/>
        </w:rPr>
      </w:pPr>
      <w:proofErr w:type="spellStart"/>
      <w:proofErr w:type="gramStart"/>
      <w:r w:rsidRPr="001B1D36">
        <w:rPr>
          <w:lang w:eastAsia="ja-JP"/>
        </w:rPr>
        <w:t>hSBA</w:t>
      </w:r>
      <w:proofErr w:type="spellEnd"/>
      <w:proofErr w:type="gramEnd"/>
      <w:r w:rsidRPr="001B1D36">
        <w:rPr>
          <w:lang w:eastAsia="ja-JP"/>
        </w:rPr>
        <w:t xml:space="preserve"> </w:t>
      </w:r>
      <w:r w:rsidR="003D5E26" w:rsidRPr="001B1D36">
        <w:rPr>
          <w:lang w:eastAsia="ja-JP"/>
        </w:rPr>
        <w:t xml:space="preserve">response </w:t>
      </w:r>
      <w:r w:rsidRPr="001B1D36">
        <w:rPr>
          <w:lang w:eastAsia="ja-JP"/>
        </w:rPr>
        <w:t>to 10</w:t>
      </w:r>
      <w:r w:rsidR="006C2D7E" w:rsidRPr="001B1D36">
        <w:rPr>
          <w:lang w:eastAsia="ja-JP"/>
        </w:rPr>
        <w:t xml:space="preserve"> </w:t>
      </w:r>
      <w:r w:rsidR="003D5E26" w:rsidRPr="001B1D36">
        <w:rPr>
          <w:lang w:eastAsia="ja-JP"/>
        </w:rPr>
        <w:t>secondary test strains</w:t>
      </w:r>
      <w:r w:rsidRPr="001B1D36">
        <w:rPr>
          <w:lang w:eastAsia="ja-JP"/>
        </w:rPr>
        <w:t xml:space="preserve">: </w:t>
      </w:r>
      <w:proofErr w:type="spellStart"/>
      <w:r w:rsidRPr="001B1D36">
        <w:rPr>
          <w:lang w:eastAsia="ja-JP"/>
        </w:rPr>
        <w:t>hSBA</w:t>
      </w:r>
      <w:proofErr w:type="spellEnd"/>
      <w:r w:rsidRPr="001B1D36">
        <w:rPr>
          <w:lang w:eastAsia="ja-JP"/>
        </w:rPr>
        <w:t xml:space="preserve"> </w:t>
      </w:r>
      <w:r w:rsidR="003D5E26" w:rsidRPr="001B1D36">
        <w:rPr>
          <w:lang w:eastAsia="ja-JP"/>
        </w:rPr>
        <w:t xml:space="preserve">titres </w:t>
      </w:r>
      <w:r w:rsidR="00743EF5" w:rsidRPr="00DD25D7">
        <w:rPr>
          <w:rFonts w:eastAsia="MS Gothic"/>
        </w:rPr>
        <w:t xml:space="preserve">≥ </w:t>
      </w:r>
      <w:r w:rsidRPr="001B1D36">
        <w:rPr>
          <w:lang w:eastAsia="ja-JP"/>
        </w:rPr>
        <w:t xml:space="preserve">LLOQ for the 10 </w:t>
      </w:r>
      <w:r w:rsidR="003D5E26" w:rsidRPr="001B1D36">
        <w:rPr>
          <w:lang w:eastAsia="ja-JP"/>
        </w:rPr>
        <w:t xml:space="preserve">secondary </w:t>
      </w:r>
      <w:proofErr w:type="spellStart"/>
      <w:r w:rsidRPr="001B1D36">
        <w:rPr>
          <w:lang w:eastAsia="ja-JP"/>
        </w:rPr>
        <w:t>MnB</w:t>
      </w:r>
      <w:proofErr w:type="spellEnd"/>
      <w:r w:rsidRPr="001B1D36">
        <w:rPr>
          <w:lang w:eastAsia="ja-JP"/>
        </w:rPr>
        <w:t xml:space="preserve"> </w:t>
      </w:r>
      <w:r w:rsidR="003D5E26" w:rsidRPr="001B1D36">
        <w:rPr>
          <w:lang w:eastAsia="ja-JP"/>
        </w:rPr>
        <w:t>test str</w:t>
      </w:r>
      <w:r w:rsidR="008B4D82" w:rsidRPr="001B1D36">
        <w:rPr>
          <w:lang w:eastAsia="ja-JP"/>
        </w:rPr>
        <w:t>ains</w:t>
      </w:r>
    </w:p>
    <w:p w:rsidR="00743EF5" w:rsidRPr="001B1D36" w:rsidRDefault="009E75AA" w:rsidP="00025BCE">
      <w:pPr>
        <w:rPr>
          <w:lang w:eastAsia="ja-JP"/>
        </w:rPr>
      </w:pPr>
      <w:r w:rsidRPr="001B1D36">
        <w:rPr>
          <w:lang w:eastAsia="ja-JP"/>
        </w:rPr>
        <w:t xml:space="preserve">The proportion of subjects with an </w:t>
      </w:r>
      <w:proofErr w:type="spellStart"/>
      <w:r w:rsidRPr="001B1D36">
        <w:rPr>
          <w:lang w:eastAsia="ja-JP"/>
        </w:rPr>
        <w:t>hSBA</w:t>
      </w:r>
      <w:proofErr w:type="spellEnd"/>
      <w:r w:rsidRPr="001B1D36">
        <w:rPr>
          <w:lang w:eastAsia="ja-JP"/>
        </w:rPr>
        <w:t xml:space="preserve"> </w:t>
      </w:r>
      <w:r w:rsidR="00EA5CCB" w:rsidRPr="00DD25D7">
        <w:t>titre</w:t>
      </w:r>
      <w:r w:rsidR="008B4D82" w:rsidRPr="00DD25D7">
        <w:t xml:space="preserve"> </w:t>
      </w:r>
      <w:r w:rsidR="00743EF5" w:rsidRPr="00DD25D7">
        <w:t xml:space="preserve">≥ </w:t>
      </w:r>
      <w:r w:rsidRPr="00DD25D7">
        <w:t>LLOQ</w:t>
      </w:r>
      <w:r w:rsidRPr="001B1D36">
        <w:rPr>
          <w:lang w:eastAsia="ja-JP"/>
        </w:rPr>
        <w:t xml:space="preserve"> rose substantially from </w:t>
      </w:r>
      <w:r w:rsidR="008B4D82" w:rsidRPr="001B1D36">
        <w:rPr>
          <w:lang w:eastAsia="ja-JP"/>
        </w:rPr>
        <w:t>Baseline</w:t>
      </w:r>
      <w:r w:rsidR="003C2371" w:rsidRPr="001B1D36">
        <w:rPr>
          <w:lang w:eastAsia="ja-JP"/>
        </w:rPr>
        <w:t xml:space="preserve"> to 1 </w:t>
      </w:r>
      <w:r w:rsidRPr="001B1D36">
        <w:rPr>
          <w:lang w:eastAsia="ja-JP"/>
        </w:rPr>
        <w:t xml:space="preserve">month after </w:t>
      </w:r>
      <w:r w:rsidR="008B4D82" w:rsidRPr="001B1D36">
        <w:rPr>
          <w:lang w:eastAsia="ja-JP"/>
        </w:rPr>
        <w:t>Vaccination</w:t>
      </w:r>
      <w:r w:rsidRPr="001B1D36">
        <w:rPr>
          <w:lang w:eastAsia="ja-JP"/>
        </w:rPr>
        <w:t xml:space="preserve"> 3 for both </w:t>
      </w:r>
      <w:proofErr w:type="spellStart"/>
      <w:r w:rsidRPr="001B1D36">
        <w:rPr>
          <w:lang w:eastAsia="ja-JP"/>
        </w:rPr>
        <w:t>fHBP</w:t>
      </w:r>
      <w:proofErr w:type="spellEnd"/>
      <w:r w:rsidRPr="001B1D36">
        <w:rPr>
          <w:lang w:eastAsia="ja-JP"/>
        </w:rPr>
        <w:t xml:space="preserve"> subfamily A and subfamily B </w:t>
      </w:r>
      <w:r w:rsidR="008B4D82" w:rsidRPr="001B1D36">
        <w:rPr>
          <w:lang w:eastAsia="ja-JP"/>
        </w:rPr>
        <w:t>variant expressing</w:t>
      </w:r>
      <w:r w:rsidRPr="001B1D36">
        <w:rPr>
          <w:lang w:eastAsia="ja-JP"/>
        </w:rPr>
        <w:t xml:space="preserve"> strains. Among </w:t>
      </w:r>
      <w:proofErr w:type="spellStart"/>
      <w:r w:rsidRPr="001B1D36">
        <w:rPr>
          <w:lang w:eastAsia="ja-JP"/>
        </w:rPr>
        <w:t>fHBP</w:t>
      </w:r>
      <w:proofErr w:type="spellEnd"/>
      <w:r w:rsidRPr="001B1D36">
        <w:rPr>
          <w:lang w:eastAsia="ja-JP"/>
        </w:rPr>
        <w:t xml:space="preserve"> subfamily </w:t>
      </w:r>
      <w:proofErr w:type="gramStart"/>
      <w:r w:rsidRPr="001B1D36">
        <w:rPr>
          <w:lang w:eastAsia="ja-JP"/>
        </w:rPr>
        <w:t>A</w:t>
      </w:r>
      <w:proofErr w:type="gramEnd"/>
      <w:r w:rsidRPr="001B1D36">
        <w:rPr>
          <w:lang w:eastAsia="ja-JP"/>
        </w:rPr>
        <w:t xml:space="preserve"> </w:t>
      </w:r>
      <w:r w:rsidR="008B4D82" w:rsidRPr="001B1D36">
        <w:rPr>
          <w:lang w:eastAsia="ja-JP"/>
        </w:rPr>
        <w:t>variant expressing</w:t>
      </w:r>
      <w:r w:rsidRPr="001B1D36">
        <w:rPr>
          <w:lang w:eastAsia="ja-JP"/>
        </w:rPr>
        <w:t xml:space="preserve"> strains, for 4 of these strains, </w:t>
      </w:r>
      <w:r w:rsidR="00743EF5" w:rsidRPr="00DD25D7">
        <w:t xml:space="preserve">≥ </w:t>
      </w:r>
      <w:r w:rsidRPr="001B1D36">
        <w:rPr>
          <w:lang w:eastAsia="ja-JP"/>
        </w:rPr>
        <w:t xml:space="preserve">92.7% of subjects achieved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 xml:space="preserve">s </w:t>
      </w:r>
      <w:r w:rsidR="00743EF5" w:rsidRPr="00DD25D7">
        <w:t xml:space="preserve">≥ </w:t>
      </w:r>
      <w:r w:rsidRPr="001B1D36">
        <w:rPr>
          <w:lang w:eastAsia="ja-JP"/>
        </w:rPr>
        <w:t xml:space="preserve">LLOQ: (98.6% for PMB3175 </w:t>
      </w:r>
      <w:r w:rsidR="00DD25D7" w:rsidRPr="001B1D36">
        <w:rPr>
          <w:lang w:eastAsia="ja-JP"/>
        </w:rPr>
        <w:t>(</w:t>
      </w:r>
      <w:r w:rsidRPr="001B1D36">
        <w:rPr>
          <w:lang w:eastAsia="ja-JP"/>
        </w:rPr>
        <w:t>A29</w:t>
      </w:r>
      <w:r w:rsidR="00DD25D7" w:rsidRPr="001B1D36">
        <w:rPr>
          <w:lang w:eastAsia="ja-JP"/>
        </w:rPr>
        <w:t>)</w:t>
      </w:r>
      <w:r w:rsidRPr="001B1D36">
        <w:rPr>
          <w:lang w:eastAsia="ja-JP"/>
        </w:rPr>
        <w:t xml:space="preserve">; 95.7% for PMB3010 </w:t>
      </w:r>
      <w:r w:rsidR="00DD25D7" w:rsidRPr="001B1D36">
        <w:rPr>
          <w:lang w:eastAsia="ja-JP"/>
        </w:rPr>
        <w:t>(</w:t>
      </w:r>
      <w:r w:rsidRPr="001B1D36">
        <w:rPr>
          <w:lang w:eastAsia="ja-JP"/>
        </w:rPr>
        <w:t>A06</w:t>
      </w:r>
      <w:r w:rsidR="00DD25D7" w:rsidRPr="001B1D36">
        <w:rPr>
          <w:lang w:eastAsia="ja-JP"/>
        </w:rPr>
        <w:t>)</w:t>
      </w:r>
      <w:r w:rsidRPr="001B1D36">
        <w:rPr>
          <w:lang w:eastAsia="ja-JP"/>
        </w:rPr>
        <w:t xml:space="preserve">; 92.7% for PMB1989 </w:t>
      </w:r>
      <w:r w:rsidR="00DD25D7" w:rsidRPr="001B1D36">
        <w:rPr>
          <w:lang w:eastAsia="ja-JP"/>
        </w:rPr>
        <w:t>(</w:t>
      </w:r>
      <w:r w:rsidRPr="001B1D36">
        <w:rPr>
          <w:lang w:eastAsia="ja-JP"/>
        </w:rPr>
        <w:t>A19</w:t>
      </w:r>
      <w:r w:rsidR="00DD25D7" w:rsidRPr="001B1D36">
        <w:rPr>
          <w:lang w:eastAsia="ja-JP"/>
        </w:rPr>
        <w:t>)</w:t>
      </w:r>
      <w:r w:rsidRPr="001B1D36">
        <w:rPr>
          <w:lang w:eastAsia="ja-JP"/>
        </w:rPr>
        <w:t xml:space="preserve">; and 96.4% for PMB3040 </w:t>
      </w:r>
      <w:r w:rsidR="00DD25D7" w:rsidRPr="001B1D36">
        <w:rPr>
          <w:lang w:eastAsia="ja-JP"/>
        </w:rPr>
        <w:t>(</w:t>
      </w:r>
      <w:r w:rsidRPr="001B1D36">
        <w:rPr>
          <w:lang w:eastAsia="ja-JP"/>
        </w:rPr>
        <w:t>A07</w:t>
      </w:r>
      <w:r w:rsidR="00DD25D7" w:rsidRPr="001B1D36">
        <w:rPr>
          <w:lang w:eastAsia="ja-JP"/>
        </w:rPr>
        <w:t>)</w:t>
      </w:r>
      <w:r w:rsidRPr="001B1D36">
        <w:rPr>
          <w:lang w:eastAsia="ja-JP"/>
        </w:rPr>
        <w:t xml:space="preserve">). For PMB824 (A12) and for PMB1672 (A15), the proportion achieving a </w:t>
      </w:r>
      <w:r w:rsidR="00EA5CCB" w:rsidRPr="001B1D36">
        <w:rPr>
          <w:lang w:eastAsia="ja-JP"/>
        </w:rPr>
        <w:t>titre</w:t>
      </w:r>
      <w:r w:rsidRPr="001B1D36">
        <w:rPr>
          <w:lang w:eastAsia="ja-JP"/>
        </w:rPr>
        <w:t xml:space="preserve"> </w:t>
      </w:r>
      <w:r w:rsidR="00743EF5" w:rsidRPr="00DD25D7">
        <w:t xml:space="preserve">≥ </w:t>
      </w:r>
      <w:r w:rsidRPr="001B1D36">
        <w:rPr>
          <w:lang w:eastAsia="ja-JP"/>
        </w:rPr>
        <w:t>LLOQ was 75.1% and 87.2%, respectively</w:t>
      </w:r>
      <w:r w:rsidR="00743EF5" w:rsidRPr="001B1D36">
        <w:rPr>
          <w:lang w:eastAsia="ja-JP"/>
        </w:rPr>
        <w:t>.</w:t>
      </w:r>
    </w:p>
    <w:p w:rsidR="00743EF5" w:rsidRPr="001B1D36" w:rsidRDefault="009E75AA" w:rsidP="00025BCE">
      <w:pPr>
        <w:rPr>
          <w:lang w:eastAsia="ja-JP"/>
        </w:rPr>
      </w:pPr>
      <w:r w:rsidRPr="001B1D36">
        <w:rPr>
          <w:lang w:eastAsia="ja-JP"/>
        </w:rPr>
        <w:lastRenderedPageBreak/>
        <w:t xml:space="preserve">Among </w:t>
      </w:r>
      <w:proofErr w:type="spellStart"/>
      <w:r w:rsidRPr="001B1D36">
        <w:rPr>
          <w:lang w:eastAsia="ja-JP"/>
        </w:rPr>
        <w:t>fHBP</w:t>
      </w:r>
      <w:proofErr w:type="spellEnd"/>
      <w:r w:rsidRPr="001B1D36">
        <w:rPr>
          <w:lang w:eastAsia="ja-JP"/>
        </w:rPr>
        <w:t xml:space="preserve"> subfamily B </w:t>
      </w:r>
      <w:r w:rsidR="008B4D82" w:rsidRPr="001B1D36">
        <w:rPr>
          <w:lang w:eastAsia="ja-JP"/>
        </w:rPr>
        <w:t>variant expressing</w:t>
      </w:r>
      <w:r w:rsidRPr="001B1D36">
        <w:rPr>
          <w:lang w:eastAsia="ja-JP"/>
        </w:rPr>
        <w:t xml:space="preserve"> strains the proportion of subjects in Group 1 with an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 xml:space="preserve"> </w:t>
      </w:r>
      <w:r w:rsidR="00743EF5" w:rsidRPr="00DD25D7">
        <w:t xml:space="preserve">≥ </w:t>
      </w:r>
      <w:r w:rsidRPr="001B1D36">
        <w:rPr>
          <w:lang w:eastAsia="ja-JP"/>
        </w:rPr>
        <w:t xml:space="preserve">LLOQ 1 month after </w:t>
      </w:r>
      <w:r w:rsidR="008B4D82" w:rsidRPr="001B1D36">
        <w:rPr>
          <w:lang w:eastAsia="ja-JP"/>
        </w:rPr>
        <w:t>Vaccination</w:t>
      </w:r>
      <w:r w:rsidRPr="001B1D36">
        <w:rPr>
          <w:lang w:eastAsia="ja-JP"/>
        </w:rPr>
        <w:t xml:space="preserve"> 3 was 92.5 % for PMB1256 (B03); 86.2% for PMB866 (B09); 98.2% for PMB431 (B15); and 81.7% for PMB648 (B16)</w:t>
      </w:r>
      <w:r w:rsidR="00743EF5" w:rsidRPr="001B1D36">
        <w:rPr>
          <w:lang w:eastAsia="ja-JP"/>
        </w:rPr>
        <w:t>.</w:t>
      </w:r>
    </w:p>
    <w:p w:rsidR="00743EF5" w:rsidRPr="001B1D36" w:rsidRDefault="009E75AA" w:rsidP="00025BCE">
      <w:pPr>
        <w:rPr>
          <w:lang w:eastAsia="ja-JP"/>
        </w:rPr>
      </w:pPr>
      <w:r w:rsidRPr="001B1D36">
        <w:rPr>
          <w:lang w:eastAsia="ja-JP"/>
        </w:rPr>
        <w:t xml:space="preserve">Among </w:t>
      </w:r>
      <w:proofErr w:type="spellStart"/>
      <w:r w:rsidRPr="001B1D36">
        <w:rPr>
          <w:lang w:eastAsia="ja-JP"/>
        </w:rPr>
        <w:t>fHBP</w:t>
      </w:r>
      <w:proofErr w:type="spellEnd"/>
      <w:r w:rsidRPr="001B1D36">
        <w:rPr>
          <w:lang w:eastAsia="ja-JP"/>
        </w:rPr>
        <w:t xml:space="preserve"> subfamily </w:t>
      </w:r>
      <w:proofErr w:type="gramStart"/>
      <w:r w:rsidRPr="001B1D36">
        <w:rPr>
          <w:lang w:eastAsia="ja-JP"/>
        </w:rPr>
        <w:t>A</w:t>
      </w:r>
      <w:proofErr w:type="gramEnd"/>
      <w:r w:rsidRPr="001B1D36">
        <w:rPr>
          <w:lang w:eastAsia="ja-JP"/>
        </w:rPr>
        <w:t xml:space="preserve"> </w:t>
      </w:r>
      <w:r w:rsidR="008B4D82" w:rsidRPr="001B1D36">
        <w:rPr>
          <w:lang w:eastAsia="ja-JP"/>
        </w:rPr>
        <w:t>variant expressing</w:t>
      </w:r>
      <w:r w:rsidRPr="001B1D36">
        <w:rPr>
          <w:lang w:eastAsia="ja-JP"/>
        </w:rPr>
        <w:t xml:space="preserve"> strains, </w:t>
      </w:r>
      <w:r w:rsidR="00743EF5" w:rsidRPr="00DD25D7">
        <w:t xml:space="preserve">≥ </w:t>
      </w:r>
      <w:r w:rsidRPr="001B1D36">
        <w:rPr>
          <w:lang w:eastAsia="ja-JP"/>
        </w:rPr>
        <w:t xml:space="preserve">84.0% of subjects in Group 1 achieved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 xml:space="preserve">s </w:t>
      </w:r>
      <w:r w:rsidR="00743EF5" w:rsidRPr="00DD25D7">
        <w:t xml:space="preserve">≥ </w:t>
      </w:r>
      <w:r w:rsidRPr="001B1D36">
        <w:rPr>
          <w:lang w:eastAsia="ja-JP"/>
        </w:rPr>
        <w:t xml:space="preserve">LLOQ 1 month after </w:t>
      </w:r>
      <w:r w:rsidR="008B4D82" w:rsidRPr="001B1D36">
        <w:rPr>
          <w:lang w:eastAsia="ja-JP"/>
        </w:rPr>
        <w:t>Vaccination</w:t>
      </w:r>
      <w:r w:rsidRPr="001B1D36">
        <w:rPr>
          <w:lang w:eastAsia="ja-JP"/>
        </w:rPr>
        <w:t xml:space="preserve"> 2 for 4 of these strains (100% for PMB3175 </w:t>
      </w:r>
      <w:r w:rsidR="00DD25D7" w:rsidRPr="001B1D36">
        <w:rPr>
          <w:lang w:eastAsia="ja-JP"/>
        </w:rPr>
        <w:t>(</w:t>
      </w:r>
      <w:r w:rsidRPr="001B1D36">
        <w:rPr>
          <w:lang w:eastAsia="ja-JP"/>
        </w:rPr>
        <w:t>A29</w:t>
      </w:r>
      <w:r w:rsidR="00DD25D7" w:rsidRPr="001B1D36">
        <w:rPr>
          <w:lang w:eastAsia="ja-JP"/>
        </w:rPr>
        <w:t>)</w:t>
      </w:r>
      <w:r w:rsidRPr="001B1D36">
        <w:rPr>
          <w:lang w:eastAsia="ja-JP"/>
        </w:rPr>
        <w:t xml:space="preserve">, 84.0% for PMB3010 </w:t>
      </w:r>
      <w:r w:rsidR="00DD25D7" w:rsidRPr="001B1D36">
        <w:rPr>
          <w:lang w:eastAsia="ja-JP"/>
        </w:rPr>
        <w:t>(</w:t>
      </w:r>
      <w:r w:rsidRPr="001B1D36">
        <w:rPr>
          <w:lang w:eastAsia="ja-JP"/>
        </w:rPr>
        <w:t>A06</w:t>
      </w:r>
      <w:r w:rsidR="00DD25D7" w:rsidRPr="001B1D36">
        <w:rPr>
          <w:lang w:eastAsia="ja-JP"/>
        </w:rPr>
        <w:t>)</w:t>
      </w:r>
      <w:r w:rsidRPr="001B1D36">
        <w:rPr>
          <w:lang w:eastAsia="ja-JP"/>
        </w:rPr>
        <w:t xml:space="preserve">, 84.5% for PMB1989 </w:t>
      </w:r>
      <w:r w:rsidR="00DD25D7" w:rsidRPr="001B1D36">
        <w:rPr>
          <w:lang w:eastAsia="ja-JP"/>
        </w:rPr>
        <w:t>(</w:t>
      </w:r>
      <w:r w:rsidRPr="001B1D36">
        <w:rPr>
          <w:lang w:eastAsia="ja-JP"/>
        </w:rPr>
        <w:t>A19</w:t>
      </w:r>
      <w:r w:rsidR="00DD25D7" w:rsidRPr="001B1D36">
        <w:rPr>
          <w:lang w:eastAsia="ja-JP"/>
        </w:rPr>
        <w:t>)</w:t>
      </w:r>
      <w:r w:rsidRPr="001B1D36">
        <w:rPr>
          <w:lang w:eastAsia="ja-JP"/>
        </w:rPr>
        <w:t xml:space="preserve"> and 93.8% for PMB3040 </w:t>
      </w:r>
      <w:r w:rsidR="00DD25D7" w:rsidRPr="001B1D36">
        <w:rPr>
          <w:lang w:eastAsia="ja-JP"/>
        </w:rPr>
        <w:t>(</w:t>
      </w:r>
      <w:r w:rsidRPr="001B1D36">
        <w:rPr>
          <w:lang w:eastAsia="ja-JP"/>
        </w:rPr>
        <w:t>A07</w:t>
      </w:r>
      <w:r w:rsidR="00DD25D7" w:rsidRPr="001B1D36">
        <w:rPr>
          <w:lang w:eastAsia="ja-JP"/>
        </w:rPr>
        <w:t>)</w:t>
      </w:r>
      <w:r w:rsidRPr="001B1D36">
        <w:rPr>
          <w:lang w:eastAsia="ja-JP"/>
        </w:rPr>
        <w:t xml:space="preserve">). For PMB824 (A12) and for PMB1672 (A15), the proportion achieving a </w:t>
      </w:r>
      <w:r w:rsidR="00EA5CCB" w:rsidRPr="001B1D36">
        <w:rPr>
          <w:lang w:eastAsia="ja-JP"/>
        </w:rPr>
        <w:t>titre</w:t>
      </w:r>
      <w:r w:rsidRPr="001B1D36">
        <w:rPr>
          <w:lang w:eastAsia="ja-JP"/>
        </w:rPr>
        <w:t xml:space="preserve"> </w:t>
      </w:r>
      <w:r w:rsidR="00743EF5" w:rsidRPr="00DD25D7">
        <w:t xml:space="preserve">≥ </w:t>
      </w:r>
      <w:r w:rsidRPr="001B1D36">
        <w:rPr>
          <w:lang w:eastAsia="ja-JP"/>
        </w:rPr>
        <w:t>LLOQ was 67.4% and 65.6%, respectively</w:t>
      </w:r>
      <w:r w:rsidR="00743EF5" w:rsidRPr="001B1D36">
        <w:rPr>
          <w:lang w:eastAsia="ja-JP"/>
        </w:rPr>
        <w:t>.</w:t>
      </w:r>
    </w:p>
    <w:p w:rsidR="009E75AA" w:rsidRPr="001B1D36" w:rsidRDefault="009E75AA" w:rsidP="00025BCE">
      <w:pPr>
        <w:rPr>
          <w:lang w:eastAsia="ja-JP"/>
        </w:rPr>
      </w:pPr>
      <w:r w:rsidRPr="001B1D36">
        <w:rPr>
          <w:lang w:eastAsia="ja-JP"/>
        </w:rPr>
        <w:t xml:space="preserve">Among </w:t>
      </w:r>
      <w:proofErr w:type="spellStart"/>
      <w:r w:rsidRPr="001B1D36">
        <w:rPr>
          <w:lang w:eastAsia="ja-JP"/>
        </w:rPr>
        <w:t>fHBP</w:t>
      </w:r>
      <w:proofErr w:type="spellEnd"/>
      <w:r w:rsidRPr="001B1D36">
        <w:rPr>
          <w:lang w:eastAsia="ja-JP"/>
        </w:rPr>
        <w:t xml:space="preserve"> subfamily B </w:t>
      </w:r>
      <w:r w:rsidR="008B4D82" w:rsidRPr="001B1D36">
        <w:rPr>
          <w:lang w:eastAsia="ja-JP"/>
        </w:rPr>
        <w:t>variant expressing</w:t>
      </w:r>
      <w:r w:rsidRPr="001B1D36">
        <w:rPr>
          <w:lang w:eastAsia="ja-JP"/>
        </w:rPr>
        <w:t xml:space="preserve"> strains, the proportion of subjects in Group 1 (LP2086 Lot 1) with an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 xml:space="preserve"> </w:t>
      </w:r>
      <w:r w:rsidR="00743EF5" w:rsidRPr="00DD25D7">
        <w:t xml:space="preserve">≥ </w:t>
      </w:r>
      <w:r w:rsidRPr="001B1D36">
        <w:rPr>
          <w:lang w:eastAsia="ja-JP"/>
        </w:rPr>
        <w:t xml:space="preserve">LLOQ 1 month after </w:t>
      </w:r>
      <w:r w:rsidR="008B4D82" w:rsidRPr="001B1D36">
        <w:rPr>
          <w:lang w:eastAsia="ja-JP"/>
        </w:rPr>
        <w:t>Vaccination</w:t>
      </w:r>
      <w:r w:rsidRPr="001B1D36">
        <w:rPr>
          <w:lang w:eastAsia="ja-JP"/>
        </w:rPr>
        <w:t xml:space="preserve"> 2 was 61.1% for PMB1256 (B03), 76.3% for PMB866 (B09), 96.8% for PMB431 (B15), and 61.6% for PMB648 (B16).</w:t>
      </w:r>
    </w:p>
    <w:p w:rsidR="009E75AA" w:rsidRPr="001B1D36" w:rsidRDefault="009E75AA" w:rsidP="00025BCE">
      <w:pPr>
        <w:rPr>
          <w:lang w:eastAsia="ja-JP"/>
        </w:rPr>
      </w:pPr>
      <w:r w:rsidRPr="001B1D36">
        <w:rPr>
          <w:lang w:eastAsia="ja-JP"/>
        </w:rPr>
        <w:t xml:space="preserve">Among </w:t>
      </w:r>
      <w:proofErr w:type="spellStart"/>
      <w:r w:rsidRPr="001B1D36">
        <w:rPr>
          <w:lang w:eastAsia="ja-JP"/>
        </w:rPr>
        <w:t>fHBP</w:t>
      </w:r>
      <w:proofErr w:type="spellEnd"/>
      <w:r w:rsidRPr="001B1D36">
        <w:rPr>
          <w:lang w:eastAsia="ja-JP"/>
        </w:rPr>
        <w:t xml:space="preserve"> subfamily A </w:t>
      </w:r>
      <w:r w:rsidR="008B4D82" w:rsidRPr="001B1D36">
        <w:rPr>
          <w:lang w:eastAsia="ja-JP"/>
        </w:rPr>
        <w:t>variant expressing</w:t>
      </w:r>
      <w:r w:rsidRPr="001B1D36">
        <w:rPr>
          <w:lang w:eastAsia="ja-JP"/>
        </w:rPr>
        <w:t xml:space="preserve"> strains, the proportion of subjects in Group 1 who achieved an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 xml:space="preserve"> </w:t>
      </w:r>
      <w:r w:rsidR="00743EF5" w:rsidRPr="00DD25D7">
        <w:t xml:space="preserve">≥ </w:t>
      </w:r>
      <w:r w:rsidRPr="001B1D36">
        <w:rPr>
          <w:lang w:eastAsia="ja-JP"/>
        </w:rPr>
        <w:t xml:space="preserve">1:4 was </w:t>
      </w:r>
      <w:r w:rsidR="00743EF5" w:rsidRPr="00DD25D7">
        <w:t xml:space="preserve">≥ </w:t>
      </w:r>
      <w:r w:rsidRPr="001B1D36">
        <w:rPr>
          <w:lang w:eastAsia="ja-JP"/>
        </w:rPr>
        <w:t xml:space="preserve">93.8% at 1 month after </w:t>
      </w:r>
      <w:r w:rsidR="008B4D82" w:rsidRPr="001B1D36">
        <w:rPr>
          <w:lang w:eastAsia="ja-JP"/>
        </w:rPr>
        <w:t xml:space="preserve">Vaccination 3 in the evaluable </w:t>
      </w:r>
      <w:r w:rsidRPr="001B1D36">
        <w:rPr>
          <w:lang w:eastAsia="ja-JP"/>
        </w:rPr>
        <w:t xml:space="preserve">immunogenicity population for 4 test strains (98.6% for PMB3175 </w:t>
      </w:r>
      <w:r w:rsidR="00DD25D7" w:rsidRPr="001B1D36">
        <w:rPr>
          <w:lang w:eastAsia="ja-JP"/>
        </w:rPr>
        <w:t>(</w:t>
      </w:r>
      <w:r w:rsidRPr="001B1D36">
        <w:rPr>
          <w:lang w:eastAsia="ja-JP"/>
        </w:rPr>
        <w:t>A29</w:t>
      </w:r>
      <w:r w:rsidR="00DD25D7" w:rsidRPr="001B1D36">
        <w:rPr>
          <w:lang w:eastAsia="ja-JP"/>
        </w:rPr>
        <w:t>)</w:t>
      </w:r>
      <w:r w:rsidRPr="001B1D36">
        <w:rPr>
          <w:lang w:eastAsia="ja-JP"/>
        </w:rPr>
        <w:t xml:space="preserve">, 96.1% for PMB3010 </w:t>
      </w:r>
      <w:r w:rsidR="00DD25D7" w:rsidRPr="001B1D36">
        <w:rPr>
          <w:lang w:eastAsia="ja-JP"/>
        </w:rPr>
        <w:t>(</w:t>
      </w:r>
      <w:r w:rsidRPr="001B1D36">
        <w:rPr>
          <w:lang w:eastAsia="ja-JP"/>
        </w:rPr>
        <w:t>A06</w:t>
      </w:r>
      <w:r w:rsidR="00DD25D7" w:rsidRPr="001B1D36">
        <w:rPr>
          <w:lang w:eastAsia="ja-JP"/>
        </w:rPr>
        <w:t>)</w:t>
      </w:r>
      <w:r w:rsidRPr="001B1D36">
        <w:rPr>
          <w:lang w:eastAsia="ja-JP"/>
        </w:rPr>
        <w:t xml:space="preserve">, 93.8% for PMB1989 </w:t>
      </w:r>
      <w:r w:rsidR="00DD25D7" w:rsidRPr="001B1D36">
        <w:rPr>
          <w:lang w:eastAsia="ja-JP"/>
        </w:rPr>
        <w:t>(</w:t>
      </w:r>
      <w:r w:rsidRPr="001B1D36">
        <w:rPr>
          <w:lang w:eastAsia="ja-JP"/>
        </w:rPr>
        <w:t>A19</w:t>
      </w:r>
      <w:r w:rsidR="00DD25D7" w:rsidRPr="001B1D36">
        <w:rPr>
          <w:lang w:eastAsia="ja-JP"/>
        </w:rPr>
        <w:t>)</w:t>
      </w:r>
      <w:r w:rsidRPr="001B1D36">
        <w:rPr>
          <w:lang w:eastAsia="ja-JP"/>
        </w:rPr>
        <w:t xml:space="preserve">, and 96.4% for PMB3040 </w:t>
      </w:r>
      <w:r w:rsidR="00DD25D7" w:rsidRPr="001B1D36">
        <w:rPr>
          <w:lang w:eastAsia="ja-JP"/>
        </w:rPr>
        <w:t>(</w:t>
      </w:r>
      <w:r w:rsidRPr="001B1D36">
        <w:rPr>
          <w:lang w:eastAsia="ja-JP"/>
        </w:rPr>
        <w:t>A07</w:t>
      </w:r>
      <w:r w:rsidR="00DD25D7" w:rsidRPr="001B1D36">
        <w:rPr>
          <w:lang w:eastAsia="ja-JP"/>
        </w:rPr>
        <w:t>)</w:t>
      </w:r>
      <w:r w:rsidRPr="001B1D36">
        <w:rPr>
          <w:lang w:eastAsia="ja-JP"/>
        </w:rPr>
        <w:t xml:space="preserve">). For PMB824 (A12) the proportion achieving a </w:t>
      </w:r>
      <w:r w:rsidR="00EA5CCB" w:rsidRPr="001B1D36">
        <w:rPr>
          <w:lang w:eastAsia="ja-JP"/>
        </w:rPr>
        <w:t>titre</w:t>
      </w:r>
      <w:r w:rsidRPr="001B1D36">
        <w:rPr>
          <w:lang w:eastAsia="ja-JP"/>
        </w:rPr>
        <w:t xml:space="preserve"> </w:t>
      </w:r>
      <w:r w:rsidR="00743EF5" w:rsidRPr="00DD25D7">
        <w:t xml:space="preserve">≥ </w:t>
      </w:r>
      <w:r w:rsidRPr="001B1D36">
        <w:rPr>
          <w:lang w:eastAsia="ja-JP"/>
        </w:rPr>
        <w:t>1:4 was 77.6% and for PMB1672 (A15) was 87.2%.</w:t>
      </w:r>
    </w:p>
    <w:p w:rsidR="009E75AA" w:rsidRPr="001B1D36" w:rsidRDefault="009E75AA" w:rsidP="00025BCE">
      <w:pPr>
        <w:rPr>
          <w:lang w:eastAsia="ja-JP"/>
        </w:rPr>
      </w:pPr>
      <w:r w:rsidRPr="001B1D36">
        <w:rPr>
          <w:lang w:eastAsia="ja-JP"/>
        </w:rPr>
        <w:t xml:space="preserve">Among </w:t>
      </w:r>
      <w:proofErr w:type="spellStart"/>
      <w:r w:rsidRPr="001B1D36">
        <w:rPr>
          <w:lang w:eastAsia="ja-JP"/>
        </w:rPr>
        <w:t>fHBP</w:t>
      </w:r>
      <w:proofErr w:type="spellEnd"/>
      <w:r w:rsidRPr="001B1D36">
        <w:rPr>
          <w:lang w:eastAsia="ja-JP"/>
        </w:rPr>
        <w:t xml:space="preserve"> subfamily B </w:t>
      </w:r>
      <w:r w:rsidR="008B4D82" w:rsidRPr="001B1D36">
        <w:rPr>
          <w:lang w:eastAsia="ja-JP"/>
        </w:rPr>
        <w:t>variant expressing</w:t>
      </w:r>
      <w:r w:rsidRPr="001B1D36">
        <w:rPr>
          <w:lang w:eastAsia="ja-JP"/>
        </w:rPr>
        <w:t xml:space="preserve"> strains, the proportion of subjects in Group 1 who achieved an </w:t>
      </w:r>
      <w:proofErr w:type="spellStart"/>
      <w:r w:rsidRPr="001B1D36">
        <w:rPr>
          <w:lang w:eastAsia="ja-JP"/>
        </w:rPr>
        <w:t>hSBA</w:t>
      </w:r>
      <w:proofErr w:type="spellEnd"/>
      <w:r w:rsidRPr="001B1D36">
        <w:rPr>
          <w:lang w:eastAsia="ja-JP"/>
        </w:rPr>
        <w:t xml:space="preserve"> </w:t>
      </w:r>
      <w:r w:rsidR="00EA5CCB" w:rsidRPr="001B1D36">
        <w:rPr>
          <w:lang w:eastAsia="ja-JP"/>
        </w:rPr>
        <w:t>titre</w:t>
      </w:r>
      <w:r w:rsidRPr="001B1D36">
        <w:rPr>
          <w:lang w:eastAsia="ja-JP"/>
        </w:rPr>
        <w:t xml:space="preserve"> </w:t>
      </w:r>
      <w:r w:rsidR="00743EF5" w:rsidRPr="00DD25D7">
        <w:t xml:space="preserve">≥ </w:t>
      </w:r>
      <w:r w:rsidRPr="001B1D36">
        <w:rPr>
          <w:lang w:eastAsia="ja-JP"/>
        </w:rPr>
        <w:t xml:space="preserve">1:4 at 1 month after </w:t>
      </w:r>
      <w:r w:rsidR="008B4D82" w:rsidRPr="001B1D36">
        <w:rPr>
          <w:lang w:eastAsia="ja-JP"/>
        </w:rPr>
        <w:t>Vaccination</w:t>
      </w:r>
      <w:r w:rsidRPr="001B1D36">
        <w:rPr>
          <w:lang w:eastAsia="ja-JP"/>
        </w:rPr>
        <w:t xml:space="preserve"> 3 in the evaluable immunogenicity population was 92.5% for PMB1256 (B03), 86.6% for PMB866 (B09), 98.2% for PMB431 (B15), and 82.7% for PMB648 (B16).</w:t>
      </w:r>
    </w:p>
    <w:p w:rsidR="00743EF5" w:rsidRPr="001B1D36" w:rsidRDefault="009E75AA" w:rsidP="00025BCE">
      <w:pPr>
        <w:rPr>
          <w:lang w:eastAsia="ja-JP"/>
        </w:rPr>
      </w:pPr>
      <w:r w:rsidRPr="001B1D36">
        <w:rPr>
          <w:lang w:eastAsia="ja-JP"/>
        </w:rPr>
        <w:t xml:space="preserve">A secondary endpoint was the </w:t>
      </w:r>
      <w:proofErr w:type="spellStart"/>
      <w:r w:rsidRPr="001B1D36">
        <w:rPr>
          <w:lang w:eastAsia="ja-JP"/>
        </w:rPr>
        <w:t>hSBA</w:t>
      </w:r>
      <w:proofErr w:type="spellEnd"/>
      <w:r w:rsidRPr="001B1D36">
        <w:rPr>
          <w:lang w:eastAsia="ja-JP"/>
        </w:rPr>
        <w:t xml:space="preserve"> GMTs in Group 1 for each of the 10 secondary </w:t>
      </w:r>
      <w:proofErr w:type="spellStart"/>
      <w:r w:rsidRPr="001B1D36">
        <w:rPr>
          <w:lang w:eastAsia="ja-JP"/>
        </w:rPr>
        <w:t>MnB</w:t>
      </w:r>
      <w:proofErr w:type="spellEnd"/>
      <w:r w:rsidRPr="001B1D36">
        <w:rPr>
          <w:lang w:eastAsia="ja-JP"/>
        </w:rPr>
        <w:t xml:space="preserve"> test strains at </w:t>
      </w:r>
      <w:r w:rsidR="008B4D82" w:rsidRPr="001B1D36">
        <w:rPr>
          <w:lang w:eastAsia="ja-JP"/>
        </w:rPr>
        <w:t>Baseline</w:t>
      </w:r>
      <w:r w:rsidRPr="001B1D36">
        <w:rPr>
          <w:lang w:eastAsia="ja-JP"/>
        </w:rPr>
        <w:t xml:space="preserve"> and 1 month after the third vaccination with bivalent rLP2086. The GMTs at </w:t>
      </w:r>
      <w:r w:rsidR="008B4D82" w:rsidRPr="001B1D36">
        <w:rPr>
          <w:lang w:eastAsia="ja-JP"/>
        </w:rPr>
        <w:t>Baseline</w:t>
      </w:r>
      <w:r w:rsidRPr="001B1D36">
        <w:rPr>
          <w:lang w:eastAsia="ja-JP"/>
        </w:rPr>
        <w:t xml:space="preserve"> were generally low. GMTs increased substantially after </w:t>
      </w:r>
      <w:r w:rsidR="008B4D82" w:rsidRPr="001B1D36">
        <w:rPr>
          <w:lang w:eastAsia="ja-JP"/>
        </w:rPr>
        <w:t>Vaccination</w:t>
      </w:r>
      <w:r w:rsidRPr="001B1D36">
        <w:rPr>
          <w:lang w:eastAsia="ja-JP"/>
        </w:rPr>
        <w:t xml:space="preserve"> 3 for both </w:t>
      </w:r>
      <w:proofErr w:type="spellStart"/>
      <w:r w:rsidRPr="001B1D36">
        <w:rPr>
          <w:lang w:eastAsia="ja-JP"/>
        </w:rPr>
        <w:t>fHBP</w:t>
      </w:r>
      <w:proofErr w:type="spellEnd"/>
      <w:r w:rsidRPr="001B1D36">
        <w:rPr>
          <w:lang w:eastAsia="ja-JP"/>
        </w:rPr>
        <w:t xml:space="preserve"> subfamily A and subfamily B </w:t>
      </w:r>
      <w:r w:rsidR="008B4D82" w:rsidRPr="001B1D36">
        <w:rPr>
          <w:lang w:eastAsia="ja-JP"/>
        </w:rPr>
        <w:t>variant expressing</w:t>
      </w:r>
      <w:r w:rsidRPr="001B1D36">
        <w:rPr>
          <w:lang w:eastAsia="ja-JP"/>
        </w:rPr>
        <w:t xml:space="preserve"> strains. Among </w:t>
      </w:r>
      <w:proofErr w:type="spellStart"/>
      <w:r w:rsidRPr="001B1D36">
        <w:rPr>
          <w:lang w:eastAsia="ja-JP"/>
        </w:rPr>
        <w:t>fHBP</w:t>
      </w:r>
      <w:proofErr w:type="spellEnd"/>
      <w:r w:rsidRPr="001B1D36">
        <w:rPr>
          <w:lang w:eastAsia="ja-JP"/>
        </w:rPr>
        <w:t xml:space="preserve"> subfamily A </w:t>
      </w:r>
      <w:r w:rsidR="008B4D82" w:rsidRPr="001B1D36">
        <w:rPr>
          <w:lang w:eastAsia="ja-JP"/>
        </w:rPr>
        <w:t>variant expressing</w:t>
      </w:r>
      <w:r w:rsidRPr="001B1D36">
        <w:rPr>
          <w:lang w:eastAsia="ja-JP"/>
        </w:rPr>
        <w:t xml:space="preserve"> strains, the </w:t>
      </w:r>
      <w:proofErr w:type="spellStart"/>
      <w:r w:rsidRPr="001B1D36">
        <w:rPr>
          <w:lang w:eastAsia="ja-JP"/>
        </w:rPr>
        <w:t>hSBA</w:t>
      </w:r>
      <w:proofErr w:type="spellEnd"/>
      <w:r w:rsidRPr="001B1D36">
        <w:rPr>
          <w:lang w:eastAsia="ja-JP"/>
        </w:rPr>
        <w:t xml:space="preserve"> GMTs 1 month after </w:t>
      </w:r>
      <w:r w:rsidR="008B4D82" w:rsidRPr="001B1D36">
        <w:rPr>
          <w:lang w:eastAsia="ja-JP"/>
        </w:rPr>
        <w:t>Vaccination</w:t>
      </w:r>
      <w:r w:rsidRPr="001B1D36">
        <w:rPr>
          <w:lang w:eastAsia="ja-JP"/>
        </w:rPr>
        <w:t xml:space="preserve"> 3 were 93.5 for PMB3175 (A29), 78.6 for PMB3010 (A06), 57.6 for PMB1989 (A19), 63.5 for PMB3040 (A07), 22.3 for PMB824 (A12), and 31.0 for PMB1672 (A15) for the evaluable immunogenicity population</w:t>
      </w:r>
      <w:r w:rsidR="00743EF5" w:rsidRPr="001B1D36">
        <w:rPr>
          <w:lang w:eastAsia="ja-JP"/>
        </w:rPr>
        <w:t>.</w:t>
      </w:r>
    </w:p>
    <w:p w:rsidR="00743EF5" w:rsidRPr="001B1D36" w:rsidRDefault="009E75AA" w:rsidP="00025BCE">
      <w:pPr>
        <w:rPr>
          <w:lang w:eastAsia="ja-JP"/>
        </w:rPr>
      </w:pPr>
      <w:r w:rsidRPr="001B1D36">
        <w:rPr>
          <w:lang w:eastAsia="ja-JP"/>
        </w:rPr>
        <w:t xml:space="preserve">Among </w:t>
      </w:r>
      <w:proofErr w:type="spellStart"/>
      <w:r w:rsidRPr="001B1D36">
        <w:rPr>
          <w:lang w:eastAsia="ja-JP"/>
        </w:rPr>
        <w:t>fHBP</w:t>
      </w:r>
      <w:proofErr w:type="spellEnd"/>
      <w:r w:rsidRPr="001B1D36">
        <w:rPr>
          <w:lang w:eastAsia="ja-JP"/>
        </w:rPr>
        <w:t xml:space="preserve"> subfamily B </w:t>
      </w:r>
      <w:r w:rsidR="008B4D82" w:rsidRPr="001B1D36">
        <w:rPr>
          <w:lang w:eastAsia="ja-JP"/>
        </w:rPr>
        <w:t>variant expressing</w:t>
      </w:r>
      <w:r w:rsidRPr="001B1D36">
        <w:rPr>
          <w:lang w:eastAsia="ja-JP"/>
        </w:rPr>
        <w:t xml:space="preserve"> strains the </w:t>
      </w:r>
      <w:proofErr w:type="spellStart"/>
      <w:r w:rsidRPr="001B1D36">
        <w:rPr>
          <w:lang w:eastAsia="ja-JP"/>
        </w:rPr>
        <w:t>hSBA</w:t>
      </w:r>
      <w:proofErr w:type="spellEnd"/>
      <w:r w:rsidRPr="001B1D36">
        <w:rPr>
          <w:lang w:eastAsia="ja-JP"/>
        </w:rPr>
        <w:t xml:space="preserve"> GMT 1 month after </w:t>
      </w:r>
      <w:r w:rsidR="008B4D82" w:rsidRPr="001B1D36">
        <w:rPr>
          <w:lang w:eastAsia="ja-JP"/>
        </w:rPr>
        <w:t>Vaccination</w:t>
      </w:r>
      <w:r w:rsidRPr="001B1D36">
        <w:rPr>
          <w:lang w:eastAsia="ja-JP"/>
        </w:rPr>
        <w:t xml:space="preserve"> 3 in Group 1 were 51.7 for PMB1256 (B03), 22.9 for PMB866 (B09), 47.7 for PMB431 (B15), and 22.1 for PMB648 (B16) in the evaluable immunogenicity population</w:t>
      </w:r>
      <w:r w:rsidR="00743EF5" w:rsidRPr="001B1D36">
        <w:rPr>
          <w:lang w:eastAsia="ja-JP"/>
        </w:rPr>
        <w:t>.</w:t>
      </w:r>
    </w:p>
    <w:p w:rsidR="009E75AA" w:rsidRPr="00DD25D7" w:rsidRDefault="008B4D82" w:rsidP="00025BCE">
      <w:pPr>
        <w:pStyle w:val="Heading4"/>
      </w:pPr>
      <w:r w:rsidRPr="00DD25D7">
        <w:t>Study B1971016</w:t>
      </w:r>
    </w:p>
    <w:p w:rsidR="009E75AA" w:rsidRPr="00DD25D7" w:rsidRDefault="009E75AA" w:rsidP="00025BCE">
      <w:r w:rsidRPr="00DD25D7">
        <w:t xml:space="preserve">Study B1971016 was a </w:t>
      </w:r>
      <w:r w:rsidR="00743EF5" w:rsidRPr="00DD25D7">
        <w:t>Phase III</w:t>
      </w:r>
      <w:r w:rsidRPr="00DD25D7">
        <w:t>, random</w:t>
      </w:r>
      <w:r w:rsidR="00292798" w:rsidRPr="00DD25D7">
        <w:t>ise</w:t>
      </w:r>
      <w:r w:rsidRPr="00DD25D7">
        <w:t xml:space="preserve">d, </w:t>
      </w:r>
      <w:r w:rsidR="00743EF5" w:rsidRPr="00DD25D7">
        <w:t>placebo controlled</w:t>
      </w:r>
      <w:r w:rsidRPr="00DD25D7">
        <w:t xml:space="preserve">, </w:t>
      </w:r>
      <w:r w:rsidR="00032B77" w:rsidRPr="00DD25D7">
        <w:t>observer blinded</w:t>
      </w:r>
      <w:r w:rsidRPr="00DD25D7">
        <w:t xml:space="preserve">, </w:t>
      </w:r>
      <w:proofErr w:type="gramStart"/>
      <w:r w:rsidR="008B4D82" w:rsidRPr="00DD25D7">
        <w:t>multicentre</w:t>
      </w:r>
      <w:proofErr w:type="gramEnd"/>
      <w:r w:rsidRPr="00DD25D7">
        <w:t xml:space="preserve"> trial to assess the safety, tolerability, and immunogenicity of bivalent r</w:t>
      </w:r>
      <w:r w:rsidR="008B4D82" w:rsidRPr="00DD25D7">
        <w:t>LP</w:t>
      </w:r>
      <w:r w:rsidRPr="00DD25D7">
        <w:t xml:space="preserve">2086 vaccine when administered as a </w:t>
      </w:r>
      <w:r w:rsidR="00743EF5" w:rsidRPr="00DD25D7">
        <w:t xml:space="preserve">3 dose </w:t>
      </w:r>
      <w:r w:rsidRPr="00DD25D7">
        <w:t xml:space="preserve">regimen in healthy young adults aged </w:t>
      </w:r>
      <w:r w:rsidR="00743EF5" w:rsidRPr="00DD25D7">
        <w:t xml:space="preserve">≥ </w:t>
      </w:r>
      <w:r w:rsidRPr="00DD25D7">
        <w:t xml:space="preserve">18 to </w:t>
      </w:r>
      <w:r w:rsidR="00032B77" w:rsidRPr="00DD25D7">
        <w:t xml:space="preserve">&lt; </w:t>
      </w:r>
      <w:r w:rsidRPr="00DD25D7">
        <w:t>26 years. It was conducted at 53 sites in Canada, Denmark, Finland, Poland, Spain, and the United States of America (USA) between May 2013 and February 2015.</w:t>
      </w:r>
    </w:p>
    <w:p w:rsidR="009E75AA" w:rsidRPr="00DD25D7" w:rsidRDefault="009E75AA" w:rsidP="00025BCE">
      <w:pPr>
        <w:pStyle w:val="Heading5"/>
      </w:pPr>
      <w:r w:rsidRPr="00DD25D7">
        <w:t>Study design, objectives, locations and dates</w:t>
      </w:r>
    </w:p>
    <w:p w:rsidR="00743EF5" w:rsidRPr="001B1D36" w:rsidRDefault="009E75AA" w:rsidP="00025BCE">
      <w:r w:rsidRPr="001B1D36">
        <w:t>Approximately 3</w:t>
      </w:r>
      <w:r w:rsidR="008B4D82" w:rsidRPr="001B1D36">
        <w:t>,</w:t>
      </w:r>
      <w:r w:rsidRPr="001B1D36">
        <w:t>300 subjects were to be randomly assigned to 1 of 2 groups in a 3:1 ratio (Group 1: Group 2). Group 1 received bivalent rLP2086 at Month 0 (Day 1) followed by subsequent vaccinations at Months 2 and 6. Group 2 received a saline injection at Month 0, Month 2, and Month 6. Subjects had vaccination visits at Months 0, 2, and 6 and blood draw visits at Months 0, 3, and 7</w:t>
      </w:r>
      <w:r w:rsidR="00743EF5" w:rsidRPr="001B1D36">
        <w:t>.</w:t>
      </w:r>
    </w:p>
    <w:p w:rsidR="00743EF5" w:rsidRPr="001B1D36" w:rsidRDefault="009E75AA" w:rsidP="00025BCE">
      <w:r w:rsidRPr="001B1D36">
        <w:t>The primary immunogenicity objective of this study was to assess the immune response as measured by serum bactericidal assay using human com</w:t>
      </w:r>
      <w:r w:rsidR="008B4D82" w:rsidRPr="001B1D36">
        <w:t>plement (</w:t>
      </w:r>
      <w:proofErr w:type="spellStart"/>
      <w:r w:rsidR="008B4D82" w:rsidRPr="001B1D36">
        <w:t>hSBA</w:t>
      </w:r>
      <w:proofErr w:type="spellEnd"/>
      <w:r w:rsidR="008B4D82" w:rsidRPr="001B1D36">
        <w:t>) performed with 4 </w:t>
      </w:r>
      <w:r w:rsidRPr="001B1D36">
        <w:t xml:space="preserve">primary </w:t>
      </w:r>
      <w:r w:rsidRPr="001B1D36">
        <w:rPr>
          <w:i/>
        </w:rPr>
        <w:t>N</w:t>
      </w:r>
      <w:r w:rsidR="008B4D82" w:rsidRPr="001B1D36">
        <w:rPr>
          <w:i/>
        </w:rPr>
        <w:t>.</w:t>
      </w:r>
      <w:r w:rsidRPr="001B1D36">
        <w:rPr>
          <w:i/>
        </w:rPr>
        <w:t xml:space="preserve"> meningitidis</w:t>
      </w:r>
      <w:r w:rsidRPr="001B1D36">
        <w:t xml:space="preserve"> serogroup B (</w:t>
      </w:r>
      <w:proofErr w:type="spellStart"/>
      <w:r w:rsidRPr="001B1D36">
        <w:t>MnB</w:t>
      </w:r>
      <w:proofErr w:type="spellEnd"/>
      <w:r w:rsidRPr="001B1D36">
        <w:t xml:space="preserve">) test strains, 2 </w:t>
      </w:r>
      <w:r w:rsidRPr="00DD25D7">
        <w:t>expressing a</w:t>
      </w:r>
      <w:r w:rsidR="008B4D82" w:rsidRPr="00DD25D7">
        <w:t xml:space="preserve"> </w:t>
      </w:r>
      <w:r w:rsidRPr="00DD25D7">
        <w:t xml:space="preserve">lipoprotein 2086 (LP2086) subfamily A protein and 2 expressing an LP2086 </w:t>
      </w:r>
      <w:r w:rsidR="008B4D82" w:rsidRPr="001B1D36">
        <w:t>subfamily B protein, measured 1 </w:t>
      </w:r>
      <w:r w:rsidRPr="001B1D36">
        <w:t xml:space="preserve">month after the third vaccination </w:t>
      </w:r>
      <w:r w:rsidRPr="00DD25D7">
        <w:t xml:space="preserve">with </w:t>
      </w:r>
      <w:r w:rsidRPr="00DD25D7">
        <w:rPr>
          <w:i/>
        </w:rPr>
        <w:t>N</w:t>
      </w:r>
      <w:r w:rsidR="008B4D82" w:rsidRPr="00DD25D7">
        <w:rPr>
          <w:i/>
        </w:rPr>
        <w:t>.</w:t>
      </w:r>
      <w:r w:rsidRPr="001B1D36">
        <w:rPr>
          <w:i/>
        </w:rPr>
        <w:t xml:space="preserve"> meningitidis</w:t>
      </w:r>
      <w:r w:rsidRPr="001B1D36">
        <w:t xml:space="preserve"> serogroup B bivalent recombinant lipoprotein 2086 vaccine (bivalent rLP2086). The primary safety objective of this study was to </w:t>
      </w:r>
      <w:r w:rsidRPr="001B1D36">
        <w:lastRenderedPageBreak/>
        <w:t>evaluate the safety profile of bivalent rLP2086 compared to a control (saline), as measured by local reactions, systemic events, adverse events (AEs), serious adverse events (SAEs), newly diagnosed chronic medical conditions (NDCMCs), medically attended AEs (MAEs), and immediate AEs</w:t>
      </w:r>
      <w:r w:rsidR="00743EF5" w:rsidRPr="001B1D36">
        <w:t>.</w:t>
      </w:r>
    </w:p>
    <w:p w:rsidR="009E75AA" w:rsidRPr="00DD25D7" w:rsidRDefault="009E75AA" w:rsidP="00025BCE">
      <w:pPr>
        <w:pStyle w:val="Heading5"/>
      </w:pPr>
      <w:r w:rsidRPr="00DD25D7">
        <w:t>Inclusion and exclusion criteria</w:t>
      </w:r>
    </w:p>
    <w:p w:rsidR="008B4D82" w:rsidRPr="001B1D36" w:rsidRDefault="008B4D82" w:rsidP="008B4D82">
      <w:pPr>
        <w:pStyle w:val="Heading6"/>
        <w:rPr>
          <w:lang w:eastAsia="ja-JP"/>
        </w:rPr>
      </w:pPr>
      <w:r w:rsidRPr="001B1D36">
        <w:rPr>
          <w:lang w:eastAsia="ja-JP"/>
        </w:rPr>
        <w:t>Inclusion criteria</w:t>
      </w:r>
    </w:p>
    <w:p w:rsidR="00743EF5" w:rsidRPr="001B1D36" w:rsidRDefault="009E75AA" w:rsidP="00025BCE">
      <w:pPr>
        <w:rPr>
          <w:lang w:eastAsia="ja-JP"/>
        </w:rPr>
      </w:pPr>
      <w:r w:rsidRPr="001B1D36">
        <w:rPr>
          <w:lang w:eastAsia="ja-JP"/>
        </w:rPr>
        <w:t>Subjects were eligible to participate in the study if they met all of the following inclusion criteria</w:t>
      </w:r>
      <w:r w:rsidR="00743EF5" w:rsidRPr="001B1D36">
        <w:rPr>
          <w:lang w:eastAsia="ja-JP"/>
        </w:rPr>
        <w:t>:</w:t>
      </w:r>
    </w:p>
    <w:p w:rsidR="00743EF5" w:rsidRPr="00DD25D7" w:rsidRDefault="009E75AA" w:rsidP="00025BCE">
      <w:pPr>
        <w:pStyle w:val="ListBullet"/>
      </w:pPr>
      <w:r w:rsidRPr="00DD25D7">
        <w:t>Evidence of a personally signed and dated Informed Consent Document. Parent/legally author</w:t>
      </w:r>
      <w:r w:rsidR="00292798" w:rsidRPr="00DD25D7">
        <w:t>ise</w:t>
      </w:r>
      <w:r w:rsidRPr="00DD25D7">
        <w:t>d representative and/or subjects who were willing and able to comply with scheduled visits, laboratory tests, and other study procedures</w:t>
      </w:r>
      <w:r w:rsidR="00743EF5" w:rsidRPr="00DD25D7">
        <w:t>.</w:t>
      </w:r>
    </w:p>
    <w:p w:rsidR="00743EF5" w:rsidRPr="00DD25D7" w:rsidRDefault="009E75AA" w:rsidP="00025BCE">
      <w:pPr>
        <w:pStyle w:val="ListBullet"/>
      </w:pPr>
      <w:r w:rsidRPr="00DD25D7">
        <w:t xml:space="preserve">Male or female subject aged </w:t>
      </w:r>
      <w:r w:rsidR="00743EF5" w:rsidRPr="00DD25D7">
        <w:t xml:space="preserve">≥ </w:t>
      </w:r>
      <w:r w:rsidRPr="00DD25D7">
        <w:t xml:space="preserve">18 and </w:t>
      </w:r>
      <w:r w:rsidR="00032B77" w:rsidRPr="00DD25D7">
        <w:t xml:space="preserve">&lt; </w:t>
      </w:r>
      <w:r w:rsidRPr="00DD25D7">
        <w:t>26 years at the time of enrolment</w:t>
      </w:r>
      <w:r w:rsidR="00743EF5" w:rsidRPr="00DD25D7">
        <w:t>.</w:t>
      </w:r>
    </w:p>
    <w:p w:rsidR="00743EF5" w:rsidRPr="00DD25D7" w:rsidRDefault="009E75AA" w:rsidP="00025BCE">
      <w:pPr>
        <w:pStyle w:val="ListBullet"/>
      </w:pPr>
      <w:r w:rsidRPr="00DD25D7">
        <w:t>Available for the entire study period and could be reached by telephone</w:t>
      </w:r>
      <w:r w:rsidR="00743EF5" w:rsidRPr="00DD25D7">
        <w:t>.</w:t>
      </w:r>
    </w:p>
    <w:p w:rsidR="00743EF5" w:rsidRPr="00DD25D7" w:rsidRDefault="009E75AA" w:rsidP="00025BCE">
      <w:pPr>
        <w:pStyle w:val="ListBullet"/>
      </w:pPr>
      <w:r w:rsidRPr="00DD25D7">
        <w:t>Healthy subject as determined by medical history, physical examination, and judgment of the investigator</w:t>
      </w:r>
      <w:r w:rsidR="00743EF5" w:rsidRPr="00DD25D7">
        <w:t>.</w:t>
      </w:r>
    </w:p>
    <w:p w:rsidR="009E75AA" w:rsidRPr="00DD25D7" w:rsidRDefault="009E75AA" w:rsidP="00025BCE">
      <w:pPr>
        <w:pStyle w:val="ListBullet"/>
      </w:pPr>
      <w:r w:rsidRPr="00DD25D7">
        <w:t>Male and female subjects of childbearing potential must have agreed to use a highly effective method of contraception throughout the study.</w:t>
      </w:r>
    </w:p>
    <w:p w:rsidR="00743EF5" w:rsidRPr="00DD25D7" w:rsidRDefault="009E75AA" w:rsidP="00025BCE">
      <w:pPr>
        <w:pStyle w:val="ListBullet"/>
      </w:pPr>
      <w:r w:rsidRPr="00DD25D7">
        <w:t>Negative urine pregnancy test for all female subjects</w:t>
      </w:r>
      <w:r w:rsidR="00743EF5" w:rsidRPr="00DD25D7">
        <w:t>.</w:t>
      </w:r>
    </w:p>
    <w:p w:rsidR="003C2371" w:rsidRPr="00DD25D7" w:rsidRDefault="003C2371" w:rsidP="003C2371">
      <w:pPr>
        <w:pStyle w:val="Heading6"/>
      </w:pPr>
      <w:r w:rsidRPr="00DD25D7">
        <w:t xml:space="preserve">Exclusion </w:t>
      </w:r>
      <w:r w:rsidR="003D5E26" w:rsidRPr="00DD25D7">
        <w:t>criteria</w:t>
      </w:r>
    </w:p>
    <w:p w:rsidR="00743EF5" w:rsidRPr="00DD25D7" w:rsidRDefault="009E75AA" w:rsidP="00025BCE">
      <w:r w:rsidRPr="00DD25D7">
        <w:t>Subjects presenting with any of the following were not to be included in the study</w:t>
      </w:r>
      <w:r w:rsidR="00743EF5" w:rsidRPr="00DD25D7">
        <w:t>:</w:t>
      </w:r>
    </w:p>
    <w:p w:rsidR="00743EF5" w:rsidRPr="001B1D36" w:rsidRDefault="009E75AA" w:rsidP="00025BCE">
      <w:pPr>
        <w:pStyle w:val="ListBullet"/>
        <w:rPr>
          <w:lang w:eastAsia="ja-JP"/>
        </w:rPr>
      </w:pPr>
      <w:r w:rsidRPr="001B1D36">
        <w:rPr>
          <w:lang w:eastAsia="ja-JP"/>
        </w:rPr>
        <w:t>Previous vaccination with any meningococcal serogroup B vaccine</w:t>
      </w:r>
      <w:r w:rsidR="00743EF5" w:rsidRPr="001B1D36">
        <w:rPr>
          <w:lang w:eastAsia="ja-JP"/>
        </w:rPr>
        <w:t>.</w:t>
      </w:r>
    </w:p>
    <w:p w:rsidR="00743EF5" w:rsidRPr="001B1D36" w:rsidRDefault="009E75AA" w:rsidP="00025BCE">
      <w:pPr>
        <w:pStyle w:val="ListBullet"/>
        <w:rPr>
          <w:lang w:eastAsia="ja-JP"/>
        </w:rPr>
      </w:pPr>
      <w:r w:rsidRPr="001B1D36">
        <w:rPr>
          <w:lang w:eastAsia="ja-JP"/>
        </w:rPr>
        <w:t xml:space="preserve">A previous anaphylactic reaction to any vaccine or </w:t>
      </w:r>
      <w:r w:rsidR="00743EF5" w:rsidRPr="001B1D36">
        <w:rPr>
          <w:lang w:eastAsia="ja-JP"/>
        </w:rPr>
        <w:t>vaccine related</w:t>
      </w:r>
      <w:r w:rsidRPr="001B1D36">
        <w:rPr>
          <w:lang w:eastAsia="ja-JP"/>
        </w:rPr>
        <w:t xml:space="preserve"> component</w:t>
      </w:r>
      <w:r w:rsidR="00743EF5" w:rsidRPr="001B1D36">
        <w:rPr>
          <w:lang w:eastAsia="ja-JP"/>
        </w:rPr>
        <w:t>.</w:t>
      </w:r>
    </w:p>
    <w:p w:rsidR="00743EF5" w:rsidRPr="001B1D36" w:rsidRDefault="009E75AA" w:rsidP="00025BCE">
      <w:pPr>
        <w:pStyle w:val="ListBullet"/>
        <w:rPr>
          <w:lang w:eastAsia="ja-JP"/>
        </w:rPr>
      </w:pPr>
      <w:r w:rsidRPr="001B1D36">
        <w:rPr>
          <w:lang w:eastAsia="ja-JP"/>
        </w:rPr>
        <w:t>Subjects who had received prior HAV vaccination</w:t>
      </w:r>
      <w:r w:rsidR="00743EF5" w:rsidRPr="001B1D36">
        <w:rPr>
          <w:lang w:eastAsia="ja-JP"/>
        </w:rPr>
        <w:t>.</w:t>
      </w:r>
    </w:p>
    <w:p w:rsidR="00743EF5" w:rsidRPr="001B1D36" w:rsidRDefault="009E75AA" w:rsidP="00025BCE">
      <w:pPr>
        <w:pStyle w:val="ListBullet"/>
        <w:rPr>
          <w:lang w:eastAsia="ja-JP"/>
        </w:rPr>
      </w:pPr>
      <w:r w:rsidRPr="001B1D36">
        <w:rPr>
          <w:lang w:eastAsia="ja-JP"/>
        </w:rPr>
        <w:t>Contraindication to vaccination with any HAV vaccine</w:t>
      </w:r>
      <w:r w:rsidR="00743EF5" w:rsidRPr="001B1D36">
        <w:rPr>
          <w:lang w:eastAsia="ja-JP"/>
        </w:rPr>
        <w:t>.</w:t>
      </w:r>
    </w:p>
    <w:p w:rsidR="00743EF5" w:rsidRPr="001B1D36" w:rsidRDefault="009E75AA" w:rsidP="00025BCE">
      <w:pPr>
        <w:pStyle w:val="ListBullet"/>
        <w:rPr>
          <w:lang w:eastAsia="ja-JP"/>
        </w:rPr>
      </w:pPr>
      <w:r w:rsidRPr="001B1D36">
        <w:rPr>
          <w:lang w:eastAsia="ja-JP"/>
        </w:rPr>
        <w:t xml:space="preserve">Subjects who were scheduled to receive 1 or more doses of a human papillomavirus (HPV) vaccine as part of a </w:t>
      </w:r>
      <w:r w:rsidR="00743EF5" w:rsidRPr="001B1D36">
        <w:rPr>
          <w:lang w:eastAsia="ja-JP"/>
        </w:rPr>
        <w:t xml:space="preserve">3 dose </w:t>
      </w:r>
      <w:r w:rsidRPr="001B1D36">
        <w:rPr>
          <w:lang w:eastAsia="ja-JP"/>
        </w:rPr>
        <w:t>series during the period between Visit 1 and 28 days after the second vaccination</w:t>
      </w:r>
      <w:r w:rsidR="00743EF5" w:rsidRPr="001B1D36">
        <w:rPr>
          <w:lang w:eastAsia="ja-JP"/>
        </w:rPr>
        <w:t>.</w:t>
      </w:r>
    </w:p>
    <w:p w:rsidR="00743EF5" w:rsidRPr="001B1D36" w:rsidRDefault="009E75AA" w:rsidP="00025BCE">
      <w:pPr>
        <w:pStyle w:val="ListBullet"/>
        <w:rPr>
          <w:lang w:eastAsia="ja-JP"/>
        </w:rPr>
      </w:pPr>
      <w:r w:rsidRPr="001B1D36">
        <w:rPr>
          <w:lang w:eastAsia="ja-JP"/>
        </w:rPr>
        <w:t>Subjects who were receiving any allergen immunotherapy with a non</w:t>
      </w:r>
      <w:r w:rsidR="00743EF5" w:rsidRPr="001B1D36">
        <w:rPr>
          <w:lang w:eastAsia="ja-JP"/>
        </w:rPr>
        <w:t xml:space="preserve"> </w:t>
      </w:r>
      <w:r w:rsidRPr="001B1D36">
        <w:rPr>
          <w:lang w:eastAsia="ja-JP"/>
        </w:rPr>
        <w:t>licensed product or receiving allergen immunotherapy with a licensed product and were not on stable maintenance doses</w:t>
      </w:r>
      <w:r w:rsidR="00743EF5" w:rsidRPr="001B1D36">
        <w:rPr>
          <w:lang w:eastAsia="ja-JP"/>
        </w:rPr>
        <w:t>.</w:t>
      </w:r>
    </w:p>
    <w:p w:rsidR="00743EF5" w:rsidRPr="001B1D36" w:rsidRDefault="009E75AA" w:rsidP="00025BCE">
      <w:pPr>
        <w:pStyle w:val="ListBullet"/>
        <w:rPr>
          <w:lang w:eastAsia="ja-JP"/>
        </w:rPr>
      </w:pPr>
      <w:r w:rsidRPr="001B1D36">
        <w:rPr>
          <w:lang w:eastAsia="ja-JP"/>
        </w:rPr>
        <w:t>Bleeding diathesis or condition associated with prolonged bleeding time that would contraindicate intramuscular injection</w:t>
      </w:r>
      <w:r w:rsidR="00743EF5" w:rsidRPr="001B1D36">
        <w:rPr>
          <w:lang w:eastAsia="ja-JP"/>
        </w:rPr>
        <w:t>.</w:t>
      </w:r>
    </w:p>
    <w:p w:rsidR="009E75AA" w:rsidRPr="001B1D36" w:rsidRDefault="009E75AA" w:rsidP="00025BCE">
      <w:pPr>
        <w:pStyle w:val="ListBullet"/>
        <w:rPr>
          <w:lang w:eastAsia="ja-JP"/>
        </w:rPr>
      </w:pPr>
      <w:r w:rsidRPr="001B1D36">
        <w:rPr>
          <w:lang w:eastAsia="ja-JP"/>
        </w:rPr>
        <w:t>A known or suspected defect of the immune system that would prevent an immune response to the vaccine, such as subjects with congenital or acquired defects in B cell function, those receiving chronic systemic (oral, intravenous, or intramuscular) corticosteroid therapy, or those receiving immunosuppressive therapy. Subjects in the US with terminal complement deficiency were excluded from participation in this study.</w:t>
      </w:r>
    </w:p>
    <w:p w:rsidR="00743EF5" w:rsidRPr="001B1D36" w:rsidRDefault="009E75AA" w:rsidP="00025BCE">
      <w:pPr>
        <w:pStyle w:val="ListBullet"/>
        <w:rPr>
          <w:i/>
          <w:lang w:eastAsia="ja-JP"/>
        </w:rPr>
      </w:pPr>
      <w:r w:rsidRPr="001B1D36">
        <w:rPr>
          <w:lang w:eastAsia="ja-JP"/>
        </w:rPr>
        <w:t xml:space="preserve">History of microbiologically proven disease caused by </w:t>
      </w:r>
      <w:r w:rsidRPr="001B1D36">
        <w:rPr>
          <w:i/>
          <w:lang w:eastAsia="ja-JP"/>
        </w:rPr>
        <w:t>N meningitidis</w:t>
      </w:r>
      <w:r w:rsidR="00743EF5" w:rsidRPr="001B1D36">
        <w:rPr>
          <w:lang w:eastAsia="ja-JP"/>
        </w:rPr>
        <w:t xml:space="preserve"> </w:t>
      </w:r>
      <w:r w:rsidRPr="001B1D36">
        <w:rPr>
          <w:lang w:eastAsia="ja-JP"/>
        </w:rPr>
        <w:t xml:space="preserve">or </w:t>
      </w:r>
      <w:r w:rsidRPr="001B1D36">
        <w:rPr>
          <w:i/>
          <w:lang w:eastAsia="ja-JP"/>
        </w:rPr>
        <w:t>N</w:t>
      </w:r>
      <w:r w:rsidR="00032B77" w:rsidRPr="001B1D36">
        <w:rPr>
          <w:i/>
          <w:lang w:eastAsia="ja-JP"/>
        </w:rPr>
        <w:t>.</w:t>
      </w:r>
      <w:r w:rsidRPr="001B1D36">
        <w:rPr>
          <w:i/>
          <w:lang w:eastAsia="ja-JP"/>
        </w:rPr>
        <w:t xml:space="preserve"> gonorrhoeae</w:t>
      </w:r>
      <w:r w:rsidR="00743EF5" w:rsidRPr="001B1D36">
        <w:rPr>
          <w:i/>
          <w:lang w:eastAsia="ja-JP"/>
        </w:rPr>
        <w:t>.</w:t>
      </w:r>
    </w:p>
    <w:p w:rsidR="00743EF5" w:rsidRPr="001B1D36" w:rsidRDefault="009E75AA" w:rsidP="00025BCE">
      <w:pPr>
        <w:pStyle w:val="ListBullet"/>
        <w:rPr>
          <w:lang w:eastAsia="ja-JP"/>
        </w:rPr>
      </w:pPr>
      <w:r w:rsidRPr="001B1D36">
        <w:rPr>
          <w:lang w:eastAsia="ja-JP"/>
        </w:rPr>
        <w:t>Significant neurological disorder or history of seizure (excluding simple febrile seizure)</w:t>
      </w:r>
      <w:r w:rsidR="00743EF5" w:rsidRPr="001B1D36">
        <w:rPr>
          <w:lang w:eastAsia="ja-JP"/>
        </w:rPr>
        <w:t>.</w:t>
      </w:r>
    </w:p>
    <w:p w:rsidR="00743EF5" w:rsidRPr="001B1D36" w:rsidRDefault="009E75AA" w:rsidP="00025BCE">
      <w:pPr>
        <w:pStyle w:val="ListBullet"/>
        <w:rPr>
          <w:lang w:eastAsia="ja-JP"/>
        </w:rPr>
      </w:pPr>
      <w:r w:rsidRPr="001B1D36">
        <w:rPr>
          <w:lang w:eastAsia="ja-JP"/>
        </w:rPr>
        <w:t>Receipt of any blood products, including immunoglobulin within 6 months before the first study vaccination</w:t>
      </w:r>
      <w:r w:rsidR="00743EF5" w:rsidRPr="001B1D36">
        <w:rPr>
          <w:lang w:eastAsia="ja-JP"/>
        </w:rPr>
        <w:t>.</w:t>
      </w:r>
    </w:p>
    <w:p w:rsidR="00743EF5" w:rsidRPr="001B1D36" w:rsidRDefault="009E75AA" w:rsidP="00025BCE">
      <w:pPr>
        <w:pStyle w:val="ListBullet"/>
        <w:rPr>
          <w:lang w:eastAsia="ja-JP"/>
        </w:rPr>
      </w:pPr>
      <w:r w:rsidRPr="001B1D36">
        <w:rPr>
          <w:lang w:eastAsia="ja-JP"/>
        </w:rPr>
        <w:t>Current chronic use of systemic antibiotics</w:t>
      </w:r>
      <w:r w:rsidR="00743EF5" w:rsidRPr="001B1D36">
        <w:rPr>
          <w:lang w:eastAsia="ja-JP"/>
        </w:rPr>
        <w:t>.</w:t>
      </w:r>
    </w:p>
    <w:p w:rsidR="00743EF5" w:rsidRPr="001B1D36" w:rsidRDefault="009E75AA" w:rsidP="00025BCE">
      <w:pPr>
        <w:pStyle w:val="ListBullet"/>
        <w:rPr>
          <w:lang w:eastAsia="ja-JP"/>
        </w:rPr>
      </w:pPr>
      <w:r w:rsidRPr="001B1D36">
        <w:rPr>
          <w:lang w:eastAsia="ja-JP"/>
        </w:rPr>
        <w:lastRenderedPageBreak/>
        <w:t>Current participation in another investigational study. Participation in purely observational studies was acceptable</w:t>
      </w:r>
      <w:r w:rsidR="00743EF5" w:rsidRPr="001B1D36">
        <w:rPr>
          <w:lang w:eastAsia="ja-JP"/>
        </w:rPr>
        <w:t>.</w:t>
      </w:r>
    </w:p>
    <w:p w:rsidR="00743EF5" w:rsidRPr="001B1D36" w:rsidRDefault="009E75AA" w:rsidP="00025BCE">
      <w:pPr>
        <w:pStyle w:val="ListBullet"/>
        <w:rPr>
          <w:lang w:eastAsia="ja-JP"/>
        </w:rPr>
      </w:pPr>
      <w:r w:rsidRPr="001B1D36">
        <w:rPr>
          <w:lang w:eastAsia="ja-JP"/>
        </w:rPr>
        <w:t>Received any investigational vaccines, drugs, or devices within 28 days before administration of the first study vaccination</w:t>
      </w:r>
      <w:r w:rsidR="00743EF5" w:rsidRPr="001B1D36">
        <w:rPr>
          <w:lang w:eastAsia="ja-JP"/>
        </w:rPr>
        <w:t>.</w:t>
      </w:r>
    </w:p>
    <w:p w:rsidR="00743EF5" w:rsidRPr="001B1D36" w:rsidRDefault="009E75AA" w:rsidP="00025BCE">
      <w:pPr>
        <w:pStyle w:val="ListBullet"/>
        <w:rPr>
          <w:lang w:eastAsia="ja-JP"/>
        </w:rPr>
      </w:pPr>
      <w:r w:rsidRPr="001B1D36">
        <w:rPr>
          <w:lang w:eastAsia="ja-JP"/>
        </w:rPr>
        <w:t>Any neuroinflammatory or autoimmune condition, including, but not limited to, transverse myelitis, uveitis, optic neuritis, and multiple sclerosis</w:t>
      </w:r>
      <w:r w:rsidR="00743EF5" w:rsidRPr="001B1D36">
        <w:rPr>
          <w:lang w:eastAsia="ja-JP"/>
        </w:rPr>
        <w:t>.</w:t>
      </w:r>
    </w:p>
    <w:p w:rsidR="00743EF5" w:rsidRPr="001B1D36" w:rsidRDefault="009E75AA" w:rsidP="00025BCE">
      <w:pPr>
        <w:pStyle w:val="ListBullet"/>
        <w:rPr>
          <w:lang w:eastAsia="ja-JP"/>
        </w:rPr>
      </w:pPr>
      <w:r w:rsidRPr="001B1D36">
        <w:rPr>
          <w:lang w:eastAsia="ja-JP"/>
        </w:rPr>
        <w:t>Other severe acute or chronic medical or psychiatric condition or laboratory abnormality that may increase the risk associated with study participation or investigational product administration or may interfere with the interpretation of study results and, in the judgment of the investigator, would have made the subject inappropriate for entry into this study</w:t>
      </w:r>
      <w:r w:rsidR="00743EF5" w:rsidRPr="001B1D36">
        <w:rPr>
          <w:lang w:eastAsia="ja-JP"/>
        </w:rPr>
        <w:t>.</w:t>
      </w:r>
    </w:p>
    <w:p w:rsidR="00743EF5" w:rsidRPr="001B1D36" w:rsidRDefault="009E75AA" w:rsidP="00025BCE">
      <w:pPr>
        <w:pStyle w:val="ListBullet"/>
        <w:rPr>
          <w:lang w:eastAsia="ja-JP"/>
        </w:rPr>
      </w:pPr>
      <w:r w:rsidRPr="001B1D36">
        <w:rPr>
          <w:lang w:eastAsia="ja-JP"/>
        </w:rPr>
        <w:t xml:space="preserve">Subjects who were investigational site staff members or relatives of those site staff members, or subjects who were </w:t>
      </w:r>
      <w:r w:rsidR="00DD25D7">
        <w:rPr>
          <w:lang w:eastAsia="ja-JP"/>
        </w:rPr>
        <w:t>sponsor</w:t>
      </w:r>
      <w:r w:rsidRPr="001B1D36">
        <w:rPr>
          <w:lang w:eastAsia="ja-JP"/>
        </w:rPr>
        <w:t xml:space="preserve"> employees directly involved in the conduct of the trial</w:t>
      </w:r>
      <w:r w:rsidR="00743EF5" w:rsidRPr="001B1D36">
        <w:rPr>
          <w:lang w:eastAsia="ja-JP"/>
        </w:rPr>
        <w:t>.</w:t>
      </w:r>
    </w:p>
    <w:p w:rsidR="00743EF5" w:rsidRPr="001B1D36" w:rsidRDefault="009E75AA" w:rsidP="00025BCE">
      <w:pPr>
        <w:pStyle w:val="ListBullet"/>
        <w:rPr>
          <w:lang w:eastAsia="ja-JP"/>
        </w:rPr>
      </w:pPr>
      <w:r w:rsidRPr="001B1D36">
        <w:rPr>
          <w:lang w:eastAsia="ja-JP"/>
        </w:rPr>
        <w:t>Subject was pregnant or breastfeeding</w:t>
      </w:r>
      <w:r w:rsidR="00743EF5" w:rsidRPr="001B1D36">
        <w:rPr>
          <w:lang w:eastAsia="ja-JP"/>
        </w:rPr>
        <w:t>.</w:t>
      </w:r>
    </w:p>
    <w:p w:rsidR="009E75AA" w:rsidRPr="00DD25D7" w:rsidRDefault="009E75AA" w:rsidP="00025BCE">
      <w:pPr>
        <w:pStyle w:val="Heading5"/>
      </w:pPr>
      <w:r w:rsidRPr="00DD25D7">
        <w:t>Study treatments</w:t>
      </w:r>
    </w:p>
    <w:p w:rsidR="009E75AA" w:rsidRPr="00DD25D7" w:rsidRDefault="009E75AA" w:rsidP="00743EF5">
      <w:r w:rsidRPr="00DD25D7">
        <w:t xml:space="preserve">Group 1 received 120 µg of the bivalent rLP2086 at </w:t>
      </w:r>
      <w:r w:rsidR="00292798" w:rsidRPr="00DD25D7">
        <w:t>Month</w:t>
      </w:r>
      <w:r w:rsidRPr="00DD25D7">
        <w:t xml:space="preserve">s 0, 2, and 6. Group 2 received saline (control) at </w:t>
      </w:r>
      <w:r w:rsidR="00292798" w:rsidRPr="00DD25D7">
        <w:t>Month</w:t>
      </w:r>
      <w:r w:rsidRPr="00DD25D7">
        <w:t>s 0, 2, and 6.</w:t>
      </w:r>
    </w:p>
    <w:p w:rsidR="009E75AA" w:rsidRPr="00DD25D7" w:rsidRDefault="009E75AA" w:rsidP="00025BCE">
      <w:pPr>
        <w:pStyle w:val="Heading5"/>
      </w:pPr>
      <w:r w:rsidRPr="00DD25D7">
        <w:t>Efficacy variables and outcomes</w:t>
      </w:r>
    </w:p>
    <w:p w:rsidR="00743EF5" w:rsidRPr="001B1D36" w:rsidRDefault="007427C5" w:rsidP="00025BCE">
      <w:r>
        <w:t xml:space="preserve">The </w:t>
      </w:r>
      <w:r w:rsidR="009E75AA" w:rsidRPr="001B1D36">
        <w:t>primary objective of this study was to assess the immune response as measured by serum bactericidal assay using human complement (</w:t>
      </w:r>
      <w:proofErr w:type="spellStart"/>
      <w:r w:rsidR="009E75AA" w:rsidRPr="001B1D36">
        <w:t>hSBA</w:t>
      </w:r>
      <w:proofErr w:type="spellEnd"/>
      <w:r w:rsidR="009E75AA" w:rsidRPr="001B1D36">
        <w:t xml:space="preserve">) performed with 4 primary </w:t>
      </w:r>
      <w:r w:rsidR="00743EF5" w:rsidRPr="001B1D36">
        <w:rPr>
          <w:i/>
        </w:rPr>
        <w:t>N. </w:t>
      </w:r>
      <w:r w:rsidR="009E75AA" w:rsidRPr="001B1D36">
        <w:rPr>
          <w:i/>
        </w:rPr>
        <w:t>meningitidis</w:t>
      </w:r>
      <w:r w:rsidR="009E75AA" w:rsidRPr="001B1D36">
        <w:t xml:space="preserve"> serogroup B (</w:t>
      </w:r>
      <w:proofErr w:type="spellStart"/>
      <w:r w:rsidR="009E75AA" w:rsidRPr="001B1D36">
        <w:t>MnB</w:t>
      </w:r>
      <w:proofErr w:type="spellEnd"/>
      <w:r w:rsidR="009E75AA" w:rsidRPr="001B1D36">
        <w:t xml:space="preserve">) test strains, 2 expressing a lipoprotein 2086 (LP2086) subfamily A protein and 2 expressing an LP2086 subfamily B protein, measured 1 month after the third vaccination with </w:t>
      </w:r>
      <w:r w:rsidR="00743EF5" w:rsidRPr="001B1D36">
        <w:rPr>
          <w:i/>
        </w:rPr>
        <w:t>N.</w:t>
      </w:r>
      <w:r w:rsidR="009E75AA" w:rsidRPr="001B1D36">
        <w:rPr>
          <w:i/>
        </w:rPr>
        <w:t xml:space="preserve"> meningitidis</w:t>
      </w:r>
      <w:r w:rsidR="009E75AA" w:rsidRPr="001B1D36">
        <w:t xml:space="preserve"> serogroup B bivalent recombinant lipoprotein 2086 vaccine (bivalent rLP2086). The primary safety objective of this study was to evaluate the safety profile of bivalent rLP2086 compared to a control. </w:t>
      </w:r>
      <w:r w:rsidR="003C2371" w:rsidRPr="001B1D36">
        <w:t>Five</w:t>
      </w:r>
      <w:r w:rsidR="009E75AA" w:rsidRPr="001B1D36">
        <w:t xml:space="preserve"> </w:t>
      </w:r>
      <w:r w:rsidR="00743EF5" w:rsidRPr="001B1D36">
        <w:t xml:space="preserve">co </w:t>
      </w:r>
      <w:r w:rsidR="009E75AA" w:rsidRPr="001B1D36">
        <w:t xml:space="preserve">primary endpoints were defined for the primary immunogenicity objective based upon results for </w:t>
      </w:r>
      <w:proofErr w:type="spellStart"/>
      <w:r w:rsidR="009E75AA" w:rsidRPr="001B1D36">
        <w:t>hSBAs</w:t>
      </w:r>
      <w:proofErr w:type="spellEnd"/>
      <w:r w:rsidR="009E75AA" w:rsidRPr="001B1D36">
        <w:t xml:space="preserve"> performed with each of the following 4 primary test strains for Group 1</w:t>
      </w:r>
      <w:r w:rsidR="003C2371" w:rsidRPr="001B1D36">
        <w:t xml:space="preserve"> subjects: PMB80 (A22), PMB2001 </w:t>
      </w:r>
      <w:r w:rsidR="009E75AA" w:rsidRPr="001B1D36">
        <w:t>(A56), PMB2948 (B24), and PMB2707 (B44)</w:t>
      </w:r>
      <w:r w:rsidR="00743EF5" w:rsidRPr="001B1D36">
        <w:t>.</w:t>
      </w:r>
    </w:p>
    <w:p w:rsidR="00743EF5" w:rsidRPr="001B1D36" w:rsidRDefault="00743EF5" w:rsidP="00025BCE">
      <w:r w:rsidRPr="001B1D36">
        <w:t>One</w:t>
      </w:r>
      <w:r w:rsidR="009E75AA" w:rsidRPr="001B1D36">
        <w:t xml:space="preserve"> of the 5 co</w:t>
      </w:r>
      <w:r w:rsidRPr="001B1D36">
        <w:t xml:space="preserve"> </w:t>
      </w:r>
      <w:r w:rsidR="009E75AA" w:rsidRPr="001B1D36">
        <w:t xml:space="preserve">primary endpoints was the composite endpoint defined as the proportion of subjects with an </w:t>
      </w:r>
      <w:proofErr w:type="spellStart"/>
      <w:r w:rsidR="009E75AA" w:rsidRPr="001B1D36">
        <w:t>hSBA</w:t>
      </w:r>
      <w:proofErr w:type="spellEnd"/>
      <w:r w:rsidR="009E75AA" w:rsidRPr="001B1D36">
        <w:t xml:space="preserve"> </w:t>
      </w:r>
      <w:r w:rsidR="00EA5CCB" w:rsidRPr="001B1D36">
        <w:t>titre</w:t>
      </w:r>
      <w:r w:rsidR="009E75AA" w:rsidRPr="001B1D36">
        <w:t xml:space="preserve"> </w:t>
      </w:r>
      <w:r w:rsidRPr="00DD25D7">
        <w:t xml:space="preserve">≥ </w:t>
      </w:r>
      <w:r w:rsidR="003C2371" w:rsidRPr="001B1D36">
        <w:t>LLOQ</w:t>
      </w:r>
      <w:r w:rsidR="009E75AA" w:rsidRPr="001B1D36">
        <w:t xml:space="preserve"> for all primary </w:t>
      </w:r>
      <w:proofErr w:type="spellStart"/>
      <w:r w:rsidR="009E75AA" w:rsidRPr="001B1D36">
        <w:t>MnB</w:t>
      </w:r>
      <w:proofErr w:type="spellEnd"/>
      <w:r w:rsidR="009E75AA" w:rsidRPr="001B1D36">
        <w:t xml:space="preserve"> test strains combined, 1 month after the third vaccination with bivalent rLP2086</w:t>
      </w:r>
      <w:r w:rsidRPr="001B1D36">
        <w:t>.</w:t>
      </w:r>
    </w:p>
    <w:p w:rsidR="00743EF5" w:rsidRPr="001B1D36" w:rsidRDefault="00743EF5" w:rsidP="00025BCE">
      <w:r w:rsidRPr="001B1D36">
        <w:t>Four</w:t>
      </w:r>
      <w:r w:rsidR="009E75AA" w:rsidRPr="001B1D36">
        <w:t xml:space="preserve"> </w:t>
      </w:r>
      <w:r w:rsidR="003C2371" w:rsidRPr="001B1D36">
        <w:t>co-</w:t>
      </w:r>
      <w:r w:rsidR="009E75AA" w:rsidRPr="001B1D36">
        <w:t xml:space="preserve">primary endpoints were defined as the proportion of subjects achieving at least a </w:t>
      </w:r>
      <w:r w:rsidRPr="001B1D36">
        <w:t>4 fold</w:t>
      </w:r>
      <w:r w:rsidR="009E75AA" w:rsidRPr="001B1D36">
        <w:t xml:space="preserve"> increase in </w:t>
      </w:r>
      <w:proofErr w:type="spellStart"/>
      <w:r w:rsidR="009E75AA" w:rsidRPr="001B1D36">
        <w:t>hSBA</w:t>
      </w:r>
      <w:proofErr w:type="spellEnd"/>
      <w:r w:rsidR="009E75AA" w:rsidRPr="001B1D36">
        <w:t xml:space="preserve"> </w:t>
      </w:r>
      <w:r w:rsidR="00EA5CCB" w:rsidRPr="001B1D36">
        <w:t>titre</w:t>
      </w:r>
      <w:r w:rsidR="009E75AA" w:rsidRPr="001B1D36">
        <w:t xml:space="preserve"> from </w:t>
      </w:r>
      <w:r w:rsidR="008B4D82" w:rsidRPr="001B1D36">
        <w:t>Baseline</w:t>
      </w:r>
      <w:r w:rsidR="009E75AA" w:rsidRPr="001B1D36">
        <w:t xml:space="preserve"> to 1 month after the third vaccination with bivalent rLP2086 for each of the 4 primary </w:t>
      </w:r>
      <w:proofErr w:type="spellStart"/>
      <w:r w:rsidR="009E75AA" w:rsidRPr="001B1D36">
        <w:t>MnB</w:t>
      </w:r>
      <w:proofErr w:type="spellEnd"/>
      <w:r w:rsidR="009E75AA" w:rsidRPr="001B1D36">
        <w:t xml:space="preserve"> test strains using the following definition</w:t>
      </w:r>
      <w:r w:rsidRPr="001B1D36">
        <w:t>:</w:t>
      </w:r>
    </w:p>
    <w:p w:rsidR="00743EF5" w:rsidRPr="001B1D36" w:rsidRDefault="009E75AA" w:rsidP="00025BCE">
      <w:pPr>
        <w:pStyle w:val="ListBullet"/>
      </w:pPr>
      <w:r w:rsidRPr="001B1D36">
        <w:t xml:space="preserve">For subjects </w:t>
      </w:r>
      <w:r w:rsidRPr="00DD25D7">
        <w:t xml:space="preserve">with a </w:t>
      </w:r>
      <w:r w:rsidR="008B4D82" w:rsidRPr="00DD25D7">
        <w:t>Baseline</w:t>
      </w:r>
      <w:r w:rsidRPr="00DD25D7">
        <w:t xml:space="preserve"> </w:t>
      </w:r>
      <w:proofErr w:type="spellStart"/>
      <w:r w:rsidRPr="00DD25D7">
        <w:t>hSBA</w:t>
      </w:r>
      <w:proofErr w:type="spellEnd"/>
      <w:r w:rsidRPr="00DD25D7">
        <w:t xml:space="preserve"> </w:t>
      </w:r>
      <w:r w:rsidR="00EA5CCB" w:rsidRPr="00DD25D7">
        <w:t>titre</w:t>
      </w:r>
      <w:r w:rsidRPr="00DD25D7">
        <w:t xml:space="preserve"> below the limit of detection (LOD) or an </w:t>
      </w:r>
      <w:proofErr w:type="spellStart"/>
      <w:r w:rsidRPr="00DD25D7">
        <w:t>hSBA</w:t>
      </w:r>
      <w:proofErr w:type="spellEnd"/>
      <w:r w:rsidRPr="00DD25D7">
        <w:t xml:space="preserve"> </w:t>
      </w:r>
      <w:r w:rsidR="00EA5CCB" w:rsidRPr="00DD25D7">
        <w:t>titre</w:t>
      </w:r>
      <w:r w:rsidRPr="00DD25D7">
        <w:t xml:space="preserve"> of </w:t>
      </w:r>
      <w:r w:rsidR="00032B77" w:rsidRPr="00DD25D7">
        <w:t xml:space="preserve">&lt; </w:t>
      </w:r>
      <w:r w:rsidRPr="00DD25D7">
        <w:t xml:space="preserve">1:4, a </w:t>
      </w:r>
      <w:r w:rsidR="00743EF5" w:rsidRPr="00DD25D7">
        <w:t>4 fold</w:t>
      </w:r>
      <w:r w:rsidRPr="00DD25D7">
        <w:t xml:space="preserve"> response was defined as </w:t>
      </w:r>
      <w:proofErr w:type="spellStart"/>
      <w:r w:rsidRPr="00DD25D7">
        <w:t>hSBA</w:t>
      </w:r>
      <w:proofErr w:type="spellEnd"/>
      <w:r w:rsidRPr="00DD25D7">
        <w:t xml:space="preserve"> </w:t>
      </w:r>
      <w:r w:rsidR="00EA5CCB" w:rsidRPr="00DD25D7">
        <w:t>titre</w:t>
      </w:r>
      <w:r w:rsidRPr="00DD25D7">
        <w:t xml:space="preserve"> of </w:t>
      </w:r>
      <w:r w:rsidR="00743EF5" w:rsidRPr="00DD25D7">
        <w:t xml:space="preserve">≥ </w:t>
      </w:r>
      <w:r w:rsidRPr="00DD25D7">
        <w:t xml:space="preserve">1:16 or the LLOQ (whichever </w:t>
      </w:r>
      <w:r w:rsidR="00EA5CCB" w:rsidRPr="00DD25D7">
        <w:t>titre</w:t>
      </w:r>
      <w:r w:rsidRPr="00DD25D7">
        <w:t xml:space="preserve"> was higher)</w:t>
      </w:r>
      <w:r w:rsidR="00743EF5" w:rsidRPr="001B1D36">
        <w:t>.</w:t>
      </w:r>
    </w:p>
    <w:p w:rsidR="00743EF5" w:rsidRPr="001B1D36" w:rsidRDefault="009E75AA" w:rsidP="00025BCE">
      <w:pPr>
        <w:pStyle w:val="ListBullet"/>
      </w:pPr>
      <w:r w:rsidRPr="001B1D36">
        <w:t xml:space="preserve">For </w:t>
      </w:r>
      <w:r w:rsidRPr="00DD25D7">
        <w:t xml:space="preserve">subjects with a </w:t>
      </w:r>
      <w:r w:rsidR="008B4D82" w:rsidRPr="00DD25D7">
        <w:t>Baseline</w:t>
      </w:r>
      <w:r w:rsidRPr="00DD25D7">
        <w:t xml:space="preserve"> </w:t>
      </w:r>
      <w:proofErr w:type="spellStart"/>
      <w:r w:rsidRPr="00DD25D7">
        <w:t>hSBA</w:t>
      </w:r>
      <w:proofErr w:type="spellEnd"/>
      <w:r w:rsidRPr="00DD25D7">
        <w:t xml:space="preserve"> </w:t>
      </w:r>
      <w:r w:rsidR="00EA5CCB" w:rsidRPr="00DD25D7">
        <w:t>titre</w:t>
      </w:r>
      <w:r w:rsidRPr="00DD25D7">
        <w:t xml:space="preserve"> of </w:t>
      </w:r>
      <w:r w:rsidR="00743EF5" w:rsidRPr="00DD25D7">
        <w:t xml:space="preserve">≥ </w:t>
      </w:r>
      <w:r w:rsidRPr="00DD25D7">
        <w:t>LOD (</w:t>
      </w:r>
      <w:r w:rsidR="00032B77" w:rsidRPr="00DD25D7">
        <w:t>that is</w:t>
      </w:r>
      <w:r w:rsidRPr="00DD25D7">
        <w:t xml:space="preserve">, </w:t>
      </w:r>
      <w:proofErr w:type="spellStart"/>
      <w:r w:rsidRPr="00DD25D7">
        <w:t>hSBA</w:t>
      </w:r>
      <w:proofErr w:type="spellEnd"/>
      <w:r w:rsidRPr="00DD25D7">
        <w:t xml:space="preserve"> </w:t>
      </w:r>
      <w:r w:rsidR="00EA5CCB" w:rsidRPr="00DD25D7">
        <w:t>titre</w:t>
      </w:r>
      <w:r w:rsidRPr="00DD25D7">
        <w:t xml:space="preserve"> of </w:t>
      </w:r>
      <w:r w:rsidR="00743EF5" w:rsidRPr="00DD25D7">
        <w:t xml:space="preserve">≥ </w:t>
      </w:r>
      <w:r w:rsidRPr="00DD25D7">
        <w:t xml:space="preserve">1:4) and </w:t>
      </w:r>
      <w:r w:rsidR="00032B77" w:rsidRPr="00DD25D7">
        <w:t xml:space="preserve">&lt; </w:t>
      </w:r>
      <w:r w:rsidRPr="00DD25D7">
        <w:t xml:space="preserve">LLOQ, a </w:t>
      </w:r>
      <w:r w:rsidR="00743EF5" w:rsidRPr="00DD25D7">
        <w:t>4 fold</w:t>
      </w:r>
      <w:r w:rsidRPr="00DD25D7">
        <w:t xml:space="preserve"> response was defined as an </w:t>
      </w:r>
      <w:proofErr w:type="spellStart"/>
      <w:r w:rsidRPr="00DD25D7">
        <w:t>hSBA</w:t>
      </w:r>
      <w:proofErr w:type="spellEnd"/>
      <w:r w:rsidRPr="00DD25D7">
        <w:t xml:space="preserve"> </w:t>
      </w:r>
      <w:r w:rsidR="00EA5CCB" w:rsidRPr="00DD25D7">
        <w:t>titre</w:t>
      </w:r>
      <w:r w:rsidRPr="00DD25D7">
        <w:t xml:space="preserve"> of </w:t>
      </w:r>
      <w:r w:rsidR="00743EF5" w:rsidRPr="00DD25D7">
        <w:t xml:space="preserve">≥ </w:t>
      </w:r>
      <w:r w:rsidRPr="00DD25D7">
        <w:t>4 times the LLOQ</w:t>
      </w:r>
      <w:r w:rsidR="00743EF5" w:rsidRPr="001B1D36">
        <w:t>.</w:t>
      </w:r>
    </w:p>
    <w:p w:rsidR="00743EF5" w:rsidRPr="001B1D36" w:rsidRDefault="009E75AA" w:rsidP="00025BCE">
      <w:pPr>
        <w:pStyle w:val="ListBullet"/>
      </w:pPr>
      <w:r w:rsidRPr="001B1D36">
        <w:t xml:space="preserve">For subjects with a </w:t>
      </w:r>
      <w:r w:rsidR="008B4D82" w:rsidRPr="001B1D36">
        <w:t>Baseline</w:t>
      </w:r>
      <w:r w:rsidRPr="001B1D36">
        <w:t xml:space="preserve"> </w:t>
      </w:r>
      <w:proofErr w:type="spellStart"/>
      <w:r w:rsidRPr="001B1D36">
        <w:t>hSBA</w:t>
      </w:r>
      <w:proofErr w:type="spellEnd"/>
      <w:r w:rsidRPr="001B1D36">
        <w:t xml:space="preserve"> </w:t>
      </w:r>
      <w:r w:rsidR="00EA5CCB" w:rsidRPr="001B1D36">
        <w:t>titre</w:t>
      </w:r>
      <w:r w:rsidRPr="001B1D36">
        <w:t xml:space="preserve"> of </w:t>
      </w:r>
      <w:r w:rsidR="00743EF5" w:rsidRPr="00DD25D7">
        <w:t xml:space="preserve">≥ </w:t>
      </w:r>
      <w:r w:rsidRPr="001B1D36">
        <w:t xml:space="preserve">LLOQ, a </w:t>
      </w:r>
      <w:r w:rsidR="00743EF5" w:rsidRPr="001B1D36">
        <w:t>4 fold</w:t>
      </w:r>
      <w:r w:rsidRPr="001B1D36">
        <w:t xml:space="preserve"> response was defined as an </w:t>
      </w:r>
      <w:proofErr w:type="spellStart"/>
      <w:r w:rsidRPr="001B1D36">
        <w:t>hSBA</w:t>
      </w:r>
      <w:proofErr w:type="spellEnd"/>
      <w:r w:rsidRPr="001B1D36">
        <w:t xml:space="preserve"> </w:t>
      </w:r>
      <w:r w:rsidR="00EA5CCB" w:rsidRPr="001B1D36">
        <w:t>titre</w:t>
      </w:r>
      <w:r w:rsidRPr="001B1D36">
        <w:t xml:space="preserve"> of </w:t>
      </w:r>
      <w:r w:rsidR="00743EF5" w:rsidRPr="00DD25D7">
        <w:t xml:space="preserve">≥ </w:t>
      </w:r>
      <w:r w:rsidRPr="001B1D36">
        <w:t xml:space="preserve">4 times the </w:t>
      </w:r>
      <w:r w:rsidR="008B4D82" w:rsidRPr="001B1D36">
        <w:t>Baseline</w:t>
      </w:r>
      <w:r w:rsidRPr="001B1D36">
        <w:t xml:space="preserve"> </w:t>
      </w:r>
      <w:r w:rsidR="00EA5CCB" w:rsidRPr="001B1D36">
        <w:t>titre</w:t>
      </w:r>
      <w:r w:rsidR="00743EF5" w:rsidRPr="001B1D36">
        <w:t>.</w:t>
      </w:r>
    </w:p>
    <w:p w:rsidR="00743EF5" w:rsidRPr="001B1D36" w:rsidRDefault="009E75AA" w:rsidP="00025BCE">
      <w:r w:rsidRPr="001B1D36">
        <w:t>The secondary objectives of this study were as follows</w:t>
      </w:r>
      <w:r w:rsidR="00743EF5" w:rsidRPr="001B1D36">
        <w:t>:</w:t>
      </w:r>
    </w:p>
    <w:p w:rsidR="00743EF5" w:rsidRPr="001B1D36" w:rsidRDefault="009E75AA" w:rsidP="00025BCE">
      <w:pPr>
        <w:pStyle w:val="ListBullet"/>
      </w:pPr>
      <w:r w:rsidRPr="001B1D36">
        <w:t xml:space="preserve">To describe the immune response as measured by </w:t>
      </w:r>
      <w:proofErr w:type="spellStart"/>
      <w:r w:rsidRPr="001B1D36">
        <w:t>hSBA</w:t>
      </w:r>
      <w:proofErr w:type="spellEnd"/>
      <w:r w:rsidRPr="001B1D36">
        <w:t xml:space="preserve"> performed with 10 secondary </w:t>
      </w:r>
      <w:proofErr w:type="spellStart"/>
      <w:r w:rsidRPr="001B1D36">
        <w:t>MnB</w:t>
      </w:r>
      <w:proofErr w:type="spellEnd"/>
      <w:r w:rsidRPr="001B1D36">
        <w:t xml:space="preserve"> test strains expressing LP2086 subfamily A or B proteins measured 1 month after the third vaccination with bivalent rLP2086</w:t>
      </w:r>
      <w:r w:rsidR="00743EF5" w:rsidRPr="001B1D36">
        <w:t>.</w:t>
      </w:r>
    </w:p>
    <w:p w:rsidR="00743EF5" w:rsidRPr="001B1D36" w:rsidRDefault="009E75AA" w:rsidP="00025BCE">
      <w:pPr>
        <w:pStyle w:val="ListBullet"/>
      </w:pPr>
      <w:r w:rsidRPr="001B1D36">
        <w:lastRenderedPageBreak/>
        <w:t xml:space="preserve">To describe the immune response as measured by </w:t>
      </w:r>
      <w:proofErr w:type="spellStart"/>
      <w:r w:rsidRPr="001B1D36">
        <w:t>hSBA</w:t>
      </w:r>
      <w:proofErr w:type="spellEnd"/>
      <w:r w:rsidRPr="001B1D36">
        <w:t xml:space="preserve"> performed with 4 primary </w:t>
      </w:r>
      <w:proofErr w:type="spellStart"/>
      <w:r w:rsidRPr="001B1D36">
        <w:t>MnB</w:t>
      </w:r>
      <w:proofErr w:type="spellEnd"/>
      <w:r w:rsidRPr="001B1D36">
        <w:t xml:space="preserve"> test strains, 2 expressing an LP2086 subfamily </w:t>
      </w:r>
      <w:proofErr w:type="gramStart"/>
      <w:r w:rsidRPr="001B1D36">
        <w:t>A</w:t>
      </w:r>
      <w:proofErr w:type="gramEnd"/>
      <w:r w:rsidRPr="001B1D36">
        <w:t xml:space="preserve"> protein and 2 expressing an LP2086</w:t>
      </w:r>
      <w:r w:rsidR="00032B77" w:rsidRPr="001B1D36">
        <w:t xml:space="preserve"> subfamily </w:t>
      </w:r>
      <w:r w:rsidRPr="001B1D36">
        <w:t>B protein, measured 1 month after the second vaccination with bivalent rLP2086</w:t>
      </w:r>
      <w:r w:rsidR="00743EF5" w:rsidRPr="001B1D36">
        <w:t>.</w:t>
      </w:r>
    </w:p>
    <w:p w:rsidR="009E75AA" w:rsidRPr="00DD25D7" w:rsidRDefault="009E75AA" w:rsidP="00025BCE">
      <w:pPr>
        <w:pStyle w:val="Heading5"/>
      </w:pPr>
      <w:r w:rsidRPr="00DD25D7">
        <w:t>Randomisation and blinding methods</w:t>
      </w:r>
    </w:p>
    <w:p w:rsidR="00743EF5" w:rsidRPr="00DD25D7" w:rsidRDefault="009E75AA" w:rsidP="00025BCE">
      <w:r w:rsidRPr="00DD25D7">
        <w:t xml:space="preserve">Subjects 18 to </w:t>
      </w:r>
      <w:r w:rsidR="00032B77" w:rsidRPr="00DD25D7">
        <w:t xml:space="preserve">&lt; </w:t>
      </w:r>
      <w:r w:rsidRPr="00DD25D7">
        <w:t>26 years of</w:t>
      </w:r>
      <w:r w:rsidRPr="001B1D36">
        <w:t xml:space="preserve"> age were electronically random</w:t>
      </w:r>
      <w:r w:rsidR="00292798" w:rsidRPr="001B1D36">
        <w:t>ise</w:t>
      </w:r>
      <w:r w:rsidRPr="001B1D36">
        <w:t xml:space="preserve">d to one of the two groups in a 3:1 ratio (Group 1: Group 2). </w:t>
      </w:r>
      <w:r w:rsidRPr="00DD25D7">
        <w:t>Subject randomisation was stratified according to geographic region.</w:t>
      </w:r>
    </w:p>
    <w:p w:rsidR="009E75AA" w:rsidRPr="00DD25D7" w:rsidRDefault="009E75AA" w:rsidP="00025BCE">
      <w:pPr>
        <w:pStyle w:val="Heading5"/>
      </w:pPr>
      <w:r w:rsidRPr="00DD25D7">
        <w:t>Analysis populations</w:t>
      </w:r>
    </w:p>
    <w:p w:rsidR="009E75AA" w:rsidRPr="001B1D36" w:rsidRDefault="009E75AA" w:rsidP="00025BCE">
      <w:r w:rsidRPr="001B1D36">
        <w:t>A total of 2305 (69.8</w:t>
      </w:r>
      <w:r w:rsidRPr="00DD25D7">
        <w:t xml:space="preserve">%) subjects were included in the evaluable immunogenicity population (Group 1 </w:t>
      </w:r>
      <w:r w:rsidR="00DD25D7" w:rsidRPr="00DD25D7">
        <w:t>(</w:t>
      </w:r>
      <w:r w:rsidRPr="00DD25D7">
        <w:t>rLP2086</w:t>
      </w:r>
      <w:r w:rsidR="00DD25D7" w:rsidRPr="00DD25D7">
        <w:t>)</w:t>
      </w:r>
      <w:r w:rsidRPr="00DD25D7">
        <w:t>, n = 1723, 69.5% of random</w:t>
      </w:r>
      <w:r w:rsidR="00292798" w:rsidRPr="00DD25D7">
        <w:t>ise</w:t>
      </w:r>
      <w:r w:rsidRPr="00DD25D7">
        <w:t xml:space="preserve">d subjects; Group 2 </w:t>
      </w:r>
      <w:r w:rsidR="00DD25D7" w:rsidRPr="00DD25D7">
        <w:t>(</w:t>
      </w:r>
      <w:r w:rsidRPr="00DD25D7">
        <w:t>saline</w:t>
      </w:r>
      <w:r w:rsidR="00DD25D7" w:rsidRPr="00DD25D7">
        <w:t>)</w:t>
      </w:r>
      <w:r w:rsidRPr="00DD25D7">
        <w:t>, n = 582, 70.6% of random</w:t>
      </w:r>
      <w:r w:rsidR="00292798" w:rsidRPr="00DD25D7">
        <w:t>ise</w:t>
      </w:r>
      <w:r w:rsidRPr="00DD25D7">
        <w:t>d subjects.</w:t>
      </w:r>
    </w:p>
    <w:p w:rsidR="009E75AA" w:rsidRPr="00DD25D7" w:rsidRDefault="009E75AA" w:rsidP="00025BCE">
      <w:pPr>
        <w:pStyle w:val="Heading5"/>
      </w:pPr>
      <w:r w:rsidRPr="00DD25D7" w:rsidDel="0081373E">
        <w:t>S</w:t>
      </w:r>
      <w:r w:rsidRPr="00DD25D7">
        <w:t>ample size</w:t>
      </w:r>
    </w:p>
    <w:p w:rsidR="009E75AA" w:rsidRPr="00DD25D7" w:rsidRDefault="009E75AA" w:rsidP="00032B77">
      <w:r w:rsidRPr="00DD25D7">
        <w:t>The planned sample sizes of approximately 1668 subjects from US investigational sites, 1</w:t>
      </w:r>
      <w:r w:rsidR="003C2371" w:rsidRPr="00DD25D7">
        <w:t>,</w:t>
      </w:r>
      <w:r w:rsidRPr="00DD25D7">
        <w:t>336 subjects from European investigational sites, and 296 subjects from additional regions (Canada) were to be enrolled</w:t>
      </w:r>
      <w:r w:rsidR="00032B77" w:rsidRPr="00DD25D7">
        <w:t>.</w:t>
      </w:r>
    </w:p>
    <w:p w:rsidR="009E75AA" w:rsidRPr="00DD25D7" w:rsidRDefault="009E75AA" w:rsidP="00025BCE">
      <w:pPr>
        <w:pStyle w:val="Heading5"/>
      </w:pPr>
      <w:r w:rsidRPr="00DD25D7">
        <w:t>Statistical methods</w:t>
      </w:r>
    </w:p>
    <w:p w:rsidR="009E75AA" w:rsidRPr="00E36E42" w:rsidRDefault="009E75AA" w:rsidP="00025BCE">
      <w:r w:rsidRPr="00E36E42">
        <w:rPr>
          <w:lang w:eastAsia="ja-JP"/>
        </w:rPr>
        <w:t xml:space="preserve">The statistical methodology for the primary outcome was based on the use of the two-sided 95% Confidence Interval (CI). </w:t>
      </w:r>
      <w:r w:rsidRPr="00E36E42">
        <w:t>The primary</w:t>
      </w:r>
      <w:r w:rsidR="004C3790" w:rsidRPr="00E36E42">
        <w:t xml:space="preserve"> </w:t>
      </w:r>
      <w:r w:rsidRPr="00E36E42">
        <w:t xml:space="preserve">objective would be achieved if the lower bound of the 95% CI at one month after the third vaccination was greater than the threshold specified above. The study objective would be achieved if the lower bounds of the 95% CIs at 1 month after </w:t>
      </w:r>
      <w:r w:rsidR="008B4D82" w:rsidRPr="00E36E42">
        <w:t>Vaccination</w:t>
      </w:r>
      <w:r w:rsidRPr="00E36E42">
        <w:t xml:space="preserve"> 3 were greater than the threshold specified for each of the 5 co-primary endpoints among subjects in Group 1 (</w:t>
      </w:r>
      <w:r w:rsidR="002310F7" w:rsidRPr="00E36E42">
        <w:t>Table 3</w:t>
      </w:r>
      <w:r w:rsidRPr="00E36E42">
        <w:t xml:space="preserve">). The success criteria in this young adult study (B1971016) were slightly different from the criteria used in the adolescent Study B1971009 to account for the older age of subjects in the B1971016 population. </w:t>
      </w:r>
      <w:r w:rsidR="00DD25D7">
        <w:t>The sponsor</w:t>
      </w:r>
      <w:r w:rsidRPr="00E36E42">
        <w:t xml:space="preserve"> and regulatory authorities agreed upon the success criteria (lower bound of the 95% CI for the response rate) for the 5 co-primary endpoints based on exploratory </w:t>
      </w:r>
      <w:r w:rsidR="00032B77" w:rsidRPr="00E36E42">
        <w:t>post dose</w:t>
      </w:r>
      <w:r w:rsidRPr="00E36E42">
        <w:t xml:space="preserve"> 3 immunogenicity data from young adults in Study B1971003 and in </w:t>
      </w:r>
      <w:r w:rsidR="00032B77" w:rsidRPr="00E36E42">
        <w:t xml:space="preserve">18 year old </w:t>
      </w:r>
      <w:r w:rsidRPr="00E36E42">
        <w:t xml:space="preserve">subjects in </w:t>
      </w:r>
      <w:r w:rsidR="00032B77" w:rsidRPr="00E36E42">
        <w:t>Stud</w:t>
      </w:r>
      <w:r w:rsidRPr="00E36E42">
        <w:t>ies B1971005 and B1971012.</w:t>
      </w:r>
    </w:p>
    <w:p w:rsidR="0064126A" w:rsidRPr="00E36E42" w:rsidRDefault="0064126A" w:rsidP="0064126A">
      <w:pPr>
        <w:pStyle w:val="Tabletitle"/>
      </w:pPr>
      <w:bookmarkStart w:id="61" w:name="_Ref462649192"/>
      <w:bookmarkStart w:id="62" w:name="_Toc462406114"/>
      <w:bookmarkStart w:id="63" w:name="_Toc464821192"/>
      <w:r w:rsidRPr="00DD25D7">
        <w:lastRenderedPageBreak/>
        <w:t xml:space="preserve">Table </w:t>
      </w:r>
      <w:bookmarkEnd w:id="61"/>
      <w:bookmarkEnd w:id="62"/>
      <w:r w:rsidR="002310F7" w:rsidRPr="00DD25D7">
        <w:t>3:</w:t>
      </w:r>
      <w:r w:rsidRPr="00DD25D7">
        <w:t xml:space="preserve"> Primary </w:t>
      </w:r>
      <w:r w:rsidR="002310F7" w:rsidRPr="00E36E42">
        <w:t>i</w:t>
      </w:r>
      <w:r w:rsidRPr="00E36E42">
        <w:t xml:space="preserve">mmunogenicity </w:t>
      </w:r>
      <w:r w:rsidR="002310F7" w:rsidRPr="00E36E42">
        <w:t>analysis;</w:t>
      </w:r>
      <w:r w:rsidRPr="00E36E42">
        <w:t xml:space="preserve"> </w:t>
      </w:r>
      <w:r w:rsidR="002310F7" w:rsidRPr="00E36E42">
        <w:t xml:space="preserve">subjects achieving </w:t>
      </w:r>
      <w:r w:rsidRPr="00E36E42">
        <w:t>≥</w:t>
      </w:r>
      <w:r w:rsidR="006C2D7E" w:rsidRPr="00E36E42">
        <w:t xml:space="preserve"> 4 </w:t>
      </w:r>
      <w:r w:rsidR="002310F7" w:rsidRPr="00E36E42">
        <w:t xml:space="preserve">fold rise </w:t>
      </w:r>
      <w:r w:rsidRPr="00E36E42">
        <w:t xml:space="preserve">in </w:t>
      </w:r>
      <w:proofErr w:type="spellStart"/>
      <w:r w:rsidRPr="00E36E42">
        <w:t>hSBA</w:t>
      </w:r>
      <w:proofErr w:type="spellEnd"/>
      <w:r w:rsidRPr="00E36E42">
        <w:t xml:space="preserve"> </w:t>
      </w:r>
      <w:r w:rsidR="00EA5CCB" w:rsidRPr="00E36E42">
        <w:t>titre</w:t>
      </w:r>
      <w:r w:rsidR="002310F7" w:rsidRPr="00E36E42">
        <w:t xml:space="preserve"> and composite response at 1 month after </w:t>
      </w:r>
      <w:r w:rsidRPr="00E36E42">
        <w:t>Vac</w:t>
      </w:r>
      <w:r w:rsidR="002310F7" w:rsidRPr="00E36E42">
        <w:t>cination 3 for primary strains; evaluable immunogenicity population</w:t>
      </w:r>
      <w:r w:rsidRPr="00E36E42">
        <w:t xml:space="preserve"> (Study B1971016)</w:t>
      </w:r>
      <w:bookmarkEnd w:id="63"/>
    </w:p>
    <w:p w:rsidR="0064126A" w:rsidRPr="00E36E42" w:rsidRDefault="00D962FB" w:rsidP="00025BCE">
      <w:r w:rsidRPr="00DD25D7">
        <w:rPr>
          <w:noProof/>
          <w:lang w:eastAsia="en-AU"/>
        </w:rPr>
        <w:drawing>
          <wp:inline distT="0" distB="0" distL="0" distR="0" wp14:anchorId="3EB74E14" wp14:editId="193B23DE">
            <wp:extent cx="5731510" cy="5413093"/>
            <wp:effectExtent l="0" t="0" r="2540" b="0"/>
            <wp:docPr id="27" name="Picture 27" descr="Table 3: Primary immunogenicity analysis; subjects achieving ≥ 4 fold rise in hSBA titer and composite response at 1 month after Vaccination 3 for primary strains; evaluable immunogenicity population (Study B197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5413093"/>
                    </a:xfrm>
                    <a:prstGeom prst="rect">
                      <a:avLst/>
                    </a:prstGeom>
                  </pic:spPr>
                </pic:pic>
              </a:graphicData>
            </a:graphic>
          </wp:inline>
        </w:drawing>
      </w:r>
    </w:p>
    <w:p w:rsidR="009E75AA" w:rsidRPr="00DD25D7" w:rsidRDefault="00012937" w:rsidP="00025BCE">
      <w:pPr>
        <w:pStyle w:val="Heading5"/>
      </w:pPr>
      <w:r w:rsidRPr="00DD25D7">
        <w:t>Participant flow</w:t>
      </w:r>
    </w:p>
    <w:p w:rsidR="00743EF5" w:rsidRPr="00E36E42" w:rsidRDefault="009E75AA" w:rsidP="00025BCE">
      <w:r w:rsidRPr="00E36E42">
        <w:t>A total of 3</w:t>
      </w:r>
      <w:r w:rsidR="00012937" w:rsidRPr="00E36E42">
        <w:t>,</w:t>
      </w:r>
      <w:r w:rsidRPr="00E36E42">
        <w:t>304 subjects were random</w:t>
      </w:r>
      <w:r w:rsidR="00292798" w:rsidRPr="00E36E42">
        <w:t>ise</w:t>
      </w:r>
      <w:r w:rsidRPr="00E36E42">
        <w:t>d in this study. Of the subjects random</w:t>
      </w:r>
      <w:r w:rsidR="00292798" w:rsidRPr="00E36E42">
        <w:t>ise</w:t>
      </w:r>
      <w:r w:rsidRPr="00E36E42">
        <w:t>d,</w:t>
      </w:r>
      <w:r w:rsidR="00012937" w:rsidRPr="00E36E42">
        <w:t xml:space="preserve"> </w:t>
      </w:r>
      <w:r w:rsidRPr="00E36E42">
        <w:t>2480 subjects were included in Group 1 (bivalent rLP2086), and 824 subjects were included in Grou</w:t>
      </w:r>
      <w:r w:rsidR="00012937" w:rsidRPr="00E36E42">
        <w:t>p </w:t>
      </w:r>
      <w:r w:rsidRPr="00E36E42">
        <w:t>2 (saline control). Of the 3304 random</w:t>
      </w:r>
      <w:r w:rsidR="00292798" w:rsidRPr="00E36E42">
        <w:t>ise</w:t>
      </w:r>
      <w:r w:rsidRPr="00E36E42">
        <w:t xml:space="preserve">d subjects, 2474 (74.88%) subjects completed the vaccination phase of the study: 3293 (99.67%) </w:t>
      </w:r>
      <w:r w:rsidRPr="00DD25D7">
        <w:t>subjects received</w:t>
      </w:r>
      <w:r w:rsidR="00012937" w:rsidRPr="00DD25D7">
        <w:t xml:space="preserve"> </w:t>
      </w:r>
      <w:r w:rsidRPr="00DD25D7">
        <w:t xml:space="preserve">Vaccination 1; 2902 (87.83%) subjects received Vaccination 2; and 2538 (76.82%) subjects received Vaccination 3. A total of 2770 (83.84%) subjects completed the </w:t>
      </w:r>
      <w:r w:rsidR="00743EF5" w:rsidRPr="00E36E42">
        <w:t>6 month</w:t>
      </w:r>
      <w:r w:rsidRPr="00E36E42">
        <w:t xml:space="preserve"> follow-up telephone contact, and 2419 (73.21%) subjects completed the study</w:t>
      </w:r>
      <w:r w:rsidR="00743EF5" w:rsidRPr="00E36E42">
        <w:t>.</w:t>
      </w:r>
    </w:p>
    <w:p w:rsidR="009E75AA" w:rsidRPr="00DD25D7" w:rsidRDefault="009E75AA" w:rsidP="00025BCE">
      <w:pPr>
        <w:pStyle w:val="Heading5"/>
      </w:pPr>
      <w:r w:rsidRPr="00DD25D7">
        <w:t>Major protocol violations/deviations</w:t>
      </w:r>
    </w:p>
    <w:p w:rsidR="00743EF5" w:rsidRPr="00E36E42" w:rsidRDefault="009E75AA" w:rsidP="00025BCE">
      <w:pPr>
        <w:rPr>
          <w:lang w:eastAsia="ja-JP"/>
        </w:rPr>
      </w:pPr>
      <w:r w:rsidRPr="00E36E42">
        <w:rPr>
          <w:lang w:eastAsia="ja-JP"/>
        </w:rPr>
        <w:t>A total of 234 (7.1%) subje</w:t>
      </w:r>
      <w:r w:rsidR="00012937" w:rsidRPr="00E36E42">
        <w:rPr>
          <w:lang w:eastAsia="ja-JP"/>
        </w:rPr>
        <w:t>cts were withdrawn during the 2 dose series follow-up</w:t>
      </w:r>
      <w:r w:rsidRPr="00E36E42">
        <w:rPr>
          <w:lang w:eastAsia="ja-JP"/>
        </w:rPr>
        <w:t xml:space="preserve"> phase for the following reasons: 82 (2.5%) subjects were lost to follow-up, 79 (2.4%) subjects were no longer willing to participate in the study, 14 (0.4%) subjects withdrew consent, 12 (0.4%) subjects no longer met eligibility criteria, 19 (0.6%) subjects were withdrawn due to pregnancy, 13 (0.4%) subjects were withdrawn due to other reasons, 10 (0.3%) subjects were withdrawn due to AEs, </w:t>
      </w:r>
      <w:r w:rsidRPr="00E36E42">
        <w:rPr>
          <w:lang w:eastAsia="ja-JP"/>
        </w:rPr>
        <w:lastRenderedPageBreak/>
        <w:t>and 5 (0.2%) subjects were withdrawn due to protocol violations. The vaccine groups were comparable with respect to reasons for withdrawal during the 2-dose series follow-up phase</w:t>
      </w:r>
      <w:r w:rsidR="00743EF5" w:rsidRPr="00E36E42">
        <w:rPr>
          <w:lang w:eastAsia="ja-JP"/>
        </w:rPr>
        <w:t>.</w:t>
      </w:r>
    </w:p>
    <w:p w:rsidR="009E75AA" w:rsidRPr="00DD25D7" w:rsidRDefault="009E75AA" w:rsidP="00025BCE">
      <w:pPr>
        <w:pStyle w:val="Heading5"/>
      </w:pPr>
      <w:r w:rsidRPr="00DD25D7">
        <w:t>Baseline data</w:t>
      </w:r>
    </w:p>
    <w:p w:rsidR="00743EF5" w:rsidRPr="00E36E42" w:rsidRDefault="009E75AA" w:rsidP="00025BCE">
      <w:r w:rsidRPr="00E36E42">
        <w:t>Among 3293 vaccinated subjects, 1</w:t>
      </w:r>
      <w:r w:rsidR="00012937" w:rsidRPr="00E36E42">
        <w:t>,</w:t>
      </w:r>
      <w:r w:rsidRPr="00E36E42">
        <w:t>359 (41.27%) were male and 1</w:t>
      </w:r>
      <w:r w:rsidR="00012937" w:rsidRPr="00E36E42">
        <w:t>,</w:t>
      </w:r>
      <w:r w:rsidRPr="00E36E42">
        <w:t xml:space="preserve">934 (58.73%) were female. The majority of subjects were </w:t>
      </w:r>
      <w:r w:rsidR="00032B77" w:rsidRPr="00E36E42">
        <w:t>White</w:t>
      </w:r>
      <w:r w:rsidRPr="00E36E42">
        <w:t xml:space="preserve">. The number and percent of subjects in each racial group were as follows: </w:t>
      </w:r>
      <w:r w:rsidR="00032B77" w:rsidRPr="00E36E42">
        <w:t>White</w:t>
      </w:r>
      <w:r w:rsidRPr="00E36E42">
        <w:t xml:space="preserve">, n = 2507 (76.13%); </w:t>
      </w:r>
      <w:r w:rsidR="00032B77" w:rsidRPr="00E36E42">
        <w:t>Black</w:t>
      </w:r>
      <w:r w:rsidRPr="00E36E42">
        <w:t xml:space="preserve">, n = 684 (20.77%); Asian, n = 51 (1.55%); and other, n = 51 (1.55%). The mean age at vaccination was 21.48 years (SD 2.15), with ages of study subjects ranging from 18 years to 25 </w:t>
      </w:r>
      <w:proofErr w:type="gramStart"/>
      <w:r w:rsidRPr="00E36E42">
        <w:t>years.</w:t>
      </w:r>
      <w:proofErr w:type="gramEnd"/>
      <w:r w:rsidRPr="00E36E42">
        <w:t xml:space="preserve"> Percentages by sex and race/ethnicity and mean age at vaccination were similar in each study group</w:t>
      </w:r>
      <w:r w:rsidR="00743EF5" w:rsidRPr="00E36E42">
        <w:t>.</w:t>
      </w:r>
    </w:p>
    <w:p w:rsidR="009E75AA" w:rsidRPr="00DD25D7" w:rsidRDefault="009E75AA" w:rsidP="009E75AA">
      <w:pPr>
        <w:pStyle w:val="Heading5"/>
        <w:numPr>
          <w:ilvl w:val="3"/>
          <w:numId w:val="29"/>
        </w:numPr>
        <w:tabs>
          <w:tab w:val="clear" w:pos="1418"/>
          <w:tab w:val="num" w:pos="1333"/>
        </w:tabs>
        <w:ind w:left="1333"/>
      </w:pPr>
      <w:r w:rsidRPr="00DD25D7">
        <w:t xml:space="preserve">Results </w:t>
      </w:r>
      <w:r w:rsidR="00012937" w:rsidRPr="00DD25D7">
        <w:t xml:space="preserve">for the primary </w:t>
      </w:r>
      <w:r w:rsidR="00520007" w:rsidRPr="00DD25D7">
        <w:t xml:space="preserve">immunogenicity </w:t>
      </w:r>
      <w:r w:rsidR="00012937" w:rsidRPr="00DD25D7">
        <w:t>outcom</w:t>
      </w:r>
      <w:r w:rsidR="00520007" w:rsidRPr="00DD25D7">
        <w:t>e</w:t>
      </w:r>
    </w:p>
    <w:p w:rsidR="009E75AA" w:rsidRPr="00E36E42" w:rsidRDefault="009E75AA" w:rsidP="00025BCE">
      <w:pPr>
        <w:pStyle w:val="Heading6"/>
      </w:pPr>
      <w:proofErr w:type="spellStart"/>
      <w:proofErr w:type="gramStart"/>
      <w:r w:rsidRPr="00E36E42">
        <w:t>hSBA</w:t>
      </w:r>
      <w:proofErr w:type="spellEnd"/>
      <w:proofErr w:type="gramEnd"/>
      <w:r w:rsidRPr="00E36E42">
        <w:t xml:space="preserve"> </w:t>
      </w:r>
      <w:r w:rsidR="00743EF5" w:rsidRPr="00DD25D7">
        <w:t xml:space="preserve">≥ </w:t>
      </w:r>
      <w:r w:rsidR="00012937" w:rsidRPr="00E36E42">
        <w:t>4 fold rise and composite response after Vaccination 3</w:t>
      </w:r>
    </w:p>
    <w:p w:rsidR="00743EF5" w:rsidRPr="00E36E42" w:rsidRDefault="009E75AA" w:rsidP="004D513F">
      <w:r w:rsidRPr="00E36E42">
        <w:t xml:space="preserve">The primary objective of this study was to assess the immune response as measured by </w:t>
      </w:r>
      <w:proofErr w:type="spellStart"/>
      <w:r w:rsidRPr="00E36E42">
        <w:t>hSBA</w:t>
      </w:r>
      <w:proofErr w:type="spellEnd"/>
      <w:r w:rsidRPr="00E36E42">
        <w:t xml:space="preserve"> performed with 4 primary </w:t>
      </w:r>
      <w:proofErr w:type="spellStart"/>
      <w:r w:rsidRPr="00E36E42">
        <w:t>MnB</w:t>
      </w:r>
      <w:proofErr w:type="spellEnd"/>
      <w:r w:rsidRPr="00E36E42">
        <w:t xml:space="preserve"> test strains, 2 expressing </w:t>
      </w:r>
      <w:proofErr w:type="spellStart"/>
      <w:r w:rsidRPr="00E36E42">
        <w:t>fHBP</w:t>
      </w:r>
      <w:proofErr w:type="spellEnd"/>
      <w:r w:rsidRPr="00E36E42">
        <w:t xml:space="preserve"> subfamily A protein (PMB80 </w:t>
      </w:r>
      <w:r w:rsidR="00DD25D7" w:rsidRPr="00E36E42">
        <w:t>(</w:t>
      </w:r>
      <w:r w:rsidRPr="00E36E42">
        <w:t>A22</w:t>
      </w:r>
      <w:r w:rsidR="00DD25D7" w:rsidRPr="00E36E42">
        <w:t>)</w:t>
      </w:r>
      <w:r w:rsidRPr="00E36E42">
        <w:t xml:space="preserve"> and PMB2001 </w:t>
      </w:r>
      <w:r w:rsidR="00DD25D7" w:rsidRPr="00E36E42">
        <w:t>(</w:t>
      </w:r>
      <w:r w:rsidRPr="00E36E42">
        <w:t>A56</w:t>
      </w:r>
      <w:r w:rsidR="00DD25D7" w:rsidRPr="00E36E42">
        <w:t>)</w:t>
      </w:r>
      <w:r w:rsidRPr="00E36E42">
        <w:t xml:space="preserve">) and 2 expressing </w:t>
      </w:r>
      <w:proofErr w:type="spellStart"/>
      <w:r w:rsidRPr="00E36E42">
        <w:t>fHBP</w:t>
      </w:r>
      <w:proofErr w:type="spellEnd"/>
      <w:r w:rsidRPr="00E36E42">
        <w:t xml:space="preserve"> subfamily B protein (PMB2948 </w:t>
      </w:r>
      <w:r w:rsidR="00DD25D7" w:rsidRPr="00E36E42">
        <w:t>(</w:t>
      </w:r>
      <w:r w:rsidRPr="00E36E42">
        <w:t>B24</w:t>
      </w:r>
      <w:r w:rsidR="00DD25D7" w:rsidRPr="00E36E42">
        <w:t>)</w:t>
      </w:r>
      <w:r w:rsidRPr="00E36E42">
        <w:t xml:space="preserve"> and PMB2707 </w:t>
      </w:r>
      <w:r w:rsidR="00DD25D7" w:rsidRPr="00E36E42">
        <w:t>(</w:t>
      </w:r>
      <w:r w:rsidRPr="00E36E42">
        <w:t>B44</w:t>
      </w:r>
      <w:r w:rsidR="00DD25D7" w:rsidRPr="00E36E42">
        <w:t>)</w:t>
      </w:r>
      <w:r w:rsidRPr="00E36E42">
        <w:t>), measured 1 month after the third vaccination with bivalent rLP2086 in the evaluable immunogenicity population</w:t>
      </w:r>
      <w:r w:rsidR="00743EF5" w:rsidRPr="00E36E42">
        <w:t>.</w:t>
      </w:r>
    </w:p>
    <w:p w:rsidR="00743EF5" w:rsidRPr="00E36E42" w:rsidRDefault="009E75AA" w:rsidP="004D513F">
      <w:r w:rsidRPr="00E36E42">
        <w:t xml:space="preserve">The 5 co-primary endpoints for this objective were the proportion of subjects in Group 1 achieving at least a </w:t>
      </w:r>
      <w:r w:rsidR="00743EF5" w:rsidRPr="00E36E42">
        <w:t>4 fold</w:t>
      </w:r>
      <w:r w:rsidRPr="00E36E42">
        <w:t xml:space="preserve"> increase from </w:t>
      </w:r>
      <w:r w:rsidR="008B4D82" w:rsidRPr="00E36E42">
        <w:t>Baseline</w:t>
      </w:r>
      <w:r w:rsidRPr="00E36E42">
        <w:t xml:space="preserve"> in </w:t>
      </w:r>
      <w:proofErr w:type="spellStart"/>
      <w:r w:rsidRPr="00E36E42">
        <w:t>hSBA</w:t>
      </w:r>
      <w:proofErr w:type="spellEnd"/>
      <w:r w:rsidRPr="00E36E42">
        <w:t xml:space="preserve"> </w:t>
      </w:r>
      <w:r w:rsidR="00EA5CCB" w:rsidRPr="00E36E42">
        <w:t>titre</w:t>
      </w:r>
      <w:r w:rsidRPr="00E36E42">
        <w:t xml:space="preserve"> for each of the 4 primary </w:t>
      </w:r>
      <w:proofErr w:type="spellStart"/>
      <w:r w:rsidRPr="00E36E42">
        <w:t>MnB</w:t>
      </w:r>
      <w:proofErr w:type="spellEnd"/>
      <w:r w:rsidRPr="00E36E42">
        <w:t xml:space="preserve"> test strains and the proportion of subjects achieving a composite</w:t>
      </w:r>
      <w:r w:rsidR="007C47A5" w:rsidRPr="00E36E42">
        <w:rPr>
          <w:rStyle w:val="FootnoteReference"/>
        </w:rPr>
        <w:footnoteReference w:id="3"/>
      </w:r>
      <w:r w:rsidRPr="00E36E42">
        <w:t xml:space="preserve"> response at 1 month after the third vaccination with bivalent rLP2086</w:t>
      </w:r>
      <w:r w:rsidR="00743EF5" w:rsidRPr="00E36E42">
        <w:t>.</w:t>
      </w:r>
    </w:p>
    <w:p w:rsidR="00743EF5" w:rsidRPr="00E36E42" w:rsidRDefault="009E75AA" w:rsidP="004D513F">
      <w:r w:rsidRPr="00E36E42">
        <w:t xml:space="preserve">For the evaluable immunogenicity population in Group 1, the proportion of subjects achieving a </w:t>
      </w:r>
      <w:r w:rsidR="00743EF5" w:rsidRPr="00DD25D7">
        <w:t xml:space="preserve">≥ </w:t>
      </w:r>
      <w:r w:rsidR="00743EF5" w:rsidRPr="00E36E42">
        <w:t>4 fold</w:t>
      </w:r>
      <w:r w:rsidRPr="00E36E42">
        <w:t xml:space="preserve"> increase in </w:t>
      </w:r>
      <w:proofErr w:type="spellStart"/>
      <w:r w:rsidRPr="00E36E42">
        <w:t>hSBA</w:t>
      </w:r>
      <w:proofErr w:type="spellEnd"/>
      <w:r w:rsidRPr="00E36E42">
        <w:t xml:space="preserve"> </w:t>
      </w:r>
      <w:r w:rsidR="00EA5CCB" w:rsidRPr="00E36E42">
        <w:t>titre</w:t>
      </w:r>
      <w:r w:rsidRPr="00E36E42">
        <w:t xml:space="preserve"> from </w:t>
      </w:r>
      <w:r w:rsidR="008B4D82" w:rsidRPr="00E36E42">
        <w:t>Baseline</w:t>
      </w:r>
      <w:r w:rsidRPr="00E36E42">
        <w:t xml:space="preserve"> for each of the 4 primary test strains after 3 doses of 120 µg bivalent rLP2086 was as follows: 80.5% (95% CI: 78.6, 82.4) for PMB80 (A22); 90.0% (95% CI: 88.4, 91.4) for PMB2001 (A56); 79.3% (95% CI: 77.3, 81.2) for PMB2948 (B24); 79.6% (95% CI: 77.6, 81.5) for PMB2707 (B44); and 84.9% (95% CI: 83.1, 86.6) for the composite </w:t>
      </w:r>
      <w:proofErr w:type="spellStart"/>
      <w:r w:rsidRPr="00E36E42">
        <w:t>hSBA</w:t>
      </w:r>
      <w:proofErr w:type="spellEnd"/>
      <w:r w:rsidRPr="00E36E42">
        <w:t xml:space="preserve"> response (</w:t>
      </w:r>
      <w:r w:rsidR="00012937" w:rsidRPr="00E36E42">
        <w:t>that is,</w:t>
      </w:r>
      <w:r w:rsidRPr="00E36E42">
        <w:t xml:space="preserve"> </w:t>
      </w:r>
      <w:proofErr w:type="spellStart"/>
      <w:r w:rsidRPr="00E36E42">
        <w:t>hSBA</w:t>
      </w:r>
      <w:proofErr w:type="spellEnd"/>
      <w:r w:rsidRPr="00E36E42">
        <w:t xml:space="preserve"> </w:t>
      </w:r>
      <w:r w:rsidR="00EA5CCB" w:rsidRPr="00E36E42">
        <w:t>titre</w:t>
      </w:r>
      <w:r w:rsidRPr="00E36E42">
        <w:t xml:space="preserve"> </w:t>
      </w:r>
      <w:r w:rsidR="00743EF5" w:rsidRPr="00DD25D7">
        <w:t xml:space="preserve">≥ </w:t>
      </w:r>
      <w:r w:rsidRPr="00E36E42">
        <w:t>LLOQ for all 4 primary str</w:t>
      </w:r>
      <w:r w:rsidR="00012937" w:rsidRPr="00E36E42">
        <w:t>ains). The lower limit of the 2</w:t>
      </w:r>
      <w:r w:rsidR="00012937" w:rsidRPr="00E36E42">
        <w:noBreakHyphen/>
      </w:r>
      <w:r w:rsidRPr="00E36E42">
        <w:t xml:space="preserve">sided 95% CI was greater than the corresponding pre-specified lower bound threshold for each of the 4 primary </w:t>
      </w:r>
      <w:proofErr w:type="spellStart"/>
      <w:r w:rsidRPr="00E36E42">
        <w:t>MnB</w:t>
      </w:r>
      <w:proofErr w:type="spellEnd"/>
      <w:r w:rsidRPr="00E36E42">
        <w:t xml:space="preserve"> strains and for the composite response; thus, the primary objective was met (</w:t>
      </w:r>
      <w:r w:rsidR="00E36E42">
        <w:t>Table 3</w:t>
      </w:r>
      <w:r w:rsidRPr="00E36E42">
        <w:t>)</w:t>
      </w:r>
      <w:r w:rsidR="00743EF5" w:rsidRPr="00E36E42">
        <w:t>.</w:t>
      </w:r>
    </w:p>
    <w:p w:rsidR="009E75AA" w:rsidRPr="00DD25D7" w:rsidRDefault="009E75AA" w:rsidP="004D513F">
      <w:pPr>
        <w:pStyle w:val="Heading5"/>
      </w:pPr>
      <w:r w:rsidRPr="00DD25D7">
        <w:t xml:space="preserve">Results for other </w:t>
      </w:r>
      <w:r w:rsidR="00520007" w:rsidRPr="00DD25D7">
        <w:t xml:space="preserve">immunogenicity </w:t>
      </w:r>
      <w:r w:rsidRPr="00DD25D7">
        <w:t>outcomes</w:t>
      </w:r>
    </w:p>
    <w:p w:rsidR="009E75AA" w:rsidRPr="00E36E42" w:rsidRDefault="009E75AA" w:rsidP="004D513F">
      <w:pPr>
        <w:pStyle w:val="Heading6"/>
        <w:rPr>
          <w:lang w:eastAsia="ja-JP"/>
        </w:rPr>
      </w:pPr>
      <w:proofErr w:type="spellStart"/>
      <w:proofErr w:type="gramStart"/>
      <w:r w:rsidRPr="00E36E42">
        <w:rPr>
          <w:lang w:eastAsia="ja-JP"/>
        </w:rPr>
        <w:t>hSBA</w:t>
      </w:r>
      <w:proofErr w:type="spellEnd"/>
      <w:proofErr w:type="gramEnd"/>
      <w:r w:rsidRPr="00E36E42">
        <w:rPr>
          <w:lang w:eastAsia="ja-JP"/>
        </w:rPr>
        <w:t xml:space="preserve"> </w:t>
      </w:r>
      <w:r w:rsidR="00743EF5" w:rsidRPr="00DD25D7">
        <w:t xml:space="preserve">≥ </w:t>
      </w:r>
      <w:r w:rsidR="00012937" w:rsidRPr="00E36E42">
        <w:rPr>
          <w:lang w:eastAsia="ja-JP"/>
        </w:rPr>
        <w:t>4 fold rise and composite response</w:t>
      </w:r>
    </w:p>
    <w:p w:rsidR="00743EF5" w:rsidRPr="00E36E42" w:rsidRDefault="009E75AA" w:rsidP="004D513F">
      <w:pPr>
        <w:rPr>
          <w:lang w:eastAsia="ja-JP"/>
        </w:rPr>
      </w:pPr>
      <w:r w:rsidRPr="00E36E42">
        <w:rPr>
          <w:lang w:eastAsia="ja-JP"/>
        </w:rPr>
        <w:t xml:space="preserve">The proportion of subjects in Group 1 who achieved at least a </w:t>
      </w:r>
      <w:r w:rsidR="00743EF5" w:rsidRPr="00E36E42">
        <w:rPr>
          <w:lang w:eastAsia="ja-JP"/>
        </w:rPr>
        <w:t>4 fold</w:t>
      </w:r>
      <w:r w:rsidRPr="00E36E42">
        <w:rPr>
          <w:lang w:eastAsia="ja-JP"/>
        </w:rPr>
        <w:t xml:space="preserve"> rise in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 xml:space="preserve"> from </w:t>
      </w:r>
      <w:r w:rsidR="008B4D82" w:rsidRPr="00E36E42">
        <w:rPr>
          <w:lang w:eastAsia="ja-JP"/>
        </w:rPr>
        <w:t>Baseline</w:t>
      </w:r>
      <w:r w:rsidRPr="00E36E42">
        <w:rPr>
          <w:lang w:eastAsia="ja-JP"/>
        </w:rPr>
        <w:t xml:space="preserve"> to 1 month after </w:t>
      </w:r>
      <w:r w:rsidR="008B4D82" w:rsidRPr="00E36E42">
        <w:rPr>
          <w:lang w:eastAsia="ja-JP"/>
        </w:rPr>
        <w:t>Vaccination</w:t>
      </w:r>
      <w:r w:rsidRPr="00E36E42">
        <w:rPr>
          <w:lang w:eastAsia="ja-JP"/>
        </w:rPr>
        <w:t xml:space="preserve"> 2 was 66.9% for PMB80 (A22), 85.9% for PMB2001 (A56), 67.9% for PMB2948 (B24), and 55.5% for PMB2707 (B44). After </w:t>
      </w:r>
      <w:r w:rsidR="008B4D82" w:rsidRPr="00E36E42">
        <w:rPr>
          <w:lang w:eastAsia="ja-JP"/>
        </w:rPr>
        <w:t>Vaccination</w:t>
      </w:r>
      <w:r w:rsidRPr="00E36E42">
        <w:rPr>
          <w:lang w:eastAsia="ja-JP"/>
        </w:rPr>
        <w:t xml:space="preserve"> 3, the corresponding rates for the primary </w:t>
      </w:r>
      <w:proofErr w:type="spellStart"/>
      <w:r w:rsidRPr="00E36E42">
        <w:rPr>
          <w:lang w:eastAsia="ja-JP"/>
        </w:rPr>
        <w:t>MnB</w:t>
      </w:r>
      <w:proofErr w:type="spellEnd"/>
      <w:r w:rsidRPr="00E36E42">
        <w:rPr>
          <w:lang w:eastAsia="ja-JP"/>
        </w:rPr>
        <w:t xml:space="preserve"> test strains in Group 1 were: 80.5% for PMB80 (A22), 90.0% for PMB2001 (A56), 79.3% for PMB2948 (B24), and 79.6% for PMB2707 (B44). These proportions were substantially higher in Group 1 than in the control group (Group 2) after both the second and third vaccinations</w:t>
      </w:r>
      <w:r w:rsidR="00743EF5" w:rsidRPr="00E36E42">
        <w:rPr>
          <w:lang w:eastAsia="ja-JP"/>
        </w:rPr>
        <w:t>.</w:t>
      </w:r>
    </w:p>
    <w:p w:rsidR="00743EF5" w:rsidRPr="00E36E42" w:rsidRDefault="009E75AA" w:rsidP="004D513F">
      <w:pPr>
        <w:rPr>
          <w:lang w:eastAsia="ja-JP"/>
        </w:rPr>
      </w:pPr>
      <w:r w:rsidRPr="00E36E42">
        <w:rPr>
          <w:lang w:eastAsia="ja-JP"/>
        </w:rPr>
        <w:t xml:space="preserve">The proportion of subjects with a composite </w:t>
      </w:r>
      <w:proofErr w:type="spellStart"/>
      <w:r w:rsidRPr="00E36E42">
        <w:rPr>
          <w:lang w:eastAsia="ja-JP"/>
        </w:rPr>
        <w:t>hSBA</w:t>
      </w:r>
      <w:proofErr w:type="spellEnd"/>
      <w:r w:rsidRPr="00E36E42">
        <w:rPr>
          <w:lang w:eastAsia="ja-JP"/>
        </w:rPr>
        <w:t xml:space="preserve"> response at </w:t>
      </w:r>
      <w:r w:rsidR="008B4D82" w:rsidRPr="00E36E42">
        <w:rPr>
          <w:lang w:eastAsia="ja-JP"/>
        </w:rPr>
        <w:t>Baseline</w:t>
      </w:r>
      <w:r w:rsidRPr="00E36E42">
        <w:rPr>
          <w:lang w:eastAsia="ja-JP"/>
        </w:rPr>
        <w:t xml:space="preserve"> for Group 1 (7.3%) was similar to that in Group 2 (6.1%). In Group 1, the proportions of subjects achieving a composite </w:t>
      </w:r>
      <w:proofErr w:type="spellStart"/>
      <w:r w:rsidRPr="00E36E42">
        <w:rPr>
          <w:lang w:eastAsia="ja-JP"/>
        </w:rPr>
        <w:t>hSBA</w:t>
      </w:r>
      <w:proofErr w:type="spellEnd"/>
      <w:r w:rsidRPr="00E36E42">
        <w:rPr>
          <w:lang w:eastAsia="ja-JP"/>
        </w:rPr>
        <w:t xml:space="preserve"> response 1 month after the second and third vaccinations were 64.5% and 84.9% of subjects, respectively. In Group 2 (control), 7.5% of the subjects achieved a composite response at each post-vaccination time point</w:t>
      </w:r>
      <w:r w:rsidR="00743EF5" w:rsidRPr="00E36E42">
        <w:rPr>
          <w:lang w:eastAsia="ja-JP"/>
        </w:rPr>
        <w:t>.</w:t>
      </w:r>
    </w:p>
    <w:p w:rsidR="009E75AA" w:rsidRPr="00E36E42" w:rsidRDefault="009E75AA" w:rsidP="004D513F">
      <w:pPr>
        <w:pStyle w:val="Heading6"/>
        <w:rPr>
          <w:lang w:eastAsia="ja-JP"/>
        </w:rPr>
      </w:pPr>
      <w:proofErr w:type="spellStart"/>
      <w:proofErr w:type="gramStart"/>
      <w:r w:rsidRPr="00E36E42">
        <w:rPr>
          <w:lang w:eastAsia="ja-JP"/>
        </w:rPr>
        <w:lastRenderedPageBreak/>
        <w:t>hSBA</w:t>
      </w:r>
      <w:proofErr w:type="spellEnd"/>
      <w:proofErr w:type="gramEnd"/>
      <w:r w:rsidRPr="00E36E42">
        <w:rPr>
          <w:lang w:eastAsia="ja-JP"/>
        </w:rPr>
        <w:t xml:space="preserve"> </w:t>
      </w:r>
      <w:r w:rsidR="00EA5CCB" w:rsidRPr="00E36E42">
        <w:rPr>
          <w:lang w:eastAsia="ja-JP"/>
        </w:rPr>
        <w:t>Titre</w:t>
      </w:r>
      <w:r w:rsidRPr="00E36E42">
        <w:rPr>
          <w:lang w:eastAsia="ja-JP"/>
        </w:rPr>
        <w:t xml:space="preserve">s </w:t>
      </w:r>
      <w:r w:rsidR="00743EF5" w:rsidRPr="00DD25D7">
        <w:t xml:space="preserve">≥ </w:t>
      </w:r>
      <w:r w:rsidR="00012937" w:rsidRPr="00E36E42">
        <w:rPr>
          <w:lang w:eastAsia="ja-JP"/>
        </w:rPr>
        <w:t>LLOQ</w:t>
      </w:r>
    </w:p>
    <w:p w:rsidR="00743EF5" w:rsidRPr="00E36E42" w:rsidRDefault="009E75AA" w:rsidP="004D513F">
      <w:pPr>
        <w:rPr>
          <w:lang w:eastAsia="ja-JP"/>
        </w:rPr>
      </w:pPr>
      <w:r w:rsidRPr="00E36E42">
        <w:rPr>
          <w:lang w:eastAsia="ja-JP"/>
        </w:rPr>
        <w:t xml:space="preserve">After </w:t>
      </w:r>
      <w:r w:rsidR="008B4D82" w:rsidRPr="00E36E42">
        <w:rPr>
          <w:lang w:eastAsia="ja-JP"/>
        </w:rPr>
        <w:t>Vaccination</w:t>
      </w:r>
      <w:r w:rsidRPr="00E36E42">
        <w:rPr>
          <w:lang w:eastAsia="ja-JP"/>
        </w:rPr>
        <w:t xml:space="preserve"> 2 the proportion of responders in Group 1 with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 xml:space="preserve">s </w:t>
      </w:r>
      <w:r w:rsidR="00743EF5" w:rsidRPr="00DD25D7">
        <w:t xml:space="preserve">≥ </w:t>
      </w:r>
      <w:r w:rsidRPr="00E36E42">
        <w:rPr>
          <w:lang w:eastAsia="ja-JP"/>
        </w:rPr>
        <w:t xml:space="preserve">LLOQ was: 84.7% for PMB80 (A22), 97.4% for PMB2001 (A56), 86.5% for PMB2948 (B24), and 68.3% for PMB2707 (B44) in Group 1. The proportion of responders at </w:t>
      </w:r>
      <w:r w:rsidR="00743EF5" w:rsidRPr="00DD25D7">
        <w:t xml:space="preserve">≥ </w:t>
      </w:r>
      <w:r w:rsidRPr="00E36E42">
        <w:rPr>
          <w:lang w:eastAsia="ja-JP"/>
        </w:rPr>
        <w:t xml:space="preserve">LLOQ 1 month after </w:t>
      </w:r>
      <w:r w:rsidR="008B4D82" w:rsidRPr="00E36E42">
        <w:rPr>
          <w:lang w:eastAsia="ja-JP"/>
        </w:rPr>
        <w:t>Vaccination</w:t>
      </w:r>
      <w:r w:rsidRPr="00E36E42">
        <w:rPr>
          <w:lang w:eastAsia="ja-JP"/>
        </w:rPr>
        <w:t xml:space="preserve"> 3 was: 93.5% for PMB80 (A22), 99.4% for PMB2001 (A56), 95.1% for PMB2948 (B24), and 87.4% for PMB2707 (B44) in Group 1</w:t>
      </w:r>
      <w:r w:rsidR="00743EF5" w:rsidRPr="00E36E42">
        <w:rPr>
          <w:lang w:eastAsia="ja-JP"/>
        </w:rPr>
        <w:t>.</w:t>
      </w:r>
    </w:p>
    <w:p w:rsidR="00743EF5" w:rsidRPr="00E36E42" w:rsidRDefault="009E75AA" w:rsidP="004D513F">
      <w:pPr>
        <w:rPr>
          <w:lang w:eastAsia="ja-JP"/>
        </w:rPr>
      </w:pPr>
      <w:r w:rsidRPr="00E36E42">
        <w:rPr>
          <w:lang w:eastAsia="ja-JP"/>
        </w:rPr>
        <w:t xml:space="preserve">In the saline control group, approximately one-third of these young adult subjects had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 xml:space="preserve">s </w:t>
      </w:r>
      <w:r w:rsidR="00743EF5" w:rsidRPr="00DD25D7">
        <w:t xml:space="preserve">≥ </w:t>
      </w:r>
      <w:r w:rsidRPr="00E36E42">
        <w:rPr>
          <w:lang w:eastAsia="ja-JP"/>
        </w:rPr>
        <w:t xml:space="preserve">LLOQ for 3 of the 4 primary test strains (PMB80 </w:t>
      </w:r>
      <w:r w:rsidR="00DD25D7" w:rsidRPr="00E36E42">
        <w:rPr>
          <w:lang w:eastAsia="ja-JP"/>
        </w:rPr>
        <w:t>(</w:t>
      </w:r>
      <w:r w:rsidRPr="00E36E42">
        <w:rPr>
          <w:lang w:eastAsia="ja-JP"/>
        </w:rPr>
        <w:t>A22</w:t>
      </w:r>
      <w:r w:rsidR="00DD25D7" w:rsidRPr="00E36E42">
        <w:rPr>
          <w:lang w:eastAsia="ja-JP"/>
        </w:rPr>
        <w:t>)</w:t>
      </w:r>
      <w:r w:rsidRPr="00E36E42">
        <w:rPr>
          <w:lang w:eastAsia="ja-JP"/>
        </w:rPr>
        <w:t xml:space="preserve">, PMB2001 </w:t>
      </w:r>
      <w:r w:rsidR="00DD25D7" w:rsidRPr="00E36E42">
        <w:rPr>
          <w:lang w:eastAsia="ja-JP"/>
        </w:rPr>
        <w:t>(</w:t>
      </w:r>
      <w:r w:rsidRPr="00E36E42">
        <w:rPr>
          <w:lang w:eastAsia="ja-JP"/>
        </w:rPr>
        <w:t>A56</w:t>
      </w:r>
      <w:r w:rsidR="00DD25D7" w:rsidRPr="00E36E42">
        <w:rPr>
          <w:lang w:eastAsia="ja-JP"/>
        </w:rPr>
        <w:t>)</w:t>
      </w:r>
      <w:r w:rsidRPr="00E36E42">
        <w:rPr>
          <w:lang w:eastAsia="ja-JP"/>
        </w:rPr>
        <w:t xml:space="preserve">, PMB2948 </w:t>
      </w:r>
      <w:r w:rsidR="00DD25D7" w:rsidRPr="00E36E42">
        <w:rPr>
          <w:lang w:eastAsia="ja-JP"/>
        </w:rPr>
        <w:t>(</w:t>
      </w:r>
      <w:r w:rsidRPr="00E36E42">
        <w:rPr>
          <w:lang w:eastAsia="ja-JP"/>
        </w:rPr>
        <w:t>B24</w:t>
      </w:r>
      <w:r w:rsidR="00DD25D7" w:rsidRPr="00E36E42">
        <w:rPr>
          <w:lang w:eastAsia="ja-JP"/>
        </w:rPr>
        <w:t>)</w:t>
      </w:r>
      <w:r w:rsidRPr="00E36E42">
        <w:rPr>
          <w:lang w:eastAsia="ja-JP"/>
        </w:rPr>
        <w:t xml:space="preserve">) after </w:t>
      </w:r>
      <w:r w:rsidR="008B4D82" w:rsidRPr="00E36E42">
        <w:rPr>
          <w:lang w:eastAsia="ja-JP"/>
        </w:rPr>
        <w:t>Vaccination</w:t>
      </w:r>
      <w:r w:rsidRPr="00E36E42">
        <w:rPr>
          <w:lang w:eastAsia="ja-JP"/>
        </w:rPr>
        <w:t xml:space="preserve">s 2 and 3; for the other primary strain, PMB2707 (B44), the proportion of responders was low, </w:t>
      </w:r>
      <w:r w:rsidR="00012937" w:rsidRPr="00E36E42">
        <w:rPr>
          <w:lang w:eastAsia="ja-JP"/>
        </w:rPr>
        <w:t>that is</w:t>
      </w:r>
      <w:r w:rsidRPr="00E36E42">
        <w:rPr>
          <w:lang w:eastAsia="ja-JP"/>
        </w:rPr>
        <w:t xml:space="preserve">, 12.5% after </w:t>
      </w:r>
      <w:r w:rsidR="008B4D82" w:rsidRPr="00E36E42">
        <w:rPr>
          <w:lang w:eastAsia="ja-JP"/>
        </w:rPr>
        <w:t>Vaccination</w:t>
      </w:r>
      <w:r w:rsidRPr="00E36E42">
        <w:rPr>
          <w:lang w:eastAsia="ja-JP"/>
        </w:rPr>
        <w:t xml:space="preserve"> 2 and 11.4% after </w:t>
      </w:r>
      <w:r w:rsidR="008B4D82" w:rsidRPr="00E36E42">
        <w:rPr>
          <w:lang w:eastAsia="ja-JP"/>
        </w:rPr>
        <w:t>Vaccination</w:t>
      </w:r>
      <w:r w:rsidRPr="00E36E42">
        <w:rPr>
          <w:lang w:eastAsia="ja-JP"/>
        </w:rPr>
        <w:t xml:space="preserve"> 3. The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 xml:space="preserve">s in the control group were similar to </w:t>
      </w:r>
      <w:r w:rsidR="008B4D82" w:rsidRPr="00E36E42">
        <w:rPr>
          <w:lang w:eastAsia="ja-JP"/>
        </w:rPr>
        <w:t>Baseline</w:t>
      </w:r>
      <w:r w:rsidRPr="00E36E42">
        <w:rPr>
          <w:lang w:eastAsia="ja-JP"/>
        </w:rPr>
        <w:t xml:space="preserve"> </w:t>
      </w:r>
      <w:r w:rsidR="00EA5CCB" w:rsidRPr="00E36E42">
        <w:rPr>
          <w:lang w:eastAsia="ja-JP"/>
        </w:rPr>
        <w:t>titre</w:t>
      </w:r>
      <w:r w:rsidRPr="00E36E42">
        <w:rPr>
          <w:lang w:eastAsia="ja-JP"/>
        </w:rPr>
        <w:t>s in Group 1</w:t>
      </w:r>
      <w:r w:rsidR="00743EF5" w:rsidRPr="00E36E42">
        <w:rPr>
          <w:lang w:eastAsia="ja-JP"/>
        </w:rPr>
        <w:t>.</w:t>
      </w:r>
    </w:p>
    <w:p w:rsidR="009E75AA" w:rsidRPr="00E36E42" w:rsidRDefault="00012937" w:rsidP="004D513F">
      <w:pPr>
        <w:pStyle w:val="Heading6"/>
        <w:rPr>
          <w:lang w:eastAsia="ja-JP"/>
        </w:rPr>
      </w:pPr>
      <w:r w:rsidRPr="00E36E42">
        <w:rPr>
          <w:lang w:eastAsia="ja-JP"/>
        </w:rPr>
        <w:t xml:space="preserve">Defined levels of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s</w:t>
      </w:r>
    </w:p>
    <w:p w:rsidR="00743EF5" w:rsidRPr="00E36E42" w:rsidRDefault="009E75AA" w:rsidP="004D513F">
      <w:pPr>
        <w:rPr>
          <w:lang w:eastAsia="ja-JP"/>
        </w:rPr>
      </w:pPr>
      <w:r w:rsidRPr="00E36E42">
        <w:rPr>
          <w:lang w:eastAsia="ja-JP"/>
        </w:rPr>
        <w:t xml:space="preserve">The proportions of subjects in Group 1 achieving an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 xml:space="preserve"> </w:t>
      </w:r>
      <w:r w:rsidR="00743EF5" w:rsidRPr="00DD25D7">
        <w:t xml:space="preserve">≥ </w:t>
      </w:r>
      <w:r w:rsidRPr="00E36E42">
        <w:rPr>
          <w:lang w:eastAsia="ja-JP"/>
        </w:rPr>
        <w:t xml:space="preserve">1:4 at 1 month after </w:t>
      </w:r>
      <w:r w:rsidR="008B4D82" w:rsidRPr="00E36E42">
        <w:rPr>
          <w:lang w:eastAsia="ja-JP"/>
        </w:rPr>
        <w:t>Vaccination</w:t>
      </w:r>
      <w:r w:rsidRPr="00E36E42">
        <w:rPr>
          <w:lang w:eastAsia="ja-JP"/>
        </w:rPr>
        <w:t xml:space="preserve"> 2 were: 86.2% for strain PMB80 (A22); 97.8% for PMB2001 (A56); 87.2% for strain PMB2948 (B24); and 71.5 for PMB2707 (B44). One month after </w:t>
      </w:r>
      <w:r w:rsidR="008B4D82" w:rsidRPr="00E36E42">
        <w:rPr>
          <w:lang w:eastAsia="ja-JP"/>
        </w:rPr>
        <w:t>Vaccination</w:t>
      </w:r>
      <w:r w:rsidRPr="00E36E42">
        <w:rPr>
          <w:lang w:eastAsia="ja-JP"/>
        </w:rPr>
        <w:t xml:space="preserve"> 3, the proportions of responders in Group 1 with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 xml:space="preserve">s </w:t>
      </w:r>
      <w:r w:rsidR="00743EF5" w:rsidRPr="00DD25D7">
        <w:t xml:space="preserve">≥ </w:t>
      </w:r>
      <w:r w:rsidRPr="00E36E42">
        <w:rPr>
          <w:lang w:eastAsia="ja-JP"/>
        </w:rPr>
        <w:t>1:4 were: 94.3% for strain PMB80 (A22); 99.4% for PMB2001 (A56); 95.8% for strain PMB2948 (B24); and 89.7% for PMB2707 (B44)</w:t>
      </w:r>
      <w:r w:rsidR="00743EF5" w:rsidRPr="00E36E42">
        <w:rPr>
          <w:lang w:eastAsia="ja-JP"/>
        </w:rPr>
        <w:t>.</w:t>
      </w:r>
    </w:p>
    <w:p w:rsidR="00743EF5" w:rsidRPr="00E36E42" w:rsidRDefault="009E75AA" w:rsidP="004D513F">
      <w:pPr>
        <w:rPr>
          <w:lang w:eastAsia="ja-JP"/>
        </w:rPr>
      </w:pPr>
      <w:r w:rsidRPr="00E36E42">
        <w:rPr>
          <w:lang w:eastAsia="ja-JP"/>
        </w:rPr>
        <w:t xml:space="preserve">The proportions of subjects with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 xml:space="preserve">s </w:t>
      </w:r>
      <w:r w:rsidR="00743EF5" w:rsidRPr="00DD25D7">
        <w:t xml:space="preserve">≥ </w:t>
      </w:r>
      <w:r w:rsidRPr="00E36E42">
        <w:rPr>
          <w:lang w:eastAsia="ja-JP"/>
        </w:rPr>
        <w:t xml:space="preserve">1:4 for the 4 primary strains were consistent at all time points in the control group, with approximately 30% to 40% of subjects achieving this threshold for PMB80 (A22); PMB2001 (A56); and PMB2948 (B24) and 14% to 16% for PMB2702 (B44); these results were similar to those in Group 1 at </w:t>
      </w:r>
      <w:r w:rsidR="008B4D82" w:rsidRPr="00E36E42">
        <w:rPr>
          <w:lang w:eastAsia="ja-JP"/>
        </w:rPr>
        <w:t>Baseline</w:t>
      </w:r>
      <w:r w:rsidRPr="00E36E42">
        <w:rPr>
          <w:lang w:eastAsia="ja-JP"/>
        </w:rPr>
        <w:t xml:space="preserve"> for each test strain</w:t>
      </w:r>
      <w:r w:rsidR="00743EF5" w:rsidRPr="00E36E42">
        <w:rPr>
          <w:lang w:eastAsia="ja-JP"/>
        </w:rPr>
        <w:t>.</w:t>
      </w:r>
    </w:p>
    <w:p w:rsidR="009E75AA" w:rsidRPr="00E36E42" w:rsidRDefault="00012937" w:rsidP="004D513F">
      <w:pPr>
        <w:pStyle w:val="Heading6"/>
        <w:rPr>
          <w:lang w:eastAsia="ja-JP"/>
        </w:rPr>
      </w:pPr>
      <w:proofErr w:type="spellStart"/>
      <w:proofErr w:type="gramStart"/>
      <w:r w:rsidRPr="00E36E42">
        <w:rPr>
          <w:lang w:eastAsia="ja-JP"/>
        </w:rPr>
        <w:t>hSBA</w:t>
      </w:r>
      <w:proofErr w:type="spellEnd"/>
      <w:proofErr w:type="gramEnd"/>
      <w:r w:rsidRPr="00E36E42">
        <w:rPr>
          <w:lang w:eastAsia="ja-JP"/>
        </w:rPr>
        <w:t xml:space="preserve"> GMTs</w:t>
      </w:r>
    </w:p>
    <w:p w:rsidR="00743EF5" w:rsidRPr="00E36E42" w:rsidRDefault="009E75AA" w:rsidP="004D513F">
      <w:pPr>
        <w:rPr>
          <w:lang w:eastAsia="ja-JP"/>
        </w:rPr>
      </w:pPr>
      <w:r w:rsidRPr="00E36E42">
        <w:rPr>
          <w:lang w:eastAsia="ja-JP"/>
        </w:rPr>
        <w:t xml:space="preserve">The </w:t>
      </w:r>
      <w:proofErr w:type="spellStart"/>
      <w:r w:rsidRPr="00E36E42">
        <w:rPr>
          <w:lang w:eastAsia="ja-JP"/>
        </w:rPr>
        <w:t>hSBA</w:t>
      </w:r>
      <w:proofErr w:type="spellEnd"/>
      <w:r w:rsidRPr="00E36E42">
        <w:rPr>
          <w:lang w:eastAsia="ja-JP"/>
        </w:rPr>
        <w:t xml:space="preserve"> GMTs at 1 month after </w:t>
      </w:r>
      <w:r w:rsidR="008B4D82" w:rsidRPr="00E36E42">
        <w:rPr>
          <w:lang w:eastAsia="ja-JP"/>
        </w:rPr>
        <w:t>Vaccination</w:t>
      </w:r>
      <w:r w:rsidRPr="00E36E42">
        <w:rPr>
          <w:lang w:eastAsia="ja-JP"/>
        </w:rPr>
        <w:t xml:space="preserve"> 2 were 49.0 for PMB80 (A22), 114.3 for PMB2001 (A56), 35.8 for PMB2948 (B24), and 22.6 for P</w:t>
      </w:r>
      <w:r w:rsidR="00292798" w:rsidRPr="00E36E42">
        <w:rPr>
          <w:lang w:eastAsia="ja-JP"/>
        </w:rPr>
        <w:t>MB2707 (B44) in Group 1. One</w:t>
      </w:r>
      <w:r w:rsidRPr="00E36E42">
        <w:rPr>
          <w:lang w:eastAsia="ja-JP"/>
        </w:rPr>
        <w:t xml:space="preserve"> month after </w:t>
      </w:r>
      <w:r w:rsidR="008B4D82" w:rsidRPr="00E36E42">
        <w:rPr>
          <w:lang w:eastAsia="ja-JP"/>
        </w:rPr>
        <w:t>Vaccination</w:t>
      </w:r>
      <w:r w:rsidRPr="00E36E42">
        <w:rPr>
          <w:lang w:eastAsia="ja-JP"/>
        </w:rPr>
        <w:t xml:space="preserve"> 3, </w:t>
      </w:r>
      <w:proofErr w:type="spellStart"/>
      <w:r w:rsidRPr="00E36E42">
        <w:rPr>
          <w:lang w:eastAsia="ja-JP"/>
        </w:rPr>
        <w:t>hSBA</w:t>
      </w:r>
      <w:proofErr w:type="spellEnd"/>
      <w:r w:rsidRPr="00E36E42">
        <w:rPr>
          <w:lang w:eastAsia="ja-JP"/>
        </w:rPr>
        <w:t xml:space="preserve"> GMTs were 74.3 for PMB80 (A22), 176.7 for PMB2001 (A56), 49.5 for PMB2948 (B24), and 47.6 for PMB2707 (B44) in Group 1. The </w:t>
      </w:r>
      <w:proofErr w:type="spellStart"/>
      <w:r w:rsidRPr="00E36E42">
        <w:rPr>
          <w:lang w:eastAsia="ja-JP"/>
        </w:rPr>
        <w:t>hSBA</w:t>
      </w:r>
      <w:proofErr w:type="spellEnd"/>
      <w:r w:rsidRPr="00E36E42">
        <w:rPr>
          <w:lang w:eastAsia="ja-JP"/>
        </w:rPr>
        <w:t xml:space="preserve"> GMTs for the 4 primary strains were notably higher in Group 1 than in Group 2 saline recipients at both 1</w:t>
      </w:r>
      <w:r w:rsidR="00012937" w:rsidRPr="00E36E42">
        <w:rPr>
          <w:lang w:eastAsia="ja-JP"/>
        </w:rPr>
        <w:t>,</w:t>
      </w:r>
      <w:r w:rsidRPr="00E36E42">
        <w:rPr>
          <w:lang w:eastAsia="ja-JP"/>
        </w:rPr>
        <w:t xml:space="preserve"> month after </w:t>
      </w:r>
      <w:r w:rsidR="008B4D82" w:rsidRPr="00E36E42">
        <w:rPr>
          <w:lang w:eastAsia="ja-JP"/>
        </w:rPr>
        <w:t>Vaccination</w:t>
      </w:r>
      <w:r w:rsidRPr="00E36E42">
        <w:rPr>
          <w:lang w:eastAsia="ja-JP"/>
        </w:rPr>
        <w:t xml:space="preserve"> 2 and 1 month after </w:t>
      </w:r>
      <w:r w:rsidR="008B4D82" w:rsidRPr="00E36E42">
        <w:rPr>
          <w:lang w:eastAsia="ja-JP"/>
        </w:rPr>
        <w:t>Vaccination</w:t>
      </w:r>
      <w:r w:rsidRPr="00E36E42">
        <w:rPr>
          <w:lang w:eastAsia="ja-JP"/>
        </w:rPr>
        <w:t xml:space="preserve"> 3. In Group 1, </w:t>
      </w:r>
      <w:proofErr w:type="spellStart"/>
      <w:r w:rsidRPr="00E36E42">
        <w:rPr>
          <w:lang w:eastAsia="ja-JP"/>
        </w:rPr>
        <w:t>hSBA</w:t>
      </w:r>
      <w:proofErr w:type="spellEnd"/>
      <w:r w:rsidRPr="00E36E42">
        <w:rPr>
          <w:lang w:eastAsia="ja-JP"/>
        </w:rPr>
        <w:t xml:space="preserve"> GMTs for the 4 primary test strains rose substantially from </w:t>
      </w:r>
      <w:r w:rsidR="008B4D82" w:rsidRPr="00E36E42">
        <w:rPr>
          <w:lang w:eastAsia="ja-JP"/>
        </w:rPr>
        <w:t>Baseline</w:t>
      </w:r>
      <w:r w:rsidRPr="00E36E42">
        <w:rPr>
          <w:lang w:eastAsia="ja-JP"/>
        </w:rPr>
        <w:t xml:space="preserve"> to after the second and third vaccinations and increased from post</w:t>
      </w:r>
      <w:r w:rsidR="003D5E26" w:rsidRPr="00E36E42">
        <w:rPr>
          <w:lang w:eastAsia="ja-JP"/>
        </w:rPr>
        <w:t xml:space="preserve"> </w:t>
      </w:r>
      <w:r w:rsidR="008B4D82" w:rsidRPr="00E36E42">
        <w:rPr>
          <w:lang w:eastAsia="ja-JP"/>
        </w:rPr>
        <w:t>Vaccination</w:t>
      </w:r>
      <w:r w:rsidR="00012937" w:rsidRPr="00E36E42">
        <w:rPr>
          <w:lang w:eastAsia="ja-JP"/>
        </w:rPr>
        <w:t xml:space="preserve"> 2 to post</w:t>
      </w:r>
      <w:r w:rsidRPr="00E36E42">
        <w:rPr>
          <w:lang w:eastAsia="ja-JP"/>
        </w:rPr>
        <w:t xml:space="preserve"> </w:t>
      </w:r>
      <w:r w:rsidR="008B4D82" w:rsidRPr="00E36E42">
        <w:rPr>
          <w:lang w:eastAsia="ja-JP"/>
        </w:rPr>
        <w:t>Vaccination</w:t>
      </w:r>
      <w:r w:rsidRPr="00E36E42">
        <w:rPr>
          <w:lang w:eastAsia="ja-JP"/>
        </w:rPr>
        <w:t xml:space="preserve"> 3</w:t>
      </w:r>
      <w:r w:rsidR="00743EF5" w:rsidRPr="00E36E42">
        <w:rPr>
          <w:lang w:eastAsia="ja-JP"/>
        </w:rPr>
        <w:t>.</w:t>
      </w:r>
    </w:p>
    <w:p w:rsidR="009E75AA" w:rsidRPr="00E36E42" w:rsidRDefault="009E75AA" w:rsidP="004D513F">
      <w:pPr>
        <w:pStyle w:val="Heading6"/>
        <w:rPr>
          <w:lang w:eastAsia="ja-JP"/>
        </w:rPr>
      </w:pPr>
      <w:r w:rsidRPr="00E36E42">
        <w:rPr>
          <w:lang w:eastAsia="ja-JP"/>
        </w:rPr>
        <w:t xml:space="preserve">Reverse </w:t>
      </w:r>
      <w:r w:rsidR="00012937" w:rsidRPr="00E36E42">
        <w:rPr>
          <w:lang w:eastAsia="ja-JP"/>
        </w:rPr>
        <w:t xml:space="preserve">cumulative distribution curves for the primary </w:t>
      </w:r>
      <w:proofErr w:type="spellStart"/>
      <w:r w:rsidR="00012937" w:rsidRPr="00E36E42">
        <w:rPr>
          <w:lang w:eastAsia="ja-JP"/>
        </w:rPr>
        <w:t>MnB</w:t>
      </w:r>
      <w:proofErr w:type="spellEnd"/>
      <w:r w:rsidR="00012937" w:rsidRPr="00E36E42">
        <w:rPr>
          <w:lang w:eastAsia="ja-JP"/>
        </w:rPr>
        <w:t xml:space="preserve"> test strains</w:t>
      </w:r>
    </w:p>
    <w:p w:rsidR="00743EF5" w:rsidRPr="00E36E42" w:rsidRDefault="009E75AA" w:rsidP="004D513F">
      <w:pPr>
        <w:rPr>
          <w:lang w:eastAsia="ja-JP"/>
        </w:rPr>
      </w:pPr>
      <w:r w:rsidRPr="00E36E42">
        <w:rPr>
          <w:lang w:eastAsia="ja-JP"/>
        </w:rPr>
        <w:t xml:space="preserve">The reverse cumulative distribution curves (RCDCs) showing the distribution of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s for PMB80 (A22), PMB2001 (A56), PMB2948 (B24), and PMB2707 (B44) for Groups 1 and 2 are presented in Figure</w:t>
      </w:r>
      <w:r w:rsidR="0003705D" w:rsidRPr="00E36E42">
        <w:rPr>
          <w:lang w:eastAsia="ja-JP"/>
        </w:rPr>
        <w:t>s</w:t>
      </w:r>
      <w:r w:rsidRPr="00E36E42">
        <w:rPr>
          <w:lang w:eastAsia="ja-JP"/>
        </w:rPr>
        <w:t xml:space="preserve"> 5-8 before vaccination and 1 month after </w:t>
      </w:r>
      <w:r w:rsidR="008B4D82" w:rsidRPr="00E36E42">
        <w:rPr>
          <w:lang w:eastAsia="ja-JP"/>
        </w:rPr>
        <w:t>Vaccination</w:t>
      </w:r>
      <w:r w:rsidRPr="00E36E42">
        <w:rPr>
          <w:lang w:eastAsia="ja-JP"/>
        </w:rPr>
        <w:t xml:space="preserve"> 3 for the evaluable immunogenicity population. The RCDCs showed that a high proportion of subjects achieved the LLOQ for each of the 4 test strains after </w:t>
      </w:r>
      <w:r w:rsidR="008B4D82" w:rsidRPr="00E36E42">
        <w:rPr>
          <w:lang w:eastAsia="ja-JP"/>
        </w:rPr>
        <w:t>Vaccination</w:t>
      </w:r>
      <w:r w:rsidRPr="00E36E42">
        <w:rPr>
          <w:lang w:eastAsia="ja-JP"/>
        </w:rPr>
        <w:t xml:space="preserve"> 3. </w:t>
      </w:r>
      <w:r w:rsidR="00EA5CCB" w:rsidRPr="00E36E42">
        <w:rPr>
          <w:lang w:eastAsia="ja-JP"/>
        </w:rPr>
        <w:t>Titre</w:t>
      </w:r>
      <w:r w:rsidRPr="00E36E42">
        <w:rPr>
          <w:lang w:eastAsia="ja-JP"/>
        </w:rPr>
        <w:t>s were generally below the LLOQ for the majority of subjects in the control group (Group 2)</w:t>
      </w:r>
      <w:r w:rsidR="00743EF5" w:rsidRPr="00E36E42">
        <w:rPr>
          <w:lang w:eastAsia="ja-JP"/>
        </w:rPr>
        <w:t>.</w:t>
      </w:r>
    </w:p>
    <w:p w:rsidR="00E65C1B" w:rsidRPr="00E36E42" w:rsidRDefault="00E65C1B" w:rsidP="00E65C1B">
      <w:pPr>
        <w:pStyle w:val="FigureTitle"/>
        <w:keepNext/>
      </w:pPr>
      <w:bookmarkStart w:id="64" w:name="_Toc464821204"/>
      <w:r w:rsidRPr="00DD25D7">
        <w:lastRenderedPageBreak/>
        <w:t xml:space="preserve">Figure </w:t>
      </w:r>
      <w:r w:rsidR="0003705D" w:rsidRPr="00DD25D7">
        <w:t>5:</w:t>
      </w:r>
      <w:r w:rsidRPr="00DD25D7">
        <w:t xml:space="preserve"> Reverse </w:t>
      </w:r>
      <w:r w:rsidR="0003705D" w:rsidRPr="00E36E42">
        <w:t>cumulative distribution curves</w:t>
      </w:r>
      <w:r w:rsidRPr="00E36E42">
        <w:t xml:space="preserve">, PMB80 (A22), </w:t>
      </w:r>
      <w:r w:rsidR="0003705D" w:rsidRPr="00E36E42">
        <w:t>evaluable immunogenicity population;</w:t>
      </w:r>
      <w:r w:rsidRPr="00E36E42">
        <w:t xml:space="preserve"> Study B1971016</w:t>
      </w:r>
      <w:bookmarkEnd w:id="64"/>
    </w:p>
    <w:p w:rsidR="00E65C1B" w:rsidRPr="00E36E42" w:rsidRDefault="00E65C1B" w:rsidP="004D513F">
      <w:pPr>
        <w:rPr>
          <w:lang w:eastAsia="ja-JP"/>
        </w:rPr>
      </w:pPr>
      <w:r w:rsidRPr="00DD25D7">
        <w:rPr>
          <w:noProof/>
          <w:lang w:eastAsia="en-AU"/>
        </w:rPr>
        <w:drawing>
          <wp:inline distT="0" distB="0" distL="0" distR="0" wp14:anchorId="0CDBC3E2" wp14:editId="65F66C79">
            <wp:extent cx="4162567" cy="5550089"/>
            <wp:effectExtent l="0" t="0" r="9525" b="0"/>
            <wp:docPr id="19" name="Picture 19" descr="Figure 5: Reverse cumulative distribution curves, PMB80 (A22), evaluable immunogenicity population; Study B197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63553" cy="5551404"/>
                    </a:xfrm>
                    <a:prstGeom prst="rect">
                      <a:avLst/>
                    </a:prstGeom>
                  </pic:spPr>
                </pic:pic>
              </a:graphicData>
            </a:graphic>
          </wp:inline>
        </w:drawing>
      </w:r>
    </w:p>
    <w:p w:rsidR="00E65C1B" w:rsidRPr="00E36E42" w:rsidRDefault="00E65C1B" w:rsidP="00E65C1B">
      <w:pPr>
        <w:pStyle w:val="FigureTitle"/>
        <w:keepNext/>
      </w:pPr>
      <w:bookmarkStart w:id="65" w:name="_Toc464821205"/>
      <w:r w:rsidRPr="00DD25D7">
        <w:lastRenderedPageBreak/>
        <w:t xml:space="preserve">Figure </w:t>
      </w:r>
      <w:r w:rsidR="0003705D" w:rsidRPr="00DD25D7">
        <w:t>6:</w:t>
      </w:r>
      <w:r w:rsidRPr="00DD25D7">
        <w:t xml:space="preserve"> Reverse </w:t>
      </w:r>
      <w:r w:rsidR="0003705D" w:rsidRPr="00E36E42">
        <w:t>cumulative distribution curves</w:t>
      </w:r>
      <w:r w:rsidRPr="00E36E42">
        <w:t xml:space="preserve">, PMB2001 (A56), </w:t>
      </w:r>
      <w:r w:rsidR="0003705D" w:rsidRPr="00E36E42">
        <w:t>evaluable immunogenicity population;</w:t>
      </w:r>
      <w:r w:rsidRPr="00E36E42">
        <w:t xml:space="preserve"> Study B1971016</w:t>
      </w:r>
      <w:bookmarkEnd w:id="65"/>
    </w:p>
    <w:p w:rsidR="00E65C1B" w:rsidRPr="00E36E42" w:rsidRDefault="00E65C1B" w:rsidP="004D513F">
      <w:pPr>
        <w:rPr>
          <w:lang w:eastAsia="ja-JP"/>
        </w:rPr>
      </w:pPr>
      <w:r w:rsidRPr="00DD25D7">
        <w:rPr>
          <w:noProof/>
          <w:lang w:eastAsia="en-AU"/>
        </w:rPr>
        <w:drawing>
          <wp:inline distT="0" distB="0" distL="0" distR="0" wp14:anchorId="39AC40B7" wp14:editId="203B6F65">
            <wp:extent cx="4681182" cy="6254080"/>
            <wp:effectExtent l="0" t="0" r="5715" b="0"/>
            <wp:docPr id="20" name="Picture 20" descr="Figure 6: Reverse cumulative distribution curves, PMB2001 (A56), evaluable immunogenicity population; Study B197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81749" cy="6254838"/>
                    </a:xfrm>
                    <a:prstGeom prst="rect">
                      <a:avLst/>
                    </a:prstGeom>
                  </pic:spPr>
                </pic:pic>
              </a:graphicData>
            </a:graphic>
          </wp:inline>
        </w:drawing>
      </w:r>
    </w:p>
    <w:p w:rsidR="00E65C1B" w:rsidRPr="00DD25D7" w:rsidRDefault="00E65C1B" w:rsidP="00E65C1B">
      <w:pPr>
        <w:pStyle w:val="FigureTitle"/>
        <w:keepNext/>
      </w:pPr>
      <w:bookmarkStart w:id="66" w:name="_Toc464821206"/>
      <w:r w:rsidRPr="00DD25D7">
        <w:lastRenderedPageBreak/>
        <w:t>Figure</w:t>
      </w:r>
      <w:r w:rsidR="0003705D" w:rsidRPr="00DD25D7">
        <w:t xml:space="preserve"> 7:</w:t>
      </w:r>
      <w:r w:rsidRPr="00DD25D7">
        <w:t xml:space="preserve"> Reverse </w:t>
      </w:r>
      <w:r w:rsidR="0003705D" w:rsidRPr="00E36E42">
        <w:t>cumulative distribution curves</w:t>
      </w:r>
      <w:r w:rsidRPr="00E36E42">
        <w:t xml:space="preserve">, PMB2948 (B24), </w:t>
      </w:r>
      <w:r w:rsidR="0003705D" w:rsidRPr="00E36E42">
        <w:t xml:space="preserve">evaluable immunogenicity population; </w:t>
      </w:r>
      <w:r w:rsidRPr="00E36E42">
        <w:t>Study B1971016</w:t>
      </w:r>
      <w:bookmarkEnd w:id="66"/>
    </w:p>
    <w:p w:rsidR="00E65C1B" w:rsidRPr="00E36E42" w:rsidRDefault="00E65C1B" w:rsidP="004D513F">
      <w:pPr>
        <w:rPr>
          <w:lang w:eastAsia="ja-JP"/>
        </w:rPr>
      </w:pPr>
      <w:r w:rsidRPr="00DD25D7">
        <w:rPr>
          <w:noProof/>
          <w:lang w:eastAsia="en-AU"/>
        </w:rPr>
        <w:drawing>
          <wp:inline distT="0" distB="0" distL="0" distR="0" wp14:anchorId="232D3109" wp14:editId="17BEFAB7">
            <wp:extent cx="4397499" cy="5882185"/>
            <wp:effectExtent l="0" t="0" r="3175" b="4445"/>
            <wp:docPr id="21" name="Picture 21" descr="Figure 7: Reverse cumulative distribution curves, PMB2948 (B24), evaluable immunogenicity population; Study B197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99432" cy="5884770"/>
                    </a:xfrm>
                    <a:prstGeom prst="rect">
                      <a:avLst/>
                    </a:prstGeom>
                  </pic:spPr>
                </pic:pic>
              </a:graphicData>
            </a:graphic>
          </wp:inline>
        </w:drawing>
      </w:r>
    </w:p>
    <w:p w:rsidR="00E65C1B" w:rsidRPr="00E36E42" w:rsidRDefault="00E65C1B" w:rsidP="00E65C1B">
      <w:pPr>
        <w:pStyle w:val="FigureTitle"/>
        <w:keepNext/>
      </w:pPr>
      <w:bookmarkStart w:id="67" w:name="_Toc464821207"/>
      <w:r w:rsidRPr="00DD25D7">
        <w:lastRenderedPageBreak/>
        <w:t xml:space="preserve">Figure </w:t>
      </w:r>
      <w:r w:rsidR="0003705D" w:rsidRPr="00DD25D7">
        <w:t>8:</w:t>
      </w:r>
      <w:r w:rsidRPr="00DD25D7">
        <w:t xml:space="preserve"> </w:t>
      </w:r>
      <w:r w:rsidRPr="00E36E42">
        <w:t xml:space="preserve">Reverse </w:t>
      </w:r>
      <w:r w:rsidR="0003705D" w:rsidRPr="00E36E42">
        <w:t>cumulative distribution curves</w:t>
      </w:r>
      <w:r w:rsidRPr="00E36E42">
        <w:t xml:space="preserve">, PMB2707 (B44), </w:t>
      </w:r>
      <w:r w:rsidR="0003705D" w:rsidRPr="00E36E42">
        <w:t>evaluable immunogenicity population;</w:t>
      </w:r>
      <w:r w:rsidRPr="00E36E42">
        <w:t xml:space="preserve"> Study B1971016</w:t>
      </w:r>
      <w:bookmarkEnd w:id="67"/>
    </w:p>
    <w:p w:rsidR="00E65C1B" w:rsidRPr="00E36E42" w:rsidRDefault="00E65C1B" w:rsidP="004D513F">
      <w:pPr>
        <w:rPr>
          <w:lang w:eastAsia="ja-JP"/>
        </w:rPr>
      </w:pPr>
      <w:r w:rsidRPr="00DD25D7">
        <w:rPr>
          <w:noProof/>
          <w:lang w:eastAsia="en-AU"/>
        </w:rPr>
        <w:drawing>
          <wp:inline distT="0" distB="0" distL="0" distR="0" wp14:anchorId="14A50D28" wp14:editId="1AF686BC">
            <wp:extent cx="4745681" cy="6305266"/>
            <wp:effectExtent l="0" t="0" r="0" b="635"/>
            <wp:docPr id="22" name="Picture 22" descr="Reverse cumulative distribution curves, PMB2707 (B44), evaluable immunogenicity population; Study B197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45444" cy="6304951"/>
                    </a:xfrm>
                    <a:prstGeom prst="rect">
                      <a:avLst/>
                    </a:prstGeom>
                  </pic:spPr>
                </pic:pic>
              </a:graphicData>
            </a:graphic>
          </wp:inline>
        </w:drawing>
      </w:r>
    </w:p>
    <w:p w:rsidR="009E75AA" w:rsidRPr="00E36E42" w:rsidRDefault="009E75AA" w:rsidP="004D513F">
      <w:pPr>
        <w:pStyle w:val="Heading6"/>
        <w:rPr>
          <w:lang w:eastAsia="ja-JP"/>
        </w:rPr>
      </w:pPr>
      <w:proofErr w:type="spellStart"/>
      <w:proofErr w:type="gramStart"/>
      <w:r w:rsidRPr="00E36E42">
        <w:rPr>
          <w:lang w:eastAsia="ja-JP"/>
        </w:rPr>
        <w:t>hSBA</w:t>
      </w:r>
      <w:proofErr w:type="spellEnd"/>
      <w:proofErr w:type="gramEnd"/>
      <w:r w:rsidRPr="00E36E42">
        <w:rPr>
          <w:lang w:eastAsia="ja-JP"/>
        </w:rPr>
        <w:t xml:space="preserve"> </w:t>
      </w:r>
      <w:r w:rsidR="00EA5CCB" w:rsidRPr="00E36E42">
        <w:rPr>
          <w:lang w:eastAsia="ja-JP"/>
        </w:rPr>
        <w:t>titre</w:t>
      </w:r>
      <w:r w:rsidRPr="00E36E42">
        <w:rPr>
          <w:lang w:eastAsia="ja-JP"/>
        </w:rPr>
        <w:t xml:space="preserve">s </w:t>
      </w:r>
      <w:r w:rsidR="00743EF5" w:rsidRPr="00DD25D7">
        <w:t xml:space="preserve">≥ </w:t>
      </w:r>
      <w:r w:rsidRPr="00E36E42">
        <w:rPr>
          <w:lang w:eastAsia="ja-JP"/>
        </w:rPr>
        <w:t xml:space="preserve">LLOQ for the </w:t>
      </w:r>
      <w:r w:rsidR="00012937" w:rsidRPr="00E36E42">
        <w:rPr>
          <w:lang w:eastAsia="ja-JP"/>
        </w:rPr>
        <w:t>ten</w:t>
      </w:r>
      <w:r w:rsidRPr="00E36E42">
        <w:rPr>
          <w:lang w:eastAsia="ja-JP"/>
        </w:rPr>
        <w:t xml:space="preserve"> </w:t>
      </w:r>
      <w:r w:rsidR="00012937" w:rsidRPr="00E36E42">
        <w:rPr>
          <w:lang w:eastAsia="ja-JP"/>
        </w:rPr>
        <w:t>s</w:t>
      </w:r>
      <w:r w:rsidRPr="00E36E42">
        <w:rPr>
          <w:lang w:eastAsia="ja-JP"/>
        </w:rPr>
        <w:t xml:space="preserve">econdary </w:t>
      </w:r>
      <w:proofErr w:type="spellStart"/>
      <w:r w:rsidRPr="00E36E42">
        <w:rPr>
          <w:lang w:eastAsia="ja-JP"/>
        </w:rPr>
        <w:t>MnB</w:t>
      </w:r>
      <w:proofErr w:type="spellEnd"/>
      <w:r w:rsidRPr="00E36E42">
        <w:rPr>
          <w:lang w:eastAsia="ja-JP"/>
        </w:rPr>
        <w:t xml:space="preserve"> </w:t>
      </w:r>
      <w:r w:rsidR="00012937" w:rsidRPr="00E36E42">
        <w:rPr>
          <w:lang w:eastAsia="ja-JP"/>
        </w:rPr>
        <w:t>test strains</w:t>
      </w:r>
    </w:p>
    <w:p w:rsidR="00743EF5" w:rsidRPr="00E36E42" w:rsidRDefault="009E75AA" w:rsidP="004D513F">
      <w:pPr>
        <w:rPr>
          <w:lang w:eastAsia="ja-JP"/>
        </w:rPr>
      </w:pPr>
      <w:r w:rsidRPr="00E36E42">
        <w:rPr>
          <w:lang w:eastAsia="ja-JP"/>
        </w:rPr>
        <w:t xml:space="preserve">Among </w:t>
      </w:r>
      <w:proofErr w:type="spellStart"/>
      <w:r w:rsidRPr="00E36E42">
        <w:rPr>
          <w:lang w:eastAsia="ja-JP"/>
        </w:rPr>
        <w:t>fHBP</w:t>
      </w:r>
      <w:proofErr w:type="spellEnd"/>
      <w:r w:rsidRPr="00E36E42">
        <w:rPr>
          <w:lang w:eastAsia="ja-JP"/>
        </w:rPr>
        <w:t xml:space="preserve"> subgroup </w:t>
      </w:r>
      <w:proofErr w:type="gramStart"/>
      <w:r w:rsidRPr="00E36E42">
        <w:rPr>
          <w:lang w:eastAsia="ja-JP"/>
        </w:rPr>
        <w:t>A</w:t>
      </w:r>
      <w:proofErr w:type="gramEnd"/>
      <w:r w:rsidRPr="00E36E42">
        <w:rPr>
          <w:lang w:eastAsia="ja-JP"/>
        </w:rPr>
        <w:t xml:space="preserve"> </w:t>
      </w:r>
      <w:r w:rsidR="008B4D82" w:rsidRPr="00E36E42">
        <w:rPr>
          <w:lang w:eastAsia="ja-JP"/>
        </w:rPr>
        <w:t>variant expressing</w:t>
      </w:r>
      <w:r w:rsidRPr="00E36E42">
        <w:rPr>
          <w:lang w:eastAsia="ja-JP"/>
        </w:rPr>
        <w:t xml:space="preserve"> strains, the prop</w:t>
      </w:r>
      <w:r w:rsidR="00012937" w:rsidRPr="00E36E42">
        <w:rPr>
          <w:lang w:eastAsia="ja-JP"/>
        </w:rPr>
        <w:t xml:space="preserve">ortion of subjects with an </w:t>
      </w:r>
      <w:proofErr w:type="spellStart"/>
      <w:r w:rsidR="00012937" w:rsidRPr="00E36E42">
        <w:rPr>
          <w:lang w:eastAsia="ja-JP"/>
        </w:rPr>
        <w:t>hSBA</w:t>
      </w:r>
      <w:proofErr w:type="spellEnd"/>
      <w:r w:rsidR="00012937" w:rsidRPr="00E36E42">
        <w:rPr>
          <w:lang w:eastAsia="ja-JP"/>
        </w:rPr>
        <w:t xml:space="preserve"> </w:t>
      </w:r>
      <w:r w:rsidR="00EA5CCB" w:rsidRPr="00E36E42">
        <w:rPr>
          <w:lang w:eastAsia="ja-JP"/>
        </w:rPr>
        <w:t>titre</w:t>
      </w:r>
      <w:r w:rsidR="00012937" w:rsidRPr="00E36E42">
        <w:rPr>
          <w:lang w:eastAsia="ja-JP"/>
        </w:rPr>
        <w:t xml:space="preserve"> </w:t>
      </w:r>
      <w:r w:rsidR="00012937" w:rsidRPr="00DD25D7">
        <w:t>≥</w:t>
      </w:r>
      <w:r w:rsidR="00743EF5" w:rsidRPr="00DD25D7">
        <w:t xml:space="preserve"> </w:t>
      </w:r>
      <w:r w:rsidRPr="00DD25D7">
        <w:t>LLOQ</w:t>
      </w:r>
      <w:r w:rsidRPr="00E36E42">
        <w:rPr>
          <w:lang w:eastAsia="ja-JP"/>
        </w:rPr>
        <w:t xml:space="preserve"> rose substantially from </w:t>
      </w:r>
      <w:r w:rsidR="008B4D82" w:rsidRPr="00E36E42">
        <w:rPr>
          <w:lang w:eastAsia="ja-JP"/>
        </w:rPr>
        <w:t>Baseline</w:t>
      </w:r>
      <w:r w:rsidRPr="00E36E42">
        <w:rPr>
          <w:lang w:eastAsia="ja-JP"/>
        </w:rPr>
        <w:t xml:space="preserve"> to 1 month after </w:t>
      </w:r>
      <w:r w:rsidR="008B4D82" w:rsidRPr="00E36E42">
        <w:rPr>
          <w:lang w:eastAsia="ja-JP"/>
        </w:rPr>
        <w:t>Vaccination</w:t>
      </w:r>
      <w:r w:rsidRPr="00E36E42">
        <w:rPr>
          <w:lang w:eastAsia="ja-JP"/>
        </w:rPr>
        <w:t xml:space="preserve"> 3; for 5 of these strains </w:t>
      </w:r>
      <w:r w:rsidR="00743EF5" w:rsidRPr="00DD25D7">
        <w:t xml:space="preserve">≥ </w:t>
      </w:r>
      <w:r w:rsidRPr="00E36E42">
        <w:rPr>
          <w:lang w:eastAsia="ja-JP"/>
        </w:rPr>
        <w:t xml:space="preserve">91.8% of subjects achieved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 xml:space="preserve">s </w:t>
      </w:r>
      <w:r w:rsidR="00743EF5" w:rsidRPr="00DD25D7">
        <w:t xml:space="preserve">≥ </w:t>
      </w:r>
      <w:r w:rsidRPr="00E36E42">
        <w:rPr>
          <w:lang w:eastAsia="ja-JP"/>
        </w:rPr>
        <w:t xml:space="preserve">LLOQ (99.3% for PMB3175 </w:t>
      </w:r>
      <w:r w:rsidR="00DD25D7" w:rsidRPr="00E36E42">
        <w:rPr>
          <w:lang w:eastAsia="ja-JP"/>
        </w:rPr>
        <w:t>(</w:t>
      </w:r>
      <w:r w:rsidRPr="00E36E42">
        <w:rPr>
          <w:lang w:eastAsia="ja-JP"/>
        </w:rPr>
        <w:t>A29</w:t>
      </w:r>
      <w:r w:rsidR="00DD25D7" w:rsidRPr="00E36E42">
        <w:rPr>
          <w:lang w:eastAsia="ja-JP"/>
        </w:rPr>
        <w:t>)</w:t>
      </w:r>
      <w:r w:rsidRPr="00E36E42">
        <w:rPr>
          <w:lang w:eastAsia="ja-JP"/>
        </w:rPr>
        <w:t xml:space="preserve">, 92.0% for PMB3010 </w:t>
      </w:r>
      <w:r w:rsidR="00DD25D7" w:rsidRPr="00E36E42">
        <w:rPr>
          <w:lang w:eastAsia="ja-JP"/>
        </w:rPr>
        <w:t>(</w:t>
      </w:r>
      <w:r w:rsidRPr="00E36E42">
        <w:rPr>
          <w:lang w:eastAsia="ja-JP"/>
        </w:rPr>
        <w:t>A06</w:t>
      </w:r>
      <w:r w:rsidR="00DD25D7" w:rsidRPr="00E36E42">
        <w:rPr>
          <w:lang w:eastAsia="ja-JP"/>
        </w:rPr>
        <w:t>)</w:t>
      </w:r>
      <w:r w:rsidRPr="00E36E42">
        <w:rPr>
          <w:lang w:eastAsia="ja-JP"/>
        </w:rPr>
        <w:t xml:space="preserve">, 95.7% for PMB3040 </w:t>
      </w:r>
      <w:r w:rsidR="00DD25D7" w:rsidRPr="00E36E42">
        <w:rPr>
          <w:lang w:eastAsia="ja-JP"/>
        </w:rPr>
        <w:t>(</w:t>
      </w:r>
      <w:r w:rsidRPr="00E36E42">
        <w:rPr>
          <w:lang w:eastAsia="ja-JP"/>
        </w:rPr>
        <w:t>A07</w:t>
      </w:r>
      <w:r w:rsidR="00DD25D7" w:rsidRPr="00E36E42">
        <w:rPr>
          <w:lang w:eastAsia="ja-JP"/>
        </w:rPr>
        <w:t>)</w:t>
      </w:r>
      <w:r w:rsidRPr="00E36E42">
        <w:rPr>
          <w:lang w:eastAsia="ja-JP"/>
        </w:rPr>
        <w:t xml:space="preserve">, 91.8% for PMB1672 </w:t>
      </w:r>
      <w:r w:rsidR="00DD25D7" w:rsidRPr="00E36E42">
        <w:rPr>
          <w:lang w:eastAsia="ja-JP"/>
        </w:rPr>
        <w:t>(</w:t>
      </w:r>
      <w:r w:rsidRPr="00E36E42">
        <w:rPr>
          <w:lang w:eastAsia="ja-JP"/>
        </w:rPr>
        <w:t>A15</w:t>
      </w:r>
      <w:r w:rsidR="00DD25D7" w:rsidRPr="00E36E42">
        <w:rPr>
          <w:lang w:eastAsia="ja-JP"/>
        </w:rPr>
        <w:t>)</w:t>
      </w:r>
      <w:r w:rsidRPr="00E36E42">
        <w:rPr>
          <w:lang w:eastAsia="ja-JP"/>
        </w:rPr>
        <w:t xml:space="preserve">, and 95.8% for PMB1989 </w:t>
      </w:r>
      <w:r w:rsidR="00DD25D7" w:rsidRPr="00E36E42">
        <w:rPr>
          <w:lang w:eastAsia="ja-JP"/>
        </w:rPr>
        <w:t>(</w:t>
      </w:r>
      <w:r w:rsidRPr="00E36E42">
        <w:rPr>
          <w:lang w:eastAsia="ja-JP"/>
        </w:rPr>
        <w:t>A19</w:t>
      </w:r>
      <w:r w:rsidR="00DD25D7" w:rsidRPr="00E36E42">
        <w:rPr>
          <w:lang w:eastAsia="ja-JP"/>
        </w:rPr>
        <w:t>)</w:t>
      </w:r>
      <w:r w:rsidRPr="00E36E42">
        <w:rPr>
          <w:lang w:eastAsia="ja-JP"/>
        </w:rPr>
        <w:t xml:space="preserve">). For PMB824 (A12) the proportion achieving a </w:t>
      </w:r>
      <w:r w:rsidR="00EA5CCB" w:rsidRPr="00E36E42">
        <w:rPr>
          <w:lang w:eastAsia="ja-JP"/>
        </w:rPr>
        <w:t>titre</w:t>
      </w:r>
      <w:r w:rsidRPr="00E36E42">
        <w:rPr>
          <w:lang w:eastAsia="ja-JP"/>
        </w:rPr>
        <w:t xml:space="preserve"> </w:t>
      </w:r>
      <w:r w:rsidR="00743EF5" w:rsidRPr="00DD25D7">
        <w:t xml:space="preserve">≥ </w:t>
      </w:r>
      <w:r w:rsidRPr="00E36E42">
        <w:rPr>
          <w:lang w:eastAsia="ja-JP"/>
        </w:rPr>
        <w:t xml:space="preserve">LLOQ was 71.3. Among </w:t>
      </w:r>
      <w:proofErr w:type="spellStart"/>
      <w:r w:rsidRPr="00E36E42">
        <w:rPr>
          <w:lang w:eastAsia="ja-JP"/>
        </w:rPr>
        <w:t>fHBP</w:t>
      </w:r>
      <w:proofErr w:type="spellEnd"/>
      <w:r w:rsidRPr="00E36E42">
        <w:rPr>
          <w:lang w:eastAsia="ja-JP"/>
        </w:rPr>
        <w:t xml:space="preserve"> subgroup B </w:t>
      </w:r>
      <w:r w:rsidR="008B4D82" w:rsidRPr="00E36E42">
        <w:rPr>
          <w:lang w:eastAsia="ja-JP"/>
        </w:rPr>
        <w:t>variant expressing</w:t>
      </w:r>
      <w:r w:rsidRPr="00E36E42">
        <w:rPr>
          <w:lang w:eastAsia="ja-JP"/>
        </w:rPr>
        <w:t xml:space="preserve"> strains the proportion of subjects in Group 1 with an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 xml:space="preserve"> </w:t>
      </w:r>
      <w:r w:rsidR="00743EF5" w:rsidRPr="00DD25D7">
        <w:t xml:space="preserve">≥ </w:t>
      </w:r>
      <w:r w:rsidRPr="00E36E42">
        <w:rPr>
          <w:lang w:eastAsia="ja-JP"/>
        </w:rPr>
        <w:t xml:space="preserve">LLOQ 1 month after </w:t>
      </w:r>
      <w:r w:rsidR="008B4D82" w:rsidRPr="00E36E42">
        <w:rPr>
          <w:lang w:eastAsia="ja-JP"/>
        </w:rPr>
        <w:t>Vaccination</w:t>
      </w:r>
      <w:r w:rsidRPr="00E36E42">
        <w:rPr>
          <w:lang w:eastAsia="ja-JP"/>
        </w:rPr>
        <w:t xml:space="preserve"> 3 was 86.4% for PMB1256 (B03), 77.0% for PMB866 (B09), 96.7% for PMB431 (B15), and 78.0% for PMB648 (B16)</w:t>
      </w:r>
      <w:r w:rsidR="00743EF5" w:rsidRPr="00E36E42">
        <w:rPr>
          <w:lang w:eastAsia="ja-JP"/>
        </w:rPr>
        <w:t>.</w:t>
      </w:r>
    </w:p>
    <w:p w:rsidR="009E75AA" w:rsidRPr="00E36E42" w:rsidRDefault="009E75AA" w:rsidP="004D513F">
      <w:pPr>
        <w:pStyle w:val="Heading6"/>
        <w:rPr>
          <w:lang w:eastAsia="ja-JP"/>
        </w:rPr>
      </w:pPr>
      <w:r w:rsidRPr="00E36E42">
        <w:rPr>
          <w:lang w:eastAsia="ja-JP"/>
        </w:rPr>
        <w:lastRenderedPageBreak/>
        <w:t xml:space="preserve">Defined levels of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 xml:space="preserve">s for the </w:t>
      </w:r>
      <w:r w:rsidR="00012937" w:rsidRPr="00E36E42">
        <w:rPr>
          <w:lang w:eastAsia="ja-JP"/>
        </w:rPr>
        <w:t xml:space="preserve">ten secondary </w:t>
      </w:r>
      <w:proofErr w:type="spellStart"/>
      <w:r w:rsidR="00012937" w:rsidRPr="00E36E42">
        <w:rPr>
          <w:lang w:eastAsia="ja-JP"/>
        </w:rPr>
        <w:t>MnB</w:t>
      </w:r>
      <w:proofErr w:type="spellEnd"/>
      <w:r w:rsidR="00012937" w:rsidRPr="00E36E42">
        <w:rPr>
          <w:lang w:eastAsia="ja-JP"/>
        </w:rPr>
        <w:t xml:space="preserve"> test strains</w:t>
      </w:r>
    </w:p>
    <w:p w:rsidR="009E75AA" w:rsidRPr="00E36E42" w:rsidRDefault="009E75AA" w:rsidP="004D513F">
      <w:pPr>
        <w:rPr>
          <w:lang w:eastAsia="ja-JP"/>
        </w:rPr>
      </w:pPr>
      <w:r w:rsidRPr="00E36E42">
        <w:rPr>
          <w:lang w:eastAsia="ja-JP"/>
        </w:rPr>
        <w:t xml:space="preserve">Among </w:t>
      </w:r>
      <w:proofErr w:type="spellStart"/>
      <w:r w:rsidRPr="00E36E42">
        <w:rPr>
          <w:lang w:eastAsia="ja-JP"/>
        </w:rPr>
        <w:t>fHBP</w:t>
      </w:r>
      <w:proofErr w:type="spellEnd"/>
      <w:r w:rsidRPr="00E36E42">
        <w:rPr>
          <w:lang w:eastAsia="ja-JP"/>
        </w:rPr>
        <w:t xml:space="preserve"> subfamily </w:t>
      </w:r>
      <w:proofErr w:type="gramStart"/>
      <w:r w:rsidRPr="00E36E42">
        <w:rPr>
          <w:lang w:eastAsia="ja-JP"/>
        </w:rPr>
        <w:t>A</w:t>
      </w:r>
      <w:proofErr w:type="gramEnd"/>
      <w:r w:rsidRPr="00E36E42">
        <w:rPr>
          <w:lang w:eastAsia="ja-JP"/>
        </w:rPr>
        <w:t xml:space="preserve"> </w:t>
      </w:r>
      <w:r w:rsidR="008B4D82" w:rsidRPr="00E36E42">
        <w:rPr>
          <w:lang w:eastAsia="ja-JP"/>
        </w:rPr>
        <w:t>variant expressing</w:t>
      </w:r>
      <w:r w:rsidRPr="00E36E42">
        <w:rPr>
          <w:lang w:eastAsia="ja-JP"/>
        </w:rPr>
        <w:t xml:space="preserve"> strains, after </w:t>
      </w:r>
      <w:r w:rsidR="008B4D82" w:rsidRPr="00E36E42">
        <w:rPr>
          <w:lang w:eastAsia="ja-JP"/>
        </w:rPr>
        <w:t>Vaccination</w:t>
      </w:r>
      <w:r w:rsidRPr="00E36E42">
        <w:rPr>
          <w:lang w:eastAsia="ja-JP"/>
        </w:rPr>
        <w:t xml:space="preserve"> 3 the proportion of subjects who achieved an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 xml:space="preserve"> </w:t>
      </w:r>
      <w:r w:rsidR="00743EF5" w:rsidRPr="00DD25D7">
        <w:t xml:space="preserve">≥ </w:t>
      </w:r>
      <w:r w:rsidRPr="00E36E42">
        <w:rPr>
          <w:lang w:eastAsia="ja-JP"/>
        </w:rPr>
        <w:t xml:space="preserve">1:4was </w:t>
      </w:r>
      <w:r w:rsidR="00743EF5" w:rsidRPr="00DD25D7">
        <w:t xml:space="preserve">≥ </w:t>
      </w:r>
      <w:r w:rsidRPr="00E36E42">
        <w:rPr>
          <w:lang w:eastAsia="ja-JP"/>
        </w:rPr>
        <w:t xml:space="preserve">91.8% for 5 test strains (99.3% for PMB3175 </w:t>
      </w:r>
      <w:r w:rsidR="00DD25D7" w:rsidRPr="00E36E42">
        <w:rPr>
          <w:lang w:eastAsia="ja-JP"/>
        </w:rPr>
        <w:t>(</w:t>
      </w:r>
      <w:r w:rsidRPr="00E36E42">
        <w:rPr>
          <w:lang w:eastAsia="ja-JP"/>
        </w:rPr>
        <w:t>A29</w:t>
      </w:r>
      <w:r w:rsidR="00DD25D7" w:rsidRPr="00E36E42">
        <w:rPr>
          <w:lang w:eastAsia="ja-JP"/>
        </w:rPr>
        <w:t>)</w:t>
      </w:r>
      <w:r w:rsidRPr="00E36E42">
        <w:rPr>
          <w:lang w:eastAsia="ja-JP"/>
        </w:rPr>
        <w:t xml:space="preserve">, 92.4% for PMB3010 </w:t>
      </w:r>
      <w:r w:rsidR="00DD25D7" w:rsidRPr="00E36E42">
        <w:rPr>
          <w:lang w:eastAsia="ja-JP"/>
        </w:rPr>
        <w:t>(</w:t>
      </w:r>
      <w:r w:rsidRPr="00E36E42">
        <w:rPr>
          <w:lang w:eastAsia="ja-JP"/>
        </w:rPr>
        <w:t>A06</w:t>
      </w:r>
      <w:r w:rsidR="00DD25D7" w:rsidRPr="00E36E42">
        <w:rPr>
          <w:lang w:eastAsia="ja-JP"/>
        </w:rPr>
        <w:t>)</w:t>
      </w:r>
      <w:r w:rsidRPr="00E36E42">
        <w:rPr>
          <w:lang w:eastAsia="ja-JP"/>
        </w:rPr>
        <w:t xml:space="preserve">, 95.7% for PMB3040 </w:t>
      </w:r>
      <w:r w:rsidR="00DD25D7" w:rsidRPr="00E36E42">
        <w:rPr>
          <w:lang w:eastAsia="ja-JP"/>
        </w:rPr>
        <w:t>(</w:t>
      </w:r>
      <w:r w:rsidRPr="00E36E42">
        <w:rPr>
          <w:lang w:eastAsia="ja-JP"/>
        </w:rPr>
        <w:t>A07</w:t>
      </w:r>
      <w:r w:rsidR="00DD25D7" w:rsidRPr="00E36E42">
        <w:rPr>
          <w:lang w:eastAsia="ja-JP"/>
        </w:rPr>
        <w:t>)</w:t>
      </w:r>
      <w:r w:rsidRPr="00E36E42">
        <w:rPr>
          <w:lang w:eastAsia="ja-JP"/>
        </w:rPr>
        <w:t xml:space="preserve">, 91.8% for PMB1672 </w:t>
      </w:r>
      <w:r w:rsidR="00DD25D7" w:rsidRPr="00E36E42">
        <w:rPr>
          <w:lang w:eastAsia="ja-JP"/>
        </w:rPr>
        <w:t>(</w:t>
      </w:r>
      <w:r w:rsidRPr="00E36E42">
        <w:rPr>
          <w:lang w:eastAsia="ja-JP"/>
        </w:rPr>
        <w:t>A15</w:t>
      </w:r>
      <w:r w:rsidR="00DD25D7" w:rsidRPr="00E36E42">
        <w:rPr>
          <w:lang w:eastAsia="ja-JP"/>
        </w:rPr>
        <w:t>)</w:t>
      </w:r>
      <w:r w:rsidRPr="00E36E42">
        <w:rPr>
          <w:lang w:eastAsia="ja-JP"/>
        </w:rPr>
        <w:t xml:space="preserve">, and 96.1% for PMB1989 </w:t>
      </w:r>
      <w:r w:rsidR="00DD25D7" w:rsidRPr="00E36E42">
        <w:rPr>
          <w:lang w:eastAsia="ja-JP"/>
        </w:rPr>
        <w:t>(</w:t>
      </w:r>
      <w:r w:rsidRPr="00E36E42">
        <w:rPr>
          <w:lang w:eastAsia="ja-JP"/>
        </w:rPr>
        <w:t>A19</w:t>
      </w:r>
      <w:r w:rsidR="00DD25D7" w:rsidRPr="00E36E42">
        <w:rPr>
          <w:lang w:eastAsia="ja-JP"/>
        </w:rPr>
        <w:t>)</w:t>
      </w:r>
      <w:r w:rsidRPr="00E36E42">
        <w:rPr>
          <w:lang w:eastAsia="ja-JP"/>
        </w:rPr>
        <w:t xml:space="preserve">). For PMB824 (A12) the proportion of subjects achieving a </w:t>
      </w:r>
      <w:r w:rsidR="00EA5CCB" w:rsidRPr="00E36E42">
        <w:rPr>
          <w:lang w:eastAsia="ja-JP"/>
        </w:rPr>
        <w:t>titre</w:t>
      </w:r>
      <w:r w:rsidRPr="00E36E42">
        <w:rPr>
          <w:lang w:eastAsia="ja-JP"/>
        </w:rPr>
        <w:t xml:space="preserve"> </w:t>
      </w:r>
      <w:r w:rsidR="00743EF5" w:rsidRPr="00DD25D7">
        <w:t xml:space="preserve">≥ </w:t>
      </w:r>
      <w:r w:rsidRPr="00E36E42">
        <w:rPr>
          <w:lang w:eastAsia="ja-JP"/>
        </w:rPr>
        <w:t xml:space="preserve">1:4 was 73.8%. Among </w:t>
      </w:r>
      <w:proofErr w:type="spellStart"/>
      <w:r w:rsidRPr="00E36E42">
        <w:rPr>
          <w:lang w:eastAsia="ja-JP"/>
        </w:rPr>
        <w:t>fHBP</w:t>
      </w:r>
      <w:proofErr w:type="spellEnd"/>
      <w:r w:rsidRPr="00E36E42">
        <w:rPr>
          <w:lang w:eastAsia="ja-JP"/>
        </w:rPr>
        <w:t xml:space="preserve"> subfamily B </w:t>
      </w:r>
      <w:r w:rsidR="008B4D82" w:rsidRPr="00E36E42">
        <w:rPr>
          <w:lang w:eastAsia="ja-JP"/>
        </w:rPr>
        <w:t>variant expressing</w:t>
      </w:r>
      <w:r w:rsidRPr="00E36E42">
        <w:rPr>
          <w:lang w:eastAsia="ja-JP"/>
        </w:rPr>
        <w:t xml:space="preserve"> strains, the proportion of subjects in Group 1 with an </w:t>
      </w:r>
      <w:proofErr w:type="spellStart"/>
      <w:r w:rsidRPr="00E36E42">
        <w:rPr>
          <w:lang w:eastAsia="ja-JP"/>
        </w:rPr>
        <w:t>hSBA</w:t>
      </w:r>
      <w:proofErr w:type="spellEnd"/>
      <w:r w:rsidRPr="00E36E42">
        <w:rPr>
          <w:lang w:eastAsia="ja-JP"/>
        </w:rPr>
        <w:t xml:space="preserve"> </w:t>
      </w:r>
      <w:r w:rsidR="00EA5CCB" w:rsidRPr="00E36E42">
        <w:rPr>
          <w:lang w:eastAsia="ja-JP"/>
        </w:rPr>
        <w:t>titre</w:t>
      </w:r>
      <w:r w:rsidRPr="00E36E42">
        <w:rPr>
          <w:lang w:eastAsia="ja-JP"/>
        </w:rPr>
        <w:t xml:space="preserve"> </w:t>
      </w:r>
      <w:r w:rsidR="00743EF5" w:rsidRPr="00DD25D7">
        <w:t xml:space="preserve">≥ </w:t>
      </w:r>
      <w:r w:rsidRPr="00E36E42">
        <w:rPr>
          <w:lang w:eastAsia="ja-JP"/>
        </w:rPr>
        <w:t xml:space="preserve">1:4 at one month after </w:t>
      </w:r>
      <w:r w:rsidR="008B4D82" w:rsidRPr="00E36E42">
        <w:rPr>
          <w:lang w:eastAsia="ja-JP"/>
        </w:rPr>
        <w:t>Vaccination</w:t>
      </w:r>
      <w:r w:rsidRPr="00E36E42">
        <w:rPr>
          <w:lang w:eastAsia="ja-JP"/>
        </w:rPr>
        <w:t xml:space="preserve"> 3 was 86.8% for PMB1256 (B03).</w:t>
      </w:r>
    </w:p>
    <w:p w:rsidR="009E75AA" w:rsidRPr="00DD25D7" w:rsidRDefault="009E75AA" w:rsidP="004D513F">
      <w:pPr>
        <w:pStyle w:val="Heading3"/>
      </w:pPr>
      <w:bookmarkStart w:id="68" w:name="_Toc464739498"/>
      <w:bookmarkStart w:id="69" w:name="_Toc524443901"/>
      <w:r w:rsidRPr="00DD25D7">
        <w:t>Other efficacy studies</w:t>
      </w:r>
      <w:bookmarkEnd w:id="46"/>
      <w:bookmarkEnd w:id="47"/>
      <w:bookmarkEnd w:id="48"/>
      <w:bookmarkEnd w:id="49"/>
      <w:bookmarkEnd w:id="50"/>
      <w:bookmarkEnd w:id="51"/>
      <w:bookmarkEnd w:id="52"/>
      <w:bookmarkEnd w:id="53"/>
      <w:bookmarkEnd w:id="68"/>
      <w:bookmarkEnd w:id="69"/>
    </w:p>
    <w:p w:rsidR="009E75AA" w:rsidRPr="00DD25D7" w:rsidRDefault="009E75AA" w:rsidP="004D513F">
      <w:pPr>
        <w:pStyle w:val="Heading4"/>
      </w:pPr>
      <w:bookmarkStart w:id="70" w:name="_Toc290888504"/>
      <w:bookmarkStart w:id="71" w:name="_Toc416353720"/>
      <w:bookmarkEnd w:id="54"/>
      <w:bookmarkEnd w:id="55"/>
      <w:r w:rsidRPr="00DD25D7">
        <w:t>Study</w:t>
      </w:r>
      <w:bookmarkEnd w:id="70"/>
      <w:bookmarkEnd w:id="71"/>
      <w:r w:rsidRPr="00DD25D7">
        <w:t xml:space="preserve"> B1971012</w:t>
      </w:r>
    </w:p>
    <w:p w:rsidR="00743EF5" w:rsidRPr="00E36E42" w:rsidRDefault="009E75AA" w:rsidP="004D513F">
      <w:r w:rsidRPr="00E36E42">
        <w:t xml:space="preserve">This was a </w:t>
      </w:r>
      <w:r w:rsidR="00743EF5" w:rsidRPr="00E36E42">
        <w:t>Phase II</w:t>
      </w:r>
      <w:r w:rsidRPr="00E36E42">
        <w:t xml:space="preserve"> randomis</w:t>
      </w:r>
      <w:r w:rsidR="00012937" w:rsidRPr="00E36E42">
        <w:t>ed</w:t>
      </w:r>
      <w:r w:rsidRPr="00E36E42">
        <w:t xml:space="preserve"> single study evaluating various 2 and </w:t>
      </w:r>
      <w:r w:rsidR="00743EF5" w:rsidRPr="00E36E42">
        <w:t xml:space="preserve">3 dose </w:t>
      </w:r>
      <w:r w:rsidRPr="00E36E42">
        <w:t xml:space="preserve">schedules using primary </w:t>
      </w:r>
      <w:proofErr w:type="spellStart"/>
      <w:r w:rsidRPr="00E36E42">
        <w:t>MnB</w:t>
      </w:r>
      <w:proofErr w:type="spellEnd"/>
      <w:r w:rsidRPr="00E36E42">
        <w:t xml:space="preserve"> test strains. 1</w:t>
      </w:r>
      <w:r w:rsidR="00012937" w:rsidRPr="00E36E42">
        <w:t>,</w:t>
      </w:r>
      <w:r w:rsidRPr="00E36E42">
        <w:t xml:space="preserve">713 subjects, between 11 and 18 years of age, were randomly assigned to receive 120 µg of bivalent rLP2086 in 5 groups in a 3:3:3:2:1 ratio (Group 1 </w:t>
      </w:r>
      <w:r w:rsidR="00DD25D7" w:rsidRPr="00E36E42">
        <w:t>(</w:t>
      </w:r>
      <w:r w:rsidRPr="00E36E42">
        <w:t xml:space="preserve">0, 1, </w:t>
      </w:r>
      <w:r w:rsidR="00743EF5" w:rsidRPr="00E36E42">
        <w:t>6 month</w:t>
      </w:r>
      <w:r w:rsidRPr="00E36E42">
        <w:t xml:space="preserve"> schedule</w:t>
      </w:r>
      <w:r w:rsidR="00DD25D7" w:rsidRPr="00E36E42">
        <w:t>)</w:t>
      </w:r>
      <w:r w:rsidRPr="00E36E42">
        <w:t xml:space="preserve">, Group 2 </w:t>
      </w:r>
      <w:r w:rsidR="00DD25D7" w:rsidRPr="00E36E42">
        <w:t>(</w:t>
      </w:r>
      <w:r w:rsidRPr="00E36E42">
        <w:t xml:space="preserve">0, 2, </w:t>
      </w:r>
      <w:r w:rsidR="00743EF5" w:rsidRPr="00E36E42">
        <w:t>6 month</w:t>
      </w:r>
      <w:r w:rsidRPr="00E36E42">
        <w:t xml:space="preserve"> schedule</w:t>
      </w:r>
      <w:r w:rsidR="00DD25D7" w:rsidRPr="00E36E42">
        <w:t>)</w:t>
      </w:r>
      <w:r w:rsidRPr="00E36E42">
        <w:t xml:space="preserve">, Group 3 </w:t>
      </w:r>
      <w:r w:rsidR="00DD25D7" w:rsidRPr="00E36E42">
        <w:t>(</w:t>
      </w:r>
      <w:r w:rsidRPr="00E36E42">
        <w:t xml:space="preserve">0, </w:t>
      </w:r>
      <w:r w:rsidR="00743EF5" w:rsidRPr="00E36E42">
        <w:t>6 month</w:t>
      </w:r>
      <w:r w:rsidRPr="00E36E42">
        <w:t xml:space="preserve"> schedule</w:t>
      </w:r>
      <w:r w:rsidR="00DD25D7" w:rsidRPr="00E36E42">
        <w:t>)</w:t>
      </w:r>
      <w:r w:rsidRPr="00E36E42">
        <w:t xml:space="preserve">, Group 4 </w:t>
      </w:r>
      <w:r w:rsidR="00DD25D7" w:rsidRPr="00E36E42">
        <w:t>(</w:t>
      </w:r>
      <w:r w:rsidRPr="00E36E42">
        <w:t xml:space="preserve">0, </w:t>
      </w:r>
      <w:r w:rsidR="00012937" w:rsidRPr="00E36E42">
        <w:t>2 month</w:t>
      </w:r>
      <w:r w:rsidRPr="00E36E42">
        <w:t xml:space="preserve"> schedule</w:t>
      </w:r>
      <w:r w:rsidR="00DD25D7" w:rsidRPr="00E36E42">
        <w:t>)</w:t>
      </w:r>
      <w:r w:rsidRPr="00E36E42">
        <w:t xml:space="preserve">, and Group 5 </w:t>
      </w:r>
      <w:r w:rsidR="00DD25D7" w:rsidRPr="00E36E42">
        <w:t>(</w:t>
      </w:r>
      <w:r w:rsidR="00E22630" w:rsidRPr="00E36E42">
        <w:t>2</w:t>
      </w:r>
      <w:r w:rsidRPr="00E36E42">
        <w:t xml:space="preserve">, </w:t>
      </w:r>
      <w:r w:rsidR="00E22630" w:rsidRPr="00E36E42">
        <w:t>6</w:t>
      </w:r>
      <w:r w:rsidR="00743EF5" w:rsidRPr="00E36E42">
        <w:t xml:space="preserve"> month</w:t>
      </w:r>
      <w:r w:rsidRPr="00E36E42">
        <w:t xml:space="preserve"> schedule, same as 0, </w:t>
      </w:r>
      <w:r w:rsidR="00743EF5" w:rsidRPr="00E36E42">
        <w:t>4 month</w:t>
      </w:r>
      <w:r w:rsidRPr="00E36E42">
        <w:t xml:space="preserve"> schedule</w:t>
      </w:r>
      <w:r w:rsidR="00DD25D7" w:rsidRPr="00E36E42">
        <w:t>)</w:t>
      </w:r>
      <w:r w:rsidRPr="00E36E42">
        <w:t>) (</w:t>
      </w:r>
      <w:r w:rsidR="002310F7" w:rsidRPr="00E36E42">
        <w:t>Table 4</w:t>
      </w:r>
      <w:r w:rsidRPr="00E36E42">
        <w:t>)</w:t>
      </w:r>
      <w:r w:rsidR="00743EF5" w:rsidRPr="00E36E42">
        <w:t>.</w:t>
      </w:r>
    </w:p>
    <w:p w:rsidR="0064126A" w:rsidRPr="00E36E42" w:rsidRDefault="0064126A" w:rsidP="0064126A">
      <w:pPr>
        <w:pStyle w:val="Tabletitle"/>
      </w:pPr>
      <w:bookmarkStart w:id="72" w:name="_Ref335053503"/>
      <w:bookmarkStart w:id="73" w:name="_Toc462406115"/>
      <w:bookmarkStart w:id="74" w:name="_Toc464821193"/>
      <w:r w:rsidRPr="00DD25D7">
        <w:t xml:space="preserve">Table </w:t>
      </w:r>
      <w:bookmarkEnd w:id="72"/>
      <w:bookmarkEnd w:id="73"/>
      <w:r w:rsidR="002310F7" w:rsidRPr="00DD25D7">
        <w:t>4:</w:t>
      </w:r>
      <w:r w:rsidRPr="00E36E42">
        <w:t xml:space="preserve"> Dosing </w:t>
      </w:r>
      <w:r w:rsidR="002310F7" w:rsidRPr="00E36E42">
        <w:t>sc</w:t>
      </w:r>
      <w:r w:rsidRPr="00E36E42">
        <w:t>hedule in Study B1971012</w:t>
      </w:r>
      <w:bookmarkEnd w:id="74"/>
    </w:p>
    <w:p w:rsidR="0064126A" w:rsidRPr="00E36E42" w:rsidRDefault="009F7CB3" w:rsidP="004D513F">
      <w:r w:rsidRPr="00DD25D7">
        <w:rPr>
          <w:noProof/>
          <w:lang w:eastAsia="en-AU"/>
        </w:rPr>
        <w:drawing>
          <wp:inline distT="0" distB="0" distL="0" distR="0" wp14:anchorId="7E9B8D8B" wp14:editId="309216FE">
            <wp:extent cx="5731510" cy="1566980"/>
            <wp:effectExtent l="0" t="0" r="2540" b="0"/>
            <wp:docPr id="29" name="Picture 29" descr="Table 4: Dosing schedule in Study B197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1566980"/>
                    </a:xfrm>
                    <a:prstGeom prst="rect">
                      <a:avLst/>
                    </a:prstGeom>
                  </pic:spPr>
                </pic:pic>
              </a:graphicData>
            </a:graphic>
          </wp:inline>
        </w:drawing>
      </w:r>
    </w:p>
    <w:p w:rsidR="00743EF5" w:rsidRPr="00E36E42" w:rsidRDefault="009E75AA" w:rsidP="004D513F">
      <w:r w:rsidRPr="00E36E42">
        <w:t xml:space="preserve">The co-primary objectives were to assess the immune response as measured by </w:t>
      </w:r>
      <w:proofErr w:type="spellStart"/>
      <w:r w:rsidRPr="00E36E42">
        <w:t>hSBA</w:t>
      </w:r>
      <w:proofErr w:type="spellEnd"/>
      <w:r w:rsidRPr="00E36E42">
        <w:t xml:space="preserve"> performed with the 4 primary </w:t>
      </w:r>
      <w:proofErr w:type="spellStart"/>
      <w:r w:rsidRPr="00E36E42">
        <w:t>MnB</w:t>
      </w:r>
      <w:proofErr w:type="spellEnd"/>
      <w:r w:rsidRPr="00E36E42">
        <w:t xml:space="preserve"> test strains measured 1 month after Dose 3 </w:t>
      </w:r>
      <w:r w:rsidRPr="00DD25D7">
        <w:t>with</w:t>
      </w:r>
      <w:r w:rsidR="00012937" w:rsidRPr="00DD25D7">
        <w:t xml:space="preserve"> </w:t>
      </w:r>
      <w:r w:rsidRPr="00DD25D7">
        <w:t>bivalent</w:t>
      </w:r>
      <w:r w:rsidRPr="00E36E42">
        <w:t xml:space="preserve"> rLP2086, among the two </w:t>
      </w:r>
      <w:r w:rsidR="00743EF5" w:rsidRPr="00E36E42">
        <w:t xml:space="preserve">3 dose </w:t>
      </w:r>
      <w:r w:rsidRPr="00E36E42">
        <w:t xml:space="preserve">schedule groups (0, 1, </w:t>
      </w:r>
      <w:r w:rsidR="00743EF5" w:rsidRPr="00E36E42">
        <w:t>6 month</w:t>
      </w:r>
      <w:r w:rsidRPr="00E36E42">
        <w:t xml:space="preserve"> schedule </w:t>
      </w:r>
      <w:r w:rsidR="00DD25D7" w:rsidRPr="00E36E42">
        <w:t>(</w:t>
      </w:r>
      <w:r w:rsidRPr="00E36E42">
        <w:t>Group 1</w:t>
      </w:r>
      <w:r w:rsidR="00DD25D7" w:rsidRPr="00E36E42">
        <w:t>)</w:t>
      </w:r>
      <w:r w:rsidRPr="00E36E42">
        <w:t xml:space="preserve"> and 0, 2, </w:t>
      </w:r>
      <w:r w:rsidR="00743EF5" w:rsidRPr="00E36E42">
        <w:t>6 month</w:t>
      </w:r>
      <w:r w:rsidRPr="00E36E42">
        <w:t xml:space="preserve"> schedule </w:t>
      </w:r>
      <w:r w:rsidR="00DD25D7" w:rsidRPr="00E36E42">
        <w:t>(</w:t>
      </w:r>
      <w:r w:rsidRPr="00E36E42">
        <w:t>Group 2</w:t>
      </w:r>
      <w:r w:rsidR="00DD25D7" w:rsidRPr="00E36E42">
        <w:t>)</w:t>
      </w:r>
      <w:r w:rsidRPr="00E36E42">
        <w:t xml:space="preserve">). The primary endpoint for the co-primary objective was the proportion of subjects with </w:t>
      </w:r>
      <w:proofErr w:type="spellStart"/>
      <w:r w:rsidRPr="00E36E42">
        <w:t>hSBA</w:t>
      </w:r>
      <w:proofErr w:type="spellEnd"/>
      <w:r w:rsidRPr="00E36E42">
        <w:t xml:space="preserve"> responses </w:t>
      </w:r>
      <w:r w:rsidR="00743EF5" w:rsidRPr="00DD25D7">
        <w:t xml:space="preserve">≥ </w:t>
      </w:r>
      <w:r w:rsidRPr="00E36E42">
        <w:t xml:space="preserve">LLOQ for each of the 4 primary </w:t>
      </w:r>
      <w:proofErr w:type="spellStart"/>
      <w:r w:rsidRPr="00E36E42">
        <w:t>MnB</w:t>
      </w:r>
      <w:proofErr w:type="spellEnd"/>
      <w:r w:rsidRPr="00E36E42">
        <w:t xml:space="preserve"> test strains in the evaluable immunogenicity population. The co-primary immunogenicity objectives were achieved if the 97.5% LCI for the response rate was greater than 50% for each of the 4 primary </w:t>
      </w:r>
      <w:proofErr w:type="spellStart"/>
      <w:r w:rsidRPr="00E36E42">
        <w:t>MnB</w:t>
      </w:r>
      <w:proofErr w:type="spellEnd"/>
      <w:r w:rsidRPr="00E36E42">
        <w:t xml:space="preserve"> test strains for either </w:t>
      </w:r>
      <w:r w:rsidR="00743EF5" w:rsidRPr="00E36E42">
        <w:t xml:space="preserve">3 dose </w:t>
      </w:r>
      <w:r w:rsidRPr="00E36E42">
        <w:t xml:space="preserve">regimen. The LLOQ for each strain was 1:8 for the primary analysis. A post-hoc analysis was performed using an LLOQ = 1:16 for the strains expressing </w:t>
      </w:r>
      <w:proofErr w:type="spellStart"/>
      <w:r w:rsidRPr="00E36E42">
        <w:t>fHBP</w:t>
      </w:r>
      <w:proofErr w:type="spellEnd"/>
      <w:r w:rsidRPr="00E36E42">
        <w:t xml:space="preserve"> variant A22 to address feedback from CBER indicating that the higher LLOQ should be used for the analysis. Results of the analysis with an LLOQ = 1:16 for A22 are presented in this document</w:t>
      </w:r>
      <w:r w:rsidR="00743EF5" w:rsidRPr="00E36E42">
        <w:t>.</w:t>
      </w:r>
    </w:p>
    <w:p w:rsidR="009E75AA" w:rsidRPr="00E36E42" w:rsidRDefault="009E75AA" w:rsidP="004D513F">
      <w:r w:rsidRPr="00E36E42">
        <w:t>The evaluable immunogenicity population (per-protocol) included 365 subjects in Group 1, 360 subjects in Group 2, 371 subjects in Group 3, 241 subjects in Group 4, and 113 subjec</w:t>
      </w:r>
      <w:r w:rsidR="00012937" w:rsidRPr="00E36E42">
        <w:t>ts in Group </w:t>
      </w:r>
      <w:r w:rsidRPr="00E36E42">
        <w:t>5.</w:t>
      </w:r>
    </w:p>
    <w:p w:rsidR="009E75AA" w:rsidRPr="00DD25D7" w:rsidRDefault="009E75AA" w:rsidP="004D513F">
      <w:pPr>
        <w:pStyle w:val="Heading5"/>
      </w:pPr>
      <w:r w:rsidRPr="00DD25D7">
        <w:t>Results</w:t>
      </w:r>
    </w:p>
    <w:p w:rsidR="00743EF5" w:rsidRPr="00E36E42" w:rsidRDefault="009E75AA" w:rsidP="004D513F">
      <w:r w:rsidRPr="00E36E42">
        <w:t xml:space="preserve">With the final LLOQ of 1:16 for the </w:t>
      </w:r>
      <w:proofErr w:type="spellStart"/>
      <w:r w:rsidRPr="00E36E42">
        <w:t>hSBA</w:t>
      </w:r>
      <w:proofErr w:type="spellEnd"/>
      <w:r w:rsidRPr="00E36E42">
        <w:t xml:space="preserve"> with PMB80 (A22), the proportions of Group 1 subjects in the evaluable immunogenicity population achieving an </w:t>
      </w:r>
      <w:proofErr w:type="spellStart"/>
      <w:r w:rsidRPr="00E36E42">
        <w:t>hSBA</w:t>
      </w:r>
      <w:proofErr w:type="spellEnd"/>
      <w:r w:rsidRPr="00E36E42">
        <w:t xml:space="preserve"> </w:t>
      </w:r>
      <w:r w:rsidR="00EA5CCB" w:rsidRPr="00E36E42">
        <w:t>titre</w:t>
      </w:r>
      <w:r w:rsidRPr="00E36E42">
        <w:t xml:space="preserve"> </w:t>
      </w:r>
      <w:r w:rsidR="00743EF5" w:rsidRPr="00DD25D7">
        <w:t xml:space="preserve">≥ </w:t>
      </w:r>
      <w:r w:rsidRPr="00E36E42">
        <w:t xml:space="preserve">LLOQ after 3 doses of bivalent rLP2086 on the 0, 1, </w:t>
      </w:r>
      <w:r w:rsidR="00743EF5" w:rsidRPr="00E36E42">
        <w:t>6 month</w:t>
      </w:r>
      <w:r w:rsidRPr="00E36E42">
        <w:t xml:space="preserve"> schedule were: 91.4% for PMB80 (A22), 99.4% for PMB2001 (A56), 89.0% for PMB2948 (B24), and 88.5% for PMB2707 (B44) (</w:t>
      </w:r>
      <w:r w:rsidR="002310F7" w:rsidRPr="00E36E42">
        <w:t>Table 5</w:t>
      </w:r>
      <w:r w:rsidRPr="00E36E42">
        <w:t>)</w:t>
      </w:r>
      <w:r w:rsidR="00743EF5" w:rsidRPr="00E36E42">
        <w:t>.</w:t>
      </w:r>
    </w:p>
    <w:p w:rsidR="0064126A" w:rsidRPr="00E36E42" w:rsidRDefault="0064126A" w:rsidP="0064126A">
      <w:pPr>
        <w:pStyle w:val="Tabletitle"/>
      </w:pPr>
      <w:bookmarkStart w:id="75" w:name="_Ref462832066"/>
      <w:bookmarkStart w:id="76" w:name="_Toc462406116"/>
      <w:bookmarkStart w:id="77" w:name="_Toc464821194"/>
      <w:r w:rsidRPr="00DD25D7">
        <w:lastRenderedPageBreak/>
        <w:t xml:space="preserve">Table </w:t>
      </w:r>
      <w:bookmarkEnd w:id="75"/>
      <w:r w:rsidR="002310F7" w:rsidRPr="00DD25D7">
        <w:t>5:</w:t>
      </w:r>
      <w:r w:rsidRPr="00DD25D7">
        <w:t xml:space="preserve"> </w:t>
      </w:r>
      <w:bookmarkEnd w:id="76"/>
      <w:r w:rsidRPr="00E36E42">
        <w:t xml:space="preserve">Proportion of </w:t>
      </w:r>
      <w:r w:rsidR="002310F7" w:rsidRPr="00E36E42">
        <w:t xml:space="preserve">subjects achieving </w:t>
      </w:r>
      <w:proofErr w:type="spellStart"/>
      <w:r w:rsidRPr="00E36E42">
        <w:t>hSBA</w:t>
      </w:r>
      <w:proofErr w:type="spellEnd"/>
      <w:r w:rsidRPr="00E36E42">
        <w:t xml:space="preserve"> </w:t>
      </w:r>
      <w:r w:rsidR="00EA5CCB" w:rsidRPr="00E36E42">
        <w:t>titre</w:t>
      </w:r>
      <w:r w:rsidRPr="00E36E42">
        <w:t xml:space="preserve"> ≥ LLOQ for </w:t>
      </w:r>
      <w:r w:rsidR="002310F7" w:rsidRPr="00E36E42">
        <w:t xml:space="preserve">each primary </w:t>
      </w:r>
      <w:proofErr w:type="spellStart"/>
      <w:r w:rsidRPr="00E36E42">
        <w:t>MnB</w:t>
      </w:r>
      <w:proofErr w:type="spellEnd"/>
      <w:r w:rsidRPr="00E36E42">
        <w:t xml:space="preserve"> </w:t>
      </w:r>
      <w:r w:rsidR="002310F7" w:rsidRPr="00E36E42">
        <w:t>test strain at 1 month after the last bivalent rLP2086 dose;</w:t>
      </w:r>
      <w:r w:rsidRPr="00E36E42">
        <w:t xml:space="preserve"> </w:t>
      </w:r>
      <w:r w:rsidR="002310F7" w:rsidRPr="00E36E42">
        <w:t>evaluable immunogenicity populatio</w:t>
      </w:r>
      <w:r w:rsidRPr="00E36E42">
        <w:t>n (Study B1971012)</w:t>
      </w:r>
      <w:bookmarkEnd w:id="77"/>
    </w:p>
    <w:p w:rsidR="0064126A" w:rsidRPr="00E36E42" w:rsidRDefault="009F7CB3" w:rsidP="0064126A">
      <w:r w:rsidRPr="00DD25D7">
        <w:rPr>
          <w:noProof/>
          <w:lang w:eastAsia="en-AU"/>
        </w:rPr>
        <w:drawing>
          <wp:inline distT="0" distB="0" distL="0" distR="0" wp14:anchorId="6F88CDBC" wp14:editId="6E499FBA">
            <wp:extent cx="5731510" cy="2209326"/>
            <wp:effectExtent l="0" t="0" r="2540" b="635"/>
            <wp:docPr id="30" name="Picture 30" descr="Table 5: Proportion of subjects achieving hSBA titer ≥ LLOQ for each primary MnB test strain at 1 month after the last bivalent rLP2086 dose; evaluable immunogenicity population (Study B197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209326"/>
                    </a:xfrm>
                    <a:prstGeom prst="rect">
                      <a:avLst/>
                    </a:prstGeom>
                  </pic:spPr>
                </pic:pic>
              </a:graphicData>
            </a:graphic>
          </wp:inline>
        </w:drawing>
      </w:r>
    </w:p>
    <w:p w:rsidR="00743EF5" w:rsidRPr="00E36E42" w:rsidRDefault="009E75AA" w:rsidP="004D513F">
      <w:r w:rsidRPr="00E36E42">
        <w:t>The corresponding values in Group 1 at 1 month after 2 doses (0, 1) of the vaccine were: 62.3% for PMB80 (A22), 89.1% for PMB2001 (A56), 50.6% for PMB2948 (B24), and 35.4% for PMB2707 (B44)</w:t>
      </w:r>
      <w:r w:rsidR="00743EF5" w:rsidRPr="00E36E42">
        <w:t>.</w:t>
      </w:r>
    </w:p>
    <w:p w:rsidR="00743EF5" w:rsidRPr="00E36E42" w:rsidRDefault="009E75AA" w:rsidP="004D513F">
      <w:r w:rsidRPr="00E36E42">
        <w:t xml:space="preserve">In Group 2, at 1 month after 3 doses of bivalent rLP2086 given at 0, 2, </w:t>
      </w:r>
      <w:r w:rsidR="00743EF5" w:rsidRPr="00E36E42">
        <w:t>6 month</w:t>
      </w:r>
      <w:r w:rsidRPr="00E36E42">
        <w:t xml:space="preserve">s, the proportion of subjects with </w:t>
      </w:r>
      <w:proofErr w:type="spellStart"/>
      <w:r w:rsidRPr="00E36E42">
        <w:t>hSBA</w:t>
      </w:r>
      <w:proofErr w:type="spellEnd"/>
      <w:r w:rsidRPr="00E36E42">
        <w:t xml:space="preserve"> </w:t>
      </w:r>
      <w:r w:rsidR="00EA5CCB" w:rsidRPr="00E36E42">
        <w:t>titre</w:t>
      </w:r>
      <w:r w:rsidRPr="00E36E42">
        <w:t xml:space="preserve">s </w:t>
      </w:r>
      <w:r w:rsidR="00743EF5" w:rsidRPr="00DD25D7">
        <w:t xml:space="preserve">≥ </w:t>
      </w:r>
      <w:r w:rsidRPr="00E36E42">
        <w:t>LLOQ were: 95.0% for PMB80 (A22), 98.9% for PMB2001 (A56), 88.4% for PMB2948 (B24), and 86.1% for PMB2707 (B44) (</w:t>
      </w:r>
      <w:r w:rsidR="002310F7" w:rsidRPr="00E36E42">
        <w:t>Table 5</w:t>
      </w:r>
      <w:r w:rsidRPr="00E36E42">
        <w:t xml:space="preserve">). At 1 month after 2 doses of bivalent rLP2086 (0, 2 months), the corresponding proportions of subjects were 88.1%, 97.9%, 70.3%, and 61.9%. In Groups 1 and 2 the 97.5% LCI for the proportion of subjects achieving </w:t>
      </w:r>
      <w:proofErr w:type="spellStart"/>
      <w:r w:rsidRPr="00E36E42">
        <w:t>hSBA</w:t>
      </w:r>
      <w:proofErr w:type="spellEnd"/>
      <w:r w:rsidRPr="00E36E42">
        <w:t xml:space="preserve"> </w:t>
      </w:r>
      <w:r w:rsidR="00EA5CCB" w:rsidRPr="00E36E42">
        <w:t>titre</w:t>
      </w:r>
      <w:r w:rsidRPr="00E36E42">
        <w:t xml:space="preserve">s </w:t>
      </w:r>
      <w:r w:rsidR="00743EF5" w:rsidRPr="00DD25D7">
        <w:t xml:space="preserve">≥ </w:t>
      </w:r>
      <w:r w:rsidRPr="00E36E42">
        <w:t>LLOQ was greater than 50% with use of each primary test strain, and thus the study met the co-primary objectives</w:t>
      </w:r>
      <w:r w:rsidR="00743EF5" w:rsidRPr="00E36E42">
        <w:t>.</w:t>
      </w:r>
    </w:p>
    <w:p w:rsidR="00743EF5" w:rsidRPr="00E36E42" w:rsidRDefault="009E75AA" w:rsidP="004D513F">
      <w:r w:rsidRPr="00E36E42">
        <w:t xml:space="preserve">For subjects in Group 1 (0, 1, 6 months) and Group 2 (0, 2, 6 months), </w:t>
      </w:r>
      <w:proofErr w:type="spellStart"/>
      <w:r w:rsidRPr="00E36E42">
        <w:t>hSBA</w:t>
      </w:r>
      <w:proofErr w:type="spellEnd"/>
      <w:r w:rsidRPr="00E36E42">
        <w:t>, response 1 month after the first dose of bivalent rLP2086 was not determined.</w:t>
      </w:r>
      <w:r w:rsidR="00743EF5" w:rsidRPr="00E36E42">
        <w:t xml:space="preserve"> </w:t>
      </w:r>
      <w:r w:rsidRPr="00E36E42">
        <w:t xml:space="preserve">However, </w:t>
      </w:r>
      <w:proofErr w:type="spellStart"/>
      <w:r w:rsidRPr="00E36E42">
        <w:t>hSBA</w:t>
      </w:r>
      <w:proofErr w:type="spellEnd"/>
      <w:r w:rsidRPr="00E36E42">
        <w:t xml:space="preserve"> response at this time point was determ</w:t>
      </w:r>
      <w:r w:rsidR="00012937" w:rsidRPr="00E36E42">
        <w:t xml:space="preserve">ined for subjects in Group 5 (2 </w:t>
      </w:r>
      <w:r w:rsidRPr="00E36E42">
        <w:t xml:space="preserve">dose schedule, 0, 4 months </w:t>
      </w:r>
      <w:r w:rsidR="00DD25D7" w:rsidRPr="00E36E42">
        <w:t>(</w:t>
      </w:r>
      <w:r w:rsidRPr="00E36E42">
        <w:t>same as 2, 6 months</w:t>
      </w:r>
      <w:r w:rsidR="00DD25D7" w:rsidRPr="00E36E42">
        <w:t>)</w:t>
      </w:r>
      <w:r w:rsidRPr="00E36E42">
        <w:t xml:space="preserve">); the proportions of subjects achieving an </w:t>
      </w:r>
      <w:proofErr w:type="spellStart"/>
      <w:r w:rsidRPr="00E36E42">
        <w:t>hSBA</w:t>
      </w:r>
      <w:proofErr w:type="spellEnd"/>
      <w:r w:rsidRPr="00E36E42">
        <w:t xml:space="preserve"> </w:t>
      </w:r>
      <w:r w:rsidR="00EA5CCB" w:rsidRPr="00E36E42">
        <w:t>titre</w:t>
      </w:r>
      <w:r w:rsidRPr="00E36E42">
        <w:t xml:space="preserve"> </w:t>
      </w:r>
      <w:r w:rsidR="00743EF5" w:rsidRPr="00DD25D7">
        <w:t xml:space="preserve">≥ </w:t>
      </w:r>
      <w:r w:rsidRPr="00E36E42">
        <w:t>LLOQ 1 month after 1 dose of bivalent rLP2086 were 55.9% for PMB80 (A22), 67.6% for PMB2001 (A56), 56.9% for PMB2948 (B24), and 23.8% for PMB2707 (B44). This is the only instance in the development program where the immune response after 1 dose of bivalent rLP2086 was determined</w:t>
      </w:r>
      <w:r w:rsidR="00743EF5" w:rsidRPr="00E36E42">
        <w:t>.</w:t>
      </w:r>
    </w:p>
    <w:p w:rsidR="00743EF5" w:rsidRPr="00E36E42" w:rsidRDefault="009E75AA" w:rsidP="004D513F">
      <w:r w:rsidRPr="00E36E42">
        <w:t xml:space="preserve">The secondary objective was to assess the immune response as measured by </w:t>
      </w:r>
      <w:proofErr w:type="spellStart"/>
      <w:r w:rsidRPr="00E36E42">
        <w:t>hSBA</w:t>
      </w:r>
      <w:proofErr w:type="spellEnd"/>
      <w:r w:rsidRPr="00E36E42">
        <w:t xml:space="preserve"> performed with the 4 primary </w:t>
      </w:r>
      <w:proofErr w:type="spellStart"/>
      <w:r w:rsidRPr="00E36E42">
        <w:t>MnB</w:t>
      </w:r>
      <w:proofErr w:type="spellEnd"/>
      <w:r w:rsidRPr="00E36E42">
        <w:t xml:space="preserve"> test strains measured 1 month after Dose 2 among Group 3 subjects (0, </w:t>
      </w:r>
      <w:r w:rsidR="00743EF5" w:rsidRPr="00E36E42">
        <w:t>6 month</w:t>
      </w:r>
      <w:r w:rsidRPr="00E36E42">
        <w:t xml:space="preserve"> schedule). In Group 3 (0, </w:t>
      </w:r>
      <w:r w:rsidR="00743EF5" w:rsidRPr="00E36E42">
        <w:t>6 month</w:t>
      </w:r>
      <w:r w:rsidRPr="00E36E42">
        <w:t xml:space="preserve"> schedule), the hypothesis testing endpoint for the secondary objective was the proportion of subjects achieving an </w:t>
      </w:r>
      <w:proofErr w:type="spellStart"/>
      <w:r w:rsidRPr="00E36E42">
        <w:t>hSBA</w:t>
      </w:r>
      <w:proofErr w:type="spellEnd"/>
      <w:r w:rsidRPr="00E36E42">
        <w:t xml:space="preserve"> </w:t>
      </w:r>
      <w:r w:rsidR="00EA5CCB" w:rsidRPr="00E36E42">
        <w:t>titre</w:t>
      </w:r>
      <w:r w:rsidRPr="00E36E42">
        <w:t xml:space="preserve"> </w:t>
      </w:r>
      <w:r w:rsidR="00743EF5" w:rsidRPr="00DD25D7">
        <w:t xml:space="preserve">≥ </w:t>
      </w:r>
      <w:r w:rsidRPr="00E36E42">
        <w:t xml:space="preserve">LLOQ for each of the 4 primary test strains measured 1 month after the second dose of bivalent rLP2086. This objective was achieved if the p-values were </w:t>
      </w:r>
      <w:r w:rsidR="00032B77" w:rsidRPr="00DD25D7">
        <w:t xml:space="preserve">&lt; </w:t>
      </w:r>
      <w:r w:rsidRPr="00E36E42">
        <w:t xml:space="preserve">0.0125 for the </w:t>
      </w:r>
      <w:proofErr w:type="spellStart"/>
      <w:r w:rsidRPr="00E36E42">
        <w:t>hSBA</w:t>
      </w:r>
      <w:proofErr w:type="spellEnd"/>
      <w:r w:rsidRPr="00E36E42">
        <w:t xml:space="preserve"> response rate for each of the 4 primary </w:t>
      </w:r>
      <w:proofErr w:type="spellStart"/>
      <w:r w:rsidRPr="00E36E42">
        <w:t>MnB</w:t>
      </w:r>
      <w:proofErr w:type="spellEnd"/>
      <w:r w:rsidRPr="00E36E42">
        <w:t xml:space="preserve"> test strains in Group 3</w:t>
      </w:r>
      <w:r w:rsidR="00743EF5" w:rsidRPr="00E36E42">
        <w:t>.</w:t>
      </w:r>
    </w:p>
    <w:p w:rsidR="00743EF5" w:rsidRPr="00E36E42" w:rsidRDefault="009E75AA" w:rsidP="004D513F">
      <w:r w:rsidRPr="00E36E42">
        <w:t xml:space="preserve">The proportion of subjects with an </w:t>
      </w:r>
      <w:proofErr w:type="spellStart"/>
      <w:r w:rsidRPr="00E36E42">
        <w:t>hSBA</w:t>
      </w:r>
      <w:proofErr w:type="spellEnd"/>
      <w:r w:rsidRPr="00E36E42">
        <w:t xml:space="preserve"> </w:t>
      </w:r>
      <w:r w:rsidR="00EA5CCB" w:rsidRPr="00E36E42">
        <w:t>titre</w:t>
      </w:r>
      <w:r w:rsidRPr="00E36E42">
        <w:t xml:space="preserve"> </w:t>
      </w:r>
      <w:r w:rsidR="00743EF5" w:rsidRPr="00DD25D7">
        <w:t xml:space="preserve">≥ </w:t>
      </w:r>
      <w:r w:rsidRPr="00E36E42">
        <w:t xml:space="preserve">LLOQ after 2 doses of bivalent rLP2086 administered on a 0, 6 month schedule (Group 3) was 93.2% for PMB80 </w:t>
      </w:r>
      <w:r w:rsidR="00DD25D7" w:rsidRPr="00E36E42">
        <w:t>(</w:t>
      </w:r>
      <w:r w:rsidRPr="00E36E42">
        <w:t>A22</w:t>
      </w:r>
      <w:r w:rsidR="00DD25D7" w:rsidRPr="00E36E42">
        <w:t>)</w:t>
      </w:r>
      <w:r w:rsidRPr="00E36E42">
        <w:t xml:space="preserve">, 98.4% for PMB2001 </w:t>
      </w:r>
      <w:r w:rsidR="00DD25D7" w:rsidRPr="00E36E42">
        <w:t>(</w:t>
      </w:r>
      <w:r w:rsidRPr="00E36E42">
        <w:t>A56</w:t>
      </w:r>
      <w:r w:rsidR="00DD25D7" w:rsidRPr="00E36E42">
        <w:t>)</w:t>
      </w:r>
      <w:r w:rsidRPr="00E36E42">
        <w:t xml:space="preserve">, 81.1% for PMB2948 </w:t>
      </w:r>
      <w:r w:rsidR="00DD25D7" w:rsidRPr="00E36E42">
        <w:t>(</w:t>
      </w:r>
      <w:r w:rsidRPr="00E36E42">
        <w:t>B24</w:t>
      </w:r>
      <w:r w:rsidR="00DD25D7" w:rsidRPr="00E36E42">
        <w:t>)</w:t>
      </w:r>
      <w:r w:rsidRPr="00E36E42">
        <w:t xml:space="preserve">, and 77.5% for PMB2707 </w:t>
      </w:r>
      <w:r w:rsidR="00DD25D7" w:rsidRPr="00E36E42">
        <w:t>(</w:t>
      </w:r>
      <w:r w:rsidRPr="00E36E42">
        <w:t>B44</w:t>
      </w:r>
      <w:r w:rsidR="00DD25D7" w:rsidRPr="00E36E42">
        <w:t>)</w:t>
      </w:r>
      <w:r w:rsidRPr="00E36E42">
        <w:t xml:space="preserve">. These observed point estimates in Group 3 were similar to those of Group 1 (0, 1, </w:t>
      </w:r>
      <w:r w:rsidR="00743EF5" w:rsidRPr="00E36E42">
        <w:t>6 month</w:t>
      </w:r>
      <w:r w:rsidRPr="00E36E42">
        <w:t xml:space="preserve"> schedule) and Group 2 (0, 2, </w:t>
      </w:r>
      <w:r w:rsidR="00743EF5" w:rsidRPr="00E36E42">
        <w:t>6 month</w:t>
      </w:r>
      <w:r w:rsidRPr="00E36E42">
        <w:t xml:space="preserve"> schedule). This objective was achieved as all p-values for the </w:t>
      </w:r>
      <w:proofErr w:type="spellStart"/>
      <w:r w:rsidRPr="00E36E42">
        <w:t>hSBA</w:t>
      </w:r>
      <w:proofErr w:type="spellEnd"/>
      <w:r w:rsidRPr="00E36E42">
        <w:t xml:space="preserve"> response rates for each of the 4 primary </w:t>
      </w:r>
      <w:proofErr w:type="spellStart"/>
      <w:r w:rsidRPr="00E36E42">
        <w:t>MnB</w:t>
      </w:r>
      <w:proofErr w:type="spellEnd"/>
      <w:r w:rsidRPr="00E36E42">
        <w:t xml:space="preserve"> test strains in Group 3 were </w:t>
      </w:r>
      <w:r w:rsidR="00032B77" w:rsidRPr="00DD25D7">
        <w:t xml:space="preserve">&lt; </w:t>
      </w:r>
      <w:r w:rsidRPr="00E36E42">
        <w:t>0.0125 (</w:t>
      </w:r>
      <w:r w:rsidR="002310F7" w:rsidRPr="00E36E42">
        <w:t>Table 5</w:t>
      </w:r>
      <w:r w:rsidRPr="00E36E42">
        <w:t>)</w:t>
      </w:r>
      <w:r w:rsidR="00743EF5" w:rsidRPr="00E36E42">
        <w:t>.</w:t>
      </w:r>
    </w:p>
    <w:p w:rsidR="009E75AA" w:rsidRPr="00E36E42" w:rsidRDefault="009E75AA" w:rsidP="004D513F">
      <w:r w:rsidRPr="00E36E42">
        <w:t xml:space="preserve">The same analysis was performed for Group 4 (0, </w:t>
      </w:r>
      <w:r w:rsidR="00012937" w:rsidRPr="00E36E42">
        <w:t>2 month</w:t>
      </w:r>
      <w:r w:rsidRPr="00E36E42">
        <w:t xml:space="preserve"> schedule) and Group 5 (0, 4 month schedule); the proportions of subjects with an </w:t>
      </w:r>
      <w:proofErr w:type="spellStart"/>
      <w:r w:rsidRPr="00E36E42">
        <w:t>hSBA</w:t>
      </w:r>
      <w:proofErr w:type="spellEnd"/>
      <w:r w:rsidRPr="00E36E42">
        <w:t xml:space="preserve"> </w:t>
      </w:r>
      <w:r w:rsidR="00EA5CCB" w:rsidRPr="00E36E42">
        <w:t>titre</w:t>
      </w:r>
      <w:r w:rsidRPr="00E36E42">
        <w:t xml:space="preserve"> </w:t>
      </w:r>
      <w:r w:rsidR="00743EF5" w:rsidRPr="00DD25D7">
        <w:t xml:space="preserve">≥ </w:t>
      </w:r>
      <w:r w:rsidRPr="00E36E42">
        <w:t xml:space="preserve">LLOQ at 1 month after the second dose of bivalent rLP2086 for the 4 primary test strains were as follows for Group 4 and Group 5, </w:t>
      </w:r>
      <w:r w:rsidRPr="00E36E42">
        <w:lastRenderedPageBreak/>
        <w:t xml:space="preserve">respectively: 90.8% and 91.0% for PMB80 (A22); 100.0% and 99.1% for PMB2001 (A56); 73.0% and 69.1% for PMB2948 (B24); and 70.1% and 73.0% for PMB2707 (B44). The proportion of responders at </w:t>
      </w:r>
      <w:r w:rsidR="00743EF5" w:rsidRPr="00DD25D7">
        <w:t xml:space="preserve">≥ </w:t>
      </w:r>
      <w:r w:rsidRPr="00E36E42">
        <w:t xml:space="preserve">LLOQ was higher in Group 3 subjects who received 2 doses of bivalent rLP2086 on a 0, 6 month schedule than in Group 4 or Group 5 subjects receiving vaccinations on a 0, </w:t>
      </w:r>
      <w:r w:rsidR="00012937" w:rsidRPr="00E36E42">
        <w:t>2 month</w:t>
      </w:r>
      <w:r w:rsidRPr="00E36E42">
        <w:t xml:space="preserve"> or 0, </w:t>
      </w:r>
      <w:r w:rsidR="00743EF5" w:rsidRPr="00E36E42">
        <w:t>4 month</w:t>
      </w:r>
      <w:r w:rsidRPr="00E36E42">
        <w:t xml:space="preserve"> schedule, respectively. The proportions of responders were higher after 2 doses spaced 6 months apart in Group 3 than after the second vaccination in Group 1 (0, 1 month schedule) and Group 2 (0, 2 month schedule).</w:t>
      </w:r>
    </w:p>
    <w:p w:rsidR="009E75AA" w:rsidRPr="00E36E42" w:rsidRDefault="009E75AA" w:rsidP="004D513F">
      <w:r w:rsidRPr="00E36E42">
        <w:t xml:space="preserve">An additional secondary endpoint was the proportion of subjects with defined </w:t>
      </w:r>
      <w:proofErr w:type="spellStart"/>
      <w:r w:rsidRPr="00E36E42">
        <w:t>hSBA</w:t>
      </w:r>
      <w:proofErr w:type="spellEnd"/>
      <w:r w:rsidRPr="00E36E42">
        <w:t xml:space="preserve"> antibody </w:t>
      </w:r>
      <w:r w:rsidR="00EA5CCB" w:rsidRPr="00E36E42">
        <w:t>titre</w:t>
      </w:r>
      <w:r w:rsidRPr="00E36E42">
        <w:t xml:space="preserve">s at </w:t>
      </w:r>
      <w:r w:rsidR="00743EF5" w:rsidRPr="00DD25D7">
        <w:t xml:space="preserve">≥ </w:t>
      </w:r>
      <w:r w:rsidRPr="00E36E42">
        <w:t xml:space="preserve">1:4 For each primary test strain, response rates for </w:t>
      </w:r>
      <w:proofErr w:type="spellStart"/>
      <w:r w:rsidRPr="00E36E42">
        <w:t>hSBA</w:t>
      </w:r>
      <w:proofErr w:type="spellEnd"/>
      <w:r w:rsidRPr="00E36E42">
        <w:t xml:space="preserve"> </w:t>
      </w:r>
      <w:r w:rsidR="00EA5CCB" w:rsidRPr="00E36E42">
        <w:t>titre</w:t>
      </w:r>
      <w:r w:rsidRPr="00E36E42">
        <w:t xml:space="preserve">s of </w:t>
      </w:r>
      <w:r w:rsidR="00743EF5" w:rsidRPr="00DD25D7">
        <w:t xml:space="preserve">≥ </w:t>
      </w:r>
      <w:r w:rsidRPr="00E36E42">
        <w:t xml:space="preserve">1:4 at 1 month after 2 doses of bivalent rLP2086 in the 0, </w:t>
      </w:r>
      <w:r w:rsidR="00743EF5" w:rsidRPr="00E36E42">
        <w:t>6 month</w:t>
      </w:r>
      <w:r w:rsidRPr="00E36E42">
        <w:t xml:space="preserve"> group (Group 3) were: 94.0% for PMB80 (A22), 98.9% for PMB2001 (A56), 83.0% for PMB2948 (B24), and 78.9% for PMB2707 (B44).</w:t>
      </w:r>
    </w:p>
    <w:p w:rsidR="00743EF5" w:rsidRPr="00E36E42" w:rsidRDefault="009E75AA" w:rsidP="004D513F">
      <w:r w:rsidRPr="00E36E42">
        <w:t xml:space="preserve">The proportions of responders achieving a </w:t>
      </w:r>
      <w:proofErr w:type="spellStart"/>
      <w:r w:rsidRPr="00E36E42">
        <w:t>hSBA</w:t>
      </w:r>
      <w:proofErr w:type="spellEnd"/>
      <w:r w:rsidRPr="00E36E42">
        <w:t xml:space="preserve"> </w:t>
      </w:r>
      <w:r w:rsidR="00EA5CCB" w:rsidRPr="00E36E42">
        <w:t>titre</w:t>
      </w:r>
      <w:r w:rsidRPr="00E36E42">
        <w:t xml:space="preserve"> </w:t>
      </w:r>
      <w:r w:rsidR="00743EF5" w:rsidRPr="00DD25D7">
        <w:t xml:space="preserve">≥ </w:t>
      </w:r>
      <w:r w:rsidRPr="00E36E42">
        <w:t xml:space="preserve">1:4 one month after 2 doses in Group 4 (0, </w:t>
      </w:r>
      <w:r w:rsidR="00012937" w:rsidRPr="00E36E42">
        <w:t>2 month</w:t>
      </w:r>
      <w:r w:rsidRPr="00E36E42">
        <w:t xml:space="preserve"> schedule) and Group 5 (0, 4 month schedule), respectively, were: 90.8% and 91.9% for PMB80 (A22); 100.0% and 99.1% for PMB2001 (A56); 75.5% and 70.9% for PMB2948 (B24); and 73.5% and 73.0% for PMB2707 (B44)</w:t>
      </w:r>
      <w:r w:rsidR="00743EF5" w:rsidRPr="00E36E42">
        <w:t>.</w:t>
      </w:r>
    </w:p>
    <w:p w:rsidR="009E75AA" w:rsidRPr="00E36E42" w:rsidRDefault="00012937" w:rsidP="004D513F">
      <w:r w:rsidRPr="00E36E42">
        <w:t>Comparison among the 2-</w:t>
      </w:r>
      <w:r w:rsidR="009E75AA" w:rsidRPr="00E36E42">
        <w:t>dose groups showed that in subjects random</w:t>
      </w:r>
      <w:r w:rsidR="00292798" w:rsidRPr="00E36E42">
        <w:t>ise</w:t>
      </w:r>
      <w:r w:rsidR="009E75AA" w:rsidRPr="00E36E42">
        <w:t xml:space="preserve">d to the 0, </w:t>
      </w:r>
      <w:r w:rsidR="00743EF5" w:rsidRPr="00E36E42">
        <w:t>6 month</w:t>
      </w:r>
      <w:r w:rsidR="009E75AA" w:rsidRPr="00E36E42">
        <w:t xml:space="preserve"> schedule in Group 3 the proportions of responders for each test strain were similar or higher than in other 2 dose groups (Groups 4 </w:t>
      </w:r>
      <w:r w:rsidR="00DD25D7" w:rsidRPr="00E36E42">
        <w:t>(</w:t>
      </w:r>
      <w:r w:rsidR="009E75AA" w:rsidRPr="00E36E42">
        <w:t>0, 2 months</w:t>
      </w:r>
      <w:r w:rsidR="00DD25D7" w:rsidRPr="00E36E42">
        <w:t>)</w:t>
      </w:r>
      <w:r w:rsidR="009E75AA" w:rsidRPr="00E36E42">
        <w:t xml:space="preserve"> and Group 5 </w:t>
      </w:r>
      <w:r w:rsidR="00DD25D7" w:rsidRPr="00E36E42">
        <w:t>(</w:t>
      </w:r>
      <w:r w:rsidR="009E75AA" w:rsidRPr="00E36E42">
        <w:t>0, 4 months</w:t>
      </w:r>
      <w:r w:rsidR="00DD25D7" w:rsidRPr="00E36E42">
        <w:t>)</w:t>
      </w:r>
      <w:r w:rsidR="009E75AA" w:rsidRPr="00E36E42">
        <w:t>,).</w:t>
      </w:r>
      <w:r w:rsidR="00743EF5" w:rsidRPr="00E36E42">
        <w:t xml:space="preserve"> </w:t>
      </w:r>
      <w:r w:rsidR="009E75AA" w:rsidRPr="00E36E42">
        <w:t xml:space="preserve">Also, for each of the 4 primary test strains, </w:t>
      </w:r>
      <w:proofErr w:type="spellStart"/>
      <w:r w:rsidR="009E75AA" w:rsidRPr="00E36E42">
        <w:t>hSBA</w:t>
      </w:r>
      <w:proofErr w:type="spellEnd"/>
      <w:r w:rsidR="009E75AA" w:rsidRPr="00E36E42">
        <w:t xml:space="preserve"> GMTs were higher in Group 3 (0, 6 months) than in Group 4 (0, 2 month schedule) or Group 5 (0, 4 month schedule). Group 3 </w:t>
      </w:r>
      <w:proofErr w:type="spellStart"/>
      <w:r w:rsidR="009E75AA" w:rsidRPr="00E36E42">
        <w:t>hSBA</w:t>
      </w:r>
      <w:proofErr w:type="spellEnd"/>
      <w:r w:rsidR="009E75AA" w:rsidRPr="00E36E42">
        <w:t xml:space="preserve"> GMTs were also higher than </w:t>
      </w:r>
      <w:proofErr w:type="spellStart"/>
      <w:r w:rsidR="009E75AA" w:rsidRPr="00E36E42">
        <w:t>hSBA</w:t>
      </w:r>
      <w:proofErr w:type="spellEnd"/>
      <w:r w:rsidR="009E75AA" w:rsidRPr="00E36E42">
        <w:t xml:space="preserve"> GMTs in Groups 1 and 2 after 2 doses of bivalent rLP2086.</w:t>
      </w:r>
    </w:p>
    <w:p w:rsidR="00743EF5" w:rsidRPr="00E36E42" w:rsidRDefault="009E75AA" w:rsidP="004D513F">
      <w:r w:rsidRPr="00E36E42">
        <w:t xml:space="preserve">Analysis of </w:t>
      </w:r>
      <w:r w:rsidR="00743EF5" w:rsidRPr="00DD25D7">
        <w:t xml:space="preserve">≥ </w:t>
      </w:r>
      <w:r w:rsidR="00743EF5" w:rsidRPr="00E36E42">
        <w:t>4 fold</w:t>
      </w:r>
      <w:r w:rsidRPr="00E36E42">
        <w:t xml:space="preserve"> </w:t>
      </w:r>
      <w:proofErr w:type="gramStart"/>
      <w:r w:rsidRPr="00E36E42">
        <w:t>rise</w:t>
      </w:r>
      <w:proofErr w:type="gramEnd"/>
      <w:r w:rsidRPr="00E36E42">
        <w:t xml:space="preserve"> in </w:t>
      </w:r>
      <w:proofErr w:type="spellStart"/>
      <w:r w:rsidRPr="00E36E42">
        <w:t>hSBA</w:t>
      </w:r>
      <w:proofErr w:type="spellEnd"/>
      <w:r w:rsidRPr="00E36E42">
        <w:t xml:space="preserve"> </w:t>
      </w:r>
      <w:r w:rsidR="00EA5CCB" w:rsidRPr="00E36E42">
        <w:t>titre</w:t>
      </w:r>
      <w:r w:rsidRPr="00E36E42">
        <w:t xml:space="preserve"> from </w:t>
      </w:r>
      <w:r w:rsidR="008B4D82" w:rsidRPr="00E36E42">
        <w:t>Baseline</w:t>
      </w:r>
      <w:r w:rsidRPr="00E36E42">
        <w:t xml:space="preserve"> and composite response showed that when bivalent rLP2086 is given on a 0, </w:t>
      </w:r>
      <w:r w:rsidR="00743EF5" w:rsidRPr="00E36E42">
        <w:t>6 month</w:t>
      </w:r>
      <w:r w:rsidRPr="00E36E42">
        <w:t xml:space="preserve"> schedule, responses are higher than when the vaccine is given at 0 and 1 month and 0 and 2 months. As shown in</w:t>
      </w:r>
      <w:r w:rsidR="002310F7" w:rsidRPr="00E36E42">
        <w:t xml:space="preserve"> Table 6</w:t>
      </w:r>
      <w:r w:rsidRPr="00E36E42">
        <w:t xml:space="preserve">, the percentages of subjects achieving a composite </w:t>
      </w:r>
      <w:proofErr w:type="spellStart"/>
      <w:r w:rsidRPr="00E36E42">
        <w:t>hSBA</w:t>
      </w:r>
      <w:proofErr w:type="spellEnd"/>
      <w:r w:rsidRPr="00E36E42">
        <w:t xml:space="preserve"> r</w:t>
      </w:r>
      <w:r w:rsidR="00012937" w:rsidRPr="00E36E42">
        <w:t xml:space="preserve">esponse were lower for the 0, 1 </w:t>
      </w:r>
      <w:r w:rsidRPr="00E36E42">
        <w:t xml:space="preserve">month and 0, </w:t>
      </w:r>
      <w:r w:rsidR="00012937" w:rsidRPr="00E36E42">
        <w:t>2 month</w:t>
      </w:r>
      <w:r w:rsidRPr="00E36E42">
        <w:t xml:space="preserve"> regimens, 51% (95% CI: 43.8, 58.3) and 56.8% (95% CI: 52.5, 61.0), respectively, compared with the response of 73.5% (95% CI: 68.5, 78.1) achieved by those receiv</w:t>
      </w:r>
      <w:r w:rsidR="00012937" w:rsidRPr="00E36E42">
        <w:t>ing bivalent rLP2086 at 0 and 6 </w:t>
      </w:r>
      <w:r w:rsidRPr="00E36E42">
        <w:t>months. These data demonstrate that responses achieved after 2 doses of bivalent rLP2086 vaccine are highest when the interval between the first and second dose is 6 months (</w:t>
      </w:r>
      <w:r w:rsidR="002310F7" w:rsidRPr="00E36E42">
        <w:t>Table 7</w:t>
      </w:r>
      <w:r w:rsidRPr="00E36E42">
        <w:t xml:space="preserve">) and are comparable to responses elicited by </w:t>
      </w:r>
      <w:r w:rsidR="00743EF5" w:rsidRPr="00E36E42">
        <w:t xml:space="preserve">3 dose </w:t>
      </w:r>
      <w:r w:rsidRPr="00E36E42">
        <w:t>regimens administered at 0, 1, 6 or 0, 2, 6 months (</w:t>
      </w:r>
      <w:r w:rsidR="002310F7" w:rsidRPr="00E36E42">
        <w:t>Table 7</w:t>
      </w:r>
      <w:r w:rsidRPr="00E36E42">
        <w:t>)</w:t>
      </w:r>
      <w:r w:rsidR="00743EF5" w:rsidRPr="00E36E42">
        <w:t>.</w:t>
      </w:r>
    </w:p>
    <w:p w:rsidR="0064126A" w:rsidRPr="00E36E42" w:rsidRDefault="0064126A" w:rsidP="0064126A">
      <w:pPr>
        <w:pStyle w:val="Tabletitle"/>
      </w:pPr>
      <w:bookmarkStart w:id="78" w:name="_Ref462649636"/>
      <w:bookmarkStart w:id="79" w:name="_Toc462406117"/>
      <w:bookmarkStart w:id="80" w:name="_Toc464821195"/>
      <w:bookmarkStart w:id="81" w:name="_Toc290888506"/>
      <w:bookmarkStart w:id="82" w:name="_Toc416353722"/>
      <w:r w:rsidRPr="00DD25D7">
        <w:t>Table</w:t>
      </w:r>
      <w:bookmarkEnd w:id="78"/>
      <w:r w:rsidR="002310F7" w:rsidRPr="00DD25D7">
        <w:t xml:space="preserve"> 6:</w:t>
      </w:r>
      <w:r w:rsidRPr="00DD25D7">
        <w:t xml:space="preserve"> </w:t>
      </w:r>
      <w:bookmarkEnd w:id="79"/>
      <w:r w:rsidRPr="00E36E42">
        <w:t xml:space="preserve">Percentage </w:t>
      </w:r>
      <w:r w:rsidR="002310F7" w:rsidRPr="00E36E42">
        <w:t xml:space="preserve">of subjects achieving </w:t>
      </w:r>
      <w:r w:rsidRPr="00E36E42">
        <w:t xml:space="preserve">≥ </w:t>
      </w:r>
      <w:r w:rsidR="002310F7" w:rsidRPr="00E36E42">
        <w:t>4 fold r</w:t>
      </w:r>
      <w:r w:rsidRPr="00E36E42">
        <w:t xml:space="preserve">ise in </w:t>
      </w:r>
      <w:proofErr w:type="spellStart"/>
      <w:r w:rsidRPr="00E36E42">
        <w:t>hSBA</w:t>
      </w:r>
      <w:proofErr w:type="spellEnd"/>
      <w:r w:rsidRPr="00E36E42">
        <w:t xml:space="preserve"> </w:t>
      </w:r>
      <w:r w:rsidR="00EA5CCB" w:rsidRPr="00E36E42">
        <w:t>titre</w:t>
      </w:r>
      <w:r w:rsidR="002310F7" w:rsidRPr="00E36E42">
        <w:t xml:space="preserve"> and composite response using the 0 and 1 month and 0 and 2 month schedules compared to the 0 and 6 month schedule; evaluable population </w:t>
      </w:r>
      <w:r w:rsidRPr="00E36E42">
        <w:t>(Study B1971012)</w:t>
      </w:r>
      <w:bookmarkEnd w:id="80"/>
    </w:p>
    <w:p w:rsidR="0064126A" w:rsidRPr="00E36E42" w:rsidRDefault="009F7CB3" w:rsidP="0064126A">
      <w:r w:rsidRPr="00DD25D7">
        <w:rPr>
          <w:noProof/>
          <w:lang w:eastAsia="en-AU"/>
        </w:rPr>
        <w:drawing>
          <wp:inline distT="0" distB="0" distL="0" distR="0" wp14:anchorId="19819B22" wp14:editId="1C2924DF">
            <wp:extent cx="5731510" cy="1848045"/>
            <wp:effectExtent l="0" t="0" r="2540" b="0"/>
            <wp:docPr id="31" name="Picture 31" descr="Table 6: Percentage of subjects achieving ≥ 4 fold rise in hSBA titer and composite response using the 0 and 1 month and 0 and 2 month schedules compared to the 0 and 6 month schedule; evaluable population (Study B1971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1848045"/>
                    </a:xfrm>
                    <a:prstGeom prst="rect">
                      <a:avLst/>
                    </a:prstGeom>
                  </pic:spPr>
                </pic:pic>
              </a:graphicData>
            </a:graphic>
          </wp:inline>
        </w:drawing>
      </w:r>
    </w:p>
    <w:p w:rsidR="00140840" w:rsidRPr="00E36E42" w:rsidRDefault="00140840" w:rsidP="00140840">
      <w:pPr>
        <w:pStyle w:val="Tabletitle"/>
      </w:pPr>
      <w:bookmarkStart w:id="83" w:name="_Ref461615949"/>
      <w:bookmarkStart w:id="84" w:name="_Toc462406118"/>
      <w:bookmarkStart w:id="85" w:name="_Toc464821196"/>
      <w:r w:rsidRPr="00DD25D7">
        <w:lastRenderedPageBreak/>
        <w:t xml:space="preserve">Table </w:t>
      </w:r>
      <w:bookmarkEnd w:id="83"/>
      <w:r w:rsidR="002310F7" w:rsidRPr="00DD25D7">
        <w:t>7:</w:t>
      </w:r>
      <w:r w:rsidRPr="00E36E42">
        <w:t xml:space="preserve"> </w:t>
      </w:r>
      <w:bookmarkEnd w:id="84"/>
      <w:r w:rsidRPr="00E36E42">
        <w:t xml:space="preserve">Percentage </w:t>
      </w:r>
      <w:r w:rsidR="002310F7" w:rsidRPr="00E36E42">
        <w:t>of subjects achieving ≥4 fold r</w:t>
      </w:r>
      <w:r w:rsidRPr="00E36E42">
        <w:t xml:space="preserve">ise in </w:t>
      </w:r>
      <w:proofErr w:type="spellStart"/>
      <w:r w:rsidRPr="00E36E42">
        <w:t>hSBA</w:t>
      </w:r>
      <w:proofErr w:type="spellEnd"/>
      <w:r w:rsidRPr="00E36E42">
        <w:t xml:space="preserve"> </w:t>
      </w:r>
      <w:r w:rsidR="00EA5CCB" w:rsidRPr="00E36E42">
        <w:t>titre</w:t>
      </w:r>
      <w:r w:rsidR="002310F7" w:rsidRPr="00E36E42">
        <w:t xml:space="preserve"> and composite response using 0, 1, and 6 month and 0, 2, and 6 month schedules compared to the 0 and 6 month schedule; evaluable population </w:t>
      </w:r>
      <w:r w:rsidRPr="00E36E42">
        <w:t>(Study B1971012)</w:t>
      </w:r>
      <w:bookmarkEnd w:id="85"/>
    </w:p>
    <w:p w:rsidR="0064126A" w:rsidRPr="00E36E42" w:rsidRDefault="009F7CB3" w:rsidP="0064126A">
      <w:r w:rsidRPr="00DD25D7">
        <w:rPr>
          <w:noProof/>
          <w:lang w:eastAsia="en-AU"/>
        </w:rPr>
        <w:drawing>
          <wp:inline distT="0" distB="0" distL="0" distR="0" wp14:anchorId="7178375B" wp14:editId="2BF08EAD">
            <wp:extent cx="5731510" cy="1873151"/>
            <wp:effectExtent l="0" t="0" r="2540" b="0"/>
            <wp:docPr id="32" name="Picture 32" descr="Table 7: Percentage of subjects achieving ≥4 fold rise in hSBA titer and composite response using 0, 1, and 6 month and 0, 2, and 6 month schedules compared to the 0 and 6 month schedule; evaluable population (Study B197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1873151"/>
                    </a:xfrm>
                    <a:prstGeom prst="rect">
                      <a:avLst/>
                    </a:prstGeom>
                  </pic:spPr>
                </pic:pic>
              </a:graphicData>
            </a:graphic>
          </wp:inline>
        </w:drawing>
      </w:r>
    </w:p>
    <w:p w:rsidR="009E75AA" w:rsidRPr="00DD25D7" w:rsidRDefault="009E75AA" w:rsidP="004D513F">
      <w:pPr>
        <w:pStyle w:val="Heading4"/>
      </w:pPr>
      <w:r w:rsidRPr="00DD25D7">
        <w:t>Study B1971010</w:t>
      </w:r>
    </w:p>
    <w:p w:rsidR="00743EF5" w:rsidRPr="00E36E42" w:rsidRDefault="009E75AA" w:rsidP="004D513F">
      <w:r w:rsidRPr="00E36E42">
        <w:t xml:space="preserve">Study B1971010 was a </w:t>
      </w:r>
      <w:r w:rsidR="00743EF5" w:rsidRPr="00E36E42">
        <w:t>Phase II</w:t>
      </w:r>
      <w:r w:rsidRPr="00E36E42">
        <w:t>, random</w:t>
      </w:r>
      <w:r w:rsidR="00292798" w:rsidRPr="00E36E42">
        <w:t>ise</w:t>
      </w:r>
      <w:r w:rsidRPr="00E36E42">
        <w:t xml:space="preserve">d, </w:t>
      </w:r>
      <w:r w:rsidR="00743EF5" w:rsidRPr="00E36E42">
        <w:t>placebo controlled</w:t>
      </w:r>
      <w:r w:rsidRPr="00E36E42">
        <w:t xml:space="preserve">, </w:t>
      </w:r>
      <w:r w:rsidR="00743EF5" w:rsidRPr="00E36E42">
        <w:t>single blind</w:t>
      </w:r>
      <w:r w:rsidRPr="00E36E42">
        <w:t xml:space="preserve"> </w:t>
      </w:r>
      <w:proofErr w:type="spellStart"/>
      <w:r w:rsidRPr="00E36E42">
        <w:t>multicenter</w:t>
      </w:r>
      <w:proofErr w:type="spellEnd"/>
      <w:r w:rsidRPr="00E36E42">
        <w:t xml:space="preserve"> study in which 749 subjects were randomly assigned to 1 of 2 groups in a 1:1 ratio. Group 1 received 3 doses of bivalent rLP2086 using a 0, 2, </w:t>
      </w:r>
      <w:r w:rsidR="00743EF5" w:rsidRPr="00E36E42">
        <w:t>6 month</w:t>
      </w:r>
      <w:r w:rsidRPr="00E36E42">
        <w:t xml:space="preserve"> schedule and 1 dose of Repevax (a combined low-dose diphtheria, tetanus, acellular pertussis, and inactivated poliomyelitis virus vaccine, </w:t>
      </w:r>
      <w:proofErr w:type="spellStart"/>
      <w:r w:rsidRPr="00E36E42">
        <w:t>dTaP</w:t>
      </w:r>
      <w:proofErr w:type="spellEnd"/>
      <w:r w:rsidRPr="00E36E42">
        <w:t xml:space="preserve">-IPV) given concomitantly with the first dose of bivalent rLP2086; Group 2 received saline </w:t>
      </w:r>
      <w:r w:rsidR="00032B77" w:rsidRPr="00E36E42">
        <w:rPr>
          <w:lang w:eastAsia="ja-JP"/>
        </w:rPr>
        <w:t xml:space="preserve">+ </w:t>
      </w:r>
      <w:r w:rsidRPr="00E36E42">
        <w:t xml:space="preserve">Repevax for the first dose and saline for Doses 2 and 3 on a 0, 2, </w:t>
      </w:r>
      <w:r w:rsidR="00743EF5" w:rsidRPr="00E36E42">
        <w:t>6 month</w:t>
      </w:r>
      <w:r w:rsidRPr="00E36E42">
        <w:t xml:space="preserve"> schedule</w:t>
      </w:r>
      <w:r w:rsidR="00743EF5" w:rsidRPr="00E36E42">
        <w:t>.</w:t>
      </w:r>
    </w:p>
    <w:p w:rsidR="00743EF5" w:rsidRPr="00E36E42" w:rsidRDefault="009E75AA" w:rsidP="004D513F">
      <w:r w:rsidRPr="00E36E42">
        <w:t xml:space="preserve">The primary objective was to demonstrate that the immune response induced by Repevax given with bivalent rLP2086 was </w:t>
      </w:r>
      <w:r w:rsidR="00012937" w:rsidRPr="00E36E42">
        <w:t xml:space="preserve">non </w:t>
      </w:r>
      <w:r w:rsidRPr="00E36E42">
        <w:t xml:space="preserve">inferior to the immune response induced by Repevax alone when measured 1 month after Dose 1. The immune responses to all components of Repevax were assessed. </w:t>
      </w:r>
      <w:r w:rsidR="00012937" w:rsidRPr="00E36E42">
        <w:t xml:space="preserve">Non </w:t>
      </w:r>
      <w:r w:rsidRPr="00E36E42">
        <w:t xml:space="preserve">inferiority was to be declared if the 2-sided 95% LCI for the difference (bivalent rLP2086 / </w:t>
      </w:r>
      <w:proofErr w:type="spellStart"/>
      <w:r w:rsidRPr="00E36E42">
        <w:t>dTaP</w:t>
      </w:r>
      <w:proofErr w:type="spellEnd"/>
      <w:r w:rsidRPr="00E36E42">
        <w:t xml:space="preserve">-IPV </w:t>
      </w:r>
      <w:r w:rsidR="00DD25D7" w:rsidRPr="00E36E42">
        <w:t>(</w:t>
      </w:r>
      <w:r w:rsidRPr="00E36E42">
        <w:t>Group 1</w:t>
      </w:r>
      <w:r w:rsidR="00DD25D7" w:rsidRPr="00E36E42">
        <w:t>)</w:t>
      </w:r>
      <w:r w:rsidRPr="00E36E42">
        <w:t xml:space="preserve"> – </w:t>
      </w:r>
      <w:proofErr w:type="spellStart"/>
      <w:r w:rsidRPr="00E36E42">
        <w:t>dTaP</w:t>
      </w:r>
      <w:proofErr w:type="spellEnd"/>
      <w:r w:rsidRPr="00E36E42">
        <w:t>-IPV Group 2</w:t>
      </w:r>
      <w:r w:rsidR="00DD25D7" w:rsidRPr="00E36E42">
        <w:t>)</w:t>
      </w:r>
      <w:r w:rsidRPr="00E36E42">
        <w:t xml:space="preserve">) was greater than </w:t>
      </w:r>
      <w:r w:rsidR="00012937" w:rsidRPr="00E36E42">
        <w:noBreakHyphen/>
      </w:r>
      <w:r w:rsidRPr="00E36E42">
        <w:t>0.10 (</w:t>
      </w:r>
      <w:r w:rsidR="00012937" w:rsidRPr="00E36E42">
        <w:noBreakHyphen/>
      </w:r>
      <w:r w:rsidRPr="00E36E42">
        <w:t xml:space="preserve">10%) for all of the 9 antigens in the </w:t>
      </w:r>
      <w:proofErr w:type="spellStart"/>
      <w:r w:rsidRPr="00E36E42">
        <w:t>dTaP</w:t>
      </w:r>
      <w:proofErr w:type="spellEnd"/>
      <w:r w:rsidRPr="00E36E42">
        <w:t xml:space="preserve">-IPV vaccine. The primary endpoint was the proportion of subjects achieving the </w:t>
      </w:r>
      <w:r w:rsidR="00012937" w:rsidRPr="00E36E42">
        <w:t>pre</w:t>
      </w:r>
      <w:r w:rsidRPr="00E36E42">
        <w:t xml:space="preserve">specified level of antibodies to each concomitant vaccine antigen, and the difference (Group 1 </w:t>
      </w:r>
      <w:r w:rsidRPr="00DD25D7">
        <w:t>-</w:t>
      </w:r>
      <w:r w:rsidRPr="00E36E42">
        <w:t xml:space="preserve"> Group 2) in proportions, with corresponding 95% exact CIs for the concomitant vaccine evaluable immunogenicity population (per-protocol)</w:t>
      </w:r>
      <w:r w:rsidR="00743EF5" w:rsidRPr="00E36E42">
        <w:t>.</w:t>
      </w:r>
    </w:p>
    <w:p w:rsidR="00743EF5" w:rsidRPr="00E36E42" w:rsidRDefault="009E75AA" w:rsidP="004D513F">
      <w:r w:rsidRPr="00E36E42">
        <w:t xml:space="preserve">For assessment of the Repevax antigens, the concomitant vaccine evaluable immunogenicity population (per-protocol) included 337 subjects in Group 1 (bivalent rLP2086 </w:t>
      </w:r>
      <w:r w:rsidR="00032B77" w:rsidRPr="00E36E42">
        <w:rPr>
          <w:lang w:eastAsia="ja-JP"/>
        </w:rPr>
        <w:t xml:space="preserve">+ </w:t>
      </w:r>
      <w:r w:rsidRPr="00E36E42">
        <w:t xml:space="preserve">Repevax) and 348 subjects in Group 2 (saline </w:t>
      </w:r>
      <w:r w:rsidR="00032B77" w:rsidRPr="00E36E42">
        <w:rPr>
          <w:lang w:eastAsia="ja-JP"/>
        </w:rPr>
        <w:t xml:space="preserve">+ </w:t>
      </w:r>
      <w:r w:rsidRPr="00E36E42">
        <w:t xml:space="preserve">Repevax). For </w:t>
      </w:r>
      <w:proofErr w:type="spellStart"/>
      <w:r w:rsidRPr="00E36E42">
        <w:t>hSBA</w:t>
      </w:r>
      <w:proofErr w:type="spellEnd"/>
      <w:r w:rsidRPr="00E36E42">
        <w:t xml:space="preserve"> assessment, 307 subjects in Group 1 and 330 subjects in Group 2 were included in the post-</w:t>
      </w:r>
      <w:r w:rsidR="008B4D82" w:rsidRPr="00E36E42">
        <w:t>Vaccination</w:t>
      </w:r>
      <w:r w:rsidRPr="00E36E42">
        <w:t xml:space="preserve"> 3 evaluable immunogenicity population</w:t>
      </w:r>
      <w:r w:rsidR="00743EF5" w:rsidRPr="00E36E42">
        <w:t>.</w:t>
      </w:r>
    </w:p>
    <w:p w:rsidR="009E75AA" w:rsidRPr="00E36E42" w:rsidRDefault="009E75AA" w:rsidP="00025BCE">
      <w:pPr>
        <w:pStyle w:val="Heading5"/>
      </w:pPr>
      <w:r w:rsidRPr="00E36E42">
        <w:t>Results</w:t>
      </w:r>
    </w:p>
    <w:p w:rsidR="009E75AA" w:rsidRPr="00E36E42" w:rsidRDefault="009E75AA" w:rsidP="00025BCE">
      <w:pPr>
        <w:pStyle w:val="Heading6"/>
      </w:pPr>
      <w:r w:rsidRPr="00E36E42">
        <w:t xml:space="preserve">Primary </w:t>
      </w:r>
      <w:r w:rsidR="00012937" w:rsidRPr="00E36E42">
        <w:t>o</w:t>
      </w:r>
      <w:r w:rsidRPr="00E36E42">
        <w:t>bjective</w:t>
      </w:r>
    </w:p>
    <w:p w:rsidR="00743EF5" w:rsidRPr="00E36E42" w:rsidRDefault="009E75AA" w:rsidP="00025BCE">
      <w:r w:rsidRPr="00E36E42">
        <w:t xml:space="preserve">The proportion of subjects achieving the pre-specified level of antibodies to concomitant vaccine antigens (threshold for response) 1 month after the Repevax dose was similar in the bivalent rLP2086 </w:t>
      </w:r>
      <w:r w:rsidR="00032B77" w:rsidRPr="00E36E42">
        <w:rPr>
          <w:lang w:eastAsia="ja-JP"/>
        </w:rPr>
        <w:t xml:space="preserve">+ </w:t>
      </w:r>
      <w:r w:rsidRPr="00E36E42">
        <w:t xml:space="preserve">Repevax group and the Repevax alone group for concomitant vaccine antigens: diphtheria toxoid (99.4% in each group), tetanus toxoid (100% in each group), pertussis toxoid (94.7% and 96.0%, respectively), pertussis filamentous hemagglutinin (100% in each group), pertussis </w:t>
      </w:r>
      <w:proofErr w:type="spellStart"/>
      <w:r w:rsidRPr="00E36E42">
        <w:t>pertactin</w:t>
      </w:r>
      <w:proofErr w:type="spellEnd"/>
      <w:r w:rsidRPr="00E36E42">
        <w:t xml:space="preserve"> (100% in each group), pertussis </w:t>
      </w:r>
      <w:proofErr w:type="spellStart"/>
      <w:r w:rsidRPr="00E36E42">
        <w:t>fimbrial</w:t>
      </w:r>
      <w:proofErr w:type="spellEnd"/>
      <w:r w:rsidRPr="00E36E42">
        <w:t xml:space="preserve"> </w:t>
      </w:r>
      <w:proofErr w:type="spellStart"/>
      <w:r w:rsidRPr="00E36E42">
        <w:t>agglutinogens</w:t>
      </w:r>
      <w:proofErr w:type="spellEnd"/>
      <w:r w:rsidRPr="00E36E42">
        <w:t xml:space="preserve"> types 2 </w:t>
      </w:r>
      <w:r w:rsidR="00032B77" w:rsidRPr="00E36E42">
        <w:rPr>
          <w:lang w:eastAsia="ja-JP"/>
        </w:rPr>
        <w:t xml:space="preserve">+ </w:t>
      </w:r>
      <w:r w:rsidRPr="00E36E42">
        <w:t xml:space="preserve">3 (97.6% and 98.9%, respectively), poliovirus type 1 (100% in each group), poliovirus </w:t>
      </w:r>
      <w:r w:rsidR="00012937" w:rsidRPr="00E36E42">
        <w:t>Type </w:t>
      </w:r>
      <w:r w:rsidRPr="00E36E42">
        <w:t xml:space="preserve">2 (100% </w:t>
      </w:r>
      <w:r w:rsidR="00012937" w:rsidRPr="00E36E42">
        <w:t>in each group), and poliovirus T</w:t>
      </w:r>
      <w:r w:rsidRPr="00E36E42">
        <w:t>ype 3</w:t>
      </w:r>
      <w:r w:rsidR="00743EF5" w:rsidRPr="00E36E42">
        <w:t>.</w:t>
      </w:r>
    </w:p>
    <w:p w:rsidR="00743EF5" w:rsidRPr="00E36E42" w:rsidRDefault="00012937" w:rsidP="00025BCE">
      <w:r w:rsidRPr="00E36E42">
        <w:t xml:space="preserve">Non </w:t>
      </w:r>
      <w:r w:rsidR="009E75AA" w:rsidRPr="00E36E42">
        <w:t xml:space="preserve">inferiority was achieved. The lower bound of the 2-sided 95% CI for the difference in proportion of responders between bivalent rLP2086 </w:t>
      </w:r>
      <w:r w:rsidR="00032B77" w:rsidRPr="00E36E42">
        <w:rPr>
          <w:lang w:eastAsia="ja-JP"/>
        </w:rPr>
        <w:t xml:space="preserve">+ </w:t>
      </w:r>
      <w:r w:rsidR="009E75AA" w:rsidRPr="00E36E42">
        <w:t xml:space="preserve">Repevax group (Group 1) and the Repevax alone group (Group 2), 1 month after the Repevax dose was greater than </w:t>
      </w:r>
      <w:r w:rsidRPr="00E36E42">
        <w:noBreakHyphen/>
      </w:r>
      <w:r w:rsidR="009E75AA" w:rsidRPr="00E36E42">
        <w:t>0.10 (</w:t>
      </w:r>
      <w:r w:rsidRPr="00E36E42">
        <w:noBreakHyphen/>
      </w:r>
      <w:r w:rsidR="009E75AA" w:rsidRPr="00E36E42">
        <w:t xml:space="preserve">10%) </w:t>
      </w:r>
      <w:r w:rsidR="009E75AA" w:rsidRPr="00E36E42">
        <w:lastRenderedPageBreak/>
        <w:t>for the 9 antigens in Repevax (</w:t>
      </w:r>
      <w:r w:rsidRPr="00E36E42">
        <w:t>that is,</w:t>
      </w:r>
      <w:r w:rsidR="009E75AA" w:rsidRPr="00E36E42">
        <w:t xml:space="preserve"> the lowest lower bound of the 95% CI on the proportion difference was </w:t>
      </w:r>
      <w:r w:rsidRPr="00E36E42">
        <w:noBreakHyphen/>
      </w:r>
      <w:r w:rsidR="009E75AA" w:rsidRPr="00E36E42">
        <w:t xml:space="preserve">4.7% </w:t>
      </w:r>
      <w:r w:rsidR="00DD25D7" w:rsidRPr="00E36E42">
        <w:t>(</w:t>
      </w:r>
      <w:r w:rsidR="009E75AA" w:rsidRPr="00E36E42">
        <w:t>pertussis toxoid</w:t>
      </w:r>
      <w:r w:rsidR="00DD25D7" w:rsidRPr="00E36E42">
        <w:t>)</w:t>
      </w:r>
      <w:r w:rsidR="00743EF5" w:rsidRPr="00E36E42">
        <w:t>.</w:t>
      </w:r>
    </w:p>
    <w:p w:rsidR="009E75AA" w:rsidRPr="00E36E42" w:rsidRDefault="00012937" w:rsidP="00025BCE">
      <w:pPr>
        <w:pStyle w:val="Heading6"/>
      </w:pPr>
      <w:r w:rsidRPr="00E36E42">
        <w:t>Secondary objectives</w:t>
      </w:r>
    </w:p>
    <w:p w:rsidR="009E75AA" w:rsidRPr="00E36E42" w:rsidRDefault="009E75AA" w:rsidP="00025BCE">
      <w:pPr>
        <w:pStyle w:val="Heading7"/>
      </w:pPr>
      <w:r w:rsidRPr="00E36E42">
        <w:t xml:space="preserve">Proportion of </w:t>
      </w:r>
      <w:r w:rsidR="00012937" w:rsidRPr="00E36E42">
        <w:t xml:space="preserve">subjects achieving </w:t>
      </w:r>
      <w:proofErr w:type="spellStart"/>
      <w:r w:rsidRPr="00E36E42">
        <w:t>hSBA</w:t>
      </w:r>
      <w:proofErr w:type="spellEnd"/>
      <w:r w:rsidRPr="00E36E42">
        <w:t xml:space="preserve"> </w:t>
      </w:r>
      <w:r w:rsidR="00EA5CCB" w:rsidRPr="00E36E42">
        <w:t>titre</w:t>
      </w:r>
      <w:r w:rsidRPr="00E36E42">
        <w:t xml:space="preserve"> </w:t>
      </w:r>
      <w:r w:rsidR="00743EF5" w:rsidRPr="00DD25D7">
        <w:t xml:space="preserve">≥ </w:t>
      </w:r>
      <w:r w:rsidR="00012937" w:rsidRPr="00E36E42">
        <w:t>LLOQ</w:t>
      </w:r>
    </w:p>
    <w:p w:rsidR="00743EF5" w:rsidRPr="00E36E42" w:rsidRDefault="009E75AA" w:rsidP="00F7445B">
      <w:r w:rsidRPr="00E36E42">
        <w:t xml:space="preserve">The proportions of subjects in the bivalent rLP2086 </w:t>
      </w:r>
      <w:r w:rsidR="00032B77" w:rsidRPr="00E36E42">
        <w:rPr>
          <w:lang w:eastAsia="ja-JP"/>
        </w:rPr>
        <w:t xml:space="preserve">+ </w:t>
      </w:r>
      <w:r w:rsidRPr="00E36E42">
        <w:t xml:space="preserve">Repevax group achieving an </w:t>
      </w:r>
      <w:proofErr w:type="spellStart"/>
      <w:r w:rsidRPr="00E36E42">
        <w:t>hSBA</w:t>
      </w:r>
      <w:proofErr w:type="spellEnd"/>
      <w:r w:rsidRPr="00E36E42">
        <w:t xml:space="preserve"> </w:t>
      </w:r>
      <w:r w:rsidR="00EA5CCB" w:rsidRPr="00E36E42">
        <w:t>titre</w:t>
      </w:r>
      <w:r w:rsidRPr="00E36E42">
        <w:t xml:space="preserve"> </w:t>
      </w:r>
      <w:r w:rsidR="00012937" w:rsidRPr="00DD25D7">
        <w:t>≥ </w:t>
      </w:r>
      <w:r w:rsidRPr="00E36E42">
        <w:t>LLOQ at 1 month after Dose 3 were 95.6% for PMB80 (A22), 100% for PMB2001 (A56), 96.8% for PMB2948 (B24), and 81.5% for PMB2707 (B44). At 1 month after Dose 2, the corresponding proportions of subjects were 81.8%, 97.3%, 81.0%, and 55.5%</w:t>
      </w:r>
      <w:r w:rsidR="00743EF5" w:rsidRPr="00E36E42">
        <w:t>.</w:t>
      </w:r>
    </w:p>
    <w:p w:rsidR="009E75AA" w:rsidRPr="00DD25D7" w:rsidRDefault="009E75AA" w:rsidP="00F7445B">
      <w:pPr>
        <w:pStyle w:val="Heading4"/>
      </w:pPr>
      <w:r w:rsidRPr="00DD25D7">
        <w:t xml:space="preserve">Study </w:t>
      </w:r>
      <w:bookmarkEnd w:id="81"/>
      <w:bookmarkEnd w:id="82"/>
      <w:r w:rsidR="00B14C1B" w:rsidRPr="00DD25D7">
        <w:t>B1971011</w:t>
      </w:r>
    </w:p>
    <w:p w:rsidR="00743EF5" w:rsidRPr="00E36E42" w:rsidRDefault="009E75AA" w:rsidP="00F7445B">
      <w:r w:rsidRPr="00E36E42">
        <w:t xml:space="preserve">This was a </w:t>
      </w:r>
      <w:r w:rsidR="00743EF5" w:rsidRPr="00E36E42">
        <w:t>Phase II</w:t>
      </w:r>
      <w:r w:rsidRPr="00E36E42">
        <w:t>, random</w:t>
      </w:r>
      <w:r w:rsidR="00292798" w:rsidRPr="00E36E42">
        <w:t>ise</w:t>
      </w:r>
      <w:r w:rsidRPr="00E36E42">
        <w:t xml:space="preserve">d, </w:t>
      </w:r>
      <w:r w:rsidR="00743EF5" w:rsidRPr="00E36E42">
        <w:t>active controlled</w:t>
      </w:r>
      <w:r w:rsidRPr="00E36E42">
        <w:t xml:space="preserve">, </w:t>
      </w:r>
      <w:r w:rsidR="00032B77" w:rsidRPr="00E36E42">
        <w:t>observer blinded</w:t>
      </w:r>
      <w:r w:rsidRPr="00E36E42">
        <w:t xml:space="preserve">, </w:t>
      </w:r>
      <w:proofErr w:type="spellStart"/>
      <w:r w:rsidRPr="00E36E42">
        <w:t>multicenter</w:t>
      </w:r>
      <w:proofErr w:type="spellEnd"/>
      <w:r w:rsidRPr="00E36E42">
        <w:t xml:space="preserve"> study in which 2</w:t>
      </w:r>
      <w:r w:rsidR="00B14C1B" w:rsidRPr="00E36E42">
        <w:t>,</w:t>
      </w:r>
      <w:r w:rsidRPr="00E36E42">
        <w:t xml:space="preserve">499 US subjects, 11 to </w:t>
      </w:r>
      <w:r w:rsidR="00032B77" w:rsidRPr="00DD25D7">
        <w:t xml:space="preserve">&lt; </w:t>
      </w:r>
      <w:r w:rsidRPr="00E36E42">
        <w:t xml:space="preserve">18 years old, were randomly assigned (in a 2:2:1 ratio) to 1 of 3 groups: Group 1 received bivalent rLP2086 </w:t>
      </w:r>
      <w:r w:rsidR="00032B77" w:rsidRPr="00E36E42">
        <w:rPr>
          <w:lang w:eastAsia="ja-JP"/>
        </w:rPr>
        <w:t xml:space="preserve">+ </w:t>
      </w:r>
      <w:r w:rsidRPr="00E36E42">
        <w:t xml:space="preserve">Gardasil (HPV vaccine), Group 2 received bivalent rLP2086 </w:t>
      </w:r>
      <w:r w:rsidR="00032B77" w:rsidRPr="00E36E42">
        <w:rPr>
          <w:lang w:eastAsia="ja-JP"/>
        </w:rPr>
        <w:t xml:space="preserve">+ </w:t>
      </w:r>
      <w:r w:rsidRPr="00E36E42">
        <w:t xml:space="preserve">saline, and Group 3 received saline </w:t>
      </w:r>
      <w:r w:rsidR="00032B77" w:rsidRPr="00E36E42">
        <w:rPr>
          <w:lang w:eastAsia="ja-JP"/>
        </w:rPr>
        <w:t xml:space="preserve">+ </w:t>
      </w:r>
      <w:r w:rsidRPr="00E36E42">
        <w:t xml:space="preserve">Gardasil. All vaccinations were administered using a 0, 2, </w:t>
      </w:r>
      <w:r w:rsidR="00743EF5" w:rsidRPr="00E36E42">
        <w:t>6 month</w:t>
      </w:r>
      <w:r w:rsidRPr="00E36E42">
        <w:t xml:space="preserve"> schedule</w:t>
      </w:r>
      <w:r w:rsidR="00743EF5" w:rsidRPr="00E36E42">
        <w:t>.</w:t>
      </w:r>
    </w:p>
    <w:p w:rsidR="00743EF5" w:rsidRPr="00E36E42" w:rsidRDefault="009E75AA" w:rsidP="00F7445B">
      <w:r w:rsidRPr="00E36E42">
        <w:t>This study had 2 co-primary objectives. The first co-primary objective was to demonstrate that the immune response (based on GMT) induced by Gardasil giv</w:t>
      </w:r>
      <w:r w:rsidR="00B14C1B" w:rsidRPr="00E36E42">
        <w:t>en with bivalent rLP2086 (Group </w:t>
      </w:r>
      <w:r w:rsidRPr="00E36E42">
        <w:t>1) was non-inferior to the immune response induced by Gardasil alone (Group 3), as measured 1 month after the third vaccination with Gardasil in both groups. The immune response to each of the 4 antigens in Gardasil was assessed</w:t>
      </w:r>
      <w:r w:rsidR="00743EF5" w:rsidRPr="00E36E42">
        <w:t>.</w:t>
      </w:r>
    </w:p>
    <w:p w:rsidR="00743EF5" w:rsidRPr="00E36E42" w:rsidRDefault="009E75AA" w:rsidP="00F7445B">
      <w:r w:rsidRPr="00E36E42">
        <w:t xml:space="preserve">The second co-primary objective was to demonstrate that the immune response (based on GMT) induced by bivalent rLP2086 given with Gardasil (Group 1) was non-inferior to the immune response induced by bivalent rLP2086 alone (Group 2) as measured by </w:t>
      </w:r>
      <w:proofErr w:type="spellStart"/>
      <w:r w:rsidRPr="00E36E42">
        <w:t>hSBA</w:t>
      </w:r>
      <w:proofErr w:type="spellEnd"/>
      <w:r w:rsidRPr="00E36E42">
        <w:t xml:space="preserve"> performed with 2 primary </w:t>
      </w:r>
      <w:proofErr w:type="spellStart"/>
      <w:r w:rsidRPr="00E36E42">
        <w:t>MnB</w:t>
      </w:r>
      <w:proofErr w:type="spellEnd"/>
      <w:r w:rsidRPr="00E36E42">
        <w:t xml:space="preserve"> test strains, when measured 1 month after the third vaccination with bivalent rLP2086 in both groups. The 2 primary </w:t>
      </w:r>
      <w:proofErr w:type="spellStart"/>
      <w:r w:rsidRPr="00E36E42">
        <w:t>MnB</w:t>
      </w:r>
      <w:proofErr w:type="spellEnd"/>
      <w:r w:rsidRPr="00E36E42">
        <w:t xml:space="preserve"> test strains used for this second co-primary objective were PMB80 (A22) and PMB2948 (B24)</w:t>
      </w:r>
      <w:r w:rsidR="00743EF5" w:rsidRPr="00E36E42">
        <w:t>.</w:t>
      </w:r>
    </w:p>
    <w:p w:rsidR="00743EF5" w:rsidRPr="00E36E42" w:rsidRDefault="009E75AA" w:rsidP="00F7445B">
      <w:r w:rsidRPr="00E36E42">
        <w:t xml:space="preserve">Non-inferiority of both Gardasil and bivalent rLP2086 were to be achieved when the 2-sided 95% LCI for the geometric mean ratios (GMRs) were greater than 0.67 for each of the 4 HPV antigens (Group 1/Group 3) and each of the 2 primary </w:t>
      </w:r>
      <w:proofErr w:type="spellStart"/>
      <w:r w:rsidRPr="00E36E42">
        <w:t>MnB</w:t>
      </w:r>
      <w:proofErr w:type="spellEnd"/>
      <w:r w:rsidRPr="00E36E42">
        <w:t xml:space="preserve"> test strains (Group 1/Group 2) among the evaluable immunogenicity population</w:t>
      </w:r>
      <w:r w:rsidR="00743EF5" w:rsidRPr="00E36E42">
        <w:t>.</w:t>
      </w:r>
    </w:p>
    <w:p w:rsidR="00743EF5" w:rsidRPr="00E36E42" w:rsidRDefault="009E75AA" w:rsidP="00F7445B">
      <w:r w:rsidRPr="00E36E42">
        <w:t xml:space="preserve">For the evaluable population, immunogenicity/efficacy data were available from 812 subjects in the rLP2086 group (Group 2) and another 814 in the rLP2086 </w:t>
      </w:r>
      <w:r w:rsidR="00032B77" w:rsidRPr="00E36E42">
        <w:rPr>
          <w:lang w:eastAsia="ja-JP"/>
        </w:rPr>
        <w:t xml:space="preserve">+ </w:t>
      </w:r>
      <w:r w:rsidRPr="00E36E42">
        <w:t>Gardasil group (Group 1)</w:t>
      </w:r>
      <w:r w:rsidR="00743EF5" w:rsidRPr="00E36E42">
        <w:t>.</w:t>
      </w:r>
    </w:p>
    <w:p w:rsidR="009E75AA" w:rsidRPr="00E36E42" w:rsidRDefault="009E75AA" w:rsidP="00F7445B">
      <w:pPr>
        <w:pStyle w:val="Heading5"/>
      </w:pPr>
      <w:r w:rsidRPr="00E36E42">
        <w:t>Results</w:t>
      </w:r>
    </w:p>
    <w:p w:rsidR="009E75AA" w:rsidRPr="00E36E42" w:rsidRDefault="009E75AA" w:rsidP="00F7445B">
      <w:pPr>
        <w:pStyle w:val="Heading6"/>
      </w:pPr>
      <w:r w:rsidRPr="00E36E42">
        <w:t>Primary objective</w:t>
      </w:r>
    </w:p>
    <w:p w:rsidR="009E75AA" w:rsidRPr="00E36E42" w:rsidRDefault="009E75AA" w:rsidP="00F7445B">
      <w:r w:rsidRPr="00E36E42">
        <w:t>The GMTs elicited by the 4 HPV antigens at 1 month after Dose 3 with Gardasil for Group 1 and Group 3 were: HPV-6 (451.8 and 550.3, respectively), HPV-11 (892.9 and 1084.3, respectively), HPV-16 (3695.4 and 4763.4, respectively), and HPV-18 (744.0 and 1047.4, respectively). The GMRs between Group 1 and Group 3, 1 month after Dose 3 with Gardasil were 0.82 for HPV-6 (95% CI: 0.72, 0.94), 0.82 for HPV-11 (95% CI: 0.74, 0.91), 0.78 for HPV-16 (95% CI: 0.68, 0.88), and 0.71 for HPV-18 (95% CI: 0.62, 0.81). The 2-sided 95% LC</w:t>
      </w:r>
      <w:r w:rsidR="00B14C1B" w:rsidRPr="00E36E42">
        <w:t>Is for the anti-HPV GMRs (Group </w:t>
      </w:r>
      <w:r w:rsidRPr="00E36E42">
        <w:t>1 compared with Group 3) were 0.72 for HPV-6, 0.74 for HPV-11, 0.68 for HPV-1</w:t>
      </w:r>
      <w:r w:rsidR="00B14C1B" w:rsidRPr="00E36E42">
        <w:t xml:space="preserve">6, and 0.62 for HPV-18. The 1.5 </w:t>
      </w:r>
      <w:r w:rsidRPr="00E36E42">
        <w:t>fold non-inferiority criterion of 0.67 (the 2-sided 95% LCI of the GMR) was met for all HPV antigens except for HPV-18, which was marginally missed with a 95% LCI of 0.62.</w:t>
      </w:r>
    </w:p>
    <w:p w:rsidR="00743EF5" w:rsidRPr="00E36E42" w:rsidRDefault="009E75AA" w:rsidP="00F7445B">
      <w:r w:rsidRPr="00E36E42">
        <w:t xml:space="preserve">The </w:t>
      </w:r>
      <w:proofErr w:type="spellStart"/>
      <w:r w:rsidRPr="00E36E42">
        <w:t>hSBA</w:t>
      </w:r>
      <w:proofErr w:type="spellEnd"/>
      <w:r w:rsidRPr="00E36E42">
        <w:t xml:space="preserve"> GMTs to the 2 primary </w:t>
      </w:r>
      <w:proofErr w:type="spellStart"/>
      <w:r w:rsidRPr="00E36E42">
        <w:t>MnB</w:t>
      </w:r>
      <w:proofErr w:type="spellEnd"/>
      <w:r w:rsidRPr="00E36E42">
        <w:t xml:space="preserve"> test strains at 1 month after Dose 3 with bivalent rLP2086 for Group 1 and Group 2 were: PMB80 (A22) (53.3 and 57.8, respectively) and PMB2948 (B24) (25.8 and 28.0, respectively). The GMRs between bivalent rLP2086 </w:t>
      </w:r>
      <w:r w:rsidR="00032B77" w:rsidRPr="00E36E42">
        <w:rPr>
          <w:lang w:eastAsia="ja-JP"/>
        </w:rPr>
        <w:t xml:space="preserve">+ </w:t>
      </w:r>
      <w:r w:rsidRPr="00E36E42">
        <w:t xml:space="preserve">Gardasil group and bivalent rLP2086 </w:t>
      </w:r>
      <w:r w:rsidR="00032B77" w:rsidRPr="00E36E42">
        <w:rPr>
          <w:lang w:eastAsia="ja-JP"/>
        </w:rPr>
        <w:t xml:space="preserve">+ </w:t>
      </w:r>
      <w:r w:rsidRPr="00E36E42">
        <w:t xml:space="preserve">saline group, 1 month after Dose 3 with bivalent rLP2086 were </w:t>
      </w:r>
      <w:r w:rsidRPr="00E36E42">
        <w:lastRenderedPageBreak/>
        <w:t xml:space="preserve">0.92 for PMB80 (A22) (95% CI: 0.85, 1.00) and 0.92 for PMB2948 (B24) (95% CI: 0.84, 1.01). The 2-sided 95% LCIs for the </w:t>
      </w:r>
      <w:proofErr w:type="spellStart"/>
      <w:r w:rsidRPr="00E36E42">
        <w:t>hSBA</w:t>
      </w:r>
      <w:proofErr w:type="spellEnd"/>
      <w:r w:rsidRPr="00E36E42">
        <w:t xml:space="preserve"> GMRs (Group 1 compared with Group 2) were 0.85 for PMB80 (A22) and 0.84 for PMB2948 (B24), which are both greater than the non-inferiority criterion of 0.67, and therefore met the non-inferior</w:t>
      </w:r>
      <w:r w:rsidR="00B14C1B" w:rsidRPr="00E36E42">
        <w:t xml:space="preserve">ity margin of 1.5 </w:t>
      </w:r>
      <w:r w:rsidRPr="00E36E42">
        <w:t>fold (</w:t>
      </w:r>
      <w:r w:rsidR="002310F7" w:rsidRPr="00E36E42">
        <w:t>Table 8</w:t>
      </w:r>
      <w:r w:rsidRPr="00E36E42">
        <w:t>)</w:t>
      </w:r>
      <w:r w:rsidR="00743EF5" w:rsidRPr="00E36E42">
        <w:t>.</w:t>
      </w:r>
    </w:p>
    <w:p w:rsidR="00140840" w:rsidRPr="00DD25D7" w:rsidRDefault="00140840" w:rsidP="00140840">
      <w:pPr>
        <w:pStyle w:val="Tabletitle"/>
      </w:pPr>
      <w:r w:rsidRPr="00DD25D7">
        <w:t xml:space="preserve">Table </w:t>
      </w:r>
      <w:r w:rsidR="002310F7" w:rsidRPr="00DD25D7">
        <w:t>8:</w:t>
      </w:r>
      <w:r w:rsidRPr="00DD25D7">
        <w:t xml:space="preserve"> Comparison </w:t>
      </w:r>
      <w:r w:rsidR="002310F7" w:rsidRPr="00DD25D7">
        <w:t xml:space="preserve">of geometric mean </w:t>
      </w:r>
      <w:r w:rsidR="00EA5CCB" w:rsidRPr="00DD25D7">
        <w:t>titre</w:t>
      </w:r>
      <w:r w:rsidR="002310F7" w:rsidRPr="00DD25D7">
        <w:t>s at 1 month after Vaccination 3; evaluable immunogenicity popula</w:t>
      </w:r>
      <w:r w:rsidRPr="00DD25D7">
        <w:t>tion</w:t>
      </w:r>
      <w:r w:rsidR="002310F7" w:rsidRPr="00DD25D7">
        <w:t>; Study B1971011</w:t>
      </w:r>
    </w:p>
    <w:p w:rsidR="00140840" w:rsidRPr="00DD25D7" w:rsidRDefault="00140840" w:rsidP="00140840">
      <w:r w:rsidRPr="00DD25D7">
        <w:rPr>
          <w:noProof/>
          <w:lang w:eastAsia="en-AU"/>
        </w:rPr>
        <w:drawing>
          <wp:inline distT="0" distB="0" distL="0" distR="0" wp14:anchorId="469E5CFC" wp14:editId="44621D18">
            <wp:extent cx="5731510" cy="2671643"/>
            <wp:effectExtent l="0" t="0" r="2540" b="0"/>
            <wp:docPr id="11" name="Picture 11" descr="Table 8: Comparison of geometric mean titers at 1 month after Vaccination 3; evaluable immunogenicity population; Study B197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671643"/>
                    </a:xfrm>
                    <a:prstGeom prst="rect">
                      <a:avLst/>
                    </a:prstGeom>
                  </pic:spPr>
                </pic:pic>
              </a:graphicData>
            </a:graphic>
          </wp:inline>
        </w:drawing>
      </w:r>
    </w:p>
    <w:p w:rsidR="009E75AA" w:rsidRPr="00E36E42" w:rsidRDefault="00EA5CCB" w:rsidP="00F7445B">
      <w:pPr>
        <w:pStyle w:val="Heading6"/>
      </w:pPr>
      <w:r w:rsidRPr="00E36E42">
        <w:t>Secondary o</w:t>
      </w:r>
      <w:r w:rsidR="009E75AA" w:rsidRPr="00E36E42">
        <w:t>bjectives</w:t>
      </w:r>
    </w:p>
    <w:p w:rsidR="009E75AA" w:rsidRPr="00E36E42" w:rsidRDefault="00EA5CCB" w:rsidP="00F7445B">
      <w:pPr>
        <w:pStyle w:val="Heading7"/>
        <w:rPr>
          <w:sz w:val="20"/>
        </w:rPr>
      </w:pPr>
      <w:r w:rsidRPr="00E36E42">
        <w:rPr>
          <w:sz w:val="20"/>
        </w:rPr>
        <w:t>HPV Seroconversion r</w:t>
      </w:r>
      <w:r w:rsidR="00B14C1B" w:rsidRPr="00E36E42">
        <w:rPr>
          <w:sz w:val="20"/>
        </w:rPr>
        <w:t>ates</w:t>
      </w:r>
    </w:p>
    <w:p w:rsidR="009E75AA" w:rsidRPr="00E36E42" w:rsidRDefault="00292798" w:rsidP="00F7445B">
      <w:r w:rsidRPr="00E36E42">
        <w:t>One</w:t>
      </w:r>
      <w:r w:rsidR="009E75AA" w:rsidRPr="00E36E42">
        <w:t xml:space="preserve"> mon</w:t>
      </w:r>
      <w:r w:rsidR="000869B9" w:rsidRPr="00E36E42">
        <w:t xml:space="preserve">th after Dose 3 with Gardasil, </w:t>
      </w:r>
      <w:r w:rsidR="009E75AA" w:rsidRPr="00E36E42">
        <w:t xml:space="preserve">99% of subjects seroconverted to all 4 HPV </w:t>
      </w:r>
      <w:r w:rsidR="009E75AA" w:rsidRPr="00DD25D7">
        <w:t xml:space="preserve">antigens </w:t>
      </w:r>
      <w:proofErr w:type="gramStart"/>
      <w:r w:rsidR="009E75AA" w:rsidRPr="00DD25D7">
        <w:t>in both</w:t>
      </w:r>
      <w:r w:rsidRPr="00DD25D7">
        <w:t>,</w:t>
      </w:r>
      <w:proofErr w:type="gramEnd"/>
      <w:r w:rsidR="009E75AA" w:rsidRPr="00DD25D7">
        <w:t xml:space="preserve"> the saline </w:t>
      </w:r>
      <w:r w:rsidR="00032B77" w:rsidRPr="00E36E42">
        <w:rPr>
          <w:lang w:eastAsia="ja-JP"/>
        </w:rPr>
        <w:t xml:space="preserve">+ </w:t>
      </w:r>
      <w:r w:rsidR="009E75AA" w:rsidRPr="00E36E42">
        <w:t xml:space="preserve">Gardasil and the rLP2086 </w:t>
      </w:r>
      <w:r w:rsidR="00032B77" w:rsidRPr="00E36E42">
        <w:rPr>
          <w:lang w:eastAsia="ja-JP"/>
        </w:rPr>
        <w:t xml:space="preserve">+ </w:t>
      </w:r>
      <w:r w:rsidR="000869B9" w:rsidRPr="00E36E42">
        <w:t>Gardasil groups</w:t>
      </w:r>
    </w:p>
    <w:p w:rsidR="009E75AA" w:rsidRPr="00E36E42" w:rsidRDefault="009E75AA" w:rsidP="000869B9">
      <w:pPr>
        <w:pStyle w:val="Heading7"/>
        <w:rPr>
          <w:rFonts w:eastAsia="Cambria"/>
          <w:bCs w:val="0"/>
          <w:sz w:val="22"/>
          <w:szCs w:val="22"/>
        </w:rPr>
      </w:pPr>
      <w:r w:rsidRPr="00E36E42">
        <w:rPr>
          <w:sz w:val="20"/>
        </w:rPr>
        <w:t xml:space="preserve">Proportion of </w:t>
      </w:r>
      <w:r w:rsidR="003D5E26" w:rsidRPr="00E36E42">
        <w:rPr>
          <w:sz w:val="20"/>
        </w:rPr>
        <w:t xml:space="preserve">subjects achieving </w:t>
      </w:r>
      <w:proofErr w:type="spellStart"/>
      <w:r w:rsidRPr="00E36E42">
        <w:rPr>
          <w:sz w:val="20"/>
        </w:rPr>
        <w:t>hSBA</w:t>
      </w:r>
      <w:proofErr w:type="spellEnd"/>
      <w:r w:rsidRPr="00E36E42">
        <w:rPr>
          <w:sz w:val="20"/>
        </w:rPr>
        <w:t xml:space="preserve"> </w:t>
      </w:r>
      <w:r w:rsidR="003D5E26" w:rsidRPr="00E36E42">
        <w:rPr>
          <w:sz w:val="20"/>
        </w:rPr>
        <w:t xml:space="preserve">titre </w:t>
      </w:r>
      <w:r w:rsidR="00743EF5" w:rsidRPr="00DD25D7">
        <w:rPr>
          <w:sz w:val="20"/>
        </w:rPr>
        <w:t xml:space="preserve">≥ </w:t>
      </w:r>
      <w:r w:rsidRPr="00E36E42">
        <w:rPr>
          <w:sz w:val="20"/>
        </w:rPr>
        <w:t>LLOQ</w:t>
      </w:r>
    </w:p>
    <w:p w:rsidR="009E75AA" w:rsidRPr="00E36E42" w:rsidRDefault="009E75AA" w:rsidP="00F7445B">
      <w:r w:rsidRPr="00E36E42">
        <w:t xml:space="preserve">The proportions of subjects in Group 1 (rLP2086 </w:t>
      </w:r>
      <w:r w:rsidR="00032B77" w:rsidRPr="00E36E42">
        <w:rPr>
          <w:lang w:eastAsia="ja-JP"/>
        </w:rPr>
        <w:t xml:space="preserve">+ </w:t>
      </w:r>
      <w:r w:rsidRPr="00E36E42">
        <w:t xml:space="preserve">Gardasil) achieving an </w:t>
      </w:r>
      <w:proofErr w:type="spellStart"/>
      <w:r w:rsidRPr="00E36E42">
        <w:t>hSBA</w:t>
      </w:r>
      <w:proofErr w:type="spellEnd"/>
      <w:r w:rsidRPr="00E36E42">
        <w:t xml:space="preserve"> </w:t>
      </w:r>
      <w:r w:rsidR="00EA5CCB" w:rsidRPr="00DD25D7">
        <w:t>titre</w:t>
      </w:r>
      <w:r w:rsidR="000869B9" w:rsidRPr="00DD25D7">
        <w:t xml:space="preserve"> </w:t>
      </w:r>
      <w:r w:rsidR="00743EF5" w:rsidRPr="00DD25D7">
        <w:t xml:space="preserve">≥ </w:t>
      </w:r>
      <w:r w:rsidRPr="00DD25D7">
        <w:t xml:space="preserve">LLOQ at 1 month after Dose 3 were 94.0% for PMB80 (A22), 98.9% for PMB2001 (A56), 90.5% for PMB2948 (B24), and 82.7% for PMB2707 (B44). The corresponding proportions in Group 2 (rLP2086 </w:t>
      </w:r>
      <w:r w:rsidR="00032B77" w:rsidRPr="00E36E42">
        <w:rPr>
          <w:lang w:eastAsia="ja-JP"/>
        </w:rPr>
        <w:t xml:space="preserve">+ </w:t>
      </w:r>
      <w:r w:rsidRPr="00E36E42">
        <w:t>saline) were 96.3%, 99.4%, 92.6%, and 85.7%. At 1 month after Dose 2, the corresponding proportions of subjects in Group 1 were 83.0%, 97.5%, 70.6%, and 5</w:t>
      </w:r>
      <w:r w:rsidR="000869B9" w:rsidRPr="00E36E42">
        <w:t>4.5%.</w:t>
      </w:r>
    </w:p>
    <w:p w:rsidR="00743EF5" w:rsidRPr="00E36E42" w:rsidRDefault="009E75AA" w:rsidP="00F7445B">
      <w:r w:rsidRPr="00E36E42">
        <w:t xml:space="preserve">The proportion of subjects achieving an </w:t>
      </w:r>
      <w:proofErr w:type="spellStart"/>
      <w:r w:rsidRPr="00E36E42">
        <w:t>hSBA</w:t>
      </w:r>
      <w:proofErr w:type="spellEnd"/>
      <w:r w:rsidRPr="00E36E42">
        <w:t xml:space="preserve"> </w:t>
      </w:r>
      <w:r w:rsidR="00EA5CCB" w:rsidRPr="00E36E42">
        <w:t>titre</w:t>
      </w:r>
      <w:r w:rsidRPr="00E36E42">
        <w:t xml:space="preserve"> of </w:t>
      </w:r>
      <w:r w:rsidR="00743EF5" w:rsidRPr="00DD25D7">
        <w:t xml:space="preserve">≥ </w:t>
      </w:r>
      <w:r w:rsidRPr="00E36E42">
        <w:t xml:space="preserve">1:4 (correlate of protection) and other defined </w:t>
      </w:r>
      <w:r w:rsidR="00EA5CCB" w:rsidRPr="00E36E42">
        <w:t>titre</w:t>
      </w:r>
      <w:r w:rsidRPr="00E36E42">
        <w:t xml:space="preserve">s was consistent with the proportion of responders observed in Groups 1 and 2 of Study B1971012 and in subjects receiving bivalent rLP2086 in </w:t>
      </w:r>
      <w:r w:rsidR="00743EF5" w:rsidRPr="00E36E42">
        <w:t>Phase III</w:t>
      </w:r>
      <w:r w:rsidRPr="00E36E42">
        <w:t xml:space="preserve"> </w:t>
      </w:r>
      <w:r w:rsidR="00032B77" w:rsidRPr="00E36E42">
        <w:t>Stud</w:t>
      </w:r>
      <w:r w:rsidRPr="00E36E42">
        <w:t>ies B1971009 and B1971016</w:t>
      </w:r>
      <w:r w:rsidR="00743EF5" w:rsidRPr="00E36E42">
        <w:t>.</w:t>
      </w:r>
    </w:p>
    <w:p w:rsidR="009E75AA" w:rsidRPr="00E36E42" w:rsidRDefault="009E75AA" w:rsidP="00F7445B">
      <w:pPr>
        <w:pStyle w:val="Heading7"/>
        <w:rPr>
          <w:sz w:val="20"/>
        </w:rPr>
      </w:pPr>
      <w:proofErr w:type="spellStart"/>
      <w:proofErr w:type="gramStart"/>
      <w:r w:rsidRPr="00E36E42">
        <w:rPr>
          <w:sz w:val="20"/>
        </w:rPr>
        <w:t>hSBA</w:t>
      </w:r>
      <w:proofErr w:type="spellEnd"/>
      <w:proofErr w:type="gramEnd"/>
      <w:r w:rsidRPr="00E36E42">
        <w:rPr>
          <w:sz w:val="20"/>
        </w:rPr>
        <w:t xml:space="preserve"> </w:t>
      </w:r>
      <w:r w:rsidR="003D5E26" w:rsidRPr="00E36E42">
        <w:rPr>
          <w:sz w:val="20"/>
        </w:rPr>
        <w:t xml:space="preserve">geometric mean titres </w:t>
      </w:r>
      <w:r w:rsidR="000869B9" w:rsidRPr="00E36E42">
        <w:rPr>
          <w:sz w:val="20"/>
        </w:rPr>
        <w:t>(GMTs)</w:t>
      </w:r>
    </w:p>
    <w:p w:rsidR="00743EF5" w:rsidRPr="00DD25D7" w:rsidRDefault="009E75AA" w:rsidP="000869B9">
      <w:r w:rsidRPr="00DD25D7">
        <w:t xml:space="preserve">The </w:t>
      </w:r>
      <w:proofErr w:type="spellStart"/>
      <w:r w:rsidRPr="00DD25D7">
        <w:t>hSBA</w:t>
      </w:r>
      <w:proofErr w:type="spellEnd"/>
      <w:r w:rsidRPr="00DD25D7">
        <w:t xml:space="preserve"> GMTs for each of the 4 primary </w:t>
      </w:r>
      <w:proofErr w:type="spellStart"/>
      <w:r w:rsidRPr="00DD25D7">
        <w:t>MnB</w:t>
      </w:r>
      <w:proofErr w:type="spellEnd"/>
      <w:r w:rsidRPr="00DD25D7">
        <w:t xml:space="preserve"> test strains and the corresponding CIs for the For Group 1 (bivalent rLP2086 </w:t>
      </w:r>
      <w:r w:rsidR="00032B77" w:rsidRPr="00DD25D7">
        <w:t xml:space="preserve">+ </w:t>
      </w:r>
      <w:r w:rsidRPr="00DD25D7">
        <w:t xml:space="preserve">Gardasil), </w:t>
      </w:r>
      <w:proofErr w:type="spellStart"/>
      <w:r w:rsidRPr="00DD25D7">
        <w:t>hSBA</w:t>
      </w:r>
      <w:proofErr w:type="spellEnd"/>
      <w:r w:rsidRPr="00DD25D7">
        <w:t xml:space="preserve"> GMTs at</w:t>
      </w:r>
      <w:r w:rsidR="000869B9" w:rsidRPr="00DD25D7">
        <w:t xml:space="preserve"> </w:t>
      </w:r>
      <w:r w:rsidRPr="00DD25D7">
        <w:t>1 month after Dose 3 were</w:t>
      </w:r>
      <w:r w:rsidR="000869B9" w:rsidRPr="00DD25D7">
        <w:t>;</w:t>
      </w:r>
      <w:r w:rsidRPr="00DD25D7">
        <w:t xml:space="preserve"> 53.3 for PMB80 (A22), 117.2 for PMB2001 (A56), 25.8 for PMB2948 (B24), and 27.2 for PMB2707 (B44). The corresponding GMTs in Group 2 (rLP2086 </w:t>
      </w:r>
      <w:r w:rsidR="00032B77" w:rsidRPr="00DD25D7">
        <w:t xml:space="preserve">+ </w:t>
      </w:r>
      <w:r w:rsidRPr="00DD25D7">
        <w:t xml:space="preserve">saline) were 57.8, 128.2, 28.0, and 31.9. At 1 month after Dose 2, the corresponding </w:t>
      </w:r>
      <w:proofErr w:type="spellStart"/>
      <w:r w:rsidRPr="00DD25D7">
        <w:t>hSBA</w:t>
      </w:r>
      <w:proofErr w:type="spellEnd"/>
      <w:r w:rsidRPr="00DD25D7">
        <w:t xml:space="preserve"> GMTs in Group 1 were 31.9, 70.6, 15.0, and 11.1, and in Group 2 were 33.7, 76.3, 16.3, and 11.9</w:t>
      </w:r>
      <w:r w:rsidR="00743EF5" w:rsidRPr="00DD25D7">
        <w:t>.</w:t>
      </w:r>
    </w:p>
    <w:p w:rsidR="009E75AA" w:rsidRPr="00DD25D7" w:rsidRDefault="009E75AA" w:rsidP="00F7445B">
      <w:pPr>
        <w:pStyle w:val="Heading4"/>
      </w:pPr>
      <w:r w:rsidRPr="00DD25D7">
        <w:t>Study B1971015</w:t>
      </w:r>
    </w:p>
    <w:p w:rsidR="00743EF5" w:rsidRPr="00E36E42" w:rsidRDefault="009E75AA" w:rsidP="00F7445B">
      <w:r w:rsidRPr="00E36E42">
        <w:t xml:space="preserve">This was a </w:t>
      </w:r>
      <w:r w:rsidR="00743EF5" w:rsidRPr="00E36E42">
        <w:t>Phase II</w:t>
      </w:r>
      <w:r w:rsidRPr="00E36E42">
        <w:t>, random</w:t>
      </w:r>
      <w:r w:rsidR="00292798" w:rsidRPr="00E36E42">
        <w:t>ise</w:t>
      </w:r>
      <w:r w:rsidRPr="00E36E42">
        <w:t xml:space="preserve">d, </w:t>
      </w:r>
      <w:r w:rsidR="00743EF5" w:rsidRPr="00E36E42">
        <w:t>active controlled</w:t>
      </w:r>
      <w:r w:rsidRPr="00E36E42">
        <w:t xml:space="preserve">, </w:t>
      </w:r>
      <w:r w:rsidR="00032B77" w:rsidRPr="00E36E42">
        <w:t>observer blinded</w:t>
      </w:r>
      <w:r w:rsidRPr="00E36E42">
        <w:t xml:space="preserve"> </w:t>
      </w:r>
      <w:proofErr w:type="spellStart"/>
      <w:r w:rsidRPr="00E36E42">
        <w:t>multicenter</w:t>
      </w:r>
      <w:proofErr w:type="spellEnd"/>
      <w:r w:rsidRPr="00E36E42">
        <w:t xml:space="preserve"> study to assess the safety, tolerability, and immunogenicity of MCV4 vaccine (</w:t>
      </w:r>
      <w:proofErr w:type="spellStart"/>
      <w:r w:rsidRPr="00E36E42">
        <w:t>Menactra</w:t>
      </w:r>
      <w:proofErr w:type="spellEnd"/>
      <w:r w:rsidRPr="00E36E42">
        <w:t xml:space="preserve">), </w:t>
      </w:r>
      <w:proofErr w:type="spellStart"/>
      <w:r w:rsidRPr="00E36E42">
        <w:t>Tdap</w:t>
      </w:r>
      <w:proofErr w:type="spellEnd"/>
      <w:r w:rsidRPr="00E36E42">
        <w:t xml:space="preserve"> vaccine (</w:t>
      </w:r>
      <w:proofErr w:type="spellStart"/>
      <w:r w:rsidRPr="00E36E42">
        <w:t>Adacel</w:t>
      </w:r>
      <w:proofErr w:type="spellEnd"/>
      <w:r w:rsidRPr="00E36E42">
        <w:t xml:space="preserve">), and bivalent rLP2086 when administered concomitantly in healthy subjects aged 10 to </w:t>
      </w:r>
      <w:r w:rsidR="00032B77" w:rsidRPr="00DD25D7">
        <w:t xml:space="preserve">&lt; </w:t>
      </w:r>
      <w:r w:rsidRPr="00E36E42">
        <w:t xml:space="preserve">13 </w:t>
      </w:r>
      <w:r w:rsidRPr="00E36E42">
        <w:lastRenderedPageBreak/>
        <w:t>years. A total of 2648 subjects were randomly assigned to 1 of 3 g</w:t>
      </w:r>
      <w:r w:rsidR="000869B9" w:rsidRPr="00E36E42">
        <w:t>roups in a 1:1:1 ratio (Group 1:</w:t>
      </w:r>
      <w:r w:rsidRPr="00E36E42">
        <w:t xml:space="preserve"> bivalent rLP2086 at 0, 2, 6 months, MCV4 </w:t>
      </w:r>
      <w:r w:rsidR="000869B9" w:rsidRPr="00E36E42">
        <w:t xml:space="preserve">and </w:t>
      </w:r>
      <w:proofErr w:type="spellStart"/>
      <w:r w:rsidR="000869B9" w:rsidRPr="00E36E42">
        <w:t>Tdap</w:t>
      </w:r>
      <w:proofErr w:type="spellEnd"/>
      <w:r w:rsidR="000869B9" w:rsidRPr="00E36E42">
        <w:t xml:space="preserve"> at 0 months; Group 2: </w:t>
      </w:r>
      <w:r w:rsidRPr="00E36E42">
        <w:t xml:space="preserve">MCV4 and </w:t>
      </w:r>
      <w:proofErr w:type="spellStart"/>
      <w:r w:rsidRPr="00E36E42">
        <w:t>Tdap</w:t>
      </w:r>
      <w:proofErr w:type="spellEnd"/>
      <w:r w:rsidRPr="00E36E42">
        <w:t xml:space="preserve"> at 0 months, saline </w:t>
      </w:r>
      <w:r w:rsidR="000869B9" w:rsidRPr="00E36E42">
        <w:t>at 0, 2, 6 months; Group 3:</w:t>
      </w:r>
      <w:r w:rsidRPr="00E36E42">
        <w:t xml:space="preserve"> bivalent rLP2086 at a 0, 2, 6 months, MCV4 and </w:t>
      </w:r>
      <w:proofErr w:type="spellStart"/>
      <w:r w:rsidRPr="00E36E42">
        <w:t>Tdap</w:t>
      </w:r>
      <w:proofErr w:type="spellEnd"/>
      <w:r w:rsidRPr="00E36E42">
        <w:t xml:space="preserve"> at 7 month</w:t>
      </w:r>
      <w:r w:rsidR="000869B9" w:rsidRPr="00E36E42">
        <w:t>s</w:t>
      </w:r>
      <w:r w:rsidRPr="00E36E42">
        <w:t>)</w:t>
      </w:r>
      <w:r w:rsidR="00743EF5" w:rsidRPr="00E36E42">
        <w:t>.</w:t>
      </w:r>
    </w:p>
    <w:p w:rsidR="00743EF5" w:rsidRPr="00E36E42" w:rsidRDefault="009E75AA" w:rsidP="00F7445B">
      <w:r w:rsidRPr="00E36E42">
        <w:t xml:space="preserve">The first co-primary objective was to demonstrate that the immune response induced by MCV4 vaccine and </w:t>
      </w:r>
      <w:proofErr w:type="spellStart"/>
      <w:r w:rsidRPr="00E36E42">
        <w:t>Tdap</w:t>
      </w:r>
      <w:proofErr w:type="spellEnd"/>
      <w:r w:rsidRPr="00E36E42">
        <w:t xml:space="preserve"> vaccine given with bivalent rLP2086 (Group 1) was non-inferior to the immune response induced by MCV4 and </w:t>
      </w:r>
      <w:proofErr w:type="spellStart"/>
      <w:r w:rsidRPr="00E36E42">
        <w:t>Tdap</w:t>
      </w:r>
      <w:proofErr w:type="spellEnd"/>
      <w:r w:rsidRPr="00E36E42">
        <w:t xml:space="preserve"> vaccines alone (Group 2) when measured 1 month after the first vaccination in both groups. The immune response to all antigens in MCV4 and </w:t>
      </w:r>
      <w:proofErr w:type="spellStart"/>
      <w:r w:rsidRPr="00E36E42">
        <w:t>Tdap</w:t>
      </w:r>
      <w:proofErr w:type="spellEnd"/>
      <w:r w:rsidRPr="00E36E42">
        <w:t xml:space="preserve"> vaccines were assessed. The endpoints for the first co-primary objective were the GMTs or GMCs to each of the 10 antigenic components in the marketed vaccines at 1 month after the first vaccination, among subjects in Groups 1 and 2</w:t>
      </w:r>
      <w:r w:rsidR="00743EF5" w:rsidRPr="00E36E42">
        <w:t>.</w:t>
      </w:r>
    </w:p>
    <w:p w:rsidR="00743EF5" w:rsidRPr="00E36E42" w:rsidRDefault="009E75AA" w:rsidP="00F7445B">
      <w:r w:rsidRPr="00E36E42">
        <w:t xml:space="preserve">The second co-primary objective was to demonstrate that the immune response induced by bivalent rLP2086, as measured by </w:t>
      </w:r>
      <w:proofErr w:type="spellStart"/>
      <w:r w:rsidRPr="00E36E42">
        <w:t>hSBA</w:t>
      </w:r>
      <w:proofErr w:type="spellEnd"/>
      <w:r w:rsidRPr="00E36E42">
        <w:t xml:space="preserve"> performed with 2 primary </w:t>
      </w:r>
      <w:proofErr w:type="spellStart"/>
      <w:r w:rsidRPr="00E36E42">
        <w:t>MnB</w:t>
      </w:r>
      <w:proofErr w:type="spellEnd"/>
      <w:r w:rsidRPr="00E36E42">
        <w:t xml:space="preserve"> strains (PMB80 </w:t>
      </w:r>
      <w:r w:rsidR="00DD25D7" w:rsidRPr="00E36E42">
        <w:t>(</w:t>
      </w:r>
      <w:r w:rsidRPr="00E36E42">
        <w:t>A22</w:t>
      </w:r>
      <w:r w:rsidR="00DD25D7" w:rsidRPr="00E36E42">
        <w:t>)</w:t>
      </w:r>
      <w:r w:rsidRPr="00E36E42">
        <w:t xml:space="preserve"> and PMB2948 </w:t>
      </w:r>
      <w:r w:rsidR="00DD25D7" w:rsidRPr="00E36E42">
        <w:t>(</w:t>
      </w:r>
      <w:r w:rsidRPr="00E36E42">
        <w:t>B24</w:t>
      </w:r>
      <w:r w:rsidR="00DD25D7" w:rsidRPr="00E36E42">
        <w:t>)</w:t>
      </w:r>
      <w:r w:rsidRPr="00E36E42">
        <w:t xml:space="preserve">) when given with MCV4 and </w:t>
      </w:r>
      <w:proofErr w:type="spellStart"/>
      <w:r w:rsidRPr="00E36E42">
        <w:t>Tdap</w:t>
      </w:r>
      <w:proofErr w:type="spellEnd"/>
      <w:r w:rsidRPr="00E36E42">
        <w:t xml:space="preserve"> vaccines (Group 1), was non-inferior to the immune response induced by bivalent rLP2086 alone (Group 3), at 1 month after the third vaccination. The endpoint for the second co-primary objective was the evaluation of the </w:t>
      </w:r>
      <w:proofErr w:type="spellStart"/>
      <w:r w:rsidRPr="00E36E42">
        <w:t>hSBA</w:t>
      </w:r>
      <w:proofErr w:type="spellEnd"/>
      <w:r w:rsidRPr="00E36E42">
        <w:t xml:space="preserve"> GMT for each of the 2 primary strains (PMB80 </w:t>
      </w:r>
      <w:r w:rsidR="00DD25D7" w:rsidRPr="00E36E42">
        <w:t>(</w:t>
      </w:r>
      <w:r w:rsidRPr="00E36E42">
        <w:t>A22</w:t>
      </w:r>
      <w:r w:rsidR="00DD25D7" w:rsidRPr="00E36E42">
        <w:t>)</w:t>
      </w:r>
      <w:r w:rsidRPr="00E36E42">
        <w:t xml:space="preserve"> and PMB2948 </w:t>
      </w:r>
      <w:r w:rsidR="00DD25D7" w:rsidRPr="00E36E42">
        <w:t>(</w:t>
      </w:r>
      <w:r w:rsidRPr="00E36E42">
        <w:t>B24</w:t>
      </w:r>
      <w:r w:rsidR="00DD25D7" w:rsidRPr="00E36E42">
        <w:t>)</w:t>
      </w:r>
      <w:r w:rsidRPr="00E36E42">
        <w:t>) measured 1 month after the third dose of bivalent rLP2086, in Group 1 (MCV4</w:t>
      </w:r>
      <w:r w:rsidR="00032B77" w:rsidRPr="00E36E42">
        <w:rPr>
          <w:lang w:eastAsia="ja-JP"/>
        </w:rPr>
        <w:t xml:space="preserve">+ </w:t>
      </w:r>
      <w:proofErr w:type="spellStart"/>
      <w:r w:rsidRPr="00E36E42">
        <w:t>Tdap</w:t>
      </w:r>
      <w:proofErr w:type="spellEnd"/>
      <w:r w:rsidR="00032B77" w:rsidRPr="00E36E42">
        <w:rPr>
          <w:lang w:eastAsia="ja-JP"/>
        </w:rPr>
        <w:t xml:space="preserve">+ </w:t>
      </w:r>
      <w:r w:rsidRPr="00E36E42">
        <w:t>bivalent rLP2086) and Group 3 (saline</w:t>
      </w:r>
      <w:r w:rsidR="00032B77" w:rsidRPr="00E36E42">
        <w:rPr>
          <w:lang w:eastAsia="ja-JP"/>
        </w:rPr>
        <w:t xml:space="preserve">+ </w:t>
      </w:r>
      <w:r w:rsidRPr="00E36E42">
        <w:t>saline</w:t>
      </w:r>
      <w:r w:rsidR="00032B77" w:rsidRPr="00E36E42">
        <w:rPr>
          <w:lang w:eastAsia="ja-JP"/>
        </w:rPr>
        <w:t xml:space="preserve">+ </w:t>
      </w:r>
      <w:r w:rsidRPr="00E36E42">
        <w:t>bivalent rLP2086)</w:t>
      </w:r>
      <w:r w:rsidR="00743EF5" w:rsidRPr="00E36E42">
        <w:t>.</w:t>
      </w:r>
    </w:p>
    <w:p w:rsidR="00743EF5" w:rsidRPr="00E36E42" w:rsidRDefault="009E75AA" w:rsidP="00F7445B">
      <w:r w:rsidRPr="00E36E42">
        <w:t>Two (2) evaluable immunogenicity pop</w:t>
      </w:r>
      <w:r w:rsidR="000869B9" w:rsidRPr="00E36E42">
        <w:t xml:space="preserve">ulations were defined: the post </w:t>
      </w:r>
      <w:r w:rsidR="008B4D82" w:rsidRPr="00E36E42">
        <w:t>Vaccination</w:t>
      </w:r>
      <w:r w:rsidRPr="00E36E42">
        <w:t xml:space="preserve"> 1 evaluable immunogenicity population for the assessment of non-inferiority of MCV4</w:t>
      </w:r>
      <w:r w:rsidR="00032B77" w:rsidRPr="00E36E42">
        <w:rPr>
          <w:lang w:eastAsia="ja-JP"/>
        </w:rPr>
        <w:t xml:space="preserve">+ </w:t>
      </w:r>
      <w:proofErr w:type="spellStart"/>
      <w:r w:rsidRPr="00E36E42">
        <w:t>Tdap</w:t>
      </w:r>
      <w:proofErr w:type="spellEnd"/>
      <w:r w:rsidR="00032B77" w:rsidRPr="00E36E42">
        <w:rPr>
          <w:lang w:eastAsia="ja-JP"/>
        </w:rPr>
        <w:t xml:space="preserve">+ </w:t>
      </w:r>
      <w:r w:rsidRPr="00E36E42">
        <w:t xml:space="preserve">bivalent rLP2086 </w:t>
      </w:r>
      <w:r w:rsidR="00DD25D7" w:rsidRPr="00E36E42">
        <w:t>(</w:t>
      </w:r>
      <w:r w:rsidRPr="00E36E42">
        <w:t>Group 1</w:t>
      </w:r>
      <w:r w:rsidR="00DD25D7" w:rsidRPr="00E36E42">
        <w:t>)</w:t>
      </w:r>
      <w:r w:rsidRPr="00E36E42">
        <w:t xml:space="preserve"> compared to MCV4</w:t>
      </w:r>
      <w:r w:rsidR="00032B77" w:rsidRPr="00E36E42">
        <w:rPr>
          <w:lang w:eastAsia="ja-JP"/>
        </w:rPr>
        <w:t xml:space="preserve">+ </w:t>
      </w:r>
      <w:proofErr w:type="spellStart"/>
      <w:r w:rsidRPr="00E36E42">
        <w:t>Tdap</w:t>
      </w:r>
      <w:proofErr w:type="spellEnd"/>
      <w:r w:rsidR="00032B77" w:rsidRPr="00E36E42">
        <w:rPr>
          <w:lang w:eastAsia="ja-JP"/>
        </w:rPr>
        <w:t xml:space="preserve">+ </w:t>
      </w:r>
      <w:r w:rsidR="000869B9" w:rsidRPr="00E36E42">
        <w:t xml:space="preserve">saline </w:t>
      </w:r>
      <w:r w:rsidR="00DD25D7" w:rsidRPr="00E36E42">
        <w:t>(</w:t>
      </w:r>
      <w:r w:rsidR="000869B9" w:rsidRPr="00E36E42">
        <w:t>Group 2</w:t>
      </w:r>
      <w:r w:rsidR="00DD25D7" w:rsidRPr="00E36E42">
        <w:t>)</w:t>
      </w:r>
      <w:r w:rsidR="000869B9" w:rsidRPr="00E36E42">
        <w:t xml:space="preserve">, and the post </w:t>
      </w:r>
      <w:r w:rsidR="008B4D82" w:rsidRPr="00E36E42">
        <w:t>Vaccination</w:t>
      </w:r>
      <w:r w:rsidRPr="00E36E42">
        <w:t xml:space="preserve"> 3 evaluable immunogenicity population for the assessment of non-inferiority of MCV4</w:t>
      </w:r>
      <w:r w:rsidR="00032B77" w:rsidRPr="00E36E42">
        <w:rPr>
          <w:lang w:eastAsia="ja-JP"/>
        </w:rPr>
        <w:t xml:space="preserve">+ </w:t>
      </w:r>
      <w:proofErr w:type="spellStart"/>
      <w:r w:rsidRPr="00E36E42">
        <w:t>Tdap</w:t>
      </w:r>
      <w:proofErr w:type="spellEnd"/>
      <w:r w:rsidR="00032B77" w:rsidRPr="00E36E42">
        <w:rPr>
          <w:lang w:eastAsia="ja-JP"/>
        </w:rPr>
        <w:t xml:space="preserve">+ </w:t>
      </w:r>
      <w:r w:rsidRPr="00E36E42">
        <w:t xml:space="preserve">bivalent rLP2086 </w:t>
      </w:r>
      <w:r w:rsidR="00DD25D7" w:rsidRPr="00E36E42">
        <w:t>(</w:t>
      </w:r>
      <w:r w:rsidRPr="00E36E42">
        <w:t>Group 1</w:t>
      </w:r>
      <w:r w:rsidR="00DD25D7" w:rsidRPr="00E36E42">
        <w:t>)</w:t>
      </w:r>
      <w:r w:rsidRPr="00E36E42">
        <w:t xml:space="preserve"> compared to saline</w:t>
      </w:r>
      <w:r w:rsidR="00032B77" w:rsidRPr="00E36E42">
        <w:rPr>
          <w:lang w:eastAsia="ja-JP"/>
        </w:rPr>
        <w:t xml:space="preserve">+ </w:t>
      </w:r>
      <w:r w:rsidRPr="00E36E42">
        <w:t>saline</w:t>
      </w:r>
      <w:r w:rsidR="00032B77" w:rsidRPr="00E36E42">
        <w:rPr>
          <w:lang w:eastAsia="ja-JP"/>
        </w:rPr>
        <w:t xml:space="preserve">+ </w:t>
      </w:r>
      <w:r w:rsidRPr="00E36E42">
        <w:t xml:space="preserve">bivalent rLP2086 </w:t>
      </w:r>
      <w:r w:rsidR="00DD25D7" w:rsidRPr="00E36E42">
        <w:t>(</w:t>
      </w:r>
      <w:r w:rsidRPr="00E36E42">
        <w:t>Group</w:t>
      </w:r>
      <w:r w:rsidR="000869B9" w:rsidRPr="00E36E42">
        <w:t xml:space="preserve"> 3</w:t>
      </w:r>
      <w:r w:rsidR="00DD25D7" w:rsidRPr="00E36E42">
        <w:t>)</w:t>
      </w:r>
      <w:r w:rsidR="000869B9" w:rsidRPr="00E36E42">
        <w:t xml:space="preserve">. In the post </w:t>
      </w:r>
      <w:r w:rsidR="008B4D82" w:rsidRPr="00E36E42">
        <w:t>Vaccination</w:t>
      </w:r>
      <w:r w:rsidRPr="00E36E42">
        <w:t xml:space="preserve"> 1 evaluable immunogenicity population, 1560 (88.3%) subjects (779 </w:t>
      </w:r>
      <w:r w:rsidR="00DD25D7" w:rsidRPr="00E36E42">
        <w:t>(</w:t>
      </w:r>
      <w:r w:rsidRPr="00E36E42">
        <w:t>87.7%</w:t>
      </w:r>
      <w:r w:rsidR="00DD25D7" w:rsidRPr="00E36E42">
        <w:t>)</w:t>
      </w:r>
      <w:r w:rsidRPr="00E36E42">
        <w:t xml:space="preserve"> of subjects in Group 1 and 781 </w:t>
      </w:r>
      <w:r w:rsidR="00DD25D7" w:rsidRPr="00E36E42">
        <w:t>(</w:t>
      </w:r>
      <w:r w:rsidRPr="00E36E42">
        <w:t>89.0%</w:t>
      </w:r>
      <w:r w:rsidR="00DD25D7" w:rsidRPr="00E36E42">
        <w:t>)</w:t>
      </w:r>
      <w:r w:rsidRPr="00E36E42">
        <w:t xml:space="preserve"> of subjects in Grou</w:t>
      </w:r>
      <w:r w:rsidR="000869B9" w:rsidRPr="00E36E42">
        <w:t xml:space="preserve">p 2) were included. In the post </w:t>
      </w:r>
      <w:r w:rsidR="008B4D82" w:rsidRPr="00E36E42">
        <w:t>Vaccination</w:t>
      </w:r>
      <w:r w:rsidRPr="00E36E42">
        <w:t xml:space="preserve"> 3 evaluable immunogenicity population, 1362 (76.9%) subjects (683 </w:t>
      </w:r>
      <w:r w:rsidR="00DD25D7" w:rsidRPr="00E36E42">
        <w:t>(</w:t>
      </w:r>
      <w:r w:rsidRPr="00E36E42">
        <w:t>76.9%</w:t>
      </w:r>
      <w:r w:rsidR="00DD25D7" w:rsidRPr="00E36E42">
        <w:t>)</w:t>
      </w:r>
      <w:r w:rsidRPr="00E36E42">
        <w:t xml:space="preserve"> in Group 1 and 679 </w:t>
      </w:r>
      <w:r w:rsidR="00DD25D7" w:rsidRPr="00E36E42">
        <w:t>(</w:t>
      </w:r>
      <w:r w:rsidRPr="00E36E42">
        <w:t>77.0%</w:t>
      </w:r>
      <w:r w:rsidR="00DD25D7" w:rsidRPr="00E36E42">
        <w:t>)</w:t>
      </w:r>
      <w:r w:rsidRPr="00E36E42">
        <w:t xml:space="preserve"> in Group 3) were included</w:t>
      </w:r>
      <w:r w:rsidR="00743EF5" w:rsidRPr="00E36E42">
        <w:t>.</w:t>
      </w:r>
    </w:p>
    <w:p w:rsidR="009E75AA" w:rsidRPr="00E36E42" w:rsidRDefault="009E75AA" w:rsidP="00F7445B">
      <w:pPr>
        <w:pStyle w:val="Heading5"/>
      </w:pPr>
      <w:r w:rsidRPr="00E36E42">
        <w:t>Results</w:t>
      </w:r>
    </w:p>
    <w:p w:rsidR="009E75AA" w:rsidRPr="00E36E42" w:rsidRDefault="009E75AA" w:rsidP="00F7445B">
      <w:pPr>
        <w:pStyle w:val="Heading6"/>
      </w:pPr>
      <w:r w:rsidRPr="00E36E42">
        <w:t xml:space="preserve">Primary </w:t>
      </w:r>
      <w:r w:rsidR="000869B9" w:rsidRPr="00E36E42">
        <w:t>objectives</w:t>
      </w:r>
    </w:p>
    <w:p w:rsidR="00743EF5" w:rsidRPr="00E36E42" w:rsidRDefault="009E75AA" w:rsidP="00F7445B">
      <w:r w:rsidRPr="00E36E42">
        <w:t>The criterion for the non-inferior</w:t>
      </w:r>
      <w:r w:rsidR="000869B9" w:rsidRPr="00E36E42">
        <w:t xml:space="preserve">ity margin of 1.5 </w:t>
      </w:r>
      <w:r w:rsidRPr="00E36E42">
        <w:t xml:space="preserve">fold, which corresponds to a value of 0.67 for the lower limit of the 2-sided 95% CI of the GMR, was met for all MCV4 and </w:t>
      </w:r>
      <w:proofErr w:type="spellStart"/>
      <w:r w:rsidRPr="00E36E42">
        <w:t>Tdap</w:t>
      </w:r>
      <w:proofErr w:type="spellEnd"/>
      <w:r w:rsidRPr="00E36E42">
        <w:t xml:space="preserve"> antigens (ranging from 0.88 to 1.02)</w:t>
      </w:r>
      <w:r w:rsidR="00743EF5" w:rsidRPr="00E36E42">
        <w:t>.</w:t>
      </w:r>
    </w:p>
    <w:p w:rsidR="00743EF5" w:rsidRPr="00E36E42" w:rsidRDefault="009E75AA" w:rsidP="00F7445B">
      <w:r w:rsidRPr="00E36E42">
        <w:t>Response to bivalent rLP2086: The criterion for the non-inferior</w:t>
      </w:r>
      <w:r w:rsidR="000869B9" w:rsidRPr="00E36E42">
        <w:t xml:space="preserve">ity margin of 1. </w:t>
      </w:r>
      <w:r w:rsidRPr="00E36E42">
        <w:t xml:space="preserve">-fold, which corresponds to a value of 0.67 for the lower limit of the 2-sided 95% CI of the GMR, was met for both strains. The lower limits of the 2-sided 95% CIs for the </w:t>
      </w:r>
      <w:proofErr w:type="spellStart"/>
      <w:r w:rsidRPr="00E36E42">
        <w:t>hSBA</w:t>
      </w:r>
      <w:proofErr w:type="spellEnd"/>
      <w:r w:rsidRPr="00E36E42">
        <w:t xml:space="preserve"> GMRs for</w:t>
      </w:r>
      <w:r w:rsidR="000869B9" w:rsidRPr="00DD25D7">
        <w:t xml:space="preserve"> </w:t>
      </w:r>
      <w:r w:rsidRPr="00E36E42">
        <w:t>Group 1 compared to Group 3 were 0.84 for PMB80 (A22) and 0.82 for PMB2948 (B24). Thus, the primary objectives for the study were met</w:t>
      </w:r>
      <w:r w:rsidR="00743EF5" w:rsidRPr="00E36E42">
        <w:t>.</w:t>
      </w:r>
    </w:p>
    <w:p w:rsidR="009E75AA" w:rsidRPr="00DD25D7" w:rsidRDefault="000869B9" w:rsidP="00F7445B">
      <w:pPr>
        <w:pStyle w:val="Heading6"/>
      </w:pPr>
      <w:r w:rsidRPr="00DD25D7">
        <w:t>Secondary objectives</w:t>
      </w:r>
    </w:p>
    <w:p w:rsidR="009E75AA" w:rsidRPr="00DD25D7" w:rsidRDefault="009E75AA" w:rsidP="00F7445B">
      <w:pPr>
        <w:pStyle w:val="Heading7"/>
        <w:rPr>
          <w:sz w:val="20"/>
        </w:rPr>
      </w:pPr>
      <w:r w:rsidRPr="00DD25D7">
        <w:rPr>
          <w:sz w:val="20"/>
        </w:rPr>
        <w:t>Comparison of MCV4/</w:t>
      </w:r>
      <w:proofErr w:type="spellStart"/>
      <w:r w:rsidRPr="00DD25D7">
        <w:rPr>
          <w:sz w:val="20"/>
        </w:rPr>
        <w:t>Tdap</w:t>
      </w:r>
      <w:proofErr w:type="spellEnd"/>
      <w:r w:rsidRPr="00DD25D7">
        <w:rPr>
          <w:sz w:val="20"/>
        </w:rPr>
        <w:t xml:space="preserve"> </w:t>
      </w:r>
      <w:proofErr w:type="spellStart"/>
      <w:r w:rsidR="003D5E26" w:rsidRPr="00DD25D7">
        <w:rPr>
          <w:sz w:val="20"/>
        </w:rPr>
        <w:t>sero</w:t>
      </w:r>
      <w:proofErr w:type="spellEnd"/>
      <w:r w:rsidR="003D5E26" w:rsidRPr="00DD25D7">
        <w:rPr>
          <w:sz w:val="20"/>
        </w:rPr>
        <w:t xml:space="preserve">-response rates </w:t>
      </w:r>
      <w:r w:rsidR="000869B9" w:rsidRPr="00DD25D7">
        <w:rPr>
          <w:sz w:val="20"/>
        </w:rPr>
        <w:t>(Group 1 versus Group 2)</w:t>
      </w:r>
    </w:p>
    <w:p w:rsidR="00743EF5" w:rsidRPr="00290B25" w:rsidRDefault="009E75AA" w:rsidP="00F7445B">
      <w:r w:rsidRPr="00290B25">
        <w:t xml:space="preserve">The </w:t>
      </w:r>
      <w:proofErr w:type="spellStart"/>
      <w:r w:rsidRPr="00290B25">
        <w:t>sero</w:t>
      </w:r>
      <w:proofErr w:type="spellEnd"/>
      <w:r w:rsidR="000869B9" w:rsidRPr="00290B25">
        <w:t xml:space="preserve"> </w:t>
      </w:r>
      <w:r w:rsidRPr="00290B25">
        <w:t xml:space="preserve">response rates for the 6 </w:t>
      </w:r>
      <w:proofErr w:type="spellStart"/>
      <w:r w:rsidRPr="00290B25">
        <w:t>Tdap</w:t>
      </w:r>
      <w:proofErr w:type="spellEnd"/>
      <w:r w:rsidRPr="00290B25">
        <w:t xml:space="preserve"> antigens at 1 month after Dose 1 for Group 1 (MCV4</w:t>
      </w:r>
      <w:r w:rsidR="00032B77" w:rsidRPr="00290B25">
        <w:rPr>
          <w:lang w:eastAsia="ja-JP"/>
        </w:rPr>
        <w:t xml:space="preserve">+ </w:t>
      </w:r>
      <w:proofErr w:type="spellStart"/>
      <w:r w:rsidRPr="00290B25">
        <w:t>Tdap</w:t>
      </w:r>
      <w:proofErr w:type="spellEnd"/>
      <w:r w:rsidR="00032B77" w:rsidRPr="00290B25">
        <w:rPr>
          <w:lang w:eastAsia="ja-JP"/>
        </w:rPr>
        <w:t xml:space="preserve">+ </w:t>
      </w:r>
      <w:r w:rsidRPr="00290B25">
        <w:t>bivalent rLP2086) and Group 2 (MCV4</w:t>
      </w:r>
      <w:r w:rsidR="00032B77" w:rsidRPr="00290B25">
        <w:rPr>
          <w:lang w:eastAsia="ja-JP"/>
        </w:rPr>
        <w:t xml:space="preserve">+ </w:t>
      </w:r>
      <w:proofErr w:type="spellStart"/>
      <w:r w:rsidRPr="00290B25">
        <w:t>Tdap</w:t>
      </w:r>
      <w:proofErr w:type="spellEnd"/>
      <w:r w:rsidR="00032B77" w:rsidRPr="00290B25">
        <w:rPr>
          <w:lang w:eastAsia="ja-JP"/>
        </w:rPr>
        <w:t xml:space="preserve">+ </w:t>
      </w:r>
      <w:r w:rsidRPr="00290B25">
        <w:t xml:space="preserve">saline) ranged from 68.1% to 98.6% and for the 4 MCV4 antigens ranged from 85.4% to 97.2%. The estimated </w:t>
      </w:r>
      <w:proofErr w:type="spellStart"/>
      <w:r w:rsidRPr="00290B25">
        <w:t>seroresponse</w:t>
      </w:r>
      <w:proofErr w:type="spellEnd"/>
      <w:r w:rsidRPr="00290B25">
        <w:t xml:space="preserve"> rate differences between the 2 groups ranged from -4.6% to 0.3% for </w:t>
      </w:r>
      <w:r w:rsidRPr="00DD25D7">
        <w:t>the</w:t>
      </w:r>
      <w:r w:rsidR="000869B9" w:rsidRPr="00DD25D7">
        <w:t xml:space="preserve"> </w:t>
      </w:r>
      <w:r w:rsidRPr="00DD25D7">
        <w:t xml:space="preserve">6 </w:t>
      </w:r>
      <w:proofErr w:type="spellStart"/>
      <w:r w:rsidRPr="00290B25">
        <w:t>Tdap</w:t>
      </w:r>
      <w:proofErr w:type="spellEnd"/>
      <w:r w:rsidRPr="00290B25">
        <w:t xml:space="preserve"> and 4 MCV4 antigens, with the 95% LCI of the rate difference </w:t>
      </w:r>
      <w:r w:rsidR="00743EF5" w:rsidRPr="00DD25D7">
        <w:t xml:space="preserve">≥ </w:t>
      </w:r>
      <w:r w:rsidR="000869B9" w:rsidRPr="00290B25">
        <w:noBreakHyphen/>
      </w:r>
      <w:r w:rsidRPr="00290B25">
        <w:t>9.1% (</w:t>
      </w:r>
      <w:r w:rsidR="00012937" w:rsidRPr="00290B25">
        <w:t>that is,</w:t>
      </w:r>
      <w:r w:rsidR="000869B9" w:rsidRPr="00290B25">
        <w:t xml:space="preserve"> all greater than </w:t>
      </w:r>
      <w:r w:rsidR="000869B9" w:rsidRPr="00290B25">
        <w:noBreakHyphen/>
      </w:r>
      <w:r w:rsidRPr="00290B25">
        <w:t>10</w:t>
      </w:r>
      <w:r w:rsidR="00743EF5" w:rsidRPr="00290B25">
        <w:t>.</w:t>
      </w:r>
    </w:p>
    <w:p w:rsidR="009E75AA" w:rsidRPr="00DD25D7" w:rsidRDefault="000869B9" w:rsidP="00F7445B">
      <w:pPr>
        <w:pStyle w:val="Heading7"/>
        <w:rPr>
          <w:sz w:val="20"/>
        </w:rPr>
      </w:pPr>
      <w:r w:rsidRPr="00DD25D7">
        <w:rPr>
          <w:sz w:val="20"/>
        </w:rPr>
        <w:t xml:space="preserve">Comparison of </w:t>
      </w:r>
      <w:proofErr w:type="spellStart"/>
      <w:r w:rsidRPr="00DD25D7">
        <w:rPr>
          <w:sz w:val="20"/>
        </w:rPr>
        <w:t>hSBA</w:t>
      </w:r>
      <w:proofErr w:type="spellEnd"/>
      <w:r w:rsidRPr="00DD25D7">
        <w:rPr>
          <w:sz w:val="20"/>
        </w:rPr>
        <w:t xml:space="preserve"> </w:t>
      </w:r>
      <w:r w:rsidR="00EA5CCB" w:rsidRPr="00DD25D7">
        <w:rPr>
          <w:sz w:val="20"/>
        </w:rPr>
        <w:t>Titre</w:t>
      </w:r>
      <w:r w:rsidRPr="00DD25D7">
        <w:rPr>
          <w:sz w:val="20"/>
        </w:rPr>
        <w:t xml:space="preserve"> 4 </w:t>
      </w:r>
      <w:r w:rsidR="009E75AA" w:rsidRPr="00DD25D7">
        <w:rPr>
          <w:sz w:val="20"/>
        </w:rPr>
        <w:t xml:space="preserve">Fold Rise (Group 1 </w:t>
      </w:r>
      <w:r w:rsidRPr="00DD25D7">
        <w:rPr>
          <w:sz w:val="20"/>
        </w:rPr>
        <w:t>versus Group 3)</w:t>
      </w:r>
    </w:p>
    <w:p w:rsidR="00743EF5" w:rsidRPr="00290B25" w:rsidRDefault="009E75AA" w:rsidP="00F7445B">
      <w:r w:rsidRPr="00290B25">
        <w:t>In Group 1 (MCV4</w:t>
      </w:r>
      <w:r w:rsidR="00032B77" w:rsidRPr="00290B25">
        <w:rPr>
          <w:lang w:eastAsia="ja-JP"/>
        </w:rPr>
        <w:t xml:space="preserve">+ </w:t>
      </w:r>
      <w:proofErr w:type="spellStart"/>
      <w:r w:rsidRPr="00290B25">
        <w:t>Tdap</w:t>
      </w:r>
      <w:proofErr w:type="spellEnd"/>
      <w:r w:rsidR="00032B77" w:rsidRPr="00290B25">
        <w:rPr>
          <w:lang w:eastAsia="ja-JP"/>
        </w:rPr>
        <w:t xml:space="preserve">+ </w:t>
      </w:r>
      <w:r w:rsidRPr="00290B25">
        <w:t>bivalent rLP2086) and Group 3 (saline</w:t>
      </w:r>
      <w:r w:rsidR="00032B77" w:rsidRPr="00290B25">
        <w:rPr>
          <w:lang w:eastAsia="ja-JP"/>
        </w:rPr>
        <w:t xml:space="preserve">+ </w:t>
      </w:r>
      <w:r w:rsidRPr="00290B25">
        <w:t>saline</w:t>
      </w:r>
      <w:r w:rsidR="00032B77" w:rsidRPr="00290B25">
        <w:rPr>
          <w:lang w:eastAsia="ja-JP"/>
        </w:rPr>
        <w:t xml:space="preserve">+ </w:t>
      </w:r>
      <w:r w:rsidRPr="00290B25">
        <w:t xml:space="preserve">bivalent rLP2086), 84.0% and 88.7% of subjects exhibited a </w:t>
      </w:r>
      <w:r w:rsidR="00743EF5" w:rsidRPr="00DD25D7">
        <w:t xml:space="preserve">≥ </w:t>
      </w:r>
      <w:r w:rsidR="00743EF5" w:rsidRPr="00290B25">
        <w:t>4 fold</w:t>
      </w:r>
      <w:r w:rsidRPr="00290B25">
        <w:t xml:space="preserve"> rise in </w:t>
      </w:r>
      <w:proofErr w:type="spellStart"/>
      <w:r w:rsidRPr="00290B25">
        <w:t>hSBA</w:t>
      </w:r>
      <w:proofErr w:type="spellEnd"/>
      <w:r w:rsidRPr="00290B25">
        <w:t xml:space="preserve"> </w:t>
      </w:r>
      <w:r w:rsidR="00EA5CCB" w:rsidRPr="00290B25">
        <w:t>titre</w:t>
      </w:r>
      <w:r w:rsidRPr="00290B25">
        <w:t xml:space="preserve"> from </w:t>
      </w:r>
      <w:r w:rsidR="008B4D82" w:rsidRPr="00290B25">
        <w:t>Baseline</w:t>
      </w:r>
      <w:r w:rsidRPr="00290B25">
        <w:t xml:space="preserve"> to 1 month </w:t>
      </w:r>
      <w:r w:rsidRPr="00290B25">
        <w:lastRenderedPageBreak/>
        <w:t>after Dose 3 for test strain PMB80 (A22), and 85.7% and 87.7% for test strain PMB2948 (B24), respectively (</w:t>
      </w:r>
      <w:r w:rsidR="002310F7" w:rsidRPr="00290B25">
        <w:t>Table 9</w:t>
      </w:r>
      <w:r w:rsidRPr="00290B25">
        <w:t xml:space="preserve">). The estimated differences of </w:t>
      </w:r>
      <w:r w:rsidR="00743EF5" w:rsidRPr="00290B25">
        <w:t>4 fold</w:t>
      </w:r>
      <w:r w:rsidRPr="00290B25">
        <w:t xml:space="preserve"> response rate were small (</w:t>
      </w:r>
      <w:r w:rsidR="00032B77" w:rsidRPr="00DD25D7">
        <w:t xml:space="preserve">&lt; </w:t>
      </w:r>
      <w:r w:rsidRPr="00290B25">
        <w:t>5.0%) between the 2 groups, with the 95% LCI for the differe</w:t>
      </w:r>
      <w:r w:rsidR="000869B9" w:rsidRPr="00290B25">
        <w:t xml:space="preserve">nce of </w:t>
      </w:r>
      <w:r w:rsidR="000869B9" w:rsidRPr="00290B25">
        <w:noBreakHyphen/>
        <w:t xml:space="preserve">8.4% (PMB80 </w:t>
      </w:r>
      <w:r w:rsidR="00DD25D7" w:rsidRPr="00290B25">
        <w:t>(</w:t>
      </w:r>
      <w:r w:rsidR="000869B9" w:rsidRPr="00290B25">
        <w:t>A22</w:t>
      </w:r>
      <w:r w:rsidR="00DD25D7" w:rsidRPr="00290B25">
        <w:t>)</w:t>
      </w:r>
      <w:r w:rsidR="000869B9" w:rsidRPr="00290B25">
        <w:t xml:space="preserve">) and </w:t>
      </w:r>
      <w:r w:rsidR="000869B9" w:rsidRPr="00290B25">
        <w:noBreakHyphen/>
      </w:r>
      <w:r w:rsidRPr="00290B25">
        <w:t xml:space="preserve">5.7% (PMB2948 </w:t>
      </w:r>
      <w:r w:rsidR="00DD25D7" w:rsidRPr="00290B25">
        <w:t>(</w:t>
      </w:r>
      <w:r w:rsidRPr="00290B25">
        <w:t>B24</w:t>
      </w:r>
      <w:r w:rsidR="00DD25D7" w:rsidRPr="00290B25">
        <w:t>)</w:t>
      </w:r>
      <w:r w:rsidRPr="00290B25">
        <w:t>)</w:t>
      </w:r>
      <w:r w:rsidR="00743EF5" w:rsidRPr="00290B25">
        <w:t>.</w:t>
      </w:r>
    </w:p>
    <w:p w:rsidR="00140840" w:rsidRPr="00DD25D7" w:rsidRDefault="00140840" w:rsidP="00140840">
      <w:pPr>
        <w:pStyle w:val="Tabletitle"/>
      </w:pPr>
      <w:r w:rsidRPr="00DD25D7">
        <w:t xml:space="preserve">Table </w:t>
      </w:r>
      <w:r w:rsidR="002310F7" w:rsidRPr="00DD25D7">
        <w:t>9:</w:t>
      </w:r>
      <w:r w:rsidRPr="00DD25D7">
        <w:t xml:space="preserve"> Comparison of subjects achieving </w:t>
      </w:r>
      <w:proofErr w:type="spellStart"/>
      <w:r w:rsidRPr="00DD25D7">
        <w:t>hSBA</w:t>
      </w:r>
      <w:proofErr w:type="spellEnd"/>
      <w:r w:rsidRPr="00DD25D7">
        <w:t xml:space="preserve"> </w:t>
      </w:r>
      <w:r w:rsidR="00EA5CCB" w:rsidRPr="00DD25D7">
        <w:t>titre</w:t>
      </w:r>
      <w:r w:rsidRPr="00DD25D7">
        <w:t xml:space="preserve"> f</w:t>
      </w:r>
      <w:r w:rsidR="002310F7" w:rsidRPr="00DD25D7">
        <w:t>old rise ≥ 4 from Baseline to 1 </w:t>
      </w:r>
      <w:r w:rsidRPr="00DD25D7">
        <w:t>month after Vaccination 3; Post Vaccination 3</w:t>
      </w:r>
      <w:r w:rsidR="002310F7" w:rsidRPr="00DD25D7">
        <w:t>;</w:t>
      </w:r>
      <w:r w:rsidRPr="00DD25D7">
        <w:t xml:space="preserve"> </w:t>
      </w:r>
      <w:r w:rsidR="002310F7" w:rsidRPr="00DD25D7">
        <w:t>evaluable immunogenicity population; Study B1971015</w:t>
      </w:r>
    </w:p>
    <w:p w:rsidR="00140840" w:rsidRPr="00DD25D7" w:rsidRDefault="00140840" w:rsidP="00140840">
      <w:r w:rsidRPr="00DD25D7">
        <w:rPr>
          <w:noProof/>
          <w:lang w:eastAsia="en-AU"/>
        </w:rPr>
        <w:drawing>
          <wp:inline distT="0" distB="0" distL="0" distR="0" wp14:anchorId="0302EAA1" wp14:editId="21EFCBDA">
            <wp:extent cx="5731510" cy="3418086"/>
            <wp:effectExtent l="0" t="0" r="2540" b="0"/>
            <wp:docPr id="12" name="Picture 12" descr="Table 9: Comparison of subjects achieving hSBA titer fold rise ≥ 4 from Baseline to 1 month after Vaccination 3; Post Vaccination 3; evaluable immunogenicity population; Study B197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418086"/>
                    </a:xfrm>
                    <a:prstGeom prst="rect">
                      <a:avLst/>
                    </a:prstGeom>
                  </pic:spPr>
                </pic:pic>
              </a:graphicData>
            </a:graphic>
          </wp:inline>
        </w:drawing>
      </w:r>
    </w:p>
    <w:p w:rsidR="009E75AA" w:rsidRPr="00DD25D7" w:rsidRDefault="009E75AA" w:rsidP="00F7445B">
      <w:pPr>
        <w:pStyle w:val="Heading7"/>
        <w:rPr>
          <w:sz w:val="20"/>
        </w:rPr>
      </w:pPr>
      <w:r w:rsidRPr="00DD25D7">
        <w:rPr>
          <w:sz w:val="20"/>
        </w:rPr>
        <w:t xml:space="preserve">Proportion of </w:t>
      </w:r>
      <w:r w:rsidR="000869B9" w:rsidRPr="00DD25D7">
        <w:rPr>
          <w:sz w:val="20"/>
        </w:rPr>
        <w:t xml:space="preserve">subjects achieving </w:t>
      </w:r>
      <w:proofErr w:type="spellStart"/>
      <w:r w:rsidR="000869B9" w:rsidRPr="00DD25D7">
        <w:rPr>
          <w:sz w:val="20"/>
        </w:rPr>
        <w:t>hSBA</w:t>
      </w:r>
      <w:proofErr w:type="spellEnd"/>
      <w:r w:rsidR="000869B9" w:rsidRPr="00DD25D7">
        <w:rPr>
          <w:sz w:val="20"/>
        </w:rPr>
        <w:t xml:space="preserve"> </w:t>
      </w:r>
      <w:r w:rsidR="003D5E26" w:rsidRPr="00DD25D7">
        <w:rPr>
          <w:sz w:val="20"/>
        </w:rPr>
        <w:t xml:space="preserve">titre </w:t>
      </w:r>
      <w:r w:rsidR="00743EF5" w:rsidRPr="00DD25D7">
        <w:rPr>
          <w:rFonts w:eastAsia="MS Gothic"/>
        </w:rPr>
        <w:t xml:space="preserve">≥ </w:t>
      </w:r>
      <w:r w:rsidR="000869B9" w:rsidRPr="00DD25D7">
        <w:rPr>
          <w:sz w:val="20"/>
        </w:rPr>
        <w:t>LLOQ</w:t>
      </w:r>
    </w:p>
    <w:p w:rsidR="00743EF5" w:rsidRPr="00290B25" w:rsidRDefault="009E75AA" w:rsidP="00F7445B">
      <w:r w:rsidRPr="00290B25">
        <w:t>For Group 3 (saline</w:t>
      </w:r>
      <w:r w:rsidR="00032B77" w:rsidRPr="00290B25">
        <w:rPr>
          <w:lang w:eastAsia="ja-JP"/>
        </w:rPr>
        <w:t xml:space="preserve">+ </w:t>
      </w:r>
      <w:r w:rsidRPr="00290B25">
        <w:t>saline</w:t>
      </w:r>
      <w:r w:rsidR="00032B77" w:rsidRPr="00290B25">
        <w:rPr>
          <w:lang w:eastAsia="ja-JP"/>
        </w:rPr>
        <w:t xml:space="preserve">+ </w:t>
      </w:r>
      <w:r w:rsidRPr="00290B25">
        <w:t xml:space="preserve">bivalent rLP2086) at 1 month after Dose 2 and Dose 3, the proportions of subjects achieving an </w:t>
      </w:r>
      <w:proofErr w:type="spellStart"/>
      <w:r w:rsidRPr="00290B25">
        <w:t>hSBA</w:t>
      </w:r>
      <w:proofErr w:type="spellEnd"/>
      <w:r w:rsidRPr="00290B25">
        <w:t xml:space="preserve"> </w:t>
      </w:r>
      <w:r w:rsidR="00EA5CCB" w:rsidRPr="00290B25">
        <w:t>titre</w:t>
      </w:r>
      <w:r w:rsidRPr="00290B25">
        <w:t xml:space="preserve"> </w:t>
      </w:r>
      <w:r w:rsidR="00743EF5" w:rsidRPr="00DD25D7">
        <w:t xml:space="preserve">≥ </w:t>
      </w:r>
      <w:r w:rsidRPr="00290B25">
        <w:t>LLOQ were 68.0% and 91.4%, respectively, for PMB80 (A22) and 66.0% and 92.7%, respectively, for PMB2948 (B24)</w:t>
      </w:r>
      <w:r w:rsidR="00743EF5" w:rsidRPr="00290B25">
        <w:t>.</w:t>
      </w:r>
    </w:p>
    <w:p w:rsidR="00743EF5" w:rsidRPr="00290B25" w:rsidRDefault="009E75AA" w:rsidP="00F7445B">
      <w:r w:rsidRPr="00290B25">
        <w:t>In Group 1 (MCV4</w:t>
      </w:r>
      <w:r w:rsidR="00032B77" w:rsidRPr="00290B25">
        <w:rPr>
          <w:lang w:eastAsia="ja-JP"/>
        </w:rPr>
        <w:t xml:space="preserve">+ </w:t>
      </w:r>
      <w:proofErr w:type="spellStart"/>
      <w:r w:rsidRPr="00290B25">
        <w:t>Tdap</w:t>
      </w:r>
      <w:proofErr w:type="spellEnd"/>
      <w:r w:rsidR="00032B77" w:rsidRPr="00290B25">
        <w:rPr>
          <w:lang w:eastAsia="ja-JP"/>
        </w:rPr>
        <w:t xml:space="preserve">+ </w:t>
      </w:r>
      <w:r w:rsidRPr="00290B25">
        <w:t xml:space="preserve">bivalent rLP2086), 1 month after Dose 2 and Dose 3, the proportions of subjects achieving an </w:t>
      </w:r>
      <w:proofErr w:type="spellStart"/>
      <w:r w:rsidRPr="00290B25">
        <w:t>hSBA</w:t>
      </w:r>
      <w:proofErr w:type="spellEnd"/>
      <w:r w:rsidRPr="00290B25">
        <w:t xml:space="preserve"> </w:t>
      </w:r>
      <w:r w:rsidR="00EA5CCB" w:rsidRPr="00290B25">
        <w:t>titre</w:t>
      </w:r>
      <w:r w:rsidRPr="00290B25">
        <w:t xml:space="preserve"> </w:t>
      </w:r>
      <w:r w:rsidR="00743EF5" w:rsidRPr="00DD25D7">
        <w:t xml:space="preserve">≥ </w:t>
      </w:r>
      <w:r w:rsidRPr="00290B25">
        <w:t>LLOQ were 68.0% and 87.5%, respectively, for PMB80 (A22) and 62.3% and 90.0%, respectively, for PMB2948 (B24)</w:t>
      </w:r>
      <w:r w:rsidR="00743EF5" w:rsidRPr="00290B25">
        <w:t>.</w:t>
      </w:r>
    </w:p>
    <w:p w:rsidR="009E75AA" w:rsidRPr="00DD25D7" w:rsidRDefault="009E75AA" w:rsidP="00F7445B">
      <w:pPr>
        <w:pStyle w:val="Heading7"/>
        <w:rPr>
          <w:sz w:val="20"/>
        </w:rPr>
      </w:pPr>
      <w:r w:rsidRPr="00DD25D7">
        <w:rPr>
          <w:sz w:val="20"/>
        </w:rPr>
        <w:t xml:space="preserve">Proportion </w:t>
      </w:r>
      <w:r w:rsidR="000869B9" w:rsidRPr="00DD25D7">
        <w:rPr>
          <w:sz w:val="20"/>
        </w:rPr>
        <w:t xml:space="preserve">of subjects achieving defined levels of </w:t>
      </w:r>
      <w:proofErr w:type="spellStart"/>
      <w:r w:rsidR="000869B9" w:rsidRPr="00DD25D7">
        <w:rPr>
          <w:sz w:val="20"/>
        </w:rPr>
        <w:t>hSBA</w:t>
      </w:r>
      <w:proofErr w:type="spellEnd"/>
      <w:r w:rsidR="000869B9" w:rsidRPr="00DD25D7">
        <w:rPr>
          <w:sz w:val="20"/>
        </w:rPr>
        <w:t xml:space="preserve"> </w:t>
      </w:r>
      <w:r w:rsidR="00EA5CCB" w:rsidRPr="00DD25D7">
        <w:rPr>
          <w:sz w:val="20"/>
        </w:rPr>
        <w:t>Titre</w:t>
      </w:r>
      <w:r w:rsidR="000869B9" w:rsidRPr="00DD25D7">
        <w:rPr>
          <w:sz w:val="20"/>
        </w:rPr>
        <w:t>s</w:t>
      </w:r>
    </w:p>
    <w:p w:rsidR="00743EF5" w:rsidRPr="00290B25" w:rsidRDefault="009E75AA" w:rsidP="00F7445B">
      <w:r w:rsidRPr="00290B25">
        <w:t>The proportions of subjects in Group 1 (MCV4</w:t>
      </w:r>
      <w:r w:rsidR="00032B77" w:rsidRPr="00290B25">
        <w:rPr>
          <w:lang w:eastAsia="ja-JP"/>
        </w:rPr>
        <w:t xml:space="preserve">+ </w:t>
      </w:r>
      <w:proofErr w:type="spellStart"/>
      <w:r w:rsidRPr="00290B25">
        <w:t>Tdap</w:t>
      </w:r>
      <w:proofErr w:type="spellEnd"/>
      <w:r w:rsidR="00032B77" w:rsidRPr="00290B25">
        <w:rPr>
          <w:lang w:eastAsia="ja-JP"/>
        </w:rPr>
        <w:t xml:space="preserve">+ </w:t>
      </w:r>
      <w:r w:rsidRPr="00290B25">
        <w:t>bivalent rLP2086) and Group 3 (saline</w:t>
      </w:r>
      <w:r w:rsidR="00032B77" w:rsidRPr="00290B25">
        <w:rPr>
          <w:lang w:eastAsia="ja-JP"/>
        </w:rPr>
        <w:t xml:space="preserve">+ </w:t>
      </w:r>
      <w:r w:rsidRPr="00290B25">
        <w:t>saline</w:t>
      </w:r>
      <w:r w:rsidR="00032B77" w:rsidRPr="00290B25">
        <w:rPr>
          <w:lang w:eastAsia="ja-JP"/>
        </w:rPr>
        <w:t xml:space="preserve">+ </w:t>
      </w:r>
      <w:r w:rsidRPr="00290B25">
        <w:t xml:space="preserve">bivalent rLP2086) with </w:t>
      </w:r>
      <w:proofErr w:type="spellStart"/>
      <w:r w:rsidRPr="00290B25">
        <w:t>hSBA</w:t>
      </w:r>
      <w:proofErr w:type="spellEnd"/>
      <w:r w:rsidRPr="00290B25">
        <w:t xml:space="preserve"> </w:t>
      </w:r>
      <w:r w:rsidR="00EA5CCB" w:rsidRPr="00290B25">
        <w:t>titre</w:t>
      </w:r>
      <w:r w:rsidRPr="00290B25">
        <w:t xml:space="preserve">s of </w:t>
      </w:r>
      <w:r w:rsidR="00743EF5" w:rsidRPr="00DD25D7">
        <w:t xml:space="preserve">≥ </w:t>
      </w:r>
      <w:r w:rsidRPr="00290B25">
        <w:t xml:space="preserve">1:4, the accepted correlate of protection, were consistent with those observed in subjects receiving bivalent rLP2086 in </w:t>
      </w:r>
      <w:r w:rsidR="00743EF5" w:rsidRPr="00290B25">
        <w:t>Phase III</w:t>
      </w:r>
      <w:r w:rsidRPr="00290B25">
        <w:t xml:space="preserve"> </w:t>
      </w:r>
      <w:r w:rsidR="00032B77" w:rsidRPr="00290B25">
        <w:t>Stud</w:t>
      </w:r>
      <w:r w:rsidR="000869B9" w:rsidRPr="00290B25">
        <w:t>ies </w:t>
      </w:r>
      <w:r w:rsidRPr="00290B25">
        <w:t>B1971009 and B1971016</w:t>
      </w:r>
      <w:r w:rsidR="00743EF5" w:rsidRPr="00290B25">
        <w:t>.</w:t>
      </w:r>
    </w:p>
    <w:p w:rsidR="009E75AA" w:rsidRPr="00DD25D7" w:rsidRDefault="009E75AA" w:rsidP="009E75AA">
      <w:pPr>
        <w:pStyle w:val="Heading4"/>
        <w:numPr>
          <w:ilvl w:val="2"/>
          <w:numId w:val="29"/>
        </w:numPr>
      </w:pPr>
      <w:r w:rsidRPr="00DD25D7">
        <w:t xml:space="preserve">Study </w:t>
      </w:r>
      <w:r w:rsidRPr="00290B25">
        <w:t>B19710</w:t>
      </w:r>
      <w:r w:rsidR="006C2D7E" w:rsidRPr="00290B25">
        <w:t>4</w:t>
      </w:r>
      <w:r w:rsidR="00752493" w:rsidRPr="00290B25">
        <w:t>2</w:t>
      </w:r>
    </w:p>
    <w:p w:rsidR="00743EF5" w:rsidRPr="00290B25" w:rsidRDefault="006C2D7E" w:rsidP="009E75AA">
      <w:r w:rsidRPr="00290B25">
        <w:t>Study B197104</w:t>
      </w:r>
      <w:r w:rsidR="00752493" w:rsidRPr="00290B25">
        <w:t>2</w:t>
      </w:r>
      <w:r w:rsidR="009E75AA" w:rsidRPr="00290B25">
        <w:t xml:space="preserve"> was a </w:t>
      </w:r>
      <w:r w:rsidR="00743EF5" w:rsidRPr="00290B25">
        <w:t>Phase II</w:t>
      </w:r>
      <w:r w:rsidR="009E75AA" w:rsidRPr="00290B25">
        <w:t xml:space="preserve">, single-arm, </w:t>
      </w:r>
      <w:r w:rsidR="00743EF5" w:rsidRPr="00290B25">
        <w:t>open label</w:t>
      </w:r>
      <w:r w:rsidR="009E75AA" w:rsidRPr="00290B25">
        <w:t xml:space="preserve">, descriptive study of bivalent rLP2086 in laboratory workers 18 to </w:t>
      </w:r>
      <w:r w:rsidR="009E75AA" w:rsidRPr="00DD25D7">
        <w:t>≤</w:t>
      </w:r>
      <w:r w:rsidR="000869B9" w:rsidRPr="00DD25D7">
        <w:t xml:space="preserve"> </w:t>
      </w:r>
      <w:r w:rsidR="009E75AA" w:rsidRPr="00290B25">
        <w:t xml:space="preserve">65 years of age. The study assessed the safety, tolerability, and immunogenicity of 120 µg bivalent rLP2086 administered on a 0, 2, </w:t>
      </w:r>
      <w:r w:rsidR="00743EF5" w:rsidRPr="00290B25">
        <w:t>6 month</w:t>
      </w:r>
      <w:r w:rsidR="009E75AA" w:rsidRPr="00290B25">
        <w:t xml:space="preserve"> schedule. The objective of the study was to describe the immune response as measured by </w:t>
      </w:r>
      <w:proofErr w:type="spellStart"/>
      <w:r w:rsidR="009E75AA" w:rsidRPr="00290B25">
        <w:t>hSBA</w:t>
      </w:r>
      <w:proofErr w:type="spellEnd"/>
      <w:r w:rsidR="009E75AA" w:rsidRPr="00290B25">
        <w:t xml:space="preserve"> performed with 4 primary </w:t>
      </w:r>
      <w:proofErr w:type="spellStart"/>
      <w:r w:rsidR="009E75AA" w:rsidRPr="00290B25">
        <w:t>MnB</w:t>
      </w:r>
      <w:proofErr w:type="spellEnd"/>
      <w:r w:rsidR="009E75AA" w:rsidRPr="00290B25">
        <w:t xml:space="preserve"> test strains measured 1 month after the third dose of bivalent rLP2086</w:t>
      </w:r>
      <w:r w:rsidR="00743EF5" w:rsidRPr="00290B25">
        <w:t>.</w:t>
      </w:r>
    </w:p>
    <w:p w:rsidR="00743EF5" w:rsidRPr="00290B25" w:rsidRDefault="009E75AA" w:rsidP="009E75AA">
      <w:r w:rsidRPr="00290B25">
        <w:t>A total of 13 enrolled subjects, aged 24 to 62 years, were included in this</w:t>
      </w:r>
      <w:r w:rsidR="000869B9" w:rsidRPr="00290B25">
        <w:t xml:space="preserve"> study. Five</w:t>
      </w:r>
      <w:r w:rsidRPr="00290B25">
        <w:t xml:space="preserve"> subjects were </w:t>
      </w:r>
      <w:r w:rsidRPr="00DD25D7">
        <w:t>≤</w:t>
      </w:r>
      <w:r w:rsidR="000869B9" w:rsidRPr="00DD25D7">
        <w:t xml:space="preserve"> </w:t>
      </w:r>
      <w:r w:rsidRPr="00290B25">
        <w:t>40 years and 8 subjects were &gt;40 years of age. Of the 13 subjects vaccinated, 6 subjects were included in the evaluable immunogenicity population (per-protocol)</w:t>
      </w:r>
      <w:r w:rsidR="00743EF5" w:rsidRPr="00290B25">
        <w:t>.</w:t>
      </w:r>
    </w:p>
    <w:p w:rsidR="00743EF5" w:rsidRPr="00290B25" w:rsidRDefault="009E75AA" w:rsidP="009E75AA">
      <w:r w:rsidRPr="00290B25">
        <w:lastRenderedPageBreak/>
        <w:t xml:space="preserve">At 1 month after Dose 3, 6 of 6 subjects had an </w:t>
      </w:r>
      <w:proofErr w:type="spellStart"/>
      <w:r w:rsidRPr="00290B25">
        <w:t>hSBA</w:t>
      </w:r>
      <w:proofErr w:type="spellEnd"/>
      <w:r w:rsidRPr="00290B25">
        <w:t xml:space="preserve"> </w:t>
      </w:r>
      <w:r w:rsidR="00EA5CCB" w:rsidRPr="00290B25">
        <w:t>titre</w:t>
      </w:r>
      <w:r w:rsidRPr="00290B25">
        <w:t xml:space="preserve"> </w:t>
      </w:r>
      <w:r w:rsidR="00743EF5" w:rsidRPr="00DD25D7">
        <w:t xml:space="preserve">≥ </w:t>
      </w:r>
      <w:r w:rsidRPr="00290B25">
        <w:t xml:space="preserve">LLOQ for PMB80 (A22) and PMB2948 (B24), 5 of 5 subjects had an </w:t>
      </w:r>
      <w:proofErr w:type="spellStart"/>
      <w:r w:rsidRPr="00290B25">
        <w:t>hSBA</w:t>
      </w:r>
      <w:proofErr w:type="spellEnd"/>
      <w:r w:rsidRPr="00290B25">
        <w:t xml:space="preserve"> </w:t>
      </w:r>
      <w:r w:rsidR="00EA5CCB" w:rsidRPr="00290B25">
        <w:t>titre</w:t>
      </w:r>
      <w:r w:rsidRPr="00290B25">
        <w:t xml:space="preserve"> </w:t>
      </w:r>
      <w:r w:rsidR="00743EF5" w:rsidRPr="00DD25D7">
        <w:t xml:space="preserve">≥ </w:t>
      </w:r>
      <w:r w:rsidRPr="00290B25">
        <w:t xml:space="preserve">LLOQ for PMB2001 (A56), and 3 </w:t>
      </w:r>
      <w:r w:rsidRPr="00DD25D7">
        <w:t>of</w:t>
      </w:r>
      <w:r w:rsidR="000869B9" w:rsidRPr="00DD25D7">
        <w:t xml:space="preserve"> </w:t>
      </w:r>
      <w:r w:rsidRPr="00DD25D7">
        <w:t xml:space="preserve">6 subjects had an </w:t>
      </w:r>
      <w:proofErr w:type="spellStart"/>
      <w:r w:rsidRPr="00290B25">
        <w:t>hSBA</w:t>
      </w:r>
      <w:proofErr w:type="spellEnd"/>
      <w:r w:rsidRPr="00290B25">
        <w:t xml:space="preserve"> </w:t>
      </w:r>
      <w:r w:rsidR="00EA5CCB" w:rsidRPr="00290B25">
        <w:t>titre</w:t>
      </w:r>
      <w:r w:rsidRPr="00290B25">
        <w:t xml:space="preserve"> </w:t>
      </w:r>
      <w:r w:rsidR="00743EF5" w:rsidRPr="00DD25D7">
        <w:t xml:space="preserve">≥ </w:t>
      </w:r>
      <w:r w:rsidRPr="00290B25">
        <w:t>LLOQ for PMB2707 (B44)</w:t>
      </w:r>
      <w:r w:rsidR="00743EF5" w:rsidRPr="00290B25">
        <w:t>.</w:t>
      </w:r>
    </w:p>
    <w:p w:rsidR="00743EF5" w:rsidRPr="00290B25" w:rsidRDefault="009E75AA" w:rsidP="009E75AA">
      <w:r w:rsidRPr="00290B25">
        <w:t xml:space="preserve">When </w:t>
      </w:r>
      <w:r w:rsidR="00743EF5" w:rsidRPr="00290B25">
        <w:t>Phase III</w:t>
      </w:r>
      <w:r w:rsidRPr="00290B25">
        <w:t xml:space="preserve"> primary endpoints were assessed, 5 of 6 subjects achieved an </w:t>
      </w:r>
      <w:proofErr w:type="spellStart"/>
      <w:r w:rsidRPr="00290B25">
        <w:t>hSBA</w:t>
      </w:r>
      <w:proofErr w:type="spellEnd"/>
      <w:r w:rsidRPr="00290B25">
        <w:t xml:space="preserve"> </w:t>
      </w:r>
      <w:r w:rsidR="00EA5CCB" w:rsidRPr="00290B25">
        <w:t>titre</w:t>
      </w:r>
      <w:r w:rsidRPr="00290B25">
        <w:t xml:space="preserve"> fold rise </w:t>
      </w:r>
      <w:r w:rsidR="00743EF5" w:rsidRPr="00DD25D7">
        <w:t xml:space="preserve">≥ </w:t>
      </w:r>
      <w:r w:rsidRPr="00290B25">
        <w:t xml:space="preserve">4 from </w:t>
      </w:r>
      <w:r w:rsidR="008B4D82" w:rsidRPr="00290B25">
        <w:t>Baseline</w:t>
      </w:r>
      <w:r w:rsidRPr="00290B25">
        <w:t xml:space="preserve"> to 1 month after Dose 3 for PMB80 (A22), 5 of 5 subjects for PMB2001 (A56), 4 of 6 subjects for PMB2948 (B24), and 3 of 6 subjects for PMB2707 (B44). Three (3) of 5 subjects achieved a composite </w:t>
      </w:r>
      <w:proofErr w:type="spellStart"/>
      <w:r w:rsidRPr="00290B25">
        <w:t>hSBA</w:t>
      </w:r>
      <w:proofErr w:type="spellEnd"/>
      <w:r w:rsidRPr="00290B25">
        <w:t xml:space="preserve"> response (</w:t>
      </w:r>
      <w:proofErr w:type="spellStart"/>
      <w:r w:rsidRPr="00290B25">
        <w:t>hSBA</w:t>
      </w:r>
      <w:proofErr w:type="spellEnd"/>
      <w:r w:rsidRPr="00290B25">
        <w:t xml:space="preserve"> </w:t>
      </w:r>
      <w:r w:rsidR="00743EF5" w:rsidRPr="00DD25D7">
        <w:t xml:space="preserve">≥ </w:t>
      </w:r>
      <w:r w:rsidRPr="00290B25">
        <w:t>LLOQ for all 4 primary strains combined</w:t>
      </w:r>
      <w:r w:rsidR="00743EF5" w:rsidRPr="00290B25">
        <w:t>.</w:t>
      </w:r>
    </w:p>
    <w:p w:rsidR="00743EF5" w:rsidRPr="00290B25" w:rsidRDefault="009E75AA" w:rsidP="009E75AA">
      <w:r w:rsidRPr="00290B25">
        <w:t xml:space="preserve">While the number of subjects is limited, these data in an older population demonstrate that a protective immune response can be elicited after 3 doses of bivalent rLP2086 in adults, as measured by a </w:t>
      </w:r>
      <w:r w:rsidR="00743EF5" w:rsidRPr="00290B25">
        <w:t>4 fold</w:t>
      </w:r>
      <w:r w:rsidRPr="00290B25">
        <w:t xml:space="preserve"> rise in </w:t>
      </w:r>
      <w:proofErr w:type="spellStart"/>
      <w:r w:rsidRPr="00290B25">
        <w:t>hSBA</w:t>
      </w:r>
      <w:proofErr w:type="spellEnd"/>
      <w:r w:rsidRPr="00290B25">
        <w:t xml:space="preserve"> </w:t>
      </w:r>
      <w:r w:rsidR="00EA5CCB" w:rsidRPr="00290B25">
        <w:t>titre</w:t>
      </w:r>
      <w:r w:rsidRPr="00290B25">
        <w:t xml:space="preserve">s from </w:t>
      </w:r>
      <w:r w:rsidR="008B4D82" w:rsidRPr="00290B25">
        <w:t>Baseline</w:t>
      </w:r>
      <w:r w:rsidRPr="00290B25">
        <w:t xml:space="preserve"> and composite response as well as the proportion of subjects with </w:t>
      </w:r>
      <w:proofErr w:type="spellStart"/>
      <w:r w:rsidRPr="00290B25">
        <w:t>hSBA</w:t>
      </w:r>
      <w:proofErr w:type="spellEnd"/>
      <w:r w:rsidRPr="00290B25">
        <w:t xml:space="preserve"> </w:t>
      </w:r>
      <w:r w:rsidR="00EA5CCB" w:rsidRPr="00290B25">
        <w:t>titre</w:t>
      </w:r>
      <w:r w:rsidRPr="00290B25">
        <w:t xml:space="preserve">s </w:t>
      </w:r>
      <w:r w:rsidR="00743EF5" w:rsidRPr="00DD25D7">
        <w:t xml:space="preserve">≥ </w:t>
      </w:r>
      <w:r w:rsidRPr="00290B25">
        <w:t>LLOQ</w:t>
      </w:r>
      <w:r w:rsidR="00743EF5" w:rsidRPr="00290B25">
        <w:t>.</w:t>
      </w:r>
    </w:p>
    <w:p w:rsidR="009E75AA" w:rsidRPr="00290B25" w:rsidRDefault="009E75AA" w:rsidP="009E75AA">
      <w:r w:rsidRPr="00290B25">
        <w:t>The following 3 studies a</w:t>
      </w:r>
      <w:r w:rsidR="000869B9" w:rsidRPr="00290B25">
        <w:t>re early immunogenicity studies.</w:t>
      </w:r>
    </w:p>
    <w:p w:rsidR="009E75AA" w:rsidRPr="00DD25D7" w:rsidRDefault="009E75AA" w:rsidP="009E75AA">
      <w:pPr>
        <w:pStyle w:val="Heading4"/>
      </w:pPr>
      <w:r w:rsidRPr="00DD25D7">
        <w:t>Study B1971003</w:t>
      </w:r>
    </w:p>
    <w:p w:rsidR="00743EF5" w:rsidRPr="00290B25" w:rsidRDefault="009E75AA" w:rsidP="009E75AA">
      <w:r w:rsidRPr="00290B25">
        <w:t xml:space="preserve">Study B1971003 was a </w:t>
      </w:r>
      <w:r w:rsidR="00743EF5" w:rsidRPr="00290B25">
        <w:t>Phase I/II</w:t>
      </w:r>
      <w:r w:rsidRPr="00290B25">
        <w:t xml:space="preserve"> </w:t>
      </w:r>
      <w:r w:rsidR="00743EF5" w:rsidRPr="00290B25">
        <w:t>open label</w:t>
      </w:r>
      <w:r w:rsidRPr="00290B25">
        <w:t xml:space="preserve"> study, in which 60 subjects (18 to 40 years of age) received 120 µg of bivalent rLP2086 on a 0, 1, </w:t>
      </w:r>
      <w:r w:rsidR="00743EF5" w:rsidRPr="00290B25">
        <w:t>6 month</w:t>
      </w:r>
      <w:r w:rsidRPr="00290B25">
        <w:t xml:space="preserve"> schedule</w:t>
      </w:r>
      <w:r w:rsidR="00743EF5" w:rsidRPr="00290B25">
        <w:t>.</w:t>
      </w:r>
    </w:p>
    <w:p w:rsidR="00743EF5" w:rsidRPr="00290B25" w:rsidRDefault="009E75AA" w:rsidP="009E75AA">
      <w:r w:rsidRPr="00290B25">
        <w:t xml:space="preserve">This study was designed for serological assay development. An exploratory objective of this study was to assess the immunogenicity of 120 µg of bivalent rLP2086 as measured by </w:t>
      </w:r>
      <w:proofErr w:type="spellStart"/>
      <w:r w:rsidRPr="00290B25">
        <w:t>hSBA</w:t>
      </w:r>
      <w:proofErr w:type="spellEnd"/>
      <w:r w:rsidRPr="00290B25">
        <w:t xml:space="preserve"> and/or levels of antibody specific to antigens in bivalent rLP2086. Functional antibody responses using </w:t>
      </w:r>
      <w:proofErr w:type="spellStart"/>
      <w:r w:rsidRPr="00290B25">
        <w:t>hSBA</w:t>
      </w:r>
      <w:proofErr w:type="spellEnd"/>
      <w:r w:rsidRPr="00290B25">
        <w:t xml:space="preserve"> were performed with the following </w:t>
      </w:r>
      <w:proofErr w:type="spellStart"/>
      <w:r w:rsidRPr="00290B25">
        <w:t>MnB</w:t>
      </w:r>
      <w:proofErr w:type="spellEnd"/>
      <w:r w:rsidRPr="00290B25">
        <w:t xml:space="preserve"> test strains: PMB1745 (A05), which expresses an </w:t>
      </w:r>
      <w:proofErr w:type="spellStart"/>
      <w:r w:rsidRPr="00290B25">
        <w:t>fHBP</w:t>
      </w:r>
      <w:proofErr w:type="spellEnd"/>
      <w:r w:rsidRPr="00290B25">
        <w:t xml:space="preserve"> variant homologous to one of bivalent rLP2086 antigens, rLP2086-A05, and PMB17 (B02), which expresses an </w:t>
      </w:r>
      <w:proofErr w:type="spellStart"/>
      <w:r w:rsidRPr="00290B25">
        <w:t>fHBP</w:t>
      </w:r>
      <w:proofErr w:type="spellEnd"/>
      <w:r w:rsidRPr="00290B25">
        <w:t xml:space="preserve"> variant that is heterologous to the other vaccine antigen, rLP2086-B01. The immune response data were determined using a qualified </w:t>
      </w:r>
      <w:proofErr w:type="spellStart"/>
      <w:r w:rsidRPr="00290B25">
        <w:t>hSBA</w:t>
      </w:r>
      <w:proofErr w:type="spellEnd"/>
      <w:r w:rsidRPr="00290B25">
        <w:t xml:space="preserve">, and results were reported as interpolated </w:t>
      </w:r>
      <w:r w:rsidR="00EA5CCB" w:rsidRPr="00290B25">
        <w:t>titre</w:t>
      </w:r>
      <w:r w:rsidRPr="00290B25">
        <w:t>s</w:t>
      </w:r>
      <w:r w:rsidR="00743EF5" w:rsidRPr="00290B25">
        <w:t>.</w:t>
      </w:r>
    </w:p>
    <w:p w:rsidR="00743EF5" w:rsidRPr="00290B25" w:rsidRDefault="009E75AA" w:rsidP="009E75AA">
      <w:r w:rsidRPr="00290B25">
        <w:t>Sixty subjects (</w:t>
      </w:r>
      <w:proofErr w:type="spellStart"/>
      <w:r w:rsidRPr="00290B25">
        <w:t>mITT</w:t>
      </w:r>
      <w:proofErr w:type="spellEnd"/>
      <w:r w:rsidRPr="00290B25">
        <w:t xml:space="preserve"> population) were included in the immunogenicity analyses</w:t>
      </w:r>
      <w:r w:rsidR="00743EF5" w:rsidRPr="00290B25">
        <w:t>.</w:t>
      </w:r>
    </w:p>
    <w:p w:rsidR="009E75AA" w:rsidRPr="00290B25" w:rsidRDefault="009E75AA" w:rsidP="009E75AA">
      <w:r w:rsidRPr="00290B25">
        <w:t xml:space="preserve">The proportions of subjects with </w:t>
      </w:r>
      <w:proofErr w:type="spellStart"/>
      <w:r w:rsidRPr="00290B25">
        <w:t>hSBA</w:t>
      </w:r>
      <w:proofErr w:type="spellEnd"/>
      <w:r w:rsidRPr="00290B25">
        <w:t xml:space="preserve"> </w:t>
      </w:r>
      <w:r w:rsidR="00EA5CCB" w:rsidRPr="00290B25">
        <w:t>titre</w:t>
      </w:r>
      <w:r w:rsidRPr="00290B25">
        <w:t xml:space="preserve">s </w:t>
      </w:r>
      <w:r w:rsidR="00743EF5" w:rsidRPr="00DD25D7">
        <w:t xml:space="preserve">≥ </w:t>
      </w:r>
      <w:r w:rsidRPr="00290B25">
        <w:t xml:space="preserve">1:4 for </w:t>
      </w:r>
      <w:proofErr w:type="spellStart"/>
      <w:r w:rsidRPr="00290B25">
        <w:t>MnB</w:t>
      </w:r>
      <w:proofErr w:type="spellEnd"/>
      <w:r w:rsidRPr="00290B25">
        <w:t xml:space="preserve"> test strains PMB1745 (A05) and PMB17 (B02) were 74.5% and 69.6% after Dose 2, respectively, and 94.3% and 9</w:t>
      </w:r>
      <w:r w:rsidR="000869B9" w:rsidRPr="00290B25">
        <w:t>4.1% after Dose 3, respectively.</w:t>
      </w:r>
    </w:p>
    <w:p w:rsidR="009E75AA" w:rsidRPr="00DD25D7" w:rsidRDefault="00752493" w:rsidP="009E75AA">
      <w:pPr>
        <w:pStyle w:val="Heading4"/>
      </w:pPr>
      <w:r w:rsidRPr="00DD25D7">
        <w:t>Study B1971004</w:t>
      </w:r>
    </w:p>
    <w:p w:rsidR="009E75AA" w:rsidRPr="00290B25" w:rsidRDefault="009E75AA" w:rsidP="009E75AA">
      <w:r w:rsidRPr="00290B25">
        <w:t xml:space="preserve">Study B1971004 was a </w:t>
      </w:r>
      <w:r w:rsidR="00743EF5" w:rsidRPr="00290B25">
        <w:t>Phase I</w:t>
      </w:r>
      <w:r w:rsidR="000869B9" w:rsidRPr="00290B25">
        <w:t xml:space="preserve">, single </w:t>
      </w:r>
      <w:proofErr w:type="spellStart"/>
      <w:r w:rsidR="000869B9" w:rsidRPr="00290B25">
        <w:t>center</w:t>
      </w:r>
      <w:proofErr w:type="spellEnd"/>
      <w:r w:rsidRPr="00290B25">
        <w:t>, random</w:t>
      </w:r>
      <w:r w:rsidR="00292798" w:rsidRPr="00290B25">
        <w:t>ise</w:t>
      </w:r>
      <w:r w:rsidRPr="00290B25">
        <w:t xml:space="preserve">d, </w:t>
      </w:r>
      <w:r w:rsidR="00743EF5" w:rsidRPr="00290B25">
        <w:t>open label</w:t>
      </w:r>
      <w:r w:rsidR="000869B9" w:rsidRPr="00290B25">
        <w:t>, active</w:t>
      </w:r>
      <w:r w:rsidRPr="00290B25">
        <w:t xml:space="preserve"> and </w:t>
      </w:r>
      <w:r w:rsidR="00743EF5" w:rsidRPr="00290B25">
        <w:t xml:space="preserve">placebo </w:t>
      </w:r>
      <w:r w:rsidR="00A315FB" w:rsidRPr="00290B25">
        <w:t>controlled</w:t>
      </w:r>
      <w:r w:rsidRPr="00290B25">
        <w:t xml:space="preserve"> </w:t>
      </w:r>
      <w:r w:rsidR="00D44CEC" w:rsidRPr="00290B25">
        <w:t>parallel group</w:t>
      </w:r>
      <w:r w:rsidRPr="00290B25">
        <w:t xml:space="preserve"> study in healthy adults. A total of 48 subjects (18 </w:t>
      </w:r>
      <w:r w:rsidRPr="00DD25D7">
        <w:t>to</w:t>
      </w:r>
      <w:r w:rsidR="000869B9" w:rsidRPr="00DD25D7">
        <w:t xml:space="preserve"> </w:t>
      </w:r>
      <w:r w:rsidRPr="00DD25D7">
        <w:t>40 years of age) received bivalent rLP2086 at either 60 µg, 120 µg, or 200 µg dose levels or the control regimen (</w:t>
      </w:r>
      <w:proofErr w:type="spellStart"/>
      <w:r w:rsidRPr="00290B25">
        <w:t>Tdap</w:t>
      </w:r>
      <w:proofErr w:type="spellEnd"/>
      <w:r w:rsidRPr="00290B25">
        <w:t xml:space="preserve">/saline) on a 0, 2, </w:t>
      </w:r>
      <w:r w:rsidR="00743EF5" w:rsidRPr="00290B25">
        <w:t>6 month</w:t>
      </w:r>
      <w:r w:rsidRPr="00290B25">
        <w:t xml:space="preserve"> schedule.</w:t>
      </w:r>
    </w:p>
    <w:p w:rsidR="00743EF5" w:rsidRPr="00290B25" w:rsidRDefault="009E75AA" w:rsidP="009E75AA">
      <w:r w:rsidRPr="00290B25">
        <w:t xml:space="preserve">The immunogenicity objective of this study was to assess the immunogenicity of the 3 dose levels of bivalent rLP2086 as determined by serum IgG binding antibody </w:t>
      </w:r>
      <w:r w:rsidR="00EA5CCB" w:rsidRPr="00290B25">
        <w:t>titre</w:t>
      </w:r>
      <w:r w:rsidRPr="00290B25">
        <w:t xml:space="preserve">s elicited by bivalent rLP2086. The </w:t>
      </w:r>
      <w:proofErr w:type="spellStart"/>
      <w:r w:rsidRPr="00290B25">
        <w:t>mITT</w:t>
      </w:r>
      <w:proofErr w:type="spellEnd"/>
      <w:r w:rsidRPr="00290B25">
        <w:t xml:space="preserve"> population (n</w:t>
      </w:r>
      <w:r w:rsidR="000869B9" w:rsidRPr="00290B25">
        <w:t xml:space="preserve"> </w:t>
      </w:r>
      <w:r w:rsidRPr="00290B25">
        <w:t>=</w:t>
      </w:r>
      <w:r w:rsidR="000869B9" w:rsidRPr="00290B25">
        <w:t xml:space="preserve"> </w:t>
      </w:r>
      <w:r w:rsidRPr="00290B25">
        <w:t>48) was used for the immunogenicity analyses</w:t>
      </w:r>
      <w:r w:rsidR="00743EF5" w:rsidRPr="00290B25">
        <w:t>.</w:t>
      </w:r>
    </w:p>
    <w:p w:rsidR="009D786E" w:rsidRDefault="009E75AA" w:rsidP="009E75AA">
      <w:r w:rsidRPr="00290B25">
        <w:t>Increases in IgG GMTs relative to predose levels were observed for each of the vaccine antigens after administration of bivalent rLP2086 at the 60 µg, 120 µg, or 200 µg dose levels, with a tendency toward higher IgG GMTs with each subsequent dose</w:t>
      </w:r>
    </w:p>
    <w:p w:rsidR="009E75AA" w:rsidRPr="00DD25D7" w:rsidRDefault="009E75AA" w:rsidP="009E75AA">
      <w:pPr>
        <w:pStyle w:val="Heading4"/>
      </w:pPr>
      <w:r w:rsidRPr="00DD25D7">
        <w:t>Study B19710</w:t>
      </w:r>
      <w:r w:rsidR="00752493" w:rsidRPr="00DD25D7">
        <w:t>05</w:t>
      </w:r>
    </w:p>
    <w:p w:rsidR="00743EF5" w:rsidRPr="00290B25" w:rsidRDefault="009E75AA" w:rsidP="009E75AA">
      <w:r w:rsidRPr="00290B25">
        <w:t>Study B1971005 was a random</w:t>
      </w:r>
      <w:r w:rsidR="00292798" w:rsidRPr="00290B25">
        <w:t>ise</w:t>
      </w:r>
      <w:r w:rsidRPr="00290B25">
        <w:t xml:space="preserve">d, </w:t>
      </w:r>
      <w:r w:rsidR="00743EF5" w:rsidRPr="00290B25">
        <w:t>single blind</w:t>
      </w:r>
      <w:r w:rsidRPr="00290B25">
        <w:t xml:space="preserve">, </w:t>
      </w:r>
      <w:r w:rsidR="00743EF5" w:rsidRPr="00290B25">
        <w:t>placebo controlled</w:t>
      </w:r>
      <w:r w:rsidRPr="00290B25">
        <w:t xml:space="preserve">, </w:t>
      </w:r>
      <w:r w:rsidR="00743EF5" w:rsidRPr="00290B25">
        <w:t>Phase II</w:t>
      </w:r>
      <w:r w:rsidRPr="00290B25">
        <w:t xml:space="preserve"> trial of the safety, immunogenicity, and tolerability of bivalent rLP2086 at doses of 60 µg, 120 µg, or 200 µg (using a 0, 2, </w:t>
      </w:r>
      <w:r w:rsidR="00743EF5" w:rsidRPr="00290B25">
        <w:t>6 month</w:t>
      </w:r>
      <w:r w:rsidRPr="00290B25">
        <w:t xml:space="preserve"> schedule) in healthy adolescents 11 to 18 years old. The study was conducted in 2 stages. Stage 1 was designed to assess the safety and immunogenicity of bivalent rLP2086 and to provide the basis for the dose level selection. Stage 2 of the study was exploratory and was designed to evaluate the duration of the </w:t>
      </w:r>
      <w:proofErr w:type="spellStart"/>
      <w:r w:rsidRPr="00290B25">
        <w:t>MnB</w:t>
      </w:r>
      <w:proofErr w:type="spellEnd"/>
      <w:r w:rsidRPr="00290B25">
        <w:t>-specific immune responses for up to 4 years after the third vaccination</w:t>
      </w:r>
      <w:r w:rsidR="00743EF5" w:rsidRPr="00290B25">
        <w:t>.</w:t>
      </w:r>
    </w:p>
    <w:p w:rsidR="009E75AA" w:rsidRPr="00290B25" w:rsidRDefault="000869B9" w:rsidP="000869B9">
      <w:pPr>
        <w:pStyle w:val="Heading5"/>
      </w:pPr>
      <w:r w:rsidRPr="00290B25">
        <w:lastRenderedPageBreak/>
        <w:t>Stage 1</w:t>
      </w:r>
    </w:p>
    <w:p w:rsidR="00743EF5" w:rsidRPr="00290B25" w:rsidRDefault="009E75AA" w:rsidP="009E75AA">
      <w:r w:rsidRPr="00290B25">
        <w:t xml:space="preserve">Immunogenicity endpoints were evaluated for 60 µg, 120 µg, and 200 µg of bivalent rLP2086 in </w:t>
      </w:r>
      <w:proofErr w:type="spellStart"/>
      <w:r w:rsidRPr="00290B25">
        <w:t>hSBAs</w:t>
      </w:r>
      <w:proofErr w:type="spellEnd"/>
      <w:r w:rsidRPr="00290B25">
        <w:t xml:space="preserve"> obtained with 2 of the 4 primary </w:t>
      </w:r>
      <w:proofErr w:type="spellStart"/>
      <w:r w:rsidRPr="00290B25">
        <w:t>MnB</w:t>
      </w:r>
      <w:proofErr w:type="spellEnd"/>
      <w:r w:rsidRPr="00290B25">
        <w:t xml:space="preserve"> test strains, PMB2001 (A56) and PMB2707 (B44), and additional </w:t>
      </w:r>
      <w:proofErr w:type="spellStart"/>
      <w:r w:rsidRPr="00290B25">
        <w:t>MnB</w:t>
      </w:r>
      <w:proofErr w:type="spellEnd"/>
      <w:r w:rsidRPr="00290B25">
        <w:t xml:space="preserve"> test strains PMB3302 (A04), PMB1745 (A05), PMB17 (B02), and PMB1256 (B03). The primary endpoint was the proportion of subjects achieving a </w:t>
      </w:r>
      <w:r w:rsidR="00743EF5" w:rsidRPr="00290B25">
        <w:t>4 fold</w:t>
      </w:r>
      <w:r w:rsidRPr="00290B25">
        <w:t xml:space="preserve"> rise in </w:t>
      </w:r>
      <w:proofErr w:type="spellStart"/>
      <w:r w:rsidRPr="00290B25">
        <w:t>hSBA</w:t>
      </w:r>
      <w:proofErr w:type="spellEnd"/>
      <w:r w:rsidRPr="00290B25">
        <w:t xml:space="preserve"> </w:t>
      </w:r>
      <w:r w:rsidR="00EA5CCB" w:rsidRPr="00290B25">
        <w:t>titre</w:t>
      </w:r>
      <w:r w:rsidRPr="00290B25">
        <w:t xml:space="preserve"> from </w:t>
      </w:r>
      <w:r w:rsidR="008B4D82" w:rsidRPr="00290B25">
        <w:t>Baseline</w:t>
      </w:r>
      <w:r w:rsidRPr="00290B25">
        <w:t xml:space="preserve"> (pre-dose 1) after Dose 2 and Dose 3 for the </w:t>
      </w:r>
      <w:proofErr w:type="spellStart"/>
      <w:r w:rsidRPr="00290B25">
        <w:t>MnB</w:t>
      </w:r>
      <w:proofErr w:type="spellEnd"/>
      <w:r w:rsidRPr="00290B25">
        <w:t xml:space="preserve"> test strains, PMB1745 (A05) and PMB17 (B02), for the </w:t>
      </w:r>
      <w:proofErr w:type="spellStart"/>
      <w:r w:rsidRPr="00290B25">
        <w:t>mITT</w:t>
      </w:r>
      <w:proofErr w:type="spellEnd"/>
      <w:r w:rsidRPr="00290B25">
        <w:t xml:space="preserve"> Population. The </w:t>
      </w:r>
      <w:proofErr w:type="spellStart"/>
      <w:r w:rsidRPr="00290B25">
        <w:t>mITT</w:t>
      </w:r>
      <w:proofErr w:type="spellEnd"/>
      <w:r w:rsidRPr="00290B25">
        <w:t xml:space="preserve"> population was the primary analysis population and included the following: control (</w:t>
      </w:r>
      <w:r w:rsidR="000869B9" w:rsidRPr="00290B25">
        <w:t xml:space="preserve">n = </w:t>
      </w:r>
      <w:r w:rsidRPr="00290B25">
        <w:t>119); 60 µg (</w:t>
      </w:r>
      <w:r w:rsidR="000869B9" w:rsidRPr="00290B25">
        <w:t xml:space="preserve">n = </w:t>
      </w:r>
      <w:r w:rsidRPr="00290B25">
        <w:t>22); 120 µg (</w:t>
      </w:r>
      <w:r w:rsidR="000869B9" w:rsidRPr="00290B25">
        <w:t xml:space="preserve">n = </w:t>
      </w:r>
      <w:r w:rsidRPr="00290B25">
        <w:t>195); and 200 µg (</w:t>
      </w:r>
      <w:r w:rsidR="000869B9" w:rsidRPr="00290B25">
        <w:t xml:space="preserve">n = </w:t>
      </w:r>
      <w:r w:rsidRPr="00290B25">
        <w:t>192)</w:t>
      </w:r>
      <w:r w:rsidR="00743EF5" w:rsidRPr="00290B25">
        <w:t>.</w:t>
      </w:r>
    </w:p>
    <w:p w:rsidR="00743EF5" w:rsidRPr="00290B25" w:rsidRDefault="009E75AA" w:rsidP="009E75AA">
      <w:r w:rsidRPr="00290B25">
        <w:t xml:space="preserve">Primary strain PMB2001 (A56): The proportions of subjects with </w:t>
      </w:r>
      <w:r w:rsidR="00743EF5" w:rsidRPr="00DD25D7">
        <w:t xml:space="preserve">≥ </w:t>
      </w:r>
      <w:r w:rsidR="00743EF5" w:rsidRPr="00290B25">
        <w:t>4 fold</w:t>
      </w:r>
      <w:r w:rsidRPr="00290B25">
        <w:t xml:space="preserve"> rise in </w:t>
      </w:r>
      <w:proofErr w:type="spellStart"/>
      <w:r w:rsidRPr="00290B25">
        <w:t>hSBA</w:t>
      </w:r>
      <w:proofErr w:type="spellEnd"/>
      <w:r w:rsidRPr="00290B25">
        <w:t xml:space="preserve"> </w:t>
      </w:r>
      <w:r w:rsidR="00EA5CCB" w:rsidRPr="00290B25">
        <w:t>titre</w:t>
      </w:r>
      <w:r w:rsidRPr="00290B25">
        <w:t xml:space="preserve">s from </w:t>
      </w:r>
      <w:r w:rsidR="008B4D82" w:rsidRPr="00290B25">
        <w:t>Baseline</w:t>
      </w:r>
      <w:r w:rsidRPr="00290B25">
        <w:t xml:space="preserve"> were &gt;</w:t>
      </w:r>
      <w:r w:rsidR="000869B9" w:rsidRPr="00290B25">
        <w:t xml:space="preserve"> </w:t>
      </w:r>
      <w:r w:rsidRPr="00290B25">
        <w:t xml:space="preserve">89% after Dose 2 and </w:t>
      </w:r>
      <w:r w:rsidR="00743EF5" w:rsidRPr="00DD25D7">
        <w:t xml:space="preserve">≥ </w:t>
      </w:r>
      <w:r w:rsidRPr="00290B25">
        <w:t>90% after Dose 3 at all dose levels</w:t>
      </w:r>
      <w:r w:rsidR="00743EF5" w:rsidRPr="00290B25">
        <w:t>.</w:t>
      </w:r>
    </w:p>
    <w:p w:rsidR="00743EF5" w:rsidRPr="00290B25" w:rsidRDefault="009E75AA" w:rsidP="009E75AA">
      <w:r w:rsidRPr="00290B25">
        <w:t xml:space="preserve">Primary strain PMB2707 (B44): the proportions of subjects with </w:t>
      </w:r>
      <w:r w:rsidR="00743EF5" w:rsidRPr="00DD25D7">
        <w:t xml:space="preserve">≥ </w:t>
      </w:r>
      <w:r w:rsidR="00743EF5" w:rsidRPr="00290B25">
        <w:t>4 fold</w:t>
      </w:r>
      <w:r w:rsidRPr="00290B25">
        <w:t xml:space="preserve"> </w:t>
      </w:r>
      <w:proofErr w:type="gramStart"/>
      <w:r w:rsidRPr="00290B25">
        <w:t>rise</w:t>
      </w:r>
      <w:proofErr w:type="gramEnd"/>
      <w:r w:rsidRPr="00290B25">
        <w:t xml:space="preserve"> in </w:t>
      </w:r>
      <w:proofErr w:type="spellStart"/>
      <w:r w:rsidRPr="00290B25">
        <w:t>hSBA</w:t>
      </w:r>
      <w:proofErr w:type="spellEnd"/>
      <w:r w:rsidRPr="00290B25">
        <w:t xml:space="preserve"> </w:t>
      </w:r>
      <w:r w:rsidR="00EA5CCB" w:rsidRPr="00290B25">
        <w:t>titre</w:t>
      </w:r>
      <w:r w:rsidRPr="00290B25">
        <w:t xml:space="preserve">s from </w:t>
      </w:r>
      <w:r w:rsidR="008B4D82" w:rsidRPr="00290B25">
        <w:t>Baseline</w:t>
      </w:r>
      <w:r w:rsidRPr="00290B25">
        <w:t xml:space="preserve"> were 61.9%, 60.7%, and 64.8% after Dose 2, which increased to 76.2%, 86.4%, and 84.4% after Dose 3 at the 60 µg, 120 µg, and 200 µg dose levels, respectively</w:t>
      </w:r>
      <w:r w:rsidR="00743EF5" w:rsidRPr="00290B25">
        <w:t>.</w:t>
      </w:r>
    </w:p>
    <w:p w:rsidR="00743EF5" w:rsidRPr="00290B25" w:rsidRDefault="009E75AA" w:rsidP="009E75AA">
      <w:r w:rsidRPr="00290B25">
        <w:t xml:space="preserve">PMB3302 (A04): the proportions of subjects with </w:t>
      </w:r>
      <w:r w:rsidR="00743EF5" w:rsidRPr="00DD25D7">
        <w:t xml:space="preserve">≥ </w:t>
      </w:r>
      <w:r w:rsidR="00743EF5" w:rsidRPr="00290B25">
        <w:t>4 fold</w:t>
      </w:r>
      <w:r w:rsidRPr="00290B25">
        <w:t xml:space="preserve"> rise in </w:t>
      </w:r>
      <w:proofErr w:type="spellStart"/>
      <w:r w:rsidRPr="00290B25">
        <w:t>hSBA</w:t>
      </w:r>
      <w:proofErr w:type="spellEnd"/>
      <w:r w:rsidRPr="00290B25">
        <w:t xml:space="preserve"> </w:t>
      </w:r>
      <w:r w:rsidR="00EA5CCB" w:rsidRPr="00290B25">
        <w:t>titre</w:t>
      </w:r>
      <w:r w:rsidRPr="00290B25">
        <w:t xml:space="preserve">s from </w:t>
      </w:r>
      <w:r w:rsidR="008B4D82" w:rsidRPr="00290B25">
        <w:t>Baseline</w:t>
      </w:r>
      <w:r w:rsidRPr="00290B25">
        <w:t xml:space="preserve"> were 92.9%, 89.0%, and 79.1% after Dose 2, and 91.7%, 93.6%, and 93.5% after Dose 3 at the 60 µg, 120 µg, and 200 µg dose levels, respectively</w:t>
      </w:r>
      <w:r w:rsidR="00743EF5" w:rsidRPr="00290B25">
        <w:t>.</w:t>
      </w:r>
    </w:p>
    <w:p w:rsidR="00743EF5" w:rsidRPr="00290B25" w:rsidRDefault="009E75AA" w:rsidP="009E75AA">
      <w:r w:rsidRPr="00290B25">
        <w:t xml:space="preserve">PMB1745 (A05): the proportions of subjects with </w:t>
      </w:r>
      <w:r w:rsidR="00743EF5" w:rsidRPr="00DD25D7">
        <w:t xml:space="preserve">≥ </w:t>
      </w:r>
      <w:r w:rsidR="00743EF5" w:rsidRPr="00290B25">
        <w:t>4 fold</w:t>
      </w:r>
      <w:r w:rsidRPr="00290B25">
        <w:t xml:space="preserve"> rise in </w:t>
      </w:r>
      <w:proofErr w:type="spellStart"/>
      <w:r w:rsidRPr="00290B25">
        <w:t>hSBA</w:t>
      </w:r>
      <w:proofErr w:type="spellEnd"/>
      <w:r w:rsidRPr="00290B25">
        <w:t xml:space="preserve"> </w:t>
      </w:r>
      <w:r w:rsidR="00EA5CCB" w:rsidRPr="00290B25">
        <w:t>titre</w:t>
      </w:r>
      <w:r w:rsidRPr="00290B25">
        <w:t xml:space="preserve">s from </w:t>
      </w:r>
      <w:r w:rsidR="008B4D82" w:rsidRPr="00290B25">
        <w:t>Baseline</w:t>
      </w:r>
      <w:r w:rsidRPr="00290B25">
        <w:t xml:space="preserve"> were 88.9%, 83.5%, and 87.7% after Dose 2, and increased to 89.5%, 92.8%, and 94.0% after Dose 3 at the 60 µg, 120 µg, and 200 µg dose levels, respectively</w:t>
      </w:r>
      <w:r w:rsidR="00743EF5" w:rsidRPr="00290B25">
        <w:t>.</w:t>
      </w:r>
    </w:p>
    <w:p w:rsidR="00743EF5" w:rsidRPr="00290B25" w:rsidRDefault="009E75AA" w:rsidP="009E75AA">
      <w:r w:rsidRPr="00290B25">
        <w:t xml:space="preserve">PMB17 (B02): the proportions of subjects with </w:t>
      </w:r>
      <w:r w:rsidR="00743EF5" w:rsidRPr="00DD25D7">
        <w:t xml:space="preserve">≥ </w:t>
      </w:r>
      <w:r w:rsidR="00743EF5" w:rsidRPr="00290B25">
        <w:t>4 fold</w:t>
      </w:r>
      <w:r w:rsidRPr="00290B25">
        <w:t xml:space="preserve"> rise in </w:t>
      </w:r>
      <w:proofErr w:type="spellStart"/>
      <w:r w:rsidRPr="00290B25">
        <w:t>hSBA</w:t>
      </w:r>
      <w:proofErr w:type="spellEnd"/>
      <w:r w:rsidRPr="00290B25">
        <w:t xml:space="preserve"> </w:t>
      </w:r>
      <w:r w:rsidR="00EA5CCB" w:rsidRPr="00290B25">
        <w:t>titre</w:t>
      </w:r>
      <w:r w:rsidRPr="00290B25">
        <w:t xml:space="preserve">s from </w:t>
      </w:r>
      <w:r w:rsidR="008B4D82" w:rsidRPr="00290B25">
        <w:t>Baseline</w:t>
      </w:r>
      <w:r w:rsidRPr="00290B25">
        <w:t xml:space="preserve"> were 71.4%, 59.5%, and 59.6% after Dose 2, and increased to 81.0%, 86.6%, and 84.8% after Dose 3 at the 60 µg, 120 µg, and 200 µg dose levels, respectively</w:t>
      </w:r>
      <w:r w:rsidR="00743EF5" w:rsidRPr="00290B25">
        <w:t>.</w:t>
      </w:r>
    </w:p>
    <w:p w:rsidR="00743EF5" w:rsidRPr="00290B25" w:rsidRDefault="009E75AA" w:rsidP="009E75AA">
      <w:r w:rsidRPr="00290B25">
        <w:t xml:space="preserve">PMB1256 (B03): the proportions of subjects with </w:t>
      </w:r>
      <w:r w:rsidR="00743EF5" w:rsidRPr="00DD25D7">
        <w:t xml:space="preserve">≥ </w:t>
      </w:r>
      <w:r w:rsidR="00743EF5" w:rsidRPr="00290B25">
        <w:t>4 fold</w:t>
      </w:r>
      <w:r w:rsidRPr="00290B25">
        <w:t xml:space="preserve"> rise in </w:t>
      </w:r>
      <w:proofErr w:type="spellStart"/>
      <w:r w:rsidRPr="00290B25">
        <w:t>hSBA</w:t>
      </w:r>
      <w:proofErr w:type="spellEnd"/>
      <w:r w:rsidRPr="00290B25">
        <w:t xml:space="preserve"> </w:t>
      </w:r>
      <w:r w:rsidR="00EA5CCB" w:rsidRPr="00290B25">
        <w:t>titre</w:t>
      </w:r>
      <w:r w:rsidRPr="00290B25">
        <w:t xml:space="preserve">s from </w:t>
      </w:r>
      <w:r w:rsidR="008B4D82" w:rsidRPr="00290B25">
        <w:t>Baseline</w:t>
      </w:r>
      <w:r w:rsidRPr="00290B25">
        <w:t xml:space="preserve"> were 21.1%, 32.3%, and 29.2% after Dose 2, and increased to 53.3%, 74.7%, and 66.3% after Dose 3 at the 60 µg, 120 µg, and 200 µg dose levels, respectively</w:t>
      </w:r>
      <w:r w:rsidR="00743EF5" w:rsidRPr="00290B25">
        <w:t>.</w:t>
      </w:r>
    </w:p>
    <w:p w:rsidR="00743EF5" w:rsidRPr="00290B25" w:rsidRDefault="009E75AA" w:rsidP="009E75AA">
      <w:r w:rsidRPr="00290B25">
        <w:t xml:space="preserve">The proportions of subjects achieving a </w:t>
      </w:r>
      <w:r w:rsidR="00743EF5" w:rsidRPr="00290B25">
        <w:t>4 fold</w:t>
      </w:r>
      <w:r w:rsidRPr="00290B25">
        <w:t xml:space="preserve"> rise in </w:t>
      </w:r>
      <w:proofErr w:type="spellStart"/>
      <w:r w:rsidRPr="00290B25">
        <w:t>hSBA</w:t>
      </w:r>
      <w:proofErr w:type="spellEnd"/>
      <w:r w:rsidRPr="00290B25">
        <w:t xml:space="preserve"> </w:t>
      </w:r>
      <w:r w:rsidR="00EA5CCB" w:rsidRPr="00290B25">
        <w:t>titre</w:t>
      </w:r>
      <w:r w:rsidRPr="00290B25">
        <w:t xml:space="preserve"> from </w:t>
      </w:r>
      <w:r w:rsidR="008B4D82" w:rsidRPr="00290B25">
        <w:t>Baseline</w:t>
      </w:r>
      <w:r w:rsidRPr="00290B25">
        <w:t xml:space="preserve"> increased as the dose level of bivalent rLP2086 increased from 60 µg to 120 µg. However, no increase in the proportions of responders was observed as the dose level increased from 120 µg </w:t>
      </w:r>
      <w:r w:rsidRPr="00DD25D7">
        <w:t>to</w:t>
      </w:r>
      <w:r w:rsidR="000869B9" w:rsidRPr="00DD25D7">
        <w:t xml:space="preserve"> </w:t>
      </w:r>
      <w:r w:rsidRPr="00DD25D7">
        <w:t>200 µg. Hence, from an immunogenicity perspective, 120 µg was chosen as the appropriate dose for adolescent subjects</w:t>
      </w:r>
      <w:r w:rsidR="00743EF5" w:rsidRPr="00290B25">
        <w:t>.</w:t>
      </w:r>
    </w:p>
    <w:p w:rsidR="000869B9" w:rsidRPr="00290B25" w:rsidRDefault="000869B9" w:rsidP="000869B9">
      <w:pPr>
        <w:pStyle w:val="Heading5"/>
      </w:pPr>
      <w:r w:rsidRPr="00290B25">
        <w:t>Stage 2</w:t>
      </w:r>
    </w:p>
    <w:p w:rsidR="009E75AA" w:rsidRPr="00290B25" w:rsidRDefault="009E75AA" w:rsidP="009E75AA">
      <w:r w:rsidRPr="00290B25">
        <w:t>Persistence of Immune Res</w:t>
      </w:r>
      <w:r w:rsidR="000869B9" w:rsidRPr="00290B25">
        <w:t>ponse in Study B1971005-Stage 2</w:t>
      </w:r>
    </w:p>
    <w:p w:rsidR="00743EF5" w:rsidRPr="00290B25" w:rsidRDefault="009E75AA" w:rsidP="009E75AA">
      <w:r w:rsidRPr="00290B25">
        <w:t xml:space="preserve">Stage 2 of Study B1971005 evaluated the duration of the </w:t>
      </w:r>
      <w:proofErr w:type="spellStart"/>
      <w:r w:rsidRPr="00290B25">
        <w:t>MnB</w:t>
      </w:r>
      <w:proofErr w:type="spellEnd"/>
      <w:r w:rsidRPr="00290B25">
        <w:t xml:space="preserve">-specific immune responses for up to 4 years (48 months) after Dose 3 with bivalent rLP2086. </w:t>
      </w:r>
      <w:proofErr w:type="gramStart"/>
      <w:r w:rsidRPr="00290B25">
        <w:t xml:space="preserve">Subjects who completed Stage 1 and received bivalent rLP2086 at the dose levels 120 µg, 200 µg, or saline control recipients, were enrolled into Stage 2 of the study, which was </w:t>
      </w:r>
      <w:r w:rsidR="00743EF5" w:rsidRPr="00290B25">
        <w:t>open label.</w:t>
      </w:r>
      <w:proofErr w:type="gramEnd"/>
    </w:p>
    <w:p w:rsidR="00743EF5" w:rsidRPr="00290B25" w:rsidRDefault="009E75AA" w:rsidP="009E75AA">
      <w:r w:rsidRPr="00290B25">
        <w:t>The results for Stage 2 include immunogenicity data starting fr</w:t>
      </w:r>
      <w:r w:rsidR="000869B9" w:rsidRPr="00290B25">
        <w:t>om a study visit conducted at 6 </w:t>
      </w:r>
      <w:r w:rsidRPr="00290B25">
        <w:t>months and 1 week after the third vaccination with bivalent rLP2086 during Stage 1 (</w:t>
      </w:r>
      <w:r w:rsidR="00032B77" w:rsidRPr="00290B25">
        <w:t>that is</w:t>
      </w:r>
      <w:r w:rsidR="00743EF5" w:rsidRPr="00290B25">
        <w:t>‘</w:t>
      </w:r>
      <w:r w:rsidR="000869B9" w:rsidRPr="00290B25">
        <w:t>6 </w:t>
      </w:r>
      <w:r w:rsidRPr="00290B25">
        <w:t xml:space="preserve">months </w:t>
      </w:r>
      <w:r w:rsidR="00032B77" w:rsidRPr="00290B25">
        <w:rPr>
          <w:lang w:eastAsia="ja-JP"/>
        </w:rPr>
        <w:t xml:space="preserve">+ </w:t>
      </w:r>
      <w:r w:rsidRPr="00290B25">
        <w:t>1 week</w:t>
      </w:r>
      <w:r w:rsidR="00743EF5" w:rsidRPr="00290B25">
        <w:t>’</w:t>
      </w:r>
      <w:r w:rsidRPr="00290B25">
        <w:t xml:space="preserve">). Immunogenicity of bivalent rLP2086 was measured by validated </w:t>
      </w:r>
      <w:proofErr w:type="spellStart"/>
      <w:r w:rsidRPr="00290B25">
        <w:t>hSBAs</w:t>
      </w:r>
      <w:proofErr w:type="spellEnd"/>
      <w:r w:rsidRPr="00290B25">
        <w:t xml:space="preserve"> with the 4 primary </w:t>
      </w:r>
      <w:proofErr w:type="spellStart"/>
      <w:r w:rsidRPr="00290B25">
        <w:t>MnB</w:t>
      </w:r>
      <w:proofErr w:type="spellEnd"/>
      <w:r w:rsidRPr="00290B25">
        <w:t xml:space="preserve"> test strains PMB80 (A22), PMB2001 (A56), PMB2948 (B24), and PMB2707 (B44) using blood samples collected at 6 months </w:t>
      </w:r>
      <w:r w:rsidR="00032B77" w:rsidRPr="00290B25">
        <w:rPr>
          <w:lang w:eastAsia="ja-JP"/>
        </w:rPr>
        <w:t xml:space="preserve">+ </w:t>
      </w:r>
      <w:r w:rsidRPr="00290B25">
        <w:t xml:space="preserve">1 week, and 12, 24, and 48 months after Dose 3. Stage 2 persistence testing using the validated </w:t>
      </w:r>
      <w:proofErr w:type="spellStart"/>
      <w:r w:rsidRPr="00290B25">
        <w:t>hSBAs</w:t>
      </w:r>
      <w:proofErr w:type="spellEnd"/>
      <w:r w:rsidRPr="00290B25">
        <w:t xml:space="preserve"> and 4 primary test strains was also performed on samples collected at Stage 1 time points (pre</w:t>
      </w:r>
      <w:r w:rsidR="000869B9" w:rsidRPr="00290B25">
        <w:t>-vaccination and 1 month after D</w:t>
      </w:r>
      <w:r w:rsidRPr="00290B25">
        <w:t>ose 3)</w:t>
      </w:r>
      <w:r w:rsidR="00743EF5" w:rsidRPr="00290B25">
        <w:t>.</w:t>
      </w:r>
    </w:p>
    <w:p w:rsidR="00743EF5" w:rsidRPr="00290B25" w:rsidRDefault="009E75AA" w:rsidP="009E75AA">
      <w:r w:rsidRPr="00290B25">
        <w:t>Of the 511 subjects who completed Stage 1 of B1971005, 401 subjects were enrolled in Stage 2 and were</w:t>
      </w:r>
      <w:r w:rsidR="000869B9" w:rsidRPr="00290B25">
        <w:t xml:space="preserve"> included in the intent to </w:t>
      </w:r>
      <w:r w:rsidRPr="00290B25">
        <w:t>treat (ITT) population. Of these subjects,</w:t>
      </w:r>
      <w:r w:rsidR="000869B9" w:rsidRPr="00290B25">
        <w:t xml:space="preserve"> </w:t>
      </w:r>
      <w:r w:rsidRPr="00290B25">
        <w:t xml:space="preserve">170 subjects were in </w:t>
      </w:r>
      <w:r w:rsidRPr="00290B25">
        <w:lastRenderedPageBreak/>
        <w:t>the 120</w:t>
      </w:r>
      <w:r w:rsidRPr="00DD25D7">
        <w:t xml:space="preserve"> </w:t>
      </w:r>
      <w:r w:rsidRPr="00290B25">
        <w:t>µg group, 151 subjects were in the 200</w:t>
      </w:r>
      <w:r w:rsidRPr="00DD25D7">
        <w:t xml:space="preserve"> </w:t>
      </w:r>
      <w:r w:rsidRPr="00290B25">
        <w:t xml:space="preserve">µg group, </w:t>
      </w:r>
      <w:r w:rsidRPr="00DD25D7">
        <w:t>and</w:t>
      </w:r>
      <w:r w:rsidR="000869B9" w:rsidRPr="00DD25D7">
        <w:t xml:space="preserve"> </w:t>
      </w:r>
      <w:r w:rsidRPr="00DD25D7">
        <w:t xml:space="preserve">80 subjects were in the control group. The number of subjects who completed Stage 2 was as follows: 141 (82.9%) subjects in the 120 </w:t>
      </w:r>
      <w:r w:rsidRPr="00290B25">
        <w:t>µg group, 128 (84.8%) subjects in the 200</w:t>
      </w:r>
      <w:r w:rsidRPr="00DD25D7">
        <w:t xml:space="preserve"> </w:t>
      </w:r>
      <w:r w:rsidRPr="00290B25">
        <w:t>µg group, and 69 (86.3%) subjects in the control group. A total of 63 (15.7%) subjects withdrew during Stage 2</w:t>
      </w:r>
      <w:r w:rsidR="00743EF5" w:rsidRPr="00290B25">
        <w:t>.</w:t>
      </w:r>
    </w:p>
    <w:p w:rsidR="00743EF5" w:rsidRPr="00290B25" w:rsidRDefault="009E75AA" w:rsidP="009E75AA">
      <w:r w:rsidRPr="00290B25">
        <w:t>The demographic characteristics were similar between the 120</w:t>
      </w:r>
      <w:r w:rsidRPr="00DD25D7">
        <w:t xml:space="preserve"> </w:t>
      </w:r>
      <w:r w:rsidRPr="00290B25">
        <w:t xml:space="preserve">µg group, </w:t>
      </w:r>
      <w:r w:rsidR="000869B9" w:rsidRPr="00290B25">
        <w:t xml:space="preserve">the </w:t>
      </w:r>
      <w:r w:rsidRPr="00290B25">
        <w:t>200</w:t>
      </w:r>
      <w:r w:rsidRPr="00DD25D7">
        <w:t xml:space="preserve"> </w:t>
      </w:r>
      <w:r w:rsidRPr="00290B25">
        <w:t xml:space="preserve">µg group, and the control group. Overall, 45.6% of subjects were male and 54.4% were female. The majority of the subjects were </w:t>
      </w:r>
      <w:r w:rsidR="00032B77" w:rsidRPr="00290B25">
        <w:t>White</w:t>
      </w:r>
      <w:r w:rsidRPr="00290B25">
        <w:t xml:space="preserve"> (98.0%) and non-Hispanic/non-Latino (99.8%). The mean age (</w:t>
      </w:r>
      <w:r w:rsidR="00032B77" w:rsidRPr="00290B25">
        <w:rPr>
          <w:lang w:eastAsia="ja-JP"/>
        </w:rPr>
        <w:t xml:space="preserve">+ </w:t>
      </w:r>
      <w:r w:rsidRPr="00290B25">
        <w:t>/- standard deviation) at informed consent (at entry to Stage 2) was 15.2 (</w:t>
      </w:r>
      <w:r w:rsidR="00032B77" w:rsidRPr="00290B25">
        <w:rPr>
          <w:lang w:eastAsia="ja-JP"/>
        </w:rPr>
        <w:t xml:space="preserve">+ </w:t>
      </w:r>
      <w:r w:rsidRPr="00290B25">
        <w:t>/-2.07)</w:t>
      </w:r>
      <w:r w:rsidR="00743EF5" w:rsidRPr="00290B25">
        <w:t>.</w:t>
      </w:r>
    </w:p>
    <w:p w:rsidR="009E75AA" w:rsidRPr="00290B25" w:rsidRDefault="009E75AA" w:rsidP="009E75AA">
      <w:r w:rsidRPr="00290B25">
        <w:t xml:space="preserve">In the control group, for each primary </w:t>
      </w:r>
      <w:proofErr w:type="spellStart"/>
      <w:r w:rsidRPr="00290B25">
        <w:t>MnB</w:t>
      </w:r>
      <w:proofErr w:type="spellEnd"/>
      <w:r w:rsidRPr="00290B25">
        <w:t xml:space="preserve"> test strain, the proportions of subjects with </w:t>
      </w:r>
      <w:proofErr w:type="spellStart"/>
      <w:r w:rsidRPr="00290B25">
        <w:t>hSBA</w:t>
      </w:r>
      <w:proofErr w:type="spellEnd"/>
      <w:r w:rsidRPr="00290B25">
        <w:t xml:space="preserve"> </w:t>
      </w:r>
      <w:r w:rsidR="00EA5CCB" w:rsidRPr="00290B25">
        <w:t>titre</w:t>
      </w:r>
      <w:r w:rsidRPr="00290B25">
        <w:t xml:space="preserve">s </w:t>
      </w:r>
      <w:r w:rsidR="00743EF5" w:rsidRPr="00DD25D7">
        <w:t xml:space="preserve">≥ </w:t>
      </w:r>
      <w:r w:rsidRPr="00290B25">
        <w:t xml:space="preserve">LLOQ were similar at the various time points (no substantial change from </w:t>
      </w:r>
      <w:r w:rsidR="008B4D82" w:rsidRPr="00290B25">
        <w:t>Baseline</w:t>
      </w:r>
      <w:r w:rsidR="000869B9" w:rsidRPr="00290B25">
        <w:t>).</w:t>
      </w:r>
    </w:p>
    <w:p w:rsidR="00743EF5" w:rsidRPr="00290B25" w:rsidRDefault="009E75AA" w:rsidP="009E75AA">
      <w:r w:rsidRPr="00290B25">
        <w:t>In the 120</w:t>
      </w:r>
      <w:r w:rsidRPr="00DD25D7">
        <w:t xml:space="preserve"> </w:t>
      </w:r>
      <w:r w:rsidRPr="00290B25">
        <w:t xml:space="preserve">µg group, for each primary </w:t>
      </w:r>
      <w:proofErr w:type="spellStart"/>
      <w:r w:rsidRPr="00290B25">
        <w:t>MnB</w:t>
      </w:r>
      <w:proofErr w:type="spellEnd"/>
      <w:r w:rsidRPr="00290B25">
        <w:t xml:space="preserve"> test strain, a substantial increase from </w:t>
      </w:r>
      <w:r w:rsidR="008B4D82" w:rsidRPr="00290B25">
        <w:t>Baseline</w:t>
      </w:r>
      <w:r w:rsidRPr="00290B25">
        <w:t xml:space="preserve"> in proportions of subjects achieving </w:t>
      </w:r>
      <w:proofErr w:type="spellStart"/>
      <w:r w:rsidRPr="00290B25">
        <w:t>hSBA</w:t>
      </w:r>
      <w:proofErr w:type="spellEnd"/>
      <w:r w:rsidRPr="00290B25">
        <w:t xml:space="preserve"> </w:t>
      </w:r>
      <w:r w:rsidR="00EA5CCB" w:rsidRPr="00290B25">
        <w:t>titre</w:t>
      </w:r>
      <w:r w:rsidRPr="00290B25">
        <w:t xml:space="preserve">s </w:t>
      </w:r>
      <w:r w:rsidR="00743EF5" w:rsidRPr="00DD25D7">
        <w:t xml:space="preserve">≥ </w:t>
      </w:r>
      <w:r w:rsidRPr="00290B25">
        <w:t xml:space="preserve">LLOQ was observed at 1 month after Dose 3. Thereafter the proportions of subjects with </w:t>
      </w:r>
      <w:proofErr w:type="spellStart"/>
      <w:r w:rsidRPr="00290B25">
        <w:t>hSBA</w:t>
      </w:r>
      <w:proofErr w:type="spellEnd"/>
      <w:r w:rsidRPr="00290B25">
        <w:t xml:space="preserve"> </w:t>
      </w:r>
      <w:r w:rsidR="00EA5CCB" w:rsidRPr="00290B25">
        <w:t>titre</w:t>
      </w:r>
      <w:r w:rsidRPr="00290B25">
        <w:t xml:space="preserve">s </w:t>
      </w:r>
      <w:r w:rsidR="00743EF5" w:rsidRPr="00DD25D7">
        <w:t xml:space="preserve">≥ </w:t>
      </w:r>
      <w:r w:rsidRPr="00290B25">
        <w:t>LLOQ</w:t>
      </w:r>
      <w:r w:rsidR="000869B9" w:rsidRPr="00290B25">
        <w:t xml:space="preserve"> declined over an approximate 6 </w:t>
      </w:r>
      <w:r w:rsidRPr="00290B25">
        <w:t xml:space="preserve">to 12 month period after Dose 3, depending on strain, and then generally remained stable through 48 months after Dose 3. For PMB80 (A22), PMB2001 (A56) and PMB2948 (B24), </w:t>
      </w:r>
      <w:proofErr w:type="spellStart"/>
      <w:r w:rsidRPr="00290B25">
        <w:t>hSBA</w:t>
      </w:r>
      <w:proofErr w:type="spellEnd"/>
      <w:r w:rsidRPr="00290B25">
        <w:t xml:space="preserve"> </w:t>
      </w:r>
      <w:r w:rsidR="00EA5CCB" w:rsidRPr="00290B25">
        <w:t>titre</w:t>
      </w:r>
      <w:r w:rsidRPr="00290B25">
        <w:t xml:space="preserve">s </w:t>
      </w:r>
      <w:r w:rsidR="00743EF5" w:rsidRPr="00DD25D7">
        <w:t xml:space="preserve">≥ </w:t>
      </w:r>
      <w:r w:rsidRPr="00290B25">
        <w:t xml:space="preserve">LLOQ ranged from 51.1% to 68.8% from 12 months through 48 months after Dose 3. For PMB2707 (B44), proportions of subjects with </w:t>
      </w:r>
      <w:proofErr w:type="spellStart"/>
      <w:r w:rsidRPr="00290B25">
        <w:t>hSBA</w:t>
      </w:r>
      <w:proofErr w:type="spellEnd"/>
      <w:r w:rsidRPr="00290B25">
        <w:t xml:space="preserve"> </w:t>
      </w:r>
      <w:r w:rsidR="00EA5CCB" w:rsidRPr="00290B25">
        <w:t>titre</w:t>
      </w:r>
      <w:r w:rsidRPr="00290B25">
        <w:t xml:space="preserve">s </w:t>
      </w:r>
      <w:r w:rsidR="00743EF5" w:rsidRPr="00DD25D7">
        <w:t xml:space="preserve">≥ </w:t>
      </w:r>
      <w:r w:rsidRPr="00290B25">
        <w:t xml:space="preserve">LLOQ were 20.4% to 29.2% from 12 months through 48 months after Dose 3. In the control group, for each primary </w:t>
      </w:r>
      <w:proofErr w:type="spellStart"/>
      <w:r w:rsidRPr="00290B25">
        <w:t>MnB</w:t>
      </w:r>
      <w:proofErr w:type="spellEnd"/>
      <w:r w:rsidRPr="00290B25">
        <w:t xml:space="preserve"> test strain, the proportions of subjects achieving defined </w:t>
      </w:r>
      <w:proofErr w:type="spellStart"/>
      <w:r w:rsidRPr="00290B25">
        <w:t>hSBA</w:t>
      </w:r>
      <w:proofErr w:type="spellEnd"/>
      <w:r w:rsidRPr="00290B25">
        <w:t xml:space="preserve"> </w:t>
      </w:r>
      <w:r w:rsidR="00EA5CCB" w:rsidRPr="00290B25">
        <w:t>titre</w:t>
      </w:r>
      <w:r w:rsidRPr="00290B25">
        <w:t>s remained approximately the same from predose (</w:t>
      </w:r>
      <w:r w:rsidR="008B4D82" w:rsidRPr="00290B25">
        <w:t>Baseline</w:t>
      </w:r>
      <w:r w:rsidRPr="00290B25">
        <w:t xml:space="preserve">) through 48 </w:t>
      </w:r>
      <w:r w:rsidR="000869B9" w:rsidRPr="00290B25">
        <w:t xml:space="preserve">months after Dose 3. In the 120 </w:t>
      </w:r>
      <w:r w:rsidRPr="00290B25">
        <w:t xml:space="preserve">µg group, for each primary </w:t>
      </w:r>
      <w:proofErr w:type="spellStart"/>
      <w:r w:rsidRPr="00290B25">
        <w:t>MnB</w:t>
      </w:r>
      <w:proofErr w:type="spellEnd"/>
      <w:r w:rsidRPr="00290B25">
        <w:t xml:space="preserve"> test strain, a substantial increase from </w:t>
      </w:r>
      <w:r w:rsidR="008B4D82" w:rsidRPr="00290B25">
        <w:t>Baseline</w:t>
      </w:r>
      <w:r w:rsidRPr="00290B25">
        <w:t xml:space="preserve"> was observed in proportions of subjects achieving defined </w:t>
      </w:r>
      <w:proofErr w:type="spellStart"/>
      <w:r w:rsidRPr="00290B25">
        <w:t>hSBA</w:t>
      </w:r>
      <w:proofErr w:type="spellEnd"/>
      <w:r w:rsidRPr="00290B25">
        <w:t xml:space="preserve"> </w:t>
      </w:r>
      <w:r w:rsidR="00EA5CCB" w:rsidRPr="00290B25">
        <w:t>titre</w:t>
      </w:r>
      <w:r w:rsidRPr="00290B25">
        <w:t xml:space="preserve">s at 1 month after Dose 3. Thereafter, the proportions of subjects achieving an </w:t>
      </w:r>
      <w:proofErr w:type="spellStart"/>
      <w:r w:rsidRPr="00290B25">
        <w:t>hSBA</w:t>
      </w:r>
      <w:proofErr w:type="spellEnd"/>
      <w:r w:rsidRPr="00290B25">
        <w:t xml:space="preserve"> </w:t>
      </w:r>
      <w:r w:rsidR="00EA5CCB" w:rsidRPr="00290B25">
        <w:t>titre</w:t>
      </w:r>
      <w:r w:rsidRPr="00290B25">
        <w:t xml:space="preserve"> </w:t>
      </w:r>
      <w:r w:rsidR="00743EF5" w:rsidRPr="00DD25D7">
        <w:t xml:space="preserve">≥ </w:t>
      </w:r>
      <w:r w:rsidRPr="00290B25">
        <w:t xml:space="preserve">1:4, </w:t>
      </w:r>
      <w:r w:rsidR="00012937" w:rsidRPr="00290B25">
        <w:t>that is,</w:t>
      </w:r>
      <w:r w:rsidRPr="00290B25">
        <w:t xml:space="preserve"> the accepted correlate of protection, declined over approximately a 6 to 1</w:t>
      </w:r>
      <w:r w:rsidR="00012937" w:rsidRPr="00290B25">
        <w:t>2 month</w:t>
      </w:r>
      <w:r w:rsidRPr="00290B25">
        <w:t xml:space="preserve"> period after Dose 3, depending on strain, and then generally remained elevated (compared to </w:t>
      </w:r>
      <w:r w:rsidR="008B4D82" w:rsidRPr="00290B25">
        <w:t>Baseline</w:t>
      </w:r>
      <w:r w:rsidRPr="00290B25">
        <w:t>) through 48 months after Dose 3</w:t>
      </w:r>
      <w:r w:rsidR="00743EF5" w:rsidRPr="00290B25">
        <w:t>.</w:t>
      </w:r>
    </w:p>
    <w:p w:rsidR="00743EF5" w:rsidRPr="00290B25" w:rsidRDefault="009E75AA" w:rsidP="009E75AA">
      <w:r w:rsidRPr="00290B25">
        <w:t xml:space="preserve">In the control group, the </w:t>
      </w:r>
      <w:proofErr w:type="spellStart"/>
      <w:r w:rsidRPr="00290B25">
        <w:t>hSBA</w:t>
      </w:r>
      <w:proofErr w:type="spellEnd"/>
      <w:r w:rsidRPr="00290B25">
        <w:t xml:space="preserve"> GMT for each strain remained approxima</w:t>
      </w:r>
      <w:r w:rsidR="000869B9" w:rsidRPr="00290B25">
        <w:t xml:space="preserve">tely the same throughout the 48 </w:t>
      </w:r>
      <w:r w:rsidRPr="00290B25">
        <w:t>mo</w:t>
      </w:r>
      <w:r w:rsidR="000869B9" w:rsidRPr="00290B25">
        <w:t xml:space="preserve">nth period; whereas, in the 120 </w:t>
      </w:r>
      <w:r w:rsidRPr="00290B25">
        <w:t xml:space="preserve">µg groups, the </w:t>
      </w:r>
      <w:proofErr w:type="spellStart"/>
      <w:r w:rsidRPr="00290B25">
        <w:t>hSBA</w:t>
      </w:r>
      <w:proofErr w:type="spellEnd"/>
      <w:r w:rsidRPr="00290B25">
        <w:t xml:space="preserve"> GMTs increased substantially from </w:t>
      </w:r>
      <w:r w:rsidR="008B4D82" w:rsidRPr="00290B25">
        <w:t>Baseline</w:t>
      </w:r>
      <w:r w:rsidRPr="00290B25">
        <w:t xml:space="preserve"> at 1 month after Dose 3. Thereafter, </w:t>
      </w:r>
      <w:proofErr w:type="spellStart"/>
      <w:r w:rsidRPr="00290B25">
        <w:t>hSBA</w:t>
      </w:r>
      <w:proofErr w:type="spellEnd"/>
      <w:r w:rsidRPr="00290B25">
        <w:t xml:space="preserve"> GMTs declined over approximately a 6 to 1</w:t>
      </w:r>
      <w:r w:rsidR="00012937" w:rsidRPr="00290B25">
        <w:t>2 month</w:t>
      </w:r>
      <w:r w:rsidRPr="00290B25">
        <w:t xml:space="preserve"> period, depending on strain, and then generally remained stable through 48 months after Dose 3</w:t>
      </w:r>
      <w:r w:rsidR="00743EF5" w:rsidRPr="00290B25">
        <w:t>.</w:t>
      </w:r>
    </w:p>
    <w:p w:rsidR="00743EF5" w:rsidRPr="00290B25" w:rsidRDefault="009E75AA" w:rsidP="009E75AA">
      <w:r w:rsidRPr="00290B25">
        <w:t>IgG GMTs in the control group were similar at each time point throughout the 48 months. In the 120</w:t>
      </w:r>
      <w:r w:rsidRPr="00DD25D7">
        <w:t xml:space="preserve"> </w:t>
      </w:r>
      <w:r w:rsidRPr="00290B25">
        <w:t xml:space="preserve">µg group, the IgG GMTs increased substantially from </w:t>
      </w:r>
      <w:r w:rsidR="008B4D82" w:rsidRPr="00290B25">
        <w:t>Baseline</w:t>
      </w:r>
      <w:r w:rsidRPr="00290B25">
        <w:t xml:space="preserve"> at 1 month after Dose 3. Thereafter, </w:t>
      </w:r>
      <w:proofErr w:type="spellStart"/>
      <w:r w:rsidRPr="00290B25">
        <w:t>hSBA</w:t>
      </w:r>
      <w:proofErr w:type="spellEnd"/>
      <w:r w:rsidRPr="00290B25">
        <w:t xml:space="preserve"> GMTs declined over approximately a 6 to 12 month period, depending on strain, and then generally remained stable through 48 months after Dose 3. IgG GMTs remained notably higher at each time point over the 48 months compared to GMTs in the control group. These results were consistent with the </w:t>
      </w:r>
      <w:proofErr w:type="spellStart"/>
      <w:r w:rsidRPr="00290B25">
        <w:t>hSBA</w:t>
      </w:r>
      <w:proofErr w:type="spellEnd"/>
      <w:r w:rsidRPr="00290B25">
        <w:t xml:space="preserve"> GMT analysis</w:t>
      </w:r>
      <w:r w:rsidR="00743EF5" w:rsidRPr="00290B25">
        <w:t>.</w:t>
      </w:r>
    </w:p>
    <w:p w:rsidR="009E75AA" w:rsidRPr="00DD25D7" w:rsidRDefault="009E75AA" w:rsidP="009E75AA">
      <w:pPr>
        <w:pStyle w:val="Heading4"/>
      </w:pPr>
      <w:r w:rsidRPr="00DD25D7">
        <w:t xml:space="preserve">Evaluator commentary: other </w:t>
      </w:r>
      <w:r w:rsidR="00520007" w:rsidRPr="00DD25D7">
        <w:t xml:space="preserve">immunogenicity </w:t>
      </w:r>
      <w:r w:rsidRPr="00DD25D7">
        <w:t>studies</w:t>
      </w:r>
    </w:p>
    <w:p w:rsidR="009E75AA" w:rsidRPr="00DD25D7" w:rsidRDefault="009E75AA" w:rsidP="009E75AA">
      <w:r w:rsidRPr="00DD25D7">
        <w:t xml:space="preserve">The other efficacy studies, particularly the </w:t>
      </w:r>
      <w:r w:rsidR="000869B9" w:rsidRPr="00DD25D7">
        <w:t>Phase II</w:t>
      </w:r>
      <w:r w:rsidRPr="00DD25D7">
        <w:t xml:space="preserve"> efficacy studies were well carried out and met their objectives (licensing in the US was based on these studies). They showed that vaccination with two doses spaced over a 6 month period was efficacious and also that co-administration with other vaccines (Gardasil, </w:t>
      </w:r>
      <w:proofErr w:type="spellStart"/>
      <w:r w:rsidRPr="00DD25D7">
        <w:t>Adacel</w:t>
      </w:r>
      <w:proofErr w:type="spellEnd"/>
      <w:r w:rsidRPr="00DD25D7">
        <w:t xml:space="preserve">, </w:t>
      </w:r>
      <w:proofErr w:type="spellStart"/>
      <w:r w:rsidRPr="00DD25D7">
        <w:t>Menactra</w:t>
      </w:r>
      <w:proofErr w:type="spellEnd"/>
      <w:r w:rsidRPr="00DD25D7">
        <w:t xml:space="preserve">, </w:t>
      </w:r>
      <w:proofErr w:type="spellStart"/>
      <w:r w:rsidRPr="00DD25D7">
        <w:t>dTaP</w:t>
      </w:r>
      <w:proofErr w:type="spellEnd"/>
      <w:r w:rsidRPr="00DD25D7">
        <w:t>/IPV</w:t>
      </w:r>
      <w:r w:rsidR="00752493" w:rsidRPr="00DD25D7">
        <w:t xml:space="preserve"> (</w:t>
      </w:r>
      <w:proofErr w:type="spellStart"/>
      <w:r w:rsidR="00752493" w:rsidRPr="00DD25D7">
        <w:t>Repevax</w:t>
      </w:r>
      <w:proofErr w:type="spellEnd"/>
      <w:r w:rsidR="00752493" w:rsidRPr="00DD25D7">
        <w:t>)</w:t>
      </w:r>
      <w:r w:rsidRPr="00DD25D7">
        <w:t xml:space="preserve">) did not affect </w:t>
      </w:r>
      <w:r w:rsidR="00520007" w:rsidRPr="00DD25D7">
        <w:t>immunogenicity</w:t>
      </w:r>
      <w:r w:rsidRPr="00DD25D7">
        <w:t>.</w:t>
      </w:r>
    </w:p>
    <w:p w:rsidR="004D513F" w:rsidRPr="00DD25D7" w:rsidRDefault="004D513F" w:rsidP="004D513F">
      <w:pPr>
        <w:pStyle w:val="Heading3"/>
      </w:pPr>
      <w:bookmarkStart w:id="86" w:name="_Toc241374312"/>
      <w:bookmarkStart w:id="87" w:name="_Toc272414656"/>
      <w:bookmarkStart w:id="88" w:name="_Toc290888507"/>
      <w:bookmarkStart w:id="89" w:name="_Toc416353723"/>
      <w:bookmarkStart w:id="90" w:name="_Toc421005271"/>
      <w:bookmarkStart w:id="91" w:name="_Toc432079153"/>
      <w:bookmarkStart w:id="92" w:name="_Toc432080726"/>
      <w:bookmarkStart w:id="93" w:name="_Toc464739499"/>
      <w:bookmarkStart w:id="94" w:name="_Toc524443902"/>
      <w:r w:rsidRPr="00DD25D7">
        <w:t>Analyses performed across trials: pooled and meta-analyses</w:t>
      </w:r>
      <w:bookmarkStart w:id="95" w:name="_Ref271126605"/>
      <w:bookmarkStart w:id="96" w:name="_Toc272414657"/>
      <w:bookmarkStart w:id="97" w:name="_Toc290888508"/>
      <w:bookmarkStart w:id="98" w:name="_Toc416353724"/>
      <w:bookmarkStart w:id="99" w:name="_Toc421005272"/>
      <w:bookmarkStart w:id="100" w:name="_Toc432079154"/>
      <w:bookmarkStart w:id="101" w:name="_Toc432080727"/>
      <w:bookmarkEnd w:id="86"/>
      <w:bookmarkEnd w:id="87"/>
      <w:bookmarkEnd w:id="88"/>
      <w:bookmarkEnd w:id="89"/>
      <w:bookmarkEnd w:id="90"/>
      <w:bookmarkEnd w:id="91"/>
      <w:bookmarkEnd w:id="92"/>
      <w:bookmarkEnd w:id="93"/>
      <w:bookmarkEnd w:id="94"/>
    </w:p>
    <w:p w:rsidR="00743EF5" w:rsidRPr="00290B25" w:rsidRDefault="004D513F" w:rsidP="004D513F">
      <w:r w:rsidRPr="00290B25">
        <w:t>A total of 10,232 subjects in the 7 studies</w:t>
      </w:r>
      <w:r w:rsidR="001D75C6" w:rsidRPr="00290B25">
        <w:t xml:space="preserve"> included in the integrated immunogenicity analyses,</w:t>
      </w:r>
      <w:r w:rsidRPr="00290B25">
        <w:t xml:space="preserve"> were random</w:t>
      </w:r>
      <w:r w:rsidR="00292798" w:rsidRPr="00290B25">
        <w:t>ise</w:t>
      </w:r>
      <w:r w:rsidRPr="00290B25">
        <w:t>d t</w:t>
      </w:r>
      <w:r w:rsidR="000869B9" w:rsidRPr="00290B25">
        <w:t>o receive bivalent rLP2086 (120 </w:t>
      </w:r>
      <w:r w:rsidRPr="00290B25">
        <w:t xml:space="preserve">µg dose) on a 0, 2, and </w:t>
      </w:r>
      <w:r w:rsidR="00743EF5" w:rsidRPr="00290B25">
        <w:t>6 month</w:t>
      </w:r>
      <w:r w:rsidRPr="00290B25">
        <w:t xml:space="preserve"> schedule; of these, 8</w:t>
      </w:r>
      <w:r w:rsidR="000869B9" w:rsidRPr="00290B25">
        <w:t>,</w:t>
      </w:r>
      <w:r w:rsidRPr="00290B25">
        <w:t>026 subjects were included in the evaluable immunogenicity population, and 10,187 subjects were included in the modified intent to treat (</w:t>
      </w:r>
      <w:proofErr w:type="spellStart"/>
      <w:r w:rsidRPr="00290B25">
        <w:t>mITT</w:t>
      </w:r>
      <w:proofErr w:type="spellEnd"/>
      <w:r w:rsidRPr="00290B25">
        <w:t>) population. At EU sites, a total of 3,475 subjects were random</w:t>
      </w:r>
      <w:r w:rsidR="00292798" w:rsidRPr="00290B25">
        <w:t>ise</w:t>
      </w:r>
      <w:r w:rsidRPr="00290B25">
        <w:t>d; of these, 2</w:t>
      </w:r>
      <w:r w:rsidR="000869B9" w:rsidRPr="00290B25">
        <w:t>,</w:t>
      </w:r>
      <w:r w:rsidRPr="00290B25">
        <w:t xml:space="preserve">983 (85.8%) subjects were included in the </w:t>
      </w:r>
      <w:r w:rsidRPr="00290B25">
        <w:lastRenderedPageBreak/>
        <w:t>evaluable immunogenicity population, and 3</w:t>
      </w:r>
      <w:r w:rsidR="000869B9" w:rsidRPr="00290B25">
        <w:t>,</w:t>
      </w:r>
      <w:r w:rsidRPr="00290B25">
        <w:t xml:space="preserve">465 (99.7%) were included in the </w:t>
      </w:r>
      <w:proofErr w:type="spellStart"/>
      <w:r w:rsidRPr="00290B25">
        <w:t>mITT</w:t>
      </w:r>
      <w:proofErr w:type="spellEnd"/>
      <w:r w:rsidRPr="00290B25">
        <w:t xml:space="preserve"> population. Except for age, the demographic characteristics were</w:t>
      </w:r>
      <w:r w:rsidR="000869B9" w:rsidRPr="00290B25">
        <w:t xml:space="preserve"> similar among these 7 studies.</w:t>
      </w:r>
    </w:p>
    <w:p w:rsidR="00743EF5" w:rsidRPr="00290B25" w:rsidRDefault="004D513F" w:rsidP="004D513F">
      <w:r w:rsidRPr="00290B25">
        <w:t xml:space="preserve">Analyses of the association between the primary strains and secondary strains were conducted in both </w:t>
      </w:r>
      <w:r w:rsidR="00743EF5" w:rsidRPr="00290B25">
        <w:t>Phase III</w:t>
      </w:r>
      <w:r w:rsidRPr="00290B25">
        <w:t xml:space="preserve"> studies. Of all the measures of primary and secondary strain associations, the positive predictive value (PPV) was considered the most clinically relevant and reliable</w:t>
      </w:r>
      <w:r w:rsidR="00743EF5" w:rsidRPr="00290B25">
        <w:t>.</w:t>
      </w:r>
      <w:r w:rsidR="00E22630" w:rsidRPr="00290B25">
        <w:rPr>
          <w:rStyle w:val="FootnoteReference"/>
        </w:rPr>
        <w:footnoteReference w:id="4"/>
      </w:r>
    </w:p>
    <w:p w:rsidR="00743EF5" w:rsidRPr="00290B25" w:rsidRDefault="004D513F" w:rsidP="004D513F">
      <w:r w:rsidRPr="00290B25">
        <w:t xml:space="preserve">In Study </w:t>
      </w:r>
      <w:r w:rsidR="000869B9" w:rsidRPr="00290B25">
        <w:t>B1971009</w:t>
      </w:r>
      <w:r w:rsidRPr="00290B25">
        <w:t xml:space="preserve">: For subfamily </w:t>
      </w:r>
      <w:proofErr w:type="gramStart"/>
      <w:r w:rsidRPr="00290B25">
        <w:t>A</w:t>
      </w:r>
      <w:proofErr w:type="gramEnd"/>
      <w:r w:rsidRPr="00290B25">
        <w:t xml:space="preserve"> strains, the PPVs ranged from 64.4% to 100% at 1 month after the second vaccination and from 75.6% to 99.6% at 1 month after the third vaccination. When the analysis was restricted to those who were negative to primary and secondary strains before </w:t>
      </w:r>
      <w:r w:rsidR="008B4D82" w:rsidRPr="00290B25">
        <w:t>Vaccination</w:t>
      </w:r>
      <w:r w:rsidRPr="00290B25">
        <w:t xml:space="preserve"> 1, the PPVs ranged from 44.9% to 100.0% at 1 month after the second vaccination and from 69.6% to 100.0% at 1 month after the third vaccination</w:t>
      </w:r>
      <w:r w:rsidR="00743EF5" w:rsidRPr="00290B25">
        <w:t>.</w:t>
      </w:r>
    </w:p>
    <w:p w:rsidR="00743EF5" w:rsidRPr="00290B25" w:rsidRDefault="004D513F" w:rsidP="004D513F">
      <w:r w:rsidRPr="00290B25">
        <w:t xml:space="preserve">For subfamily B strains, the PPVs ranged from 78.9% to 100.0% at 1 month after the second vaccination and from 85.5% to 99.6% at 1 month after the third vaccination. When the analysis was restricted to those who were negative to primary and secondary strains before </w:t>
      </w:r>
      <w:r w:rsidR="008B4D82" w:rsidRPr="00290B25">
        <w:t>Vaccination</w:t>
      </w:r>
      <w:r w:rsidR="000869B9" w:rsidRPr="00290B25">
        <w:t> </w:t>
      </w:r>
      <w:r w:rsidRPr="00290B25">
        <w:t xml:space="preserve">1, the PPVs ranged from 75.0% to 100% at 1 month after the second vaccination and from 84.7% to 99.4% at 1 month after the third vaccination. The PPV analysis, </w:t>
      </w:r>
      <w:r w:rsidR="000869B9" w:rsidRPr="00290B25">
        <w:t>supported by additional primary-</w:t>
      </w:r>
      <w:r w:rsidRPr="00290B25">
        <w:t xml:space="preserve">secondary strain association analyses, suggests that the observed immune responses to the primary strains are indicative of broad protection against diverse </w:t>
      </w:r>
      <w:proofErr w:type="spellStart"/>
      <w:r w:rsidRPr="00290B25">
        <w:t>MnB</w:t>
      </w:r>
      <w:proofErr w:type="spellEnd"/>
      <w:r w:rsidRPr="00290B25">
        <w:t xml:space="preserve"> disease causing strains that express other </w:t>
      </w:r>
      <w:proofErr w:type="spellStart"/>
      <w:r w:rsidRPr="00290B25">
        <w:t>fHBP</w:t>
      </w:r>
      <w:proofErr w:type="spellEnd"/>
      <w:r w:rsidRPr="00290B25">
        <w:t xml:space="preserve"> sequences</w:t>
      </w:r>
      <w:r w:rsidR="00743EF5" w:rsidRPr="00290B25">
        <w:t>.</w:t>
      </w:r>
    </w:p>
    <w:p w:rsidR="004D513F" w:rsidRPr="00290B25" w:rsidRDefault="004D513F" w:rsidP="004D513F">
      <w:r w:rsidRPr="00290B25">
        <w:t xml:space="preserve">The </w:t>
      </w:r>
      <w:proofErr w:type="spellStart"/>
      <w:r w:rsidRPr="00290B25">
        <w:t>hSBA</w:t>
      </w:r>
      <w:proofErr w:type="spellEnd"/>
      <w:r w:rsidRPr="00290B25">
        <w:t xml:space="preserve"> GMTs for the 10 secondary </w:t>
      </w:r>
      <w:proofErr w:type="spellStart"/>
      <w:r w:rsidRPr="00290B25">
        <w:t>MnB</w:t>
      </w:r>
      <w:proofErr w:type="spellEnd"/>
      <w:r w:rsidRPr="00290B25">
        <w:t xml:space="preserve"> test strains were low at </w:t>
      </w:r>
      <w:r w:rsidR="008B4D82" w:rsidRPr="00290B25">
        <w:t>Baseline</w:t>
      </w:r>
      <w:r w:rsidRPr="00290B25">
        <w:t xml:space="preserve"> and increased substantially after </w:t>
      </w:r>
      <w:r w:rsidR="008B4D82" w:rsidRPr="00290B25">
        <w:t>Vaccination</w:t>
      </w:r>
      <w:r w:rsidRPr="00290B25">
        <w:t xml:space="preserve"> 3. Among </w:t>
      </w:r>
      <w:proofErr w:type="spellStart"/>
      <w:r w:rsidRPr="00290B25">
        <w:t>fHBP</w:t>
      </w:r>
      <w:proofErr w:type="spellEnd"/>
      <w:r w:rsidRPr="00290B25">
        <w:t xml:space="preserve"> subfamily </w:t>
      </w:r>
      <w:proofErr w:type="gramStart"/>
      <w:r w:rsidRPr="00290B25">
        <w:t>A</w:t>
      </w:r>
      <w:proofErr w:type="gramEnd"/>
      <w:r w:rsidRPr="00290B25">
        <w:t xml:space="preserve"> </w:t>
      </w:r>
      <w:r w:rsidR="008B4D82" w:rsidRPr="00290B25">
        <w:t>variant expressing</w:t>
      </w:r>
      <w:r w:rsidRPr="00290B25">
        <w:t xml:space="preserve"> strains, </w:t>
      </w:r>
      <w:proofErr w:type="spellStart"/>
      <w:r w:rsidRPr="00290B25">
        <w:t>hSBA</w:t>
      </w:r>
      <w:proofErr w:type="spellEnd"/>
      <w:r w:rsidRPr="00290B25">
        <w:t xml:space="preserve"> GMT at </w:t>
      </w:r>
      <w:r w:rsidR="008B4D82" w:rsidRPr="00290B25">
        <w:t>Baseline</w:t>
      </w:r>
      <w:r w:rsidRPr="00290B25">
        <w:t xml:space="preserve"> and 1 month after the third vaccination, respectively, were: 7.1 and 96.3 for PMB3175 (A29); 10.3 and 69.9 for PMB3010 (A06); 13.9 and 60.4 for PMB3040 (A07); 8.4 and 20.6 for PMB824 (A12); 8.0 and 43.1 for PMB1672 (A15), and </w:t>
      </w:r>
      <w:r w:rsidR="000869B9" w:rsidRPr="00290B25">
        <w:t>12.1 and 87.3 for PMB1989 (A19).</w:t>
      </w:r>
    </w:p>
    <w:p w:rsidR="00743EF5" w:rsidRPr="00290B25" w:rsidRDefault="004D513F" w:rsidP="004D513F">
      <w:r w:rsidRPr="00290B25">
        <w:t>In Study</w:t>
      </w:r>
      <w:r w:rsidR="00935DF1" w:rsidRPr="00290B25">
        <w:t xml:space="preserve"> B19710</w:t>
      </w:r>
      <w:r w:rsidRPr="00290B25">
        <w:t xml:space="preserve">16: The PPVs of primary strain responses for secondary strain responses within the same subfamily, given a response </w:t>
      </w:r>
      <w:r w:rsidR="00743EF5" w:rsidRPr="00DD25D7">
        <w:t xml:space="preserve">≥ </w:t>
      </w:r>
      <w:r w:rsidRPr="00290B25">
        <w:t xml:space="preserve">LLOQ for a primary strain, were high. For subfamily </w:t>
      </w:r>
      <w:proofErr w:type="gramStart"/>
      <w:r w:rsidRPr="00290B25">
        <w:t>A</w:t>
      </w:r>
      <w:proofErr w:type="gramEnd"/>
      <w:r w:rsidRPr="00290B25">
        <w:t xml:space="preserve"> strains, the PPVs ranged from 61.6% to 100% at 1 month after the second vaccination and from 72.2% to 100% at 1 month after the third vaccination. When the analysis was restricted to those who were negative to primary and secondary strains before </w:t>
      </w:r>
      <w:r w:rsidR="008B4D82" w:rsidRPr="00290B25">
        <w:t>Vaccination</w:t>
      </w:r>
      <w:r w:rsidR="000869B9" w:rsidRPr="00290B25">
        <w:t xml:space="preserve"> 1, the PPVs for A </w:t>
      </w:r>
      <w:r w:rsidRPr="00290B25">
        <w:t xml:space="preserve">strains ranged from 46.9% to 100% at 1 month after the second vaccination (and from 64.9% to 100% at 1 month after the third vaccination. The PPVs for subfamily B strains ranged from 70.0% to 100% 1 month after </w:t>
      </w:r>
      <w:r w:rsidR="008B4D82" w:rsidRPr="00290B25">
        <w:t>Vaccination</w:t>
      </w:r>
      <w:r w:rsidRPr="00290B25">
        <w:t xml:space="preserve"> 2 and from 80.5% to 98.8% at 1 month after </w:t>
      </w:r>
      <w:r w:rsidR="008B4D82" w:rsidRPr="00290B25">
        <w:t>Vaccination</w:t>
      </w:r>
      <w:r w:rsidRPr="00290B25">
        <w:t xml:space="preserve"> 3. In subjects who were negative to primary and secondary strains at </w:t>
      </w:r>
      <w:r w:rsidR="008B4D82" w:rsidRPr="00290B25">
        <w:t>Baseline</w:t>
      </w:r>
      <w:r w:rsidRPr="00290B25">
        <w:t>, the PPVs for B strains ranged from 44.1% to 100% at 1 month after the second vaccination and from 71.2% to 98.5% at 1 month after the third vaccination</w:t>
      </w:r>
      <w:r w:rsidR="00743EF5" w:rsidRPr="00290B25">
        <w:t>.</w:t>
      </w:r>
    </w:p>
    <w:p w:rsidR="004D513F" w:rsidRPr="00DD25D7" w:rsidRDefault="004D513F" w:rsidP="004D513F">
      <w:pPr>
        <w:pStyle w:val="Heading3"/>
      </w:pPr>
      <w:bookmarkStart w:id="102" w:name="_Toc464739500"/>
      <w:bookmarkStart w:id="103" w:name="_Toc524443903"/>
      <w:r w:rsidRPr="00DD25D7">
        <w:t>Evaluator’s conclusions on clinical efficacy</w:t>
      </w:r>
      <w:bookmarkEnd w:id="95"/>
      <w:bookmarkEnd w:id="96"/>
      <w:bookmarkEnd w:id="97"/>
      <w:bookmarkEnd w:id="98"/>
      <w:bookmarkEnd w:id="99"/>
      <w:bookmarkEnd w:id="100"/>
      <w:bookmarkEnd w:id="101"/>
      <w:bookmarkEnd w:id="102"/>
      <w:bookmarkEnd w:id="103"/>
    </w:p>
    <w:p w:rsidR="004D513F" w:rsidRPr="00DD25D7" w:rsidRDefault="004D513F" w:rsidP="00752493">
      <w:pPr>
        <w:autoSpaceDE w:val="0"/>
        <w:autoSpaceDN w:val="0"/>
        <w:adjustRightInd w:val="0"/>
        <w:spacing w:before="0" w:after="0" w:line="240" w:lineRule="auto"/>
        <w:rPr>
          <w:rFonts w:ascii="Segoe UI" w:eastAsiaTheme="minorHAnsi" w:hAnsi="Segoe UI" w:cs="Segoe UI"/>
          <w:sz w:val="21"/>
          <w:szCs w:val="21"/>
        </w:rPr>
      </w:pPr>
      <w:r w:rsidRPr="00290B25">
        <w:rPr>
          <w:lang w:eastAsia="ja-JP"/>
        </w:rPr>
        <w:t xml:space="preserve">In the major </w:t>
      </w:r>
      <w:r w:rsidR="00752493" w:rsidRPr="00DD25D7">
        <w:t>study evaluating several 2 and 3 dose schedules,</w:t>
      </w:r>
      <w:r w:rsidRPr="00290B25">
        <w:rPr>
          <w:lang w:eastAsia="ja-JP"/>
        </w:rPr>
        <w:t xml:space="preserve"> </w:t>
      </w:r>
      <w:r w:rsidR="00032B77" w:rsidRPr="00290B25">
        <w:rPr>
          <w:lang w:eastAsia="ja-JP"/>
        </w:rPr>
        <w:t>Stud</w:t>
      </w:r>
      <w:r w:rsidR="00752493" w:rsidRPr="00290B25">
        <w:rPr>
          <w:lang w:eastAsia="ja-JP"/>
        </w:rPr>
        <w:t>y</w:t>
      </w:r>
      <w:r w:rsidRPr="00290B25">
        <w:rPr>
          <w:lang w:eastAsia="ja-JP"/>
        </w:rPr>
        <w:t xml:space="preserve"> B1971012, the data show that the benefit of bivalent rLP2086 is substantial and is dependent on the vaccine administration schedule. Close administration of the </w:t>
      </w:r>
      <w:r w:rsidRPr="00DD25D7">
        <w:t>first</w:t>
      </w:r>
      <w:r w:rsidR="000869B9" w:rsidRPr="00DD25D7">
        <w:t xml:space="preserve"> </w:t>
      </w:r>
      <w:r w:rsidRPr="00DD25D7">
        <w:t>2</w:t>
      </w:r>
      <w:r w:rsidRPr="00290B25">
        <w:rPr>
          <w:lang w:eastAsia="ja-JP"/>
        </w:rPr>
        <w:t xml:space="preserve"> doses is associated with a lower response than observ</w:t>
      </w:r>
      <w:r w:rsidR="000869B9" w:rsidRPr="00290B25">
        <w:rPr>
          <w:lang w:eastAsia="ja-JP"/>
        </w:rPr>
        <w:t>ed with administration of the 2 </w:t>
      </w:r>
      <w:r w:rsidRPr="00290B25">
        <w:rPr>
          <w:lang w:eastAsia="ja-JP"/>
        </w:rPr>
        <w:t xml:space="preserve">doses at the greater interval of 6 months where the response is not substantially different from that after 3 doses. This supports the dosing premise that when the risk of disease is low, as it is for endemic disease, vaccination with bivalent rLP2086 administered on a 0, </w:t>
      </w:r>
      <w:r w:rsidR="00743EF5" w:rsidRPr="00290B25">
        <w:rPr>
          <w:lang w:eastAsia="ja-JP"/>
        </w:rPr>
        <w:t>6 month</w:t>
      </w:r>
      <w:r w:rsidRPr="00290B25">
        <w:rPr>
          <w:lang w:eastAsia="ja-JP"/>
        </w:rPr>
        <w:t xml:space="preserve"> schedule will provide a protective immune response for a high proportion of </w:t>
      </w:r>
      <w:r w:rsidR="000869B9" w:rsidRPr="00290B25">
        <w:rPr>
          <w:lang w:eastAsia="ja-JP"/>
        </w:rPr>
        <w:t>vaccinees</w:t>
      </w:r>
      <w:r w:rsidRPr="00290B25">
        <w:rPr>
          <w:lang w:eastAsia="ja-JP"/>
        </w:rPr>
        <w:t>. During an epidemic, or for those at high risk of disease for biological reasons (</w:t>
      </w:r>
      <w:r w:rsidR="000869B9" w:rsidRPr="00290B25">
        <w:rPr>
          <w:lang w:eastAsia="ja-JP"/>
        </w:rPr>
        <w:t>for example</w:t>
      </w:r>
      <w:r w:rsidRPr="00290B25">
        <w:rPr>
          <w:lang w:eastAsia="ja-JP"/>
        </w:rPr>
        <w:t xml:space="preserve">, due to </w:t>
      </w:r>
      <w:proofErr w:type="spellStart"/>
      <w:r w:rsidRPr="00290B25">
        <w:rPr>
          <w:lang w:eastAsia="ja-JP"/>
        </w:rPr>
        <w:t>asplenia</w:t>
      </w:r>
      <w:proofErr w:type="spellEnd"/>
      <w:r w:rsidRPr="00290B25">
        <w:rPr>
          <w:lang w:eastAsia="ja-JP"/>
        </w:rPr>
        <w:t xml:space="preserve"> or complement deficiency), rapid </w:t>
      </w:r>
      <w:r w:rsidRPr="00290B25">
        <w:rPr>
          <w:lang w:eastAsia="ja-JP"/>
        </w:rPr>
        <w:lastRenderedPageBreak/>
        <w:t xml:space="preserve">induction of a protective immune response can be achieved with the first 2 doses given 1 to 2 months apart, and </w:t>
      </w:r>
      <w:r w:rsidR="000869B9" w:rsidRPr="00290B25">
        <w:rPr>
          <w:lang w:eastAsia="ja-JP"/>
        </w:rPr>
        <w:t>the third dose given at least 4 </w:t>
      </w:r>
      <w:r w:rsidRPr="00290B25">
        <w:rPr>
          <w:lang w:eastAsia="ja-JP"/>
        </w:rPr>
        <w:t>months later to maxim</w:t>
      </w:r>
      <w:r w:rsidR="00292798" w:rsidRPr="00290B25">
        <w:rPr>
          <w:lang w:eastAsia="ja-JP"/>
        </w:rPr>
        <w:t>ise</w:t>
      </w:r>
      <w:r w:rsidRPr="00290B25">
        <w:rPr>
          <w:lang w:eastAsia="ja-JP"/>
        </w:rPr>
        <w:t xml:space="preserve"> protection. The vaccine is given in both the 2 and 3 dose schedules in the USA.</w:t>
      </w:r>
    </w:p>
    <w:p w:rsidR="00743EF5" w:rsidRPr="00290B25" w:rsidRDefault="004D513F" w:rsidP="004D513F">
      <w:pPr>
        <w:rPr>
          <w:lang w:eastAsia="ja-JP"/>
        </w:rPr>
      </w:pPr>
      <w:r w:rsidRPr="00290B25">
        <w:rPr>
          <w:lang w:eastAsia="ja-JP"/>
        </w:rPr>
        <w:t xml:space="preserve">The primary immunogenicity objective common to both </w:t>
      </w:r>
      <w:r w:rsidR="00743EF5" w:rsidRPr="00290B25">
        <w:rPr>
          <w:lang w:eastAsia="ja-JP"/>
        </w:rPr>
        <w:t>Phase III</w:t>
      </w:r>
      <w:r w:rsidRPr="00290B25">
        <w:rPr>
          <w:lang w:eastAsia="ja-JP"/>
        </w:rPr>
        <w:t xml:space="preserve"> studies, to assess the immune response as measured by </w:t>
      </w:r>
      <w:proofErr w:type="spellStart"/>
      <w:r w:rsidRPr="00290B25">
        <w:rPr>
          <w:lang w:eastAsia="ja-JP"/>
        </w:rPr>
        <w:t>h</w:t>
      </w:r>
      <w:r w:rsidR="00752493" w:rsidRPr="00290B25">
        <w:rPr>
          <w:lang w:eastAsia="ja-JP"/>
        </w:rPr>
        <w:t>SBA</w:t>
      </w:r>
      <w:proofErr w:type="spellEnd"/>
      <w:r w:rsidR="00752493" w:rsidRPr="00290B25">
        <w:rPr>
          <w:lang w:eastAsia="ja-JP"/>
        </w:rPr>
        <w:t xml:space="preserve"> performed with 4 primary </w:t>
      </w:r>
      <w:proofErr w:type="spellStart"/>
      <w:r w:rsidR="00752493" w:rsidRPr="00290B25">
        <w:rPr>
          <w:lang w:eastAsia="ja-JP"/>
        </w:rPr>
        <w:t>MnB</w:t>
      </w:r>
      <w:proofErr w:type="spellEnd"/>
      <w:r w:rsidRPr="00290B25">
        <w:rPr>
          <w:lang w:eastAsia="ja-JP"/>
        </w:rPr>
        <w:t xml:space="preserve"> test strains (PMB80 </w:t>
      </w:r>
      <w:r w:rsidR="00DD25D7" w:rsidRPr="00290B25">
        <w:rPr>
          <w:lang w:eastAsia="ja-JP"/>
        </w:rPr>
        <w:t>(</w:t>
      </w:r>
      <w:r w:rsidRPr="00290B25">
        <w:rPr>
          <w:lang w:eastAsia="ja-JP"/>
        </w:rPr>
        <w:t>A22</w:t>
      </w:r>
      <w:r w:rsidR="00DD25D7" w:rsidRPr="00290B25">
        <w:rPr>
          <w:lang w:eastAsia="ja-JP"/>
        </w:rPr>
        <w:t>)</w:t>
      </w:r>
      <w:r w:rsidRPr="00290B25">
        <w:rPr>
          <w:lang w:eastAsia="ja-JP"/>
        </w:rPr>
        <w:t xml:space="preserve">, PM62001 </w:t>
      </w:r>
      <w:r w:rsidR="00DD25D7" w:rsidRPr="00290B25">
        <w:rPr>
          <w:lang w:eastAsia="ja-JP"/>
        </w:rPr>
        <w:t>(</w:t>
      </w:r>
      <w:r w:rsidRPr="00290B25">
        <w:rPr>
          <w:lang w:eastAsia="ja-JP"/>
        </w:rPr>
        <w:t>A56</w:t>
      </w:r>
      <w:r w:rsidR="00DD25D7" w:rsidRPr="00290B25">
        <w:rPr>
          <w:lang w:eastAsia="ja-JP"/>
        </w:rPr>
        <w:t>)</w:t>
      </w:r>
      <w:r w:rsidRPr="00290B25">
        <w:rPr>
          <w:lang w:eastAsia="ja-JP"/>
        </w:rPr>
        <w:t xml:space="preserve">), PMB2948 </w:t>
      </w:r>
      <w:r w:rsidR="00DD25D7" w:rsidRPr="00290B25">
        <w:rPr>
          <w:lang w:eastAsia="ja-JP"/>
        </w:rPr>
        <w:t>(</w:t>
      </w:r>
      <w:r w:rsidRPr="00290B25">
        <w:rPr>
          <w:lang w:eastAsia="ja-JP"/>
        </w:rPr>
        <w:t>624</w:t>
      </w:r>
      <w:r w:rsidR="00DD25D7" w:rsidRPr="00290B25">
        <w:rPr>
          <w:lang w:eastAsia="ja-JP"/>
        </w:rPr>
        <w:t>)</w:t>
      </w:r>
      <w:r w:rsidRPr="00290B25">
        <w:rPr>
          <w:lang w:eastAsia="ja-JP"/>
        </w:rPr>
        <w:t xml:space="preserve">, and PM62707 </w:t>
      </w:r>
      <w:r w:rsidR="00DD25D7" w:rsidRPr="00290B25">
        <w:rPr>
          <w:lang w:eastAsia="ja-JP"/>
        </w:rPr>
        <w:t>(</w:t>
      </w:r>
      <w:r w:rsidRPr="00290B25">
        <w:rPr>
          <w:lang w:eastAsia="ja-JP"/>
        </w:rPr>
        <w:t>644</w:t>
      </w:r>
      <w:r w:rsidR="00DD25D7" w:rsidRPr="00290B25">
        <w:rPr>
          <w:lang w:eastAsia="ja-JP"/>
        </w:rPr>
        <w:t>)</w:t>
      </w:r>
      <w:r w:rsidRPr="00290B25">
        <w:rPr>
          <w:lang w:eastAsia="ja-JP"/>
        </w:rPr>
        <w:t>), was achi</w:t>
      </w:r>
      <w:r w:rsidR="000869B9" w:rsidRPr="00290B25">
        <w:rPr>
          <w:lang w:eastAsia="ja-JP"/>
        </w:rPr>
        <w:t>eved. The lower limit of the 2</w:t>
      </w:r>
      <w:r w:rsidR="000869B9" w:rsidRPr="00290B25">
        <w:rPr>
          <w:lang w:eastAsia="ja-JP"/>
        </w:rPr>
        <w:noBreakHyphen/>
      </w:r>
      <w:r w:rsidRPr="00290B25">
        <w:rPr>
          <w:lang w:eastAsia="ja-JP"/>
        </w:rPr>
        <w:t xml:space="preserve">sided 95% Cl for the proportion of subjects in Group 1 </w:t>
      </w:r>
      <w:r w:rsidR="00935DF1" w:rsidRPr="00290B25">
        <w:rPr>
          <w:lang w:eastAsia="ja-JP"/>
        </w:rPr>
        <w:t xml:space="preserve">(receiving bivalent rLP2086) </w:t>
      </w:r>
      <w:r w:rsidRPr="00290B25">
        <w:rPr>
          <w:lang w:eastAsia="ja-JP"/>
        </w:rPr>
        <w:t xml:space="preserve">with a </w:t>
      </w:r>
      <w:r w:rsidR="00752493" w:rsidRPr="00290B25">
        <w:rPr>
          <w:lang w:eastAsia="ja-JP"/>
        </w:rPr>
        <w:t>≥</w:t>
      </w:r>
      <w:r w:rsidR="000869B9" w:rsidRPr="00290B25">
        <w:rPr>
          <w:lang w:eastAsia="ja-JP"/>
        </w:rPr>
        <w:t xml:space="preserve"> </w:t>
      </w:r>
      <w:r w:rsidR="00743EF5" w:rsidRPr="00290B25">
        <w:rPr>
          <w:lang w:eastAsia="ja-JP"/>
        </w:rPr>
        <w:t>4 fold</w:t>
      </w:r>
      <w:r w:rsidRPr="00290B25">
        <w:rPr>
          <w:lang w:eastAsia="ja-JP"/>
        </w:rPr>
        <w:t xml:space="preserve"> rise in </w:t>
      </w:r>
      <w:proofErr w:type="spellStart"/>
      <w:r w:rsidRPr="00290B25">
        <w:rPr>
          <w:lang w:eastAsia="ja-JP"/>
        </w:rPr>
        <w:t>hSBA</w:t>
      </w:r>
      <w:proofErr w:type="spellEnd"/>
      <w:r w:rsidRPr="00290B25">
        <w:rPr>
          <w:lang w:eastAsia="ja-JP"/>
        </w:rPr>
        <w:t xml:space="preserve"> </w:t>
      </w:r>
      <w:r w:rsidR="00EA5CCB" w:rsidRPr="00290B25">
        <w:rPr>
          <w:lang w:eastAsia="ja-JP"/>
        </w:rPr>
        <w:t>titre</w:t>
      </w:r>
      <w:r w:rsidRPr="00290B25">
        <w:rPr>
          <w:lang w:eastAsia="ja-JP"/>
        </w:rPr>
        <w:t xml:space="preserve"> for each of the 4 primary </w:t>
      </w:r>
      <w:proofErr w:type="spellStart"/>
      <w:r w:rsidRPr="00290B25">
        <w:rPr>
          <w:lang w:eastAsia="ja-JP"/>
        </w:rPr>
        <w:t>Mn</w:t>
      </w:r>
      <w:r w:rsidR="00752493" w:rsidRPr="00290B25">
        <w:rPr>
          <w:lang w:eastAsia="ja-JP"/>
        </w:rPr>
        <w:t>B</w:t>
      </w:r>
      <w:proofErr w:type="spellEnd"/>
      <w:r w:rsidRPr="00290B25">
        <w:rPr>
          <w:lang w:eastAsia="ja-JP"/>
        </w:rPr>
        <w:t xml:space="preserve"> test strains at 1 month after </w:t>
      </w:r>
      <w:r w:rsidR="008B4D82" w:rsidRPr="00290B25">
        <w:rPr>
          <w:lang w:eastAsia="ja-JP"/>
        </w:rPr>
        <w:t>Vaccination</w:t>
      </w:r>
      <w:r w:rsidRPr="00290B25">
        <w:rPr>
          <w:lang w:eastAsia="ja-JP"/>
        </w:rPr>
        <w:t xml:space="preserve"> 3 and for the composite </w:t>
      </w:r>
      <w:proofErr w:type="spellStart"/>
      <w:r w:rsidR="00752493" w:rsidRPr="00290B25">
        <w:rPr>
          <w:lang w:eastAsia="ja-JP"/>
        </w:rPr>
        <w:t>hSB</w:t>
      </w:r>
      <w:r w:rsidR="000869B9" w:rsidRPr="00290B25">
        <w:rPr>
          <w:lang w:eastAsia="ja-JP"/>
        </w:rPr>
        <w:t>A</w:t>
      </w:r>
      <w:proofErr w:type="spellEnd"/>
      <w:r w:rsidRPr="00290B25">
        <w:rPr>
          <w:lang w:eastAsia="ja-JP"/>
        </w:rPr>
        <w:t xml:space="preserve"> response was greater than the corresponding pre-specified lower bound threshold set for each study</w:t>
      </w:r>
      <w:r w:rsidR="00743EF5" w:rsidRPr="00290B25">
        <w:rPr>
          <w:lang w:eastAsia="ja-JP"/>
        </w:rPr>
        <w:t>.</w:t>
      </w:r>
    </w:p>
    <w:p w:rsidR="00743EF5" w:rsidRPr="00290B25" w:rsidRDefault="004D513F" w:rsidP="004D513F">
      <w:pPr>
        <w:rPr>
          <w:lang w:eastAsia="ja-JP"/>
        </w:rPr>
      </w:pPr>
      <w:r w:rsidRPr="00290B25">
        <w:rPr>
          <w:lang w:eastAsia="ja-JP"/>
        </w:rPr>
        <w:t>The</w:t>
      </w:r>
      <w:r w:rsidR="00752493" w:rsidRPr="00290B25">
        <w:rPr>
          <w:lang w:eastAsia="ja-JP"/>
        </w:rPr>
        <w:t xml:space="preserve"> co-primary objective of Study B</w:t>
      </w:r>
      <w:r w:rsidRPr="00290B25">
        <w:rPr>
          <w:lang w:eastAsia="ja-JP"/>
        </w:rPr>
        <w:t>1971009 showed equivalen</w:t>
      </w:r>
      <w:r w:rsidR="000869B9" w:rsidRPr="00290B25">
        <w:rPr>
          <w:lang w:eastAsia="ja-JP"/>
        </w:rPr>
        <w:t>ce of bivalent rLP2086 in the 3 </w:t>
      </w:r>
      <w:r w:rsidRPr="00290B25">
        <w:rPr>
          <w:lang w:eastAsia="ja-JP"/>
        </w:rPr>
        <w:t>lots from the manufacturing process. The 95% Cl for all 3 pairwise GMR comparisons between</w:t>
      </w:r>
      <w:r w:rsidR="00752493" w:rsidRPr="00290B25">
        <w:rPr>
          <w:lang w:eastAsia="ja-JP"/>
        </w:rPr>
        <w:t xml:space="preserve"> lots of bivalent rLP2086 (Lot 1</w:t>
      </w:r>
      <w:r w:rsidRPr="00290B25">
        <w:rPr>
          <w:lang w:eastAsia="ja-JP"/>
        </w:rPr>
        <w:t>:</w:t>
      </w:r>
      <w:r w:rsidR="00A315FB" w:rsidRPr="00290B25">
        <w:rPr>
          <w:lang w:eastAsia="ja-JP"/>
        </w:rPr>
        <w:t xml:space="preserve"> </w:t>
      </w:r>
      <w:r w:rsidRPr="00290B25">
        <w:rPr>
          <w:lang w:eastAsia="ja-JP"/>
        </w:rPr>
        <w:t>Lot 2, Lot 2:</w:t>
      </w:r>
      <w:r w:rsidR="00752493" w:rsidRPr="00290B25">
        <w:rPr>
          <w:lang w:eastAsia="ja-JP"/>
        </w:rPr>
        <w:t xml:space="preserve"> </w:t>
      </w:r>
      <w:r w:rsidRPr="00290B25">
        <w:rPr>
          <w:lang w:eastAsia="ja-JP"/>
        </w:rPr>
        <w:t>Lot 3, Lot 1: Lot 3) were within the interval (0.5, 2.0} required to demonstrate equivalence for both test st</w:t>
      </w:r>
      <w:r w:rsidR="00752493" w:rsidRPr="00290B25">
        <w:rPr>
          <w:lang w:eastAsia="ja-JP"/>
        </w:rPr>
        <w:t>rains PMB80 (A22) and PM62948 (B</w:t>
      </w:r>
      <w:r w:rsidRPr="00290B25">
        <w:rPr>
          <w:lang w:eastAsia="ja-JP"/>
        </w:rPr>
        <w:t xml:space="preserve">24). These results support the conclusion that bivalent rLP2086 from 3 lots of the final manufacturing process induces consistent </w:t>
      </w:r>
      <w:proofErr w:type="spellStart"/>
      <w:r w:rsidR="00752493" w:rsidRPr="00290B25">
        <w:rPr>
          <w:lang w:eastAsia="ja-JP"/>
        </w:rPr>
        <w:t>hSB</w:t>
      </w:r>
      <w:r w:rsidR="000869B9" w:rsidRPr="00290B25">
        <w:rPr>
          <w:lang w:eastAsia="ja-JP"/>
        </w:rPr>
        <w:t>A</w:t>
      </w:r>
      <w:proofErr w:type="spellEnd"/>
      <w:r w:rsidR="00752493" w:rsidRPr="00290B25">
        <w:rPr>
          <w:lang w:eastAsia="ja-JP"/>
        </w:rPr>
        <w:t xml:space="preserve"> immune responses to both </w:t>
      </w:r>
      <w:proofErr w:type="spellStart"/>
      <w:r w:rsidR="00752493" w:rsidRPr="00290B25">
        <w:rPr>
          <w:lang w:eastAsia="ja-JP"/>
        </w:rPr>
        <w:t>MnB</w:t>
      </w:r>
      <w:proofErr w:type="spellEnd"/>
      <w:r w:rsidRPr="00290B25">
        <w:rPr>
          <w:lang w:eastAsia="ja-JP"/>
        </w:rPr>
        <w:t xml:space="preserve"> test strains; hence, the lot consistency objective was also achieved</w:t>
      </w:r>
      <w:r w:rsidR="00743EF5" w:rsidRPr="00290B25">
        <w:rPr>
          <w:lang w:eastAsia="ja-JP"/>
        </w:rPr>
        <w:t>.</w:t>
      </w:r>
    </w:p>
    <w:p w:rsidR="00743EF5" w:rsidRPr="00290B25" w:rsidRDefault="004D513F" w:rsidP="004D513F">
      <w:pPr>
        <w:rPr>
          <w:lang w:eastAsia="ja-JP"/>
        </w:rPr>
      </w:pPr>
      <w:r w:rsidRPr="00290B25">
        <w:rPr>
          <w:lang w:eastAsia="ja-JP"/>
        </w:rPr>
        <w:t xml:space="preserve">In both </w:t>
      </w:r>
      <w:r w:rsidR="00743EF5" w:rsidRPr="00290B25">
        <w:rPr>
          <w:lang w:eastAsia="ja-JP"/>
        </w:rPr>
        <w:t>Phase III</w:t>
      </w:r>
      <w:r w:rsidRPr="00290B25">
        <w:rPr>
          <w:lang w:eastAsia="ja-JP"/>
        </w:rPr>
        <w:t xml:space="preserve"> studies a high proportion of subjects achieved an </w:t>
      </w:r>
      <w:proofErr w:type="spellStart"/>
      <w:r w:rsidR="00D344B8" w:rsidRPr="00290B25">
        <w:rPr>
          <w:lang w:eastAsia="ja-JP"/>
        </w:rPr>
        <w:t>hSB</w:t>
      </w:r>
      <w:r w:rsidR="000869B9" w:rsidRPr="00290B25">
        <w:rPr>
          <w:lang w:eastAsia="ja-JP"/>
        </w:rPr>
        <w:t>A</w:t>
      </w:r>
      <w:proofErr w:type="spellEnd"/>
      <w:r w:rsidR="00D344B8" w:rsidRPr="00290B25">
        <w:rPr>
          <w:lang w:eastAsia="ja-JP"/>
        </w:rPr>
        <w:t xml:space="preserve"> </w:t>
      </w:r>
      <w:r w:rsidR="00EA5CCB" w:rsidRPr="00290B25">
        <w:rPr>
          <w:lang w:eastAsia="ja-JP"/>
        </w:rPr>
        <w:t>titre</w:t>
      </w:r>
      <w:r w:rsidR="00D344B8" w:rsidRPr="00290B25">
        <w:rPr>
          <w:lang w:eastAsia="ja-JP"/>
        </w:rPr>
        <w:t xml:space="preserve"> ≥ </w:t>
      </w:r>
      <w:r w:rsidRPr="00290B25">
        <w:rPr>
          <w:lang w:eastAsia="ja-JP"/>
        </w:rPr>
        <w:t>LLOQ (</w:t>
      </w:r>
      <w:r w:rsidR="00012937" w:rsidRPr="00290B25">
        <w:rPr>
          <w:lang w:eastAsia="ja-JP"/>
        </w:rPr>
        <w:t>that is,</w:t>
      </w:r>
      <w:r w:rsidRPr="00290B25">
        <w:rPr>
          <w:lang w:eastAsia="ja-JP"/>
        </w:rPr>
        <w:t xml:space="preserve"> </w:t>
      </w:r>
      <w:proofErr w:type="spellStart"/>
      <w:r w:rsidRPr="00290B25">
        <w:rPr>
          <w:lang w:eastAsia="ja-JP"/>
        </w:rPr>
        <w:t>h</w:t>
      </w:r>
      <w:r w:rsidR="00D344B8" w:rsidRPr="00290B25">
        <w:rPr>
          <w:lang w:eastAsia="ja-JP"/>
        </w:rPr>
        <w:t>SB</w:t>
      </w:r>
      <w:r w:rsidRPr="00290B25">
        <w:rPr>
          <w:lang w:eastAsia="ja-JP"/>
        </w:rPr>
        <w:t>A</w:t>
      </w:r>
      <w:proofErr w:type="spellEnd"/>
      <w:r w:rsidRPr="00290B25">
        <w:rPr>
          <w:lang w:eastAsia="ja-JP"/>
        </w:rPr>
        <w:t xml:space="preserve"> </w:t>
      </w:r>
      <w:r w:rsidR="00EA5CCB" w:rsidRPr="00290B25">
        <w:rPr>
          <w:lang w:eastAsia="ja-JP"/>
        </w:rPr>
        <w:t>titre</w:t>
      </w:r>
      <w:r w:rsidRPr="00290B25">
        <w:rPr>
          <w:lang w:eastAsia="ja-JP"/>
        </w:rPr>
        <w:t xml:space="preserve"> equal to 1:8 o</w:t>
      </w:r>
      <w:r w:rsidR="000869B9" w:rsidRPr="00290B25">
        <w:rPr>
          <w:lang w:eastAsia="ja-JP"/>
        </w:rPr>
        <w:t>r 1:16, depending on the strain)</w:t>
      </w:r>
      <w:r w:rsidRPr="00290B25">
        <w:rPr>
          <w:lang w:eastAsia="ja-JP"/>
        </w:rPr>
        <w:t xml:space="preserve">, and a substantial increase was observed in </w:t>
      </w:r>
      <w:proofErr w:type="spellStart"/>
      <w:r w:rsidR="00D344B8" w:rsidRPr="00290B25">
        <w:rPr>
          <w:lang w:eastAsia="ja-JP"/>
        </w:rPr>
        <w:t>hSB</w:t>
      </w:r>
      <w:r w:rsidR="000869B9" w:rsidRPr="00290B25">
        <w:rPr>
          <w:lang w:eastAsia="ja-JP"/>
        </w:rPr>
        <w:t>A</w:t>
      </w:r>
      <w:proofErr w:type="spellEnd"/>
      <w:r w:rsidRPr="00290B25">
        <w:rPr>
          <w:lang w:eastAsia="ja-JP"/>
        </w:rPr>
        <w:t xml:space="preserve"> GMTs for each the 4 primary test strains, after 2 or 3 doses of bivalent rLP2086 in the evaluable immun</w:t>
      </w:r>
      <w:r w:rsidR="00D344B8" w:rsidRPr="00290B25">
        <w:rPr>
          <w:lang w:eastAsia="ja-JP"/>
        </w:rPr>
        <w:t>ogenicity population. In Study B</w:t>
      </w:r>
      <w:r w:rsidRPr="00290B25">
        <w:rPr>
          <w:lang w:eastAsia="ja-JP"/>
        </w:rPr>
        <w:t>1971009, for example, the proportion of subjects in va</w:t>
      </w:r>
      <w:r w:rsidR="00D344B8" w:rsidRPr="00290B25">
        <w:rPr>
          <w:lang w:eastAsia="ja-JP"/>
        </w:rPr>
        <w:t xml:space="preserve">ccine Group 1 with </w:t>
      </w:r>
      <w:proofErr w:type="spellStart"/>
      <w:r w:rsidR="00D344B8" w:rsidRPr="00290B25">
        <w:rPr>
          <w:lang w:eastAsia="ja-JP"/>
        </w:rPr>
        <w:t>hSB</w:t>
      </w:r>
      <w:r w:rsidRPr="00290B25">
        <w:rPr>
          <w:lang w:eastAsia="ja-JP"/>
        </w:rPr>
        <w:t>A</w:t>
      </w:r>
      <w:proofErr w:type="spellEnd"/>
      <w:r w:rsidRPr="00290B25">
        <w:rPr>
          <w:lang w:eastAsia="ja-JP"/>
        </w:rPr>
        <w:t xml:space="preserve"> </w:t>
      </w:r>
      <w:r w:rsidR="00EA5CCB" w:rsidRPr="00290B25">
        <w:rPr>
          <w:lang w:eastAsia="ja-JP"/>
        </w:rPr>
        <w:t>titre</w:t>
      </w:r>
      <w:r w:rsidRPr="00290B25">
        <w:rPr>
          <w:lang w:eastAsia="ja-JP"/>
        </w:rPr>
        <w:t xml:space="preserve">s </w:t>
      </w:r>
      <w:r w:rsidR="00743EF5" w:rsidRPr="00DD25D7">
        <w:t xml:space="preserve">≥ </w:t>
      </w:r>
      <w:r w:rsidRPr="00290B25">
        <w:rPr>
          <w:lang w:eastAsia="ja-JP"/>
        </w:rPr>
        <w:t xml:space="preserve">LLOQ ranged from 64.0% to 99.1% after </w:t>
      </w:r>
      <w:r w:rsidR="008B4D82" w:rsidRPr="00290B25">
        <w:rPr>
          <w:lang w:eastAsia="ja-JP"/>
        </w:rPr>
        <w:t>Vaccination</w:t>
      </w:r>
      <w:r w:rsidRPr="00290B25">
        <w:rPr>
          <w:lang w:eastAsia="ja-JP"/>
        </w:rPr>
        <w:t xml:space="preserve"> 2 and from 87.1% to 99.5% after </w:t>
      </w:r>
      <w:r w:rsidR="008B4D82" w:rsidRPr="00290B25">
        <w:rPr>
          <w:lang w:eastAsia="ja-JP"/>
        </w:rPr>
        <w:t>Vaccination</w:t>
      </w:r>
      <w:r w:rsidRPr="00290B25">
        <w:rPr>
          <w:lang w:eastAsia="ja-JP"/>
        </w:rPr>
        <w:t xml:space="preserve"> 3. The </w:t>
      </w:r>
      <w:proofErr w:type="spellStart"/>
      <w:r w:rsidRPr="00290B25">
        <w:rPr>
          <w:lang w:eastAsia="ja-JP"/>
        </w:rPr>
        <w:t>h</w:t>
      </w:r>
      <w:r w:rsidR="00D344B8" w:rsidRPr="00290B25">
        <w:rPr>
          <w:lang w:eastAsia="ja-JP"/>
        </w:rPr>
        <w:t>SB</w:t>
      </w:r>
      <w:r w:rsidRPr="00290B25">
        <w:rPr>
          <w:lang w:eastAsia="ja-JP"/>
        </w:rPr>
        <w:t>A</w:t>
      </w:r>
      <w:proofErr w:type="spellEnd"/>
      <w:r w:rsidRPr="00290B25">
        <w:rPr>
          <w:lang w:eastAsia="ja-JP"/>
        </w:rPr>
        <w:t xml:space="preserve"> GMTs in Group 1 increased substantially from </w:t>
      </w:r>
      <w:r w:rsidR="008B4D82" w:rsidRPr="00290B25">
        <w:rPr>
          <w:lang w:eastAsia="ja-JP"/>
        </w:rPr>
        <w:t>Baseline</w:t>
      </w:r>
      <w:r w:rsidRPr="00290B25">
        <w:rPr>
          <w:lang w:eastAsia="ja-JP"/>
        </w:rPr>
        <w:t xml:space="preserve"> after the second vaccination and rose again after the third vaccination; </w:t>
      </w:r>
      <w:proofErr w:type="spellStart"/>
      <w:r w:rsidRPr="00290B25">
        <w:rPr>
          <w:lang w:eastAsia="ja-JP"/>
        </w:rPr>
        <w:t>h</w:t>
      </w:r>
      <w:r w:rsidR="00D344B8" w:rsidRPr="00290B25">
        <w:rPr>
          <w:lang w:eastAsia="ja-JP"/>
        </w:rPr>
        <w:t>SB</w:t>
      </w:r>
      <w:r w:rsidRPr="00290B25">
        <w:rPr>
          <w:lang w:eastAsia="ja-JP"/>
        </w:rPr>
        <w:t>A</w:t>
      </w:r>
      <w:proofErr w:type="spellEnd"/>
      <w:r w:rsidRPr="00290B25">
        <w:rPr>
          <w:lang w:eastAsia="ja-JP"/>
        </w:rPr>
        <w:t xml:space="preserve"> GMTs after Dose 2 and Dose 3, respectively, were 50.4 and 86.8 for PM680 (A22), 131.2 and 222.5 for PM62001(A56)</w:t>
      </w:r>
      <w:r w:rsidR="000869B9" w:rsidRPr="00290B25">
        <w:rPr>
          <w:lang w:eastAsia="ja-JP"/>
        </w:rPr>
        <w:t>,14.3 and 24.1 for PMB2948 (624)</w:t>
      </w:r>
      <w:r w:rsidRPr="00290B25">
        <w:rPr>
          <w:lang w:eastAsia="ja-JP"/>
        </w:rPr>
        <w:t>, and 17.1 an</w:t>
      </w:r>
      <w:r w:rsidR="000869B9" w:rsidRPr="00290B25">
        <w:rPr>
          <w:lang w:eastAsia="ja-JP"/>
        </w:rPr>
        <w:t>d 50.9 for PM62707 (644)</w:t>
      </w:r>
      <w:r w:rsidRPr="00290B25">
        <w:rPr>
          <w:lang w:eastAsia="ja-JP"/>
        </w:rPr>
        <w:t>. A similar pattern was obs</w:t>
      </w:r>
      <w:r w:rsidR="00D344B8" w:rsidRPr="00290B25">
        <w:rPr>
          <w:lang w:eastAsia="ja-JP"/>
        </w:rPr>
        <w:t>erved in young adults in Study B</w:t>
      </w:r>
      <w:r w:rsidRPr="00290B25">
        <w:rPr>
          <w:lang w:eastAsia="ja-JP"/>
        </w:rPr>
        <w:t>1971016</w:t>
      </w:r>
      <w:r w:rsidR="00743EF5" w:rsidRPr="00290B25">
        <w:rPr>
          <w:lang w:eastAsia="ja-JP"/>
        </w:rPr>
        <w:t>.</w:t>
      </w:r>
    </w:p>
    <w:p w:rsidR="00743EF5" w:rsidRPr="00290B25" w:rsidRDefault="004D513F" w:rsidP="004D513F">
      <w:pPr>
        <w:rPr>
          <w:lang w:eastAsia="ja-JP"/>
        </w:rPr>
      </w:pPr>
      <w:r w:rsidRPr="00290B25">
        <w:rPr>
          <w:lang w:eastAsia="ja-JP"/>
        </w:rPr>
        <w:t xml:space="preserve">A secondary objective common to both </w:t>
      </w:r>
      <w:r w:rsidR="00FE697C" w:rsidRPr="00290B25">
        <w:rPr>
          <w:lang w:eastAsia="ja-JP"/>
        </w:rPr>
        <w:t>Phase III</w:t>
      </w:r>
      <w:r w:rsidRPr="00290B25">
        <w:rPr>
          <w:lang w:eastAsia="ja-JP"/>
        </w:rPr>
        <w:t xml:space="preserve"> studies was to describe the immune response as measured by </w:t>
      </w:r>
      <w:proofErr w:type="spellStart"/>
      <w:r w:rsidR="00D344B8" w:rsidRPr="00290B25">
        <w:rPr>
          <w:lang w:eastAsia="ja-JP"/>
        </w:rPr>
        <w:t>hSB</w:t>
      </w:r>
      <w:r w:rsidR="000869B9" w:rsidRPr="00290B25">
        <w:rPr>
          <w:lang w:eastAsia="ja-JP"/>
        </w:rPr>
        <w:t>A</w:t>
      </w:r>
      <w:proofErr w:type="spellEnd"/>
      <w:r w:rsidRPr="00290B25">
        <w:rPr>
          <w:lang w:eastAsia="ja-JP"/>
        </w:rPr>
        <w:t xml:space="preserve"> performed with 10 secondary </w:t>
      </w:r>
      <w:proofErr w:type="spellStart"/>
      <w:r w:rsidRPr="00290B25">
        <w:rPr>
          <w:lang w:eastAsia="ja-JP"/>
        </w:rPr>
        <w:t>MnB</w:t>
      </w:r>
      <w:proofErr w:type="spellEnd"/>
      <w:r w:rsidRPr="00290B25">
        <w:rPr>
          <w:lang w:eastAsia="ja-JP"/>
        </w:rPr>
        <w:t xml:space="preserve"> test strains exp</w:t>
      </w:r>
      <w:r w:rsidR="00D344B8" w:rsidRPr="00290B25">
        <w:rPr>
          <w:lang w:eastAsia="ja-JP"/>
        </w:rPr>
        <w:t>ressing rLP2086 subfamily A or B</w:t>
      </w:r>
      <w:r w:rsidRPr="00290B25">
        <w:rPr>
          <w:lang w:eastAsia="ja-JP"/>
        </w:rPr>
        <w:t xml:space="preserve"> proteins, measured 1 month after the third vaccination with bivalent rLP2086 in the evaluable immunogenicity population and after the second vaccination in the post- </w:t>
      </w:r>
      <w:r w:rsidR="008B4D82" w:rsidRPr="00290B25">
        <w:rPr>
          <w:lang w:eastAsia="ja-JP"/>
        </w:rPr>
        <w:t>Vaccination</w:t>
      </w:r>
      <w:r w:rsidRPr="00290B25">
        <w:rPr>
          <w:lang w:eastAsia="ja-JP"/>
        </w:rPr>
        <w:t xml:space="preserve"> 2 evaluable immunogenicity population (</w:t>
      </w:r>
      <w:r w:rsidR="00012937" w:rsidRPr="00290B25">
        <w:rPr>
          <w:lang w:eastAsia="ja-JP"/>
        </w:rPr>
        <w:t>that is,</w:t>
      </w:r>
      <w:r w:rsidRPr="00290B25">
        <w:rPr>
          <w:lang w:eastAsia="ja-JP"/>
        </w:rPr>
        <w:t xml:space="preserve"> including subjects receiving 2 doses of bivalent rLP2086, irrespective of receipt of a third dose}. The majority of subjects in each study achieved </w:t>
      </w:r>
      <w:proofErr w:type="spellStart"/>
      <w:r w:rsidRPr="00290B25">
        <w:rPr>
          <w:lang w:eastAsia="ja-JP"/>
        </w:rPr>
        <w:t>hSBA</w:t>
      </w:r>
      <w:proofErr w:type="spellEnd"/>
      <w:r w:rsidRPr="00290B25">
        <w:rPr>
          <w:lang w:eastAsia="ja-JP"/>
        </w:rPr>
        <w:t xml:space="preserve"> </w:t>
      </w:r>
      <w:r w:rsidR="00EA5CCB" w:rsidRPr="00290B25">
        <w:rPr>
          <w:lang w:eastAsia="ja-JP"/>
        </w:rPr>
        <w:t>titre</w:t>
      </w:r>
      <w:r w:rsidRPr="00290B25">
        <w:rPr>
          <w:lang w:eastAsia="ja-JP"/>
        </w:rPr>
        <w:t xml:space="preserve">s </w:t>
      </w:r>
      <w:r w:rsidR="00743EF5" w:rsidRPr="00DD25D7">
        <w:t xml:space="preserve">≥ </w:t>
      </w:r>
      <w:r w:rsidRPr="00290B25">
        <w:rPr>
          <w:lang w:eastAsia="ja-JP"/>
        </w:rPr>
        <w:t>LLOQ and robust GMTs after the second and third vaccinations with bivale</w:t>
      </w:r>
      <w:r w:rsidR="00D344B8" w:rsidRPr="00290B25">
        <w:rPr>
          <w:lang w:eastAsia="ja-JP"/>
        </w:rPr>
        <w:t xml:space="preserve">nt rLP2086 for all secondary </w:t>
      </w:r>
      <w:proofErr w:type="spellStart"/>
      <w:r w:rsidR="00D344B8" w:rsidRPr="00290B25">
        <w:rPr>
          <w:lang w:eastAsia="ja-JP"/>
        </w:rPr>
        <w:t>MnB</w:t>
      </w:r>
      <w:proofErr w:type="spellEnd"/>
      <w:r w:rsidRPr="00290B25">
        <w:rPr>
          <w:lang w:eastAsia="ja-JP"/>
        </w:rPr>
        <w:t xml:space="preserve"> test strains, demonstrating a pattern of response similar to that observed for the 4 primary test strains. In Study B1971009, the proportion of subjects in Group 1 with </w:t>
      </w:r>
      <w:proofErr w:type="spellStart"/>
      <w:r w:rsidRPr="00290B25">
        <w:rPr>
          <w:lang w:eastAsia="ja-JP"/>
        </w:rPr>
        <w:t>hSBA</w:t>
      </w:r>
      <w:proofErr w:type="spellEnd"/>
      <w:r w:rsidRPr="00290B25">
        <w:rPr>
          <w:lang w:eastAsia="ja-JP"/>
        </w:rPr>
        <w:t xml:space="preserve"> </w:t>
      </w:r>
      <w:r w:rsidR="00EA5CCB" w:rsidRPr="00290B25">
        <w:rPr>
          <w:lang w:eastAsia="ja-JP"/>
        </w:rPr>
        <w:t>titre</w:t>
      </w:r>
      <w:r w:rsidRPr="00290B25">
        <w:rPr>
          <w:lang w:eastAsia="ja-JP"/>
        </w:rPr>
        <w:t xml:space="preserve">s </w:t>
      </w:r>
      <w:r w:rsidR="00A315FB" w:rsidRPr="00DD25D7">
        <w:t xml:space="preserve">≥ </w:t>
      </w:r>
      <w:r w:rsidRPr="00290B25">
        <w:rPr>
          <w:lang w:eastAsia="ja-JP"/>
        </w:rPr>
        <w:t xml:space="preserve">LLOQ ranged from 61.1% to 100.0% after </w:t>
      </w:r>
      <w:r w:rsidR="008B4D82" w:rsidRPr="00290B25">
        <w:rPr>
          <w:lang w:eastAsia="ja-JP"/>
        </w:rPr>
        <w:t>Vaccination</w:t>
      </w:r>
      <w:r w:rsidRPr="00290B25">
        <w:rPr>
          <w:lang w:eastAsia="ja-JP"/>
        </w:rPr>
        <w:t xml:space="preserve"> 2 and 75.1% to 98.6% after </w:t>
      </w:r>
      <w:r w:rsidR="008B4D82" w:rsidRPr="00290B25">
        <w:rPr>
          <w:lang w:eastAsia="ja-JP"/>
        </w:rPr>
        <w:t>Vaccination</w:t>
      </w:r>
      <w:r w:rsidRPr="00290B25">
        <w:rPr>
          <w:lang w:eastAsia="ja-JP"/>
        </w:rPr>
        <w:t xml:space="preserve"> 3; </w:t>
      </w:r>
      <w:proofErr w:type="spellStart"/>
      <w:r w:rsidRPr="00290B25">
        <w:rPr>
          <w:lang w:eastAsia="ja-JP"/>
        </w:rPr>
        <w:t>hSBA</w:t>
      </w:r>
      <w:proofErr w:type="spellEnd"/>
      <w:r w:rsidRPr="00290B25">
        <w:rPr>
          <w:lang w:eastAsia="ja-JP"/>
        </w:rPr>
        <w:t xml:space="preserve"> GMTs for the 10 secondary test strains were substantially higher than </w:t>
      </w:r>
      <w:r w:rsidR="008B4D82" w:rsidRPr="00290B25">
        <w:rPr>
          <w:lang w:eastAsia="ja-JP"/>
        </w:rPr>
        <w:t>Baseline</w:t>
      </w:r>
      <w:r w:rsidRPr="00290B25">
        <w:rPr>
          <w:lang w:eastAsia="ja-JP"/>
        </w:rPr>
        <w:t xml:space="preserve"> </w:t>
      </w:r>
      <w:r w:rsidR="00EA5CCB" w:rsidRPr="00290B25">
        <w:rPr>
          <w:lang w:eastAsia="ja-JP"/>
        </w:rPr>
        <w:t>titre</w:t>
      </w:r>
      <w:r w:rsidRPr="00290B25">
        <w:rPr>
          <w:lang w:eastAsia="ja-JP"/>
        </w:rPr>
        <w:t>s after the second and third vaccinations. The results for the 10 secondary strains in Study B1971016 we</w:t>
      </w:r>
      <w:r w:rsidR="00FE697C" w:rsidRPr="00290B25">
        <w:rPr>
          <w:lang w:eastAsia="ja-JP"/>
        </w:rPr>
        <w:t>re comparable to those of Study </w:t>
      </w:r>
      <w:r w:rsidRPr="00290B25">
        <w:rPr>
          <w:lang w:eastAsia="ja-JP"/>
        </w:rPr>
        <w:t>B1971009</w:t>
      </w:r>
      <w:r w:rsidR="00743EF5" w:rsidRPr="00290B25">
        <w:rPr>
          <w:lang w:eastAsia="ja-JP"/>
        </w:rPr>
        <w:t>.</w:t>
      </w:r>
    </w:p>
    <w:p w:rsidR="00743EF5" w:rsidRPr="00290B25" w:rsidRDefault="004D513F" w:rsidP="004D513F">
      <w:pPr>
        <w:rPr>
          <w:lang w:eastAsia="ja-JP"/>
        </w:rPr>
      </w:pPr>
      <w:r w:rsidRPr="00290B25">
        <w:rPr>
          <w:lang w:eastAsia="ja-JP"/>
        </w:rPr>
        <w:t xml:space="preserve">Analyses of the association between the primary strain and the secondary strain responses in both </w:t>
      </w:r>
      <w:r w:rsidR="00743EF5" w:rsidRPr="00290B25">
        <w:rPr>
          <w:lang w:eastAsia="ja-JP"/>
        </w:rPr>
        <w:t>Phase III</w:t>
      </w:r>
      <w:r w:rsidRPr="00290B25">
        <w:rPr>
          <w:lang w:eastAsia="ja-JP"/>
        </w:rPr>
        <w:t xml:space="preserve"> studies showed that, within the same </w:t>
      </w:r>
      <w:proofErr w:type="spellStart"/>
      <w:r w:rsidRPr="00290B25">
        <w:rPr>
          <w:lang w:eastAsia="ja-JP"/>
        </w:rPr>
        <w:t>fHBP</w:t>
      </w:r>
      <w:proofErr w:type="spellEnd"/>
      <w:r w:rsidRPr="00290B25">
        <w:rPr>
          <w:lang w:eastAsia="ja-JP"/>
        </w:rPr>
        <w:t xml:space="preserve"> subfamily, positive correlations were observed between the primary strain </w:t>
      </w:r>
      <w:proofErr w:type="spellStart"/>
      <w:r w:rsidRPr="00290B25">
        <w:rPr>
          <w:lang w:eastAsia="ja-JP"/>
        </w:rPr>
        <w:t>hSBA</w:t>
      </w:r>
      <w:proofErr w:type="spellEnd"/>
      <w:r w:rsidRPr="00290B25">
        <w:rPr>
          <w:lang w:eastAsia="ja-JP"/>
        </w:rPr>
        <w:t xml:space="preserve"> responses and secon</w:t>
      </w:r>
      <w:r w:rsidR="00FE697C" w:rsidRPr="00290B25">
        <w:rPr>
          <w:lang w:eastAsia="ja-JP"/>
        </w:rPr>
        <w:t xml:space="preserve">dary strain </w:t>
      </w:r>
      <w:proofErr w:type="spellStart"/>
      <w:r w:rsidR="00FE697C" w:rsidRPr="00290B25">
        <w:rPr>
          <w:lang w:eastAsia="ja-JP"/>
        </w:rPr>
        <w:t>hSBA</w:t>
      </w:r>
      <w:proofErr w:type="spellEnd"/>
      <w:r w:rsidR="00FE697C" w:rsidRPr="00290B25">
        <w:rPr>
          <w:lang w:eastAsia="ja-JP"/>
        </w:rPr>
        <w:t xml:space="preserve"> responses at 1 </w:t>
      </w:r>
      <w:r w:rsidRPr="00290B25">
        <w:rPr>
          <w:lang w:eastAsia="ja-JP"/>
        </w:rPr>
        <w:t xml:space="preserve">month after </w:t>
      </w:r>
      <w:r w:rsidR="008B4D82" w:rsidRPr="00290B25">
        <w:rPr>
          <w:lang w:eastAsia="ja-JP"/>
        </w:rPr>
        <w:t>Vaccination</w:t>
      </w:r>
      <w:r w:rsidRPr="00290B25">
        <w:rPr>
          <w:lang w:eastAsia="ja-JP"/>
        </w:rPr>
        <w:t xml:space="preserve"> 3. The positive predictive value (PPV) analyses, the most reliable and clinically relevant of the analyses of primary-secondary strain associations, were conducted to determine whether immune responses to the primary strains (responses defined as </w:t>
      </w:r>
      <w:proofErr w:type="spellStart"/>
      <w:r w:rsidRPr="00290B25">
        <w:rPr>
          <w:lang w:eastAsia="ja-JP"/>
        </w:rPr>
        <w:t>hSBA</w:t>
      </w:r>
      <w:proofErr w:type="spellEnd"/>
      <w:r w:rsidRPr="00290B25">
        <w:rPr>
          <w:lang w:eastAsia="ja-JP"/>
        </w:rPr>
        <w:t xml:space="preserve"> </w:t>
      </w:r>
      <w:r w:rsidR="00EA5CCB" w:rsidRPr="00290B25">
        <w:rPr>
          <w:lang w:eastAsia="ja-JP"/>
        </w:rPr>
        <w:t>titre</w:t>
      </w:r>
      <w:r w:rsidRPr="00290B25">
        <w:rPr>
          <w:lang w:eastAsia="ja-JP"/>
        </w:rPr>
        <w:t xml:space="preserve">s </w:t>
      </w:r>
      <w:r w:rsidR="00554B61" w:rsidRPr="00290B25">
        <w:rPr>
          <w:lang w:eastAsia="ja-JP"/>
        </w:rPr>
        <w:t xml:space="preserve">≥ </w:t>
      </w:r>
      <w:r w:rsidRPr="00290B25">
        <w:rPr>
          <w:lang w:eastAsia="ja-JP"/>
        </w:rPr>
        <w:t xml:space="preserve">the assays' LLOQs) were predictive of a more general response to </w:t>
      </w:r>
      <w:proofErr w:type="spellStart"/>
      <w:r w:rsidRPr="00290B25">
        <w:rPr>
          <w:lang w:eastAsia="ja-JP"/>
        </w:rPr>
        <w:t>MnB</w:t>
      </w:r>
      <w:proofErr w:type="spellEnd"/>
      <w:r w:rsidRPr="00290B25">
        <w:rPr>
          <w:lang w:eastAsia="ja-JP"/>
        </w:rPr>
        <w:t xml:space="preserve"> strains. Primary strain responses proved to be highly predictive of secondary strain responses within the same subfamily, at 1 month after both the second and third vaccinations, based on the PPV analysis. For subfamily </w:t>
      </w:r>
      <w:proofErr w:type="gramStart"/>
      <w:r w:rsidRPr="00290B25">
        <w:rPr>
          <w:lang w:eastAsia="ja-JP"/>
        </w:rPr>
        <w:t>A</w:t>
      </w:r>
      <w:proofErr w:type="gramEnd"/>
      <w:r w:rsidRPr="00290B25">
        <w:rPr>
          <w:lang w:eastAsia="ja-JP"/>
        </w:rPr>
        <w:t xml:space="preserve"> strains, PPVs in Study B1971009 ranged from 64.4% to 100.0% after </w:t>
      </w:r>
      <w:r w:rsidR="008B4D82" w:rsidRPr="00290B25">
        <w:rPr>
          <w:lang w:eastAsia="ja-JP"/>
        </w:rPr>
        <w:lastRenderedPageBreak/>
        <w:t>Vaccination</w:t>
      </w:r>
      <w:r w:rsidRPr="00290B25">
        <w:rPr>
          <w:lang w:eastAsia="ja-JP"/>
        </w:rPr>
        <w:t xml:space="preserve"> 2 and from 75.6% to 99.6% after </w:t>
      </w:r>
      <w:r w:rsidR="008B4D82" w:rsidRPr="00290B25">
        <w:rPr>
          <w:lang w:eastAsia="ja-JP"/>
        </w:rPr>
        <w:t>Vaccination</w:t>
      </w:r>
      <w:r w:rsidRPr="00290B25">
        <w:rPr>
          <w:lang w:eastAsia="ja-JP"/>
        </w:rPr>
        <w:t xml:space="preserve"> 3. For subfamily B strains, the PPVs ranged from 78.9% to 100.0% after </w:t>
      </w:r>
      <w:r w:rsidR="008B4D82" w:rsidRPr="00290B25">
        <w:rPr>
          <w:lang w:eastAsia="ja-JP"/>
        </w:rPr>
        <w:t>Vaccination</w:t>
      </w:r>
      <w:r w:rsidRPr="00290B25">
        <w:rPr>
          <w:lang w:eastAsia="ja-JP"/>
        </w:rPr>
        <w:t xml:space="preserve"> 2 and from 85.5% to 99.6% after </w:t>
      </w:r>
      <w:r w:rsidR="008B4D82" w:rsidRPr="00290B25">
        <w:rPr>
          <w:lang w:eastAsia="ja-JP"/>
        </w:rPr>
        <w:t>Vaccination</w:t>
      </w:r>
      <w:r w:rsidRPr="00290B25">
        <w:rPr>
          <w:lang w:eastAsia="ja-JP"/>
        </w:rPr>
        <w:t xml:space="preserve"> 3. Results were similar for each strain in Study B1971016</w:t>
      </w:r>
      <w:r w:rsidR="00743EF5" w:rsidRPr="00290B25">
        <w:rPr>
          <w:lang w:eastAsia="ja-JP"/>
        </w:rPr>
        <w:t>.</w:t>
      </w:r>
    </w:p>
    <w:p w:rsidR="00743EF5" w:rsidRPr="00290B25" w:rsidRDefault="004D513F" w:rsidP="004D513F">
      <w:pPr>
        <w:rPr>
          <w:lang w:eastAsia="ja-JP"/>
        </w:rPr>
      </w:pPr>
      <w:r w:rsidRPr="00290B25">
        <w:rPr>
          <w:lang w:eastAsia="ja-JP"/>
        </w:rPr>
        <w:t xml:space="preserve">The predictive power of the primary strain responses was also present among subjects negative in </w:t>
      </w:r>
      <w:proofErr w:type="spellStart"/>
      <w:r w:rsidRPr="00290B25">
        <w:rPr>
          <w:lang w:eastAsia="ja-JP"/>
        </w:rPr>
        <w:t>hSBAs</w:t>
      </w:r>
      <w:proofErr w:type="spellEnd"/>
      <w:r w:rsidRPr="00290B25">
        <w:rPr>
          <w:lang w:eastAsia="ja-JP"/>
        </w:rPr>
        <w:t xml:space="preserve"> with primary and secondary strains at </w:t>
      </w:r>
      <w:r w:rsidR="008B4D82" w:rsidRPr="00290B25">
        <w:rPr>
          <w:lang w:eastAsia="ja-JP"/>
        </w:rPr>
        <w:t>Baseline</w:t>
      </w:r>
      <w:r w:rsidRPr="00290B25">
        <w:rPr>
          <w:lang w:eastAsia="ja-JP"/>
        </w:rPr>
        <w:t xml:space="preserve">, indicating that </w:t>
      </w:r>
      <w:r w:rsidR="008B4D82" w:rsidRPr="00290B25">
        <w:rPr>
          <w:lang w:eastAsia="ja-JP"/>
        </w:rPr>
        <w:t>Baseline</w:t>
      </w:r>
      <w:r w:rsidRPr="00290B25">
        <w:rPr>
          <w:lang w:eastAsia="ja-JP"/>
        </w:rPr>
        <w:t xml:space="preserve"> </w:t>
      </w:r>
      <w:proofErr w:type="spellStart"/>
      <w:r w:rsidRPr="00290B25">
        <w:rPr>
          <w:lang w:eastAsia="ja-JP"/>
        </w:rPr>
        <w:t>hSBA</w:t>
      </w:r>
      <w:proofErr w:type="spellEnd"/>
      <w:r w:rsidRPr="00290B25">
        <w:rPr>
          <w:lang w:eastAsia="ja-JP"/>
        </w:rPr>
        <w:t xml:space="preserve"> positivity did not influence the magnitude of the PPVs. Thus, the PPV analysis, supported by results of the correlation and concordance analyses, provides assurance that the observed immune responses to the primary strains are indicative of broad protection against diverse </w:t>
      </w:r>
      <w:proofErr w:type="spellStart"/>
      <w:r w:rsidRPr="00290B25">
        <w:rPr>
          <w:lang w:eastAsia="ja-JP"/>
        </w:rPr>
        <w:t>MnB</w:t>
      </w:r>
      <w:proofErr w:type="spellEnd"/>
      <w:r w:rsidRPr="00290B25">
        <w:rPr>
          <w:lang w:eastAsia="ja-JP"/>
        </w:rPr>
        <w:t xml:space="preserve"> disease causing strains</w:t>
      </w:r>
      <w:r w:rsidR="00743EF5" w:rsidRPr="00290B25">
        <w:rPr>
          <w:lang w:eastAsia="ja-JP"/>
        </w:rPr>
        <w:t>.</w:t>
      </w:r>
    </w:p>
    <w:p w:rsidR="00743EF5" w:rsidRPr="00290B25" w:rsidRDefault="004D513F" w:rsidP="004D513F">
      <w:pPr>
        <w:rPr>
          <w:lang w:eastAsia="ja-JP"/>
        </w:rPr>
      </w:pPr>
      <w:r w:rsidRPr="00290B25">
        <w:rPr>
          <w:lang w:eastAsia="ja-JP"/>
        </w:rPr>
        <w:t xml:space="preserve">In three </w:t>
      </w:r>
      <w:r w:rsidR="000869B9" w:rsidRPr="00290B25">
        <w:rPr>
          <w:lang w:eastAsia="ja-JP"/>
        </w:rPr>
        <w:t>Phase II</w:t>
      </w:r>
      <w:r w:rsidRPr="00290B25">
        <w:rPr>
          <w:lang w:eastAsia="ja-JP"/>
        </w:rPr>
        <w:t xml:space="preserve"> </w:t>
      </w:r>
      <w:r w:rsidR="00032B77" w:rsidRPr="00290B25">
        <w:rPr>
          <w:lang w:eastAsia="ja-JP"/>
        </w:rPr>
        <w:t>Stud</w:t>
      </w:r>
      <w:r w:rsidRPr="00290B25">
        <w:rPr>
          <w:lang w:eastAsia="ja-JP"/>
        </w:rPr>
        <w:t>ies, B1971010, B1971011, and B1971015, the immunogenicity of bivalent rLP2086 has been shown to be unchanged by concomitant a</w:t>
      </w:r>
      <w:r w:rsidR="00554B61" w:rsidRPr="00290B25">
        <w:rPr>
          <w:lang w:eastAsia="ja-JP"/>
        </w:rPr>
        <w:t>dministration of other vaccines</w:t>
      </w:r>
      <w:r w:rsidRPr="00290B25">
        <w:rPr>
          <w:lang w:eastAsia="ja-JP"/>
        </w:rPr>
        <w:t xml:space="preserve"> </w:t>
      </w:r>
      <w:r w:rsidR="00554B61" w:rsidRPr="00290B25">
        <w:rPr>
          <w:lang w:eastAsia="ja-JP"/>
        </w:rPr>
        <w:t>(</w:t>
      </w:r>
      <w:proofErr w:type="spellStart"/>
      <w:r w:rsidR="00554B61" w:rsidRPr="00290B25">
        <w:rPr>
          <w:lang w:eastAsia="ja-JP"/>
        </w:rPr>
        <w:t>dTap</w:t>
      </w:r>
      <w:proofErr w:type="spellEnd"/>
      <w:r w:rsidR="00554B61" w:rsidRPr="00290B25">
        <w:rPr>
          <w:lang w:eastAsia="ja-JP"/>
        </w:rPr>
        <w:t>-IPV, HPV4</w:t>
      </w:r>
      <w:r w:rsidRPr="00290B25">
        <w:rPr>
          <w:lang w:eastAsia="ja-JP"/>
        </w:rPr>
        <w:t xml:space="preserve">, or </w:t>
      </w:r>
      <w:proofErr w:type="spellStart"/>
      <w:r w:rsidRPr="00290B25">
        <w:rPr>
          <w:lang w:eastAsia="ja-JP"/>
        </w:rPr>
        <w:t>Tdap</w:t>
      </w:r>
      <w:proofErr w:type="spellEnd"/>
      <w:r w:rsidRPr="00290B25">
        <w:rPr>
          <w:lang w:eastAsia="ja-JP"/>
        </w:rPr>
        <w:t xml:space="preserve"> and MCV4 respectively); similarly, the immune responses to the concomitant vaccines were unaffected in a clinically meaningful way when administered with bivalent rLP2086</w:t>
      </w:r>
      <w:r w:rsidR="00743EF5" w:rsidRPr="00290B25">
        <w:rPr>
          <w:lang w:eastAsia="ja-JP"/>
        </w:rPr>
        <w:t>.</w:t>
      </w:r>
    </w:p>
    <w:p w:rsidR="00C22678" w:rsidRPr="00DD25D7" w:rsidRDefault="00C22678" w:rsidP="00C22678">
      <w:pPr>
        <w:pStyle w:val="Heading2"/>
      </w:pPr>
      <w:bookmarkStart w:id="104" w:name="_Toc524443904"/>
      <w:r w:rsidRPr="00DD25D7">
        <w:t>Clinical safety</w:t>
      </w:r>
      <w:bookmarkEnd w:id="104"/>
    </w:p>
    <w:p w:rsidR="004D513F" w:rsidRPr="00DD25D7" w:rsidRDefault="004D513F" w:rsidP="004D513F">
      <w:pPr>
        <w:pStyle w:val="Heading3"/>
      </w:pPr>
      <w:bookmarkStart w:id="105" w:name="_Toc272414659"/>
      <w:bookmarkStart w:id="106" w:name="_Toc290888510"/>
      <w:bookmarkStart w:id="107" w:name="_Toc416353726"/>
      <w:bookmarkStart w:id="108" w:name="_Toc421005274"/>
      <w:bookmarkStart w:id="109" w:name="_Toc432079156"/>
      <w:bookmarkStart w:id="110" w:name="_Toc432080729"/>
      <w:bookmarkStart w:id="111" w:name="_Toc464739501"/>
      <w:bookmarkStart w:id="112" w:name="_Toc524443905"/>
      <w:r w:rsidRPr="00DD25D7">
        <w:t>Studies providing evaluable safety data</w:t>
      </w:r>
      <w:bookmarkEnd w:id="105"/>
      <w:bookmarkEnd w:id="106"/>
      <w:bookmarkEnd w:id="107"/>
      <w:bookmarkEnd w:id="108"/>
      <w:bookmarkEnd w:id="109"/>
      <w:bookmarkEnd w:id="110"/>
      <w:bookmarkEnd w:id="111"/>
      <w:bookmarkEnd w:id="112"/>
    </w:p>
    <w:p w:rsidR="004D513F" w:rsidRPr="00DD25D7" w:rsidRDefault="004D513F" w:rsidP="004D513F">
      <w:pPr>
        <w:pStyle w:val="Heading4"/>
      </w:pPr>
      <w:bookmarkStart w:id="113" w:name="_Toc421005275"/>
      <w:bookmarkStart w:id="114" w:name="_Toc432079157"/>
      <w:bookmarkStart w:id="115" w:name="_Toc432080730"/>
      <w:r w:rsidRPr="00DD25D7">
        <w:t>Pivotal studies that assessed safety as the sole primary outcome</w:t>
      </w:r>
      <w:bookmarkEnd w:id="113"/>
      <w:bookmarkEnd w:id="114"/>
      <w:bookmarkEnd w:id="115"/>
    </w:p>
    <w:p w:rsidR="004D513F" w:rsidRPr="00DD25D7" w:rsidRDefault="004D513F" w:rsidP="004D513F">
      <w:bookmarkStart w:id="116" w:name="_Ref268776745"/>
      <w:bookmarkStart w:id="117" w:name="_Toc421005276"/>
      <w:bookmarkStart w:id="118" w:name="_Toc432079158"/>
      <w:bookmarkStart w:id="119" w:name="_Toc432080731"/>
      <w:r w:rsidRPr="00DD25D7">
        <w:t xml:space="preserve">Study B1971014 is a </w:t>
      </w:r>
      <w:r w:rsidR="00FE697C" w:rsidRPr="00DD25D7">
        <w:t>Phase III</w:t>
      </w:r>
      <w:r w:rsidRPr="00DD25D7">
        <w:t xml:space="preserve"> study conducted in children that assessed safety as the sole primary outcome and is described below.</w:t>
      </w:r>
    </w:p>
    <w:p w:rsidR="004D513F" w:rsidRPr="00DD25D7" w:rsidRDefault="004D513F" w:rsidP="004D513F">
      <w:pPr>
        <w:pStyle w:val="Heading4"/>
      </w:pPr>
      <w:r w:rsidRPr="00DD25D7">
        <w:t xml:space="preserve">Pivotal and/or main </w:t>
      </w:r>
      <w:r w:rsidR="0040689C" w:rsidRPr="00DD25D7">
        <w:t>studies assessing safety and tolerability</w:t>
      </w:r>
      <w:bookmarkEnd w:id="116"/>
      <w:bookmarkEnd w:id="117"/>
      <w:bookmarkEnd w:id="118"/>
      <w:bookmarkEnd w:id="119"/>
    </w:p>
    <w:p w:rsidR="00743EF5" w:rsidRPr="00DD25D7" w:rsidRDefault="004D513F" w:rsidP="004D513F">
      <w:r w:rsidRPr="00DD25D7">
        <w:t xml:space="preserve">The primary data supporting the safety and tolerability of bivalent rLP2086 are from subjects in the program's 8 randomised controlled </w:t>
      </w:r>
      <w:r w:rsidR="00032B77" w:rsidRPr="00DD25D7">
        <w:t>Stud</w:t>
      </w:r>
      <w:r w:rsidRPr="00DD25D7">
        <w:t>ies (B1971004, B1971005, B1971009, B197101</w:t>
      </w:r>
      <w:r w:rsidR="00FE697C" w:rsidRPr="00DD25D7">
        <w:t>0, B1971011, B1971014, B1971015</w:t>
      </w:r>
      <w:r w:rsidRPr="00DD25D7">
        <w:t xml:space="preserve"> </w:t>
      </w:r>
      <w:r w:rsidR="00FE697C" w:rsidRPr="00DD25D7">
        <w:t>and B1971016</w:t>
      </w:r>
      <w:r w:rsidRPr="00DD25D7">
        <w:t xml:space="preserve">). Additional data are from subjects in the 3 uncontrolled </w:t>
      </w:r>
      <w:r w:rsidR="00032B77" w:rsidRPr="00DD25D7">
        <w:t>Stud</w:t>
      </w:r>
      <w:r w:rsidRPr="00DD25D7">
        <w:t>ies {B1971003, B1971012,</w:t>
      </w:r>
      <w:r w:rsidR="001A0C86" w:rsidRPr="00DD25D7">
        <w:t xml:space="preserve"> and</w:t>
      </w:r>
      <w:r w:rsidRPr="00DD25D7">
        <w:t xml:space="preserve"> B1971042. The overall safety dataset comprises a total of 15,294 subjects who received at least 1 vaccination of bivalent rLP2086 at any dose level and using any dosing schedule; among these, 15,053 received bivalent rLP2086 at the 120</w:t>
      </w:r>
      <w:r w:rsidR="00FE697C" w:rsidRPr="00DD25D7">
        <w:t xml:space="preserve"> </w:t>
      </w:r>
      <w:r w:rsidRPr="00DD25D7">
        <w:t xml:space="preserve">μg dose </w:t>
      </w:r>
      <w:proofErr w:type="gramStart"/>
      <w:r w:rsidRPr="00DD25D7">
        <w:t>level</w:t>
      </w:r>
      <w:proofErr w:type="gramEnd"/>
      <w:r w:rsidRPr="00DD25D7">
        <w:t xml:space="preserve"> using any schedule</w:t>
      </w:r>
      <w:r w:rsidR="00743EF5" w:rsidRPr="00DD25D7">
        <w:t>.</w:t>
      </w:r>
    </w:p>
    <w:p w:rsidR="00743EF5" w:rsidRPr="00DD25D7" w:rsidRDefault="004D513F" w:rsidP="004D513F">
      <w:r w:rsidRPr="00DD25D7">
        <w:t xml:space="preserve">Safety was assessed on the basis of information regarding solicited local and systemic events </w:t>
      </w:r>
      <w:r w:rsidR="00FB3C1B" w:rsidRPr="00DD25D7">
        <w:t xml:space="preserve">(known as “reactogenicity”) </w:t>
      </w:r>
      <w:r w:rsidRPr="00DD25D7">
        <w:t>as well as unsolicited adverse events. In the core safety data</w:t>
      </w:r>
      <w:r w:rsidR="00FE697C" w:rsidRPr="00DD25D7">
        <w:t>set (comprising data from the 8 </w:t>
      </w:r>
      <w:r w:rsidRPr="00DD25D7">
        <w:t xml:space="preserve">controlled </w:t>
      </w:r>
      <w:r w:rsidR="00032B77" w:rsidRPr="00DD25D7">
        <w:t>Stud</w:t>
      </w:r>
      <w:r w:rsidRPr="00DD25D7">
        <w:t xml:space="preserve">ies: </w:t>
      </w:r>
      <w:r w:rsidR="00554B61" w:rsidRPr="00DD25D7">
        <w:t>B</w:t>
      </w:r>
      <w:r w:rsidRPr="00DD25D7">
        <w:t xml:space="preserve">1971004, </w:t>
      </w:r>
      <w:r w:rsidR="00554B61" w:rsidRPr="00DD25D7">
        <w:t>B</w:t>
      </w:r>
      <w:r w:rsidRPr="00DD25D7">
        <w:t xml:space="preserve">1971005, </w:t>
      </w:r>
      <w:r w:rsidR="00554B61" w:rsidRPr="00DD25D7">
        <w:t>B</w:t>
      </w:r>
      <w:r w:rsidRPr="00DD25D7">
        <w:t xml:space="preserve">1971009, </w:t>
      </w:r>
      <w:r w:rsidR="00554B61" w:rsidRPr="00DD25D7">
        <w:t>B</w:t>
      </w:r>
      <w:r w:rsidRPr="00DD25D7">
        <w:t xml:space="preserve">1971010, </w:t>
      </w:r>
      <w:r w:rsidR="00554B61" w:rsidRPr="00DD25D7">
        <w:t>B</w:t>
      </w:r>
      <w:r w:rsidRPr="00DD25D7">
        <w:t>1971011,</w:t>
      </w:r>
      <w:r w:rsidR="00FE697C" w:rsidRPr="00DD25D7">
        <w:t xml:space="preserve"> </w:t>
      </w:r>
      <w:r w:rsidR="00554B61" w:rsidRPr="00DD25D7">
        <w:t>B</w:t>
      </w:r>
      <w:r w:rsidR="00FE697C" w:rsidRPr="00DD25D7">
        <w:t xml:space="preserve">1971014, </w:t>
      </w:r>
      <w:r w:rsidR="00554B61" w:rsidRPr="00DD25D7">
        <w:t>B</w:t>
      </w:r>
      <w:r w:rsidR="00FE697C" w:rsidRPr="00DD25D7">
        <w:t xml:space="preserve">1971015 and </w:t>
      </w:r>
      <w:r w:rsidR="00554B61" w:rsidRPr="00DD25D7">
        <w:t>B</w:t>
      </w:r>
      <w:r w:rsidRPr="00DD25D7">
        <w:t>1971016), local reactions and systemic events, in general, were reported in a higher proportion of subjects receiving 120</w:t>
      </w:r>
      <w:r w:rsidR="00FE697C" w:rsidRPr="00DD25D7">
        <w:t xml:space="preserve"> </w:t>
      </w:r>
      <w:r w:rsidRPr="00DD25D7">
        <w:t>μg of bivalent rLP2086 as compared with saline control</w:t>
      </w:r>
      <w:r w:rsidR="00743EF5" w:rsidRPr="00DD25D7">
        <w:t>.</w:t>
      </w:r>
    </w:p>
    <w:p w:rsidR="004D513F" w:rsidRPr="00DD25D7" w:rsidRDefault="004D513F" w:rsidP="004D513F">
      <w:pPr>
        <w:pStyle w:val="Heading5"/>
      </w:pPr>
      <w:r w:rsidRPr="00DD25D7">
        <w:t>Other studies</w:t>
      </w:r>
      <w:r w:rsidR="00752EE0" w:rsidRPr="00DD25D7">
        <w:t xml:space="preserve"> assessing safety and tolerability</w:t>
      </w:r>
    </w:p>
    <w:p w:rsidR="004D513F" w:rsidRPr="00DD25D7" w:rsidRDefault="004D513F" w:rsidP="00FE697C">
      <w:pPr>
        <w:pStyle w:val="Heading6"/>
      </w:pPr>
      <w:r w:rsidRPr="00DD25D7">
        <w:t>Studies with evaluable safety data</w:t>
      </w:r>
      <w:r w:rsidR="00FE697C" w:rsidRPr="00DD25D7">
        <w:t>: dose finding and pharmacology</w:t>
      </w:r>
    </w:p>
    <w:p w:rsidR="004D513F" w:rsidRPr="00DD25D7" w:rsidRDefault="004D513F" w:rsidP="004D513F">
      <w:r w:rsidRPr="00DD25D7">
        <w:t>As described above, the results of these are included in the core dataset.</w:t>
      </w:r>
    </w:p>
    <w:p w:rsidR="004D513F" w:rsidRPr="00DD25D7" w:rsidRDefault="004D513F" w:rsidP="00CB35C8">
      <w:pPr>
        <w:pStyle w:val="Heading3"/>
      </w:pPr>
      <w:bookmarkStart w:id="120" w:name="_Ref269204367"/>
      <w:bookmarkStart w:id="121" w:name="_Ref271195835"/>
      <w:bookmarkStart w:id="122" w:name="_Ref271195841"/>
      <w:bookmarkStart w:id="123" w:name="_Toc272414660"/>
      <w:bookmarkStart w:id="124" w:name="_Toc290888511"/>
      <w:bookmarkStart w:id="125" w:name="_Toc416353727"/>
      <w:bookmarkStart w:id="126" w:name="_Toc421005283"/>
      <w:bookmarkStart w:id="127" w:name="_Toc432079160"/>
      <w:bookmarkStart w:id="128" w:name="_Toc432080733"/>
      <w:bookmarkStart w:id="129" w:name="_Toc464739502"/>
      <w:bookmarkStart w:id="130" w:name="_Toc524443906"/>
      <w:r w:rsidRPr="00DD25D7">
        <w:t>Studies that assessed safety as the sole primary outcome</w:t>
      </w:r>
      <w:bookmarkEnd w:id="120"/>
      <w:bookmarkEnd w:id="121"/>
      <w:bookmarkEnd w:id="122"/>
      <w:bookmarkEnd w:id="123"/>
      <w:bookmarkEnd w:id="124"/>
      <w:bookmarkEnd w:id="125"/>
      <w:bookmarkEnd w:id="126"/>
      <w:bookmarkEnd w:id="127"/>
      <w:bookmarkEnd w:id="128"/>
      <w:bookmarkEnd w:id="129"/>
      <w:bookmarkEnd w:id="130"/>
    </w:p>
    <w:p w:rsidR="004D513F" w:rsidRPr="00DD25D7" w:rsidRDefault="00FE697C" w:rsidP="00CB35C8">
      <w:pPr>
        <w:pStyle w:val="Heading4"/>
      </w:pPr>
      <w:bookmarkStart w:id="131" w:name="_Toc241374318"/>
      <w:bookmarkStart w:id="132" w:name="_Ref271196630"/>
      <w:bookmarkStart w:id="133" w:name="_Toc272414662"/>
      <w:bookmarkStart w:id="134" w:name="_Toc290888526"/>
      <w:bookmarkStart w:id="135" w:name="_Toc416353742"/>
      <w:bookmarkStart w:id="136" w:name="_Toc421005285"/>
      <w:bookmarkStart w:id="137" w:name="_Toc432079162"/>
      <w:bookmarkStart w:id="138" w:name="_Toc432080735"/>
      <w:r w:rsidRPr="00DD25D7">
        <w:t>Study B1971014</w:t>
      </w:r>
    </w:p>
    <w:p w:rsidR="00743EF5" w:rsidRPr="00DD25D7" w:rsidRDefault="004D513F" w:rsidP="004D513F">
      <w:r w:rsidRPr="00DD25D7">
        <w:t xml:space="preserve">This was a </w:t>
      </w:r>
      <w:r w:rsidR="00743EF5" w:rsidRPr="00DD25D7">
        <w:t>Phase III</w:t>
      </w:r>
      <w:r w:rsidRPr="00DD25D7">
        <w:t>, random</w:t>
      </w:r>
      <w:r w:rsidR="00292798" w:rsidRPr="00DD25D7">
        <w:t>ise</w:t>
      </w:r>
      <w:r w:rsidRPr="00DD25D7">
        <w:t xml:space="preserve">d, </w:t>
      </w:r>
      <w:r w:rsidR="00743EF5" w:rsidRPr="00DD25D7">
        <w:t>active controlled</w:t>
      </w:r>
      <w:r w:rsidRPr="00DD25D7">
        <w:t xml:space="preserve">, </w:t>
      </w:r>
      <w:r w:rsidR="00032B77" w:rsidRPr="00DD25D7">
        <w:t>observer blinded</w:t>
      </w:r>
      <w:r w:rsidRPr="00DD25D7">
        <w:t xml:space="preserve">, </w:t>
      </w:r>
      <w:r w:rsidR="00FE697C" w:rsidRPr="00DD25D7">
        <w:t>multicentre</w:t>
      </w:r>
      <w:r w:rsidRPr="00DD25D7">
        <w:t xml:space="preserve"> trial conducted in Australia, Chile, the EU and US, assessing the safety and tolerability of bivalent rLP2086 in healthy subjects age 10 to </w:t>
      </w:r>
      <w:r w:rsidR="00032B77" w:rsidRPr="00DD25D7">
        <w:t xml:space="preserve">&lt; </w:t>
      </w:r>
      <w:r w:rsidRPr="00DD25D7">
        <w:t>26 years. Subjects were random</w:t>
      </w:r>
      <w:r w:rsidR="00292798" w:rsidRPr="00DD25D7">
        <w:t>ise</w:t>
      </w:r>
      <w:r w:rsidRPr="00DD25D7">
        <w:t xml:space="preserve">d in a 2:1 ratio (bivalent rLP2086:control) to receive 120 µg bivalent rLP2086 at 0, 2, and </w:t>
      </w:r>
      <w:r w:rsidR="00743EF5" w:rsidRPr="00DD25D7">
        <w:t>6 month</w:t>
      </w:r>
      <w:r w:rsidRPr="00DD25D7">
        <w:t xml:space="preserve">s or control </w:t>
      </w:r>
      <w:r w:rsidRPr="00DD25D7">
        <w:lastRenderedPageBreak/>
        <w:t>vaccine (HAV at 0 and 6 months, saline at 2 months). It was conducted between November 2012 and September 2014 in 79 sites in Australia, Chile, Czech Republic, Denmark, Estonia, Finland, Germany, Lithuania, Poland, Spain, Sweden, and the United States</w:t>
      </w:r>
      <w:r w:rsidR="00743EF5" w:rsidRPr="00DD25D7">
        <w:t>.</w:t>
      </w:r>
    </w:p>
    <w:p w:rsidR="00743EF5" w:rsidRPr="00DD25D7" w:rsidRDefault="004D513F" w:rsidP="004D513F">
      <w:r w:rsidRPr="00DD25D7">
        <w:t>Primary Objectives: To evaluate the safety of bivalent rLP2086 compared to a control (HAV vaccine/saline), as assessed by serious adverse events (SAEs) and medically attended AEs</w:t>
      </w:r>
      <w:r w:rsidR="00743EF5" w:rsidRPr="00DD25D7">
        <w:t>.</w:t>
      </w:r>
    </w:p>
    <w:p w:rsidR="00743EF5" w:rsidRPr="00DD25D7" w:rsidRDefault="004D513F" w:rsidP="004D513F">
      <w:r w:rsidRPr="00DD25D7">
        <w:t xml:space="preserve">Secondary Objectives: To evaluate the safety profile of bivalent rLP2086 compared to a control (hepatitis A virus </w:t>
      </w:r>
      <w:r w:rsidR="00DD25D7" w:rsidRPr="00DD25D7">
        <w:t>(</w:t>
      </w:r>
      <w:r w:rsidRPr="00DD25D7">
        <w:t>HAV</w:t>
      </w:r>
      <w:r w:rsidR="00DD25D7" w:rsidRPr="00DD25D7">
        <w:t>)</w:t>
      </w:r>
      <w:r w:rsidRPr="00DD25D7">
        <w:t xml:space="preserve"> vaccine/saline), as measured by adverse events (AEs), SAEs, newly diagnosed chronic medical conditions, medically attended AEs, and immediate AEs</w:t>
      </w:r>
      <w:r w:rsidR="00743EF5" w:rsidRPr="00DD25D7">
        <w:t>.</w:t>
      </w:r>
    </w:p>
    <w:p w:rsidR="00743EF5" w:rsidRPr="00DD25D7" w:rsidRDefault="004D513F" w:rsidP="004D513F">
      <w:r w:rsidRPr="00DD25D7">
        <w:t xml:space="preserve">Subject </w:t>
      </w:r>
      <w:r w:rsidR="00FE697C" w:rsidRPr="00DD25D7">
        <w:t>enrolment</w:t>
      </w:r>
      <w:r w:rsidRPr="00DD25D7">
        <w:t xml:space="preserve"> was stratified according to age. Approximately 3</w:t>
      </w:r>
      <w:r w:rsidR="00FE697C" w:rsidRPr="00DD25D7">
        <w:t>,</w:t>
      </w:r>
      <w:r w:rsidRPr="00DD25D7">
        <w:t>300 subjects</w:t>
      </w:r>
      <w:r w:rsidR="00FE697C" w:rsidRPr="00DD25D7">
        <w:t>:</w:t>
      </w:r>
      <w:r w:rsidRPr="00DD25D7">
        <w:t xml:space="preserve"> </w:t>
      </w:r>
      <w:r w:rsidR="00743EF5" w:rsidRPr="00DD25D7">
        <w:t xml:space="preserve">≥ </w:t>
      </w:r>
      <w:r w:rsidRPr="00DD25D7">
        <w:t xml:space="preserve">10 to </w:t>
      </w:r>
      <w:r w:rsidR="00032B77" w:rsidRPr="00DD25D7">
        <w:t xml:space="preserve">&lt; </w:t>
      </w:r>
      <w:r w:rsidRPr="00DD25D7">
        <w:t>19 years old and approximately 2</w:t>
      </w:r>
      <w:r w:rsidR="00FE697C" w:rsidRPr="00DD25D7">
        <w:t>,</w:t>
      </w:r>
      <w:r w:rsidRPr="00DD25D7">
        <w:t>400 subjects</w:t>
      </w:r>
      <w:r w:rsidR="00FE697C" w:rsidRPr="00DD25D7">
        <w:t>:</w:t>
      </w:r>
      <w:r w:rsidRPr="00DD25D7">
        <w:t xml:space="preserve"> </w:t>
      </w:r>
      <w:r w:rsidR="00743EF5" w:rsidRPr="00DD25D7">
        <w:t xml:space="preserve">≥ </w:t>
      </w:r>
      <w:r w:rsidRPr="00DD25D7">
        <w:t xml:space="preserve">19 to </w:t>
      </w:r>
      <w:r w:rsidR="00032B77" w:rsidRPr="00DD25D7">
        <w:t xml:space="preserve">&lt; </w:t>
      </w:r>
      <w:r w:rsidRPr="00DD25D7">
        <w:t>26 years old were to be enrolled. Age stratification ensured representation in both adolescent and adult populations</w:t>
      </w:r>
      <w:r w:rsidR="00743EF5" w:rsidRPr="00DD25D7">
        <w:t>.</w:t>
      </w:r>
    </w:p>
    <w:p w:rsidR="00743EF5" w:rsidRPr="00DD25D7" w:rsidRDefault="004D513F" w:rsidP="004D513F">
      <w:r w:rsidRPr="00DD25D7">
        <w:t>Safety data related to the primary and secondary endpoints were summar</w:t>
      </w:r>
      <w:r w:rsidR="00292798" w:rsidRPr="00DD25D7">
        <w:t>ise</w:t>
      </w:r>
      <w:r w:rsidRPr="00DD25D7">
        <w:t xml:space="preserve">d with the number and percentage of subjects experiencing at least 1 event and the number of events. In addition, 95% confidence intervals (CI) were calculated (based on the </w:t>
      </w:r>
      <w:proofErr w:type="spellStart"/>
      <w:r w:rsidRPr="00DD25D7">
        <w:t>Clopper</w:t>
      </w:r>
      <w:proofErr w:type="spellEnd"/>
      <w:r w:rsidRPr="00DD25D7">
        <w:t xml:space="preserve"> and Pearson method) for the primary and secondary endpoints for each group. Fisher’s exact test was used to compare the proportions be</w:t>
      </w:r>
      <w:r w:rsidR="00FE697C" w:rsidRPr="00DD25D7">
        <w:t xml:space="preserve">tween Group 1 and Group 2 and p </w:t>
      </w:r>
      <w:r w:rsidRPr="00DD25D7">
        <w:t>values were presented along with the primary and secondary endpoints. Then summary statistics using mean (standard deviation), median, and range were descriptively tabulated for the total days by each group. The incidence rates of SAEs and medically attended AEs and 95% exact Poisson CI were summar</w:t>
      </w:r>
      <w:r w:rsidR="00292798" w:rsidRPr="00DD25D7">
        <w:t>ise</w:t>
      </w:r>
      <w:r w:rsidRPr="00DD25D7">
        <w:t>d for each group</w:t>
      </w:r>
      <w:r w:rsidR="00743EF5" w:rsidRPr="00DD25D7">
        <w:t>.</w:t>
      </w:r>
    </w:p>
    <w:p w:rsidR="004D513F" w:rsidRPr="00DD25D7" w:rsidRDefault="004D513F" w:rsidP="004D513F">
      <w:r w:rsidRPr="00DD25D7">
        <w:t>A total of 5</w:t>
      </w:r>
      <w:r w:rsidR="00FE697C" w:rsidRPr="00DD25D7">
        <w:t>,</w:t>
      </w:r>
      <w:r w:rsidRPr="00DD25D7">
        <w:t>704 subjects received at least 1 dose of study vaccine in this study and were included in the safety population; 3796 subjects received bivalent rLP2086 and 1</w:t>
      </w:r>
      <w:r w:rsidR="00FE697C" w:rsidRPr="00DD25D7">
        <w:t>,</w:t>
      </w:r>
      <w:r w:rsidRPr="00DD25D7">
        <w:t xml:space="preserve">908 subjects received control vaccine. Overall, 48.2% of subjects were male; 88.3% were </w:t>
      </w:r>
      <w:r w:rsidR="00032B77" w:rsidRPr="00DD25D7">
        <w:t>White</w:t>
      </w:r>
      <w:r w:rsidRPr="00DD25D7">
        <w:t xml:space="preserve"> and 8.5% were </w:t>
      </w:r>
      <w:r w:rsidR="00032B77" w:rsidRPr="00DD25D7">
        <w:t>Black</w:t>
      </w:r>
      <w:r w:rsidRPr="00DD25D7">
        <w:t xml:space="preserve">; the mean age was 17.4 years; 57.9% of subjects were 10 to </w:t>
      </w:r>
      <w:r w:rsidR="00032B77" w:rsidRPr="00DD25D7">
        <w:t xml:space="preserve">&lt; </w:t>
      </w:r>
      <w:r w:rsidRPr="00DD25D7">
        <w:t xml:space="preserve">19 years of age and 42.1% were 19 to </w:t>
      </w:r>
      <w:r w:rsidR="00032B77" w:rsidRPr="00DD25D7">
        <w:t xml:space="preserve">&lt; </w:t>
      </w:r>
      <w:r w:rsidRPr="00DD25D7">
        <w:t>26 years of age. Results are discussed below.</w:t>
      </w:r>
    </w:p>
    <w:p w:rsidR="004D513F" w:rsidRPr="00DD25D7" w:rsidRDefault="004D513F" w:rsidP="00CB35C8">
      <w:pPr>
        <w:pStyle w:val="Heading3"/>
      </w:pPr>
      <w:bookmarkStart w:id="139" w:name="_Toc464739503"/>
      <w:bookmarkStart w:id="140" w:name="_Toc524443907"/>
      <w:r w:rsidRPr="00DD25D7">
        <w:t>Patient exposure</w:t>
      </w:r>
      <w:bookmarkStart w:id="141" w:name="_Toc241374319"/>
      <w:bookmarkStart w:id="142" w:name="_Ref271044764"/>
      <w:bookmarkStart w:id="143" w:name="_Toc272414663"/>
      <w:bookmarkStart w:id="144" w:name="_Toc290888527"/>
      <w:bookmarkStart w:id="145" w:name="_Toc416353743"/>
      <w:bookmarkStart w:id="146" w:name="_Toc421005286"/>
      <w:bookmarkStart w:id="147" w:name="_Toc432079163"/>
      <w:bookmarkStart w:id="148" w:name="_Toc432080736"/>
      <w:bookmarkEnd w:id="131"/>
      <w:bookmarkEnd w:id="132"/>
      <w:bookmarkEnd w:id="133"/>
      <w:bookmarkEnd w:id="134"/>
      <w:bookmarkEnd w:id="135"/>
      <w:bookmarkEnd w:id="136"/>
      <w:bookmarkEnd w:id="137"/>
      <w:bookmarkEnd w:id="138"/>
      <w:bookmarkEnd w:id="139"/>
      <w:bookmarkEnd w:id="140"/>
    </w:p>
    <w:p w:rsidR="00743EF5" w:rsidRPr="00DD25D7" w:rsidRDefault="004D513F" w:rsidP="004D513F">
      <w:r w:rsidRPr="00DD25D7">
        <w:t>In this application includes data from 15,294 subjects who received at least one dose of bivalent rLP2086, administered either as a single agent or given concomitantly with a licensed vaccine. Data are also presented for 5509 subjects in control groups who received either saline alone, licensed vaccine alone, or saline and a licensed vaccine. These participants were enrolled in one of the following 11 studies (</w:t>
      </w:r>
      <w:r w:rsidR="002310F7" w:rsidRPr="00DD25D7">
        <w:t>Table 10</w:t>
      </w:r>
      <w:r w:rsidRPr="00DD25D7">
        <w:t>)</w:t>
      </w:r>
      <w:r w:rsidR="00743EF5" w:rsidRPr="00DD25D7">
        <w:t>:</w:t>
      </w:r>
    </w:p>
    <w:p w:rsidR="00743EF5" w:rsidRPr="00DD25D7" w:rsidRDefault="004D513F" w:rsidP="00CB35C8">
      <w:pPr>
        <w:pStyle w:val="ListBullet"/>
      </w:pPr>
      <w:r w:rsidRPr="00DD25D7">
        <w:t xml:space="preserve">Two </w:t>
      </w:r>
      <w:r w:rsidR="00743EF5" w:rsidRPr="00DD25D7">
        <w:t>Phase III</w:t>
      </w:r>
      <w:r w:rsidRPr="00DD25D7">
        <w:t xml:space="preserve"> immunogenicity and safety studies using 4 primary and 10 secondary </w:t>
      </w:r>
      <w:proofErr w:type="spellStart"/>
      <w:r w:rsidRPr="00DD25D7">
        <w:t>MnB</w:t>
      </w:r>
      <w:proofErr w:type="spellEnd"/>
      <w:r w:rsidRPr="00DD25D7">
        <w:t xml:space="preserve"> test strains (</w:t>
      </w:r>
      <w:r w:rsidR="00FE697C" w:rsidRPr="00DD25D7">
        <w:t xml:space="preserve">Studies </w:t>
      </w:r>
      <w:r w:rsidRPr="00DD25D7">
        <w:t>B1971009 and B1971016)</w:t>
      </w:r>
      <w:r w:rsidR="00743EF5" w:rsidRPr="00DD25D7">
        <w:t>.</w:t>
      </w:r>
    </w:p>
    <w:p w:rsidR="00743EF5" w:rsidRPr="00DD25D7" w:rsidRDefault="004D513F" w:rsidP="00CB35C8">
      <w:pPr>
        <w:pStyle w:val="ListBullet"/>
      </w:pPr>
      <w:r w:rsidRPr="00DD25D7">
        <w:t xml:space="preserve">One </w:t>
      </w:r>
      <w:r w:rsidR="00743EF5" w:rsidRPr="00DD25D7">
        <w:t>Phase III</w:t>
      </w:r>
      <w:r w:rsidRPr="00DD25D7">
        <w:t xml:space="preserve"> study assessing safety only (</w:t>
      </w:r>
      <w:r w:rsidR="00FE697C" w:rsidRPr="00DD25D7">
        <w:t xml:space="preserve">Study </w:t>
      </w:r>
      <w:r w:rsidRPr="00DD25D7">
        <w:t>B1971014)</w:t>
      </w:r>
      <w:r w:rsidR="00743EF5" w:rsidRPr="00DD25D7">
        <w:t>.</w:t>
      </w:r>
    </w:p>
    <w:p w:rsidR="004D513F" w:rsidRPr="00DD25D7" w:rsidRDefault="004D513F" w:rsidP="00CB35C8">
      <w:pPr>
        <w:pStyle w:val="ListBullet"/>
      </w:pPr>
      <w:r w:rsidRPr="00DD25D7">
        <w:t xml:space="preserve">Five </w:t>
      </w:r>
      <w:r w:rsidR="00743EF5" w:rsidRPr="00DD25D7">
        <w:t>Phase II</w:t>
      </w:r>
      <w:r w:rsidRPr="00DD25D7">
        <w:t xml:space="preserve"> immunogenicity and safety studies.</w:t>
      </w:r>
    </w:p>
    <w:p w:rsidR="00743EF5" w:rsidRPr="00DD25D7" w:rsidRDefault="004D513F" w:rsidP="00290B25">
      <w:pPr>
        <w:pStyle w:val="ListBullet2"/>
      </w:pPr>
      <w:r w:rsidRPr="00DD25D7">
        <w:t xml:space="preserve">One </w:t>
      </w:r>
      <w:r w:rsidR="00743EF5" w:rsidRPr="00DD25D7">
        <w:t>Phase II</w:t>
      </w:r>
      <w:r w:rsidRPr="00DD25D7">
        <w:t xml:space="preserve"> study that examines various 2 and 3 dose schedules and supports the 2 dose (0, </w:t>
      </w:r>
      <w:r w:rsidR="00743EF5" w:rsidRPr="00DD25D7">
        <w:t>6 month</w:t>
      </w:r>
      <w:r w:rsidR="00FE697C" w:rsidRPr="00DD25D7">
        <w:t>s</w:t>
      </w:r>
      <w:r w:rsidRPr="00DD25D7">
        <w:t>) posology for routine vaccination (</w:t>
      </w:r>
      <w:r w:rsidR="00FE697C" w:rsidRPr="00DD25D7">
        <w:t xml:space="preserve">Study </w:t>
      </w:r>
      <w:r w:rsidRPr="00DD25D7">
        <w:t>B1971012)</w:t>
      </w:r>
      <w:r w:rsidR="00743EF5" w:rsidRPr="00DD25D7">
        <w:t>.</w:t>
      </w:r>
    </w:p>
    <w:p w:rsidR="00743EF5" w:rsidRPr="00DD25D7" w:rsidRDefault="004D513F" w:rsidP="00290B25">
      <w:pPr>
        <w:pStyle w:val="ListBullet2"/>
      </w:pPr>
      <w:r w:rsidRPr="00DD25D7">
        <w:t xml:space="preserve">Three </w:t>
      </w:r>
      <w:r w:rsidR="00743EF5" w:rsidRPr="00DD25D7">
        <w:t>Phase II</w:t>
      </w:r>
      <w:r w:rsidRPr="00DD25D7">
        <w:t xml:space="preserve"> concomitant vaccine </w:t>
      </w:r>
      <w:r w:rsidR="00032B77" w:rsidRPr="00DD25D7">
        <w:t>Stud</w:t>
      </w:r>
      <w:r w:rsidR="00FE697C" w:rsidRPr="00DD25D7">
        <w:t xml:space="preserve">ies </w:t>
      </w:r>
      <w:r w:rsidRPr="00DD25D7">
        <w:t xml:space="preserve">B1971010 </w:t>
      </w:r>
      <w:r w:rsidR="00DD25D7" w:rsidRPr="00DD25D7">
        <w:t>(</w:t>
      </w:r>
      <w:r w:rsidRPr="00DD25D7">
        <w:t>Repevax</w:t>
      </w:r>
      <w:r w:rsidR="00DD25D7" w:rsidRPr="00DD25D7">
        <w:t>)</w:t>
      </w:r>
      <w:r w:rsidRPr="00DD25D7">
        <w:t xml:space="preserve">, B1971011 </w:t>
      </w:r>
      <w:r w:rsidR="00DD25D7" w:rsidRPr="00DD25D7">
        <w:t>(</w:t>
      </w:r>
      <w:r w:rsidRPr="00DD25D7">
        <w:t>Gardasil</w:t>
      </w:r>
      <w:r w:rsidR="00DD25D7" w:rsidRPr="00DD25D7">
        <w:t>)</w:t>
      </w:r>
      <w:r w:rsidRPr="00DD25D7">
        <w:t>, and B19710</w:t>
      </w:r>
      <w:r w:rsidR="00FE697C" w:rsidRPr="00DD25D7">
        <w:t xml:space="preserve">15 </w:t>
      </w:r>
      <w:r w:rsidR="00DD25D7" w:rsidRPr="00DD25D7">
        <w:t>(</w:t>
      </w:r>
      <w:proofErr w:type="spellStart"/>
      <w:r w:rsidR="00FE697C" w:rsidRPr="00DD25D7">
        <w:t>Menactra</w:t>
      </w:r>
      <w:proofErr w:type="spellEnd"/>
      <w:r w:rsidR="00FE697C" w:rsidRPr="00DD25D7">
        <w:t xml:space="preserve"> and </w:t>
      </w:r>
      <w:proofErr w:type="spellStart"/>
      <w:r w:rsidR="00FE697C" w:rsidRPr="00DD25D7">
        <w:t>Adacel</w:t>
      </w:r>
      <w:proofErr w:type="spellEnd"/>
      <w:r w:rsidR="00DD25D7" w:rsidRPr="00DD25D7">
        <w:t>)</w:t>
      </w:r>
      <w:r w:rsidR="00743EF5" w:rsidRPr="00DD25D7">
        <w:t>.</w:t>
      </w:r>
    </w:p>
    <w:p w:rsidR="00743EF5" w:rsidRPr="00DD25D7" w:rsidRDefault="004D513F" w:rsidP="00290B25">
      <w:pPr>
        <w:pStyle w:val="ListBullet2"/>
      </w:pPr>
      <w:r w:rsidRPr="00DD25D7">
        <w:t xml:space="preserve">One </w:t>
      </w:r>
      <w:r w:rsidR="00743EF5" w:rsidRPr="00DD25D7">
        <w:t>Phase II</w:t>
      </w:r>
      <w:r w:rsidRPr="00DD25D7">
        <w:t xml:space="preserve"> study in laboratory workers (</w:t>
      </w:r>
      <w:r w:rsidR="00FE697C" w:rsidRPr="00DD25D7">
        <w:t xml:space="preserve">Study </w:t>
      </w:r>
      <w:r w:rsidRPr="00DD25D7">
        <w:t>B1971042)</w:t>
      </w:r>
      <w:r w:rsidR="00743EF5" w:rsidRPr="00DD25D7">
        <w:t>.</w:t>
      </w:r>
    </w:p>
    <w:p w:rsidR="00743EF5" w:rsidRPr="00DD25D7" w:rsidRDefault="004D513F" w:rsidP="00CB35C8">
      <w:pPr>
        <w:pStyle w:val="ListBullet"/>
      </w:pPr>
      <w:r w:rsidRPr="00DD25D7">
        <w:t xml:space="preserve">3 early </w:t>
      </w:r>
      <w:r w:rsidR="00032B77" w:rsidRPr="00DD25D7">
        <w:t>Stud</w:t>
      </w:r>
      <w:r w:rsidR="00FE697C" w:rsidRPr="00DD25D7">
        <w:t xml:space="preserve">ies </w:t>
      </w:r>
      <w:r w:rsidRPr="00DD25D7">
        <w:t>B</w:t>
      </w:r>
      <w:r w:rsidR="00FE697C" w:rsidRPr="00DD25D7">
        <w:t xml:space="preserve">1971003, B1971004, and B1971005; </w:t>
      </w:r>
      <w:r w:rsidRPr="00DD25D7">
        <w:t>Stage 1 and Stage 2</w:t>
      </w:r>
      <w:r w:rsidR="00743EF5" w:rsidRPr="00DD25D7">
        <w:t>.</w:t>
      </w:r>
    </w:p>
    <w:p w:rsidR="00743EF5" w:rsidRPr="00DD25D7" w:rsidRDefault="004D513F" w:rsidP="00CB35C8">
      <w:pPr>
        <w:pStyle w:val="ListBullet"/>
      </w:pPr>
      <w:r w:rsidRPr="00DD25D7">
        <w:t>In a breakdown according to age, These 11 studies included</w:t>
      </w:r>
      <w:r w:rsidR="00743EF5" w:rsidRPr="00DD25D7">
        <w:t>:</w:t>
      </w:r>
    </w:p>
    <w:p w:rsidR="00743EF5" w:rsidRPr="00DD25D7" w:rsidRDefault="004D513F" w:rsidP="00290B25">
      <w:pPr>
        <w:pStyle w:val="ListBullet2"/>
      </w:pPr>
      <w:r w:rsidRPr="00DD25D7">
        <w:t xml:space="preserve">6 studies in adolescents (age range, 10 to </w:t>
      </w:r>
      <w:r w:rsidR="00032B77" w:rsidRPr="00DD25D7">
        <w:t xml:space="preserve">&lt; </w:t>
      </w:r>
      <w:r w:rsidRPr="00DD25D7">
        <w:t>19 years): Studies B1971005, B197100</w:t>
      </w:r>
      <w:r w:rsidR="00FE697C" w:rsidRPr="00DD25D7">
        <w:t>9, B1971010, B1971011, B1971012</w:t>
      </w:r>
      <w:r w:rsidRPr="00DD25D7">
        <w:t xml:space="preserve"> </w:t>
      </w:r>
      <w:r w:rsidR="00FE697C" w:rsidRPr="00DD25D7">
        <w:t>and B1971015</w:t>
      </w:r>
      <w:r w:rsidR="00743EF5" w:rsidRPr="00DD25D7">
        <w:t>.</w:t>
      </w:r>
    </w:p>
    <w:p w:rsidR="00743EF5" w:rsidRPr="00DD25D7" w:rsidRDefault="004D513F" w:rsidP="00290B25">
      <w:pPr>
        <w:pStyle w:val="ListBullet2"/>
      </w:pPr>
      <w:r w:rsidRPr="00DD25D7">
        <w:lastRenderedPageBreak/>
        <w:t>4 studies in adults (</w:t>
      </w:r>
      <w:r w:rsidR="00743EF5" w:rsidRPr="00DD25D7">
        <w:t xml:space="preserve">≥ </w:t>
      </w:r>
      <w:r w:rsidRPr="00DD25D7">
        <w:t>18 years):</w:t>
      </w:r>
      <w:r w:rsidR="00FE697C" w:rsidRPr="00DD25D7">
        <w:t xml:space="preserve"> </w:t>
      </w:r>
      <w:r w:rsidRPr="00DD25D7">
        <w:t>Studies B1971003, B1971004, B1971016, B1971042</w:t>
      </w:r>
      <w:r w:rsidR="00743EF5" w:rsidRPr="00DD25D7">
        <w:t>.</w:t>
      </w:r>
    </w:p>
    <w:p w:rsidR="00743EF5" w:rsidRPr="00DD25D7" w:rsidRDefault="004D513F" w:rsidP="00290B25">
      <w:pPr>
        <w:pStyle w:val="ListBullet2"/>
      </w:pPr>
      <w:r w:rsidRPr="00DD25D7">
        <w:t xml:space="preserve">1 study in adolescents and young adults (10 to </w:t>
      </w:r>
      <w:r w:rsidR="00032B77" w:rsidRPr="00DD25D7">
        <w:t xml:space="preserve">&lt; </w:t>
      </w:r>
      <w:r w:rsidRPr="00DD25D7">
        <w:t>26 years) (B1971014)</w:t>
      </w:r>
      <w:r w:rsidR="00743EF5" w:rsidRPr="00DD25D7">
        <w:t>.</w:t>
      </w:r>
    </w:p>
    <w:p w:rsidR="00140840" w:rsidRPr="00DD25D7" w:rsidRDefault="00140840" w:rsidP="00140840">
      <w:pPr>
        <w:pStyle w:val="Tabletitle"/>
      </w:pPr>
      <w:bookmarkStart w:id="149" w:name="_Ref462401435"/>
      <w:bookmarkStart w:id="150" w:name="_Toc462406121"/>
      <w:bookmarkStart w:id="151" w:name="_Toc464821197"/>
      <w:r w:rsidRPr="00DD25D7">
        <w:t>Table</w:t>
      </w:r>
      <w:bookmarkEnd w:id="149"/>
      <w:r w:rsidR="002310F7" w:rsidRPr="00DD25D7">
        <w:t>10:</w:t>
      </w:r>
      <w:r w:rsidRPr="00DD25D7">
        <w:t xml:space="preserve"> </w:t>
      </w:r>
      <w:bookmarkEnd w:id="150"/>
      <w:r w:rsidRPr="00DD25D7">
        <w:t xml:space="preserve">Number (%) of </w:t>
      </w:r>
      <w:r w:rsidR="002310F7" w:rsidRPr="00DD25D7">
        <w:t>vaccinated subjects by study; subjects who received at least 1 dose of bivalen</w:t>
      </w:r>
      <w:r w:rsidRPr="00DD25D7">
        <w:t xml:space="preserve">t rLP2086 </w:t>
      </w:r>
      <w:r w:rsidR="002310F7" w:rsidRPr="00DD25D7">
        <w:t xml:space="preserve">final formulation </w:t>
      </w:r>
      <w:r w:rsidRPr="00DD25D7">
        <w:t xml:space="preserve">(120 μg </w:t>
      </w:r>
      <w:r w:rsidR="002310F7" w:rsidRPr="00DD25D7">
        <w:t>dose level) or control on a 0, 2, and 6 month schedule;</w:t>
      </w:r>
      <w:r w:rsidRPr="00DD25D7">
        <w:t xml:space="preserve"> Core Studies</w:t>
      </w:r>
      <w:bookmarkEnd w:id="151"/>
    </w:p>
    <w:p w:rsidR="00140840" w:rsidRPr="00DD25D7" w:rsidRDefault="00140840" w:rsidP="00140840">
      <w:bookmarkStart w:id="152" w:name="_Toc464739504"/>
      <w:r w:rsidRPr="005D2D24">
        <w:rPr>
          <w:noProof/>
          <w:lang w:eastAsia="en-AU"/>
        </w:rPr>
        <w:drawing>
          <wp:inline distT="0" distB="0" distL="0" distR="0" wp14:anchorId="076C27DE" wp14:editId="5B422692">
            <wp:extent cx="5731510" cy="1290202"/>
            <wp:effectExtent l="0" t="0" r="2540" b="5715"/>
            <wp:docPr id="13" name="Picture 13" descr="Table10: Number (%) of vaccinated subjects by study; subjects who received at least 1 dose of bivalent rLP2086 final formulation (120 μg dose level) or control on a 0, 2, and 6 month schedule; Cor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1290202"/>
                    </a:xfrm>
                    <a:prstGeom prst="rect">
                      <a:avLst/>
                    </a:prstGeom>
                  </pic:spPr>
                </pic:pic>
              </a:graphicData>
            </a:graphic>
          </wp:inline>
        </w:drawing>
      </w:r>
    </w:p>
    <w:p w:rsidR="004D513F" w:rsidRPr="00DD25D7" w:rsidRDefault="004D513F" w:rsidP="00140840">
      <w:pPr>
        <w:pStyle w:val="Heading3"/>
      </w:pPr>
      <w:bookmarkStart w:id="153" w:name="_Toc524443908"/>
      <w:r w:rsidRPr="00DD25D7">
        <w:t>Adverse events</w:t>
      </w:r>
      <w:bookmarkEnd w:id="141"/>
      <w:bookmarkEnd w:id="142"/>
      <w:bookmarkEnd w:id="143"/>
      <w:bookmarkEnd w:id="144"/>
      <w:bookmarkEnd w:id="145"/>
      <w:bookmarkEnd w:id="146"/>
      <w:bookmarkEnd w:id="147"/>
      <w:bookmarkEnd w:id="148"/>
      <w:bookmarkEnd w:id="152"/>
      <w:bookmarkEnd w:id="153"/>
    </w:p>
    <w:p w:rsidR="004D513F" w:rsidRPr="00DD25D7" w:rsidRDefault="004D513F" w:rsidP="00CB35C8">
      <w:pPr>
        <w:pStyle w:val="Heading4"/>
      </w:pPr>
      <w:bookmarkStart w:id="154" w:name="_Ref272317284"/>
      <w:bookmarkStart w:id="155" w:name="_Ref272333565"/>
      <w:bookmarkStart w:id="156" w:name="_Toc272414664"/>
      <w:bookmarkStart w:id="157" w:name="_Toc290888528"/>
      <w:bookmarkStart w:id="158" w:name="_Toc416353744"/>
      <w:bookmarkStart w:id="159" w:name="_Toc421005287"/>
      <w:bookmarkStart w:id="160" w:name="_Toc432079164"/>
      <w:bookmarkStart w:id="161" w:name="_Toc432080737"/>
      <w:r w:rsidRPr="00DD25D7">
        <w:t>All adverse events (irrespective of relationship to study treatment)</w:t>
      </w:r>
      <w:bookmarkEnd w:id="154"/>
      <w:bookmarkEnd w:id="155"/>
      <w:bookmarkEnd w:id="156"/>
      <w:bookmarkEnd w:id="157"/>
      <w:bookmarkEnd w:id="158"/>
      <w:bookmarkEnd w:id="159"/>
      <w:bookmarkEnd w:id="160"/>
      <w:bookmarkEnd w:id="161"/>
    </w:p>
    <w:p w:rsidR="004D513F" w:rsidRPr="00DD25D7" w:rsidRDefault="004D513F" w:rsidP="00CB35C8">
      <w:pPr>
        <w:pStyle w:val="Heading5"/>
      </w:pPr>
      <w:r w:rsidRPr="00DD25D7">
        <w:t>Integrated safety analyses</w:t>
      </w:r>
    </w:p>
    <w:p w:rsidR="00743EF5" w:rsidRPr="00DD25D7" w:rsidRDefault="004D513F" w:rsidP="004D513F">
      <w:r w:rsidRPr="00DD25D7">
        <w:t>The core safety dataset includes subjects receiving</w:t>
      </w:r>
      <w:r w:rsidR="002310F7" w:rsidRPr="00DD25D7">
        <w:t xml:space="preserve"> 120 µg bivalent rLP2086 on a 0, 2</w:t>
      </w:r>
      <w:r w:rsidRPr="00DD25D7">
        <w:t xml:space="preserve">, and </w:t>
      </w:r>
      <w:r w:rsidR="002310F7" w:rsidRPr="00DD25D7">
        <w:t>6 </w:t>
      </w:r>
      <w:r w:rsidR="00743EF5" w:rsidRPr="00DD25D7">
        <w:t>month</w:t>
      </w:r>
      <w:r w:rsidRPr="00DD25D7">
        <w:t xml:space="preserve"> schedule or control vaccine in the 8 random</w:t>
      </w:r>
      <w:r w:rsidR="00292798" w:rsidRPr="00DD25D7">
        <w:t>ise</w:t>
      </w:r>
      <w:r w:rsidRPr="00DD25D7">
        <w:t>d controlled safety studies as shown in</w:t>
      </w:r>
      <w:r w:rsidR="002310F7" w:rsidRPr="00DD25D7">
        <w:t xml:space="preserve"> Table 11</w:t>
      </w:r>
      <w:r w:rsidRPr="00DD25D7">
        <w:t xml:space="preserve">. In this group, similar percentages of subjects in the 120 µg bivalent rLP2086 group and the control group reported AEs during the vaccination phase (42.68% </w:t>
      </w:r>
      <w:r w:rsidR="000869B9" w:rsidRPr="00DD25D7">
        <w:t>versus</w:t>
      </w:r>
      <w:r w:rsidRPr="00DD25D7">
        <w:t xml:space="preserve"> 41.68%, respectively), within 30 days after any vaccination (30.95% </w:t>
      </w:r>
      <w:r w:rsidR="000869B9" w:rsidRPr="00DD25D7">
        <w:t>versus</w:t>
      </w:r>
      <w:r w:rsidRPr="00DD25D7">
        <w:t xml:space="preserve"> 28.37%), and within 30 days after Dose 1 or Dose 2 (25.46% </w:t>
      </w:r>
      <w:r w:rsidR="000869B9" w:rsidRPr="00DD25D7">
        <w:t>versus</w:t>
      </w:r>
      <w:r w:rsidRPr="00DD25D7">
        <w:t xml:space="preserve"> 22.91%,</w:t>
      </w:r>
      <w:r w:rsidR="002310F7" w:rsidRPr="00DD25D7">
        <w:t xml:space="preserve"> Table 11</w:t>
      </w:r>
      <w:r w:rsidRPr="00DD25D7">
        <w:t xml:space="preserve">). During the vaccination phase, the frequency of AE reports were similar in the bivalent rLP2086 group and the control group for severe AEs (3.25% </w:t>
      </w:r>
      <w:r w:rsidR="000869B9" w:rsidRPr="00DD25D7">
        <w:t>versus</w:t>
      </w:r>
      <w:r w:rsidRPr="00DD25D7">
        <w:t xml:space="preserve"> 2.89%) and immediate AEs (1.64% </w:t>
      </w:r>
      <w:r w:rsidR="000869B9" w:rsidRPr="00DD25D7">
        <w:t>versus</w:t>
      </w:r>
      <w:r w:rsidRPr="00DD25D7">
        <w:t xml:space="preserve"> 1.28%), while a higher proportion of subjects in the 120 µg bivalent rLP2086 group than in the control group reported related AEs (11.37% </w:t>
      </w:r>
      <w:r w:rsidR="000869B9" w:rsidRPr="00DD25D7">
        <w:t>versus</w:t>
      </w:r>
      <w:r w:rsidRPr="00DD25D7">
        <w:t xml:space="preserve"> 6.10%) The proportions of subjects who reported AEs that led to discontinuation from the study were low in both groups (1.05% </w:t>
      </w:r>
      <w:r w:rsidR="000869B9" w:rsidRPr="00DD25D7">
        <w:t>versus</w:t>
      </w:r>
      <w:r w:rsidRPr="00DD25D7">
        <w:t xml:space="preserve"> 0.51%)</w:t>
      </w:r>
      <w:r w:rsidR="00743EF5" w:rsidRPr="00DD25D7">
        <w:t>.</w:t>
      </w:r>
    </w:p>
    <w:p w:rsidR="00140840" w:rsidRPr="00290B25" w:rsidRDefault="00140840" w:rsidP="00140840">
      <w:pPr>
        <w:pStyle w:val="Tabletitle"/>
      </w:pPr>
      <w:bookmarkStart w:id="162" w:name="_Ref461615978"/>
      <w:bookmarkStart w:id="163" w:name="_Toc462406119"/>
      <w:bookmarkStart w:id="164" w:name="_Toc464821198"/>
      <w:r w:rsidRPr="00DD25D7">
        <w:lastRenderedPageBreak/>
        <w:t>Table</w:t>
      </w:r>
      <w:bookmarkEnd w:id="162"/>
      <w:r w:rsidR="002310F7" w:rsidRPr="00DD25D7">
        <w:t xml:space="preserve"> 11:</w:t>
      </w:r>
      <w:r w:rsidRPr="00DD25D7">
        <w:t xml:space="preserve"> </w:t>
      </w:r>
      <w:bookmarkEnd w:id="163"/>
      <w:r w:rsidRPr="00290B25">
        <w:t xml:space="preserve">Summary of AEs </w:t>
      </w:r>
      <w:r w:rsidR="002310F7" w:rsidRPr="00290B25">
        <w:t xml:space="preserve">during the vaccination phase – subjects who received at least 1 dose of bivalent rLP2086 final formulation </w:t>
      </w:r>
      <w:r w:rsidRPr="00290B25">
        <w:t xml:space="preserve">(120 μg </w:t>
      </w:r>
      <w:r w:rsidR="002310F7" w:rsidRPr="00290B25">
        <w:t>dose level) on a 0, 2, and 6 month schedule; core studies po</w:t>
      </w:r>
      <w:r w:rsidRPr="00290B25">
        <w:t>oled</w:t>
      </w:r>
      <w:bookmarkEnd w:id="164"/>
    </w:p>
    <w:p w:rsidR="00140840" w:rsidRPr="00290B25" w:rsidRDefault="00140840" w:rsidP="004D513F">
      <w:pPr>
        <w:rPr>
          <w:rFonts w:ascii="Times" w:eastAsiaTheme="minorHAnsi" w:hAnsi="Times" w:cs="Times"/>
        </w:rPr>
      </w:pPr>
      <w:r w:rsidRPr="00DD25D7">
        <w:rPr>
          <w:noProof/>
          <w:lang w:eastAsia="en-AU"/>
        </w:rPr>
        <w:drawing>
          <wp:inline distT="0" distB="0" distL="0" distR="0" wp14:anchorId="13CE8E5A" wp14:editId="7637C7F7">
            <wp:extent cx="5731510" cy="4948326"/>
            <wp:effectExtent l="0" t="0" r="2540" b="5080"/>
            <wp:docPr id="14" name="Picture 14" descr="Table 11: Summary of AEs during the vaccination phase – subjects who received at least 1 dose of bivalent rLP2086 final formulation (120 μg dose level) on a 0, 2, and 6 month schedule; core studies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4948326"/>
                    </a:xfrm>
                    <a:prstGeom prst="rect">
                      <a:avLst/>
                    </a:prstGeom>
                  </pic:spPr>
                </pic:pic>
              </a:graphicData>
            </a:graphic>
          </wp:inline>
        </w:drawing>
      </w:r>
    </w:p>
    <w:p w:rsidR="00743EF5" w:rsidRPr="00DD25D7" w:rsidRDefault="004D513F" w:rsidP="004D513F">
      <w:r w:rsidRPr="00DD25D7">
        <w:t>When reactogenicity events are excluded from the summary of AEs for the core dataset, the percentages of subjects reporting any AE during the vaccination phase in the bivalent rLP2086 group and the control group were 37.64% and 39.19%, respectively. Also when reactogenicity events were excluded, the frequency of related AEs was 3.37% for the bivalent rLP2086 group and 1.87% for the control group. For both vaccine groups, the reduction in the frequency of related AEs resulting from the exclusion of reactogenicity events suggests that most AEs considered related to study vaccine were reactogenicity events</w:t>
      </w:r>
      <w:r w:rsidR="00743EF5" w:rsidRPr="00DD25D7">
        <w:t>.</w:t>
      </w:r>
    </w:p>
    <w:p w:rsidR="00743EF5" w:rsidRPr="00DD25D7" w:rsidRDefault="004D513F" w:rsidP="004D513F">
      <w:r w:rsidRPr="00DD25D7">
        <w:t xml:space="preserve">In the </w:t>
      </w:r>
      <w:r w:rsidR="00743EF5" w:rsidRPr="00DD25D7">
        <w:t>Phase III</w:t>
      </w:r>
      <w:r w:rsidRPr="00DD25D7">
        <w:t xml:space="preserve"> </w:t>
      </w:r>
      <w:r w:rsidR="00032B77" w:rsidRPr="00DD25D7">
        <w:t>Stud</w:t>
      </w:r>
      <w:r w:rsidR="00FE697C" w:rsidRPr="00DD25D7">
        <w:t xml:space="preserve">ies </w:t>
      </w:r>
      <w:r w:rsidRPr="00DD25D7">
        <w:t>B</w:t>
      </w:r>
      <w:r w:rsidR="00FE697C" w:rsidRPr="00DD25D7">
        <w:t>1971009, B1971014, and B1971016</w:t>
      </w:r>
      <w:r w:rsidRPr="00DD25D7">
        <w:t>, non</w:t>
      </w:r>
      <w:r w:rsidR="00FE697C" w:rsidRPr="00DD25D7">
        <w:t xml:space="preserve"> </w:t>
      </w:r>
      <w:r w:rsidRPr="00DD25D7">
        <w:t xml:space="preserve">serious medically attended AEs were reported at similar frequencies in the bivalent rLP2086 group and the control group during the vaccination phase (23.33% </w:t>
      </w:r>
      <w:r w:rsidR="000869B9" w:rsidRPr="00DD25D7">
        <w:t>versus</w:t>
      </w:r>
      <w:r w:rsidRPr="00DD25D7">
        <w:t xml:space="preserve"> 23.82%) and throughout the study (28.06% and 28.87%), as well as during the period before Dose 3 (20.84% </w:t>
      </w:r>
      <w:r w:rsidR="000869B9" w:rsidRPr="00DD25D7">
        <w:t>versus</w:t>
      </w:r>
      <w:r w:rsidRPr="00DD25D7">
        <w:t xml:space="preserve"> 21.17%) and after Dose 3 (15.59% </w:t>
      </w:r>
      <w:r w:rsidR="000869B9" w:rsidRPr="00DD25D7">
        <w:t>versus</w:t>
      </w:r>
      <w:r w:rsidRPr="00DD25D7">
        <w:t xml:space="preserve"> 16.09%). In the core safety dataset, the percentages of subjects reporting NDCMCs throughout the study were low and similar in both vaccine groups (</w:t>
      </w:r>
      <w:r w:rsidR="00032B77" w:rsidRPr="00DD25D7">
        <w:t xml:space="preserve">&lt; </w:t>
      </w:r>
      <w:r w:rsidRPr="00DD25D7">
        <w:t xml:space="preserve">1.03%). In the core dataset, confirmed autoimmune conditions were reported for 0.14% of subjects (18/13,284) in the 120 µg bivalent rLP2086 group and for 0.11% of subjects (6/5509) in the control group; the risk difference was 0.03% (95% confidence interval </w:t>
      </w:r>
      <w:r w:rsidR="00DD25D7" w:rsidRPr="00DD25D7">
        <w:t>(</w:t>
      </w:r>
      <w:r w:rsidRPr="00DD25D7">
        <w:t>CI</w:t>
      </w:r>
      <w:r w:rsidR="00DD25D7" w:rsidRPr="00DD25D7">
        <w:t>)</w:t>
      </w:r>
      <w:r w:rsidRPr="00DD25D7">
        <w:t xml:space="preserve">: -0.11%, 0.13%) demonstrating no difference between the 2 groups for autoimmune conditions . Confirmed neuroinflammatory conditions were reported for 0.06% of subjects (8/13,284) who received </w:t>
      </w:r>
      <w:r w:rsidRPr="00DD25D7">
        <w:lastRenderedPageBreak/>
        <w:t>120 µg bivalent rLP2086 and for 0.07% of subjects (4/5509) who received control vaccine; the risk difference was -0.01% (95% CI, -0.13%, 0.06%), demonstrating no difference between the 2 groups for neuroinflammatory conditions</w:t>
      </w:r>
      <w:r w:rsidR="00743EF5" w:rsidRPr="00DD25D7">
        <w:t>.</w:t>
      </w:r>
    </w:p>
    <w:p w:rsidR="004D513F" w:rsidRPr="00DD25D7" w:rsidRDefault="004D513F" w:rsidP="00CB35C8">
      <w:pPr>
        <w:pStyle w:val="Heading5"/>
      </w:pPr>
      <w:r w:rsidRPr="00DD25D7">
        <w:t>Main/pivotal studies that assessed safety as the sole primary outcome</w:t>
      </w:r>
    </w:p>
    <w:p w:rsidR="004D513F" w:rsidRPr="00DD25D7" w:rsidRDefault="00FE697C" w:rsidP="00CB35C8">
      <w:pPr>
        <w:pStyle w:val="Heading6"/>
      </w:pPr>
      <w:r w:rsidRPr="00DD25D7">
        <w:t>Study B1971014</w:t>
      </w:r>
    </w:p>
    <w:p w:rsidR="00743EF5" w:rsidRPr="00DD25D7" w:rsidRDefault="004D513F" w:rsidP="004D513F">
      <w:r w:rsidRPr="00DD25D7">
        <w:t>Medically attended AEs were reported by similar proportions of subjects in the rLP2086 group and the control group. Most medically attended AEs reported by subjects in both groups were mild or moderate in severity.</w:t>
      </w:r>
      <w:r w:rsidR="00743EF5" w:rsidRPr="00DD25D7">
        <w:t xml:space="preserve"> </w:t>
      </w:r>
      <w:r w:rsidRPr="00DD25D7">
        <w:t xml:space="preserve">The proportion of subjects reporting AEs during the vaccination phase was higher among subjects receiving bivalent rLP2086 (51.08%) than among those receiving control vaccine (42.51%). The difference between the groups is due to the higher frequency of reactogenicity AEs reported in the bivalent rLP2086 group. When reactogenicity events were excluded, the proportions of subjects reporting AEs during the vaccination phase were similar in the 2 vaccine groups. When the predefined reactogenicity terms were excluded, AEs assessed as related to investigational product remained higher in the bivalent rLP2086 group than in the control group. This difference was associated with a higher proportion of subjects in the bivalent rLP2086 group than in the control group who reported nausea (1.16% </w:t>
      </w:r>
      <w:r w:rsidR="000869B9" w:rsidRPr="00DD25D7">
        <w:t>versus</w:t>
      </w:r>
      <w:r w:rsidRPr="00DD25D7">
        <w:t xml:space="preserve"> 0.42%, respectively), pain in extremity (1.21% </w:t>
      </w:r>
      <w:r w:rsidR="000869B9" w:rsidRPr="00DD25D7">
        <w:t>versus</w:t>
      </w:r>
      <w:r w:rsidRPr="00DD25D7">
        <w:t xml:space="preserve"> 0.52%), injection site warmth (0.32% </w:t>
      </w:r>
      <w:r w:rsidR="000869B9" w:rsidRPr="00DD25D7">
        <w:t>versus</w:t>
      </w:r>
      <w:r w:rsidR="00FE697C" w:rsidRPr="00DD25D7">
        <w:t xml:space="preserve"> 0%</w:t>
      </w:r>
      <w:r w:rsidRPr="00DD25D7">
        <w:t xml:space="preserve">), and pain (0.26% </w:t>
      </w:r>
      <w:r w:rsidR="000869B9" w:rsidRPr="00DD25D7">
        <w:t>versus</w:t>
      </w:r>
      <w:r w:rsidRPr="00DD25D7">
        <w:t xml:space="preserve"> 0%) during the vaccination phase</w:t>
      </w:r>
      <w:r w:rsidR="00743EF5" w:rsidRPr="00DD25D7">
        <w:t>.</w:t>
      </w:r>
    </w:p>
    <w:p w:rsidR="00743EF5" w:rsidRPr="00DD25D7" w:rsidRDefault="004D513F" w:rsidP="004D513F">
      <w:r w:rsidRPr="00DD25D7">
        <w:t>The proportion of subjects reporting immediate AEs was similar between the 2 vaccine groups after Dose 1 and Dose 3; after Dose 2 (when control subjects received saline) the frequency of immediate AEs was higher among those receiving bivalent rLP2086 than in the control group. No notable differences in the proportions of subjects reporting NDCMCs, autoimmune conditions, or neuroinflammatory conditions were observed between the vaccine groups</w:t>
      </w:r>
      <w:r w:rsidR="00743EF5" w:rsidRPr="00DD25D7">
        <w:t>.</w:t>
      </w:r>
    </w:p>
    <w:p w:rsidR="004D513F" w:rsidRPr="00DD25D7" w:rsidRDefault="004D513F" w:rsidP="004D513F">
      <w:r w:rsidRPr="00DD25D7">
        <w:t xml:space="preserve">Similar proportions of subjects in both groups completed the vaccination schedule, which supports the conclusion that the differences in the proportions of subjects reporting AEs between groups were not clinically meaningful. NDCMCs throughout the study were reported in 1.40% of subjects in the rLP2086 group and 1.52% of subjects in the control group. Throughout the study autoimmune conditions were reported by 5 (0.13% ) subjects in the rLP2086 group (1 subject each with alopecia </w:t>
      </w:r>
      <w:proofErr w:type="spellStart"/>
      <w:r w:rsidRPr="00DD25D7">
        <w:t>areata</w:t>
      </w:r>
      <w:proofErr w:type="spellEnd"/>
      <w:r w:rsidRPr="00DD25D7">
        <w:t xml:space="preserve">, autoimmune thyroiditis, and </w:t>
      </w:r>
      <w:proofErr w:type="spellStart"/>
      <w:r w:rsidRPr="00DD25D7">
        <w:t>Basedow’s</w:t>
      </w:r>
      <w:proofErr w:type="spellEnd"/>
      <w:r w:rsidRPr="00DD25D7">
        <w:t xml:space="preserve"> disease, and 2 subjects with psoriasis,) and 2 (0.10%) subjects in the control group (both</w:t>
      </w:r>
      <w:r w:rsidR="00FE697C" w:rsidRPr="00DD25D7">
        <w:t xml:space="preserve"> with type 1 diabetes mellitus)</w:t>
      </w:r>
      <w:r w:rsidRPr="00DD25D7">
        <w:t xml:space="preserve"> who had a known autoimmune condition at study entry and was inadvertently enrolled. These were diverse and unlikely to be related.</w:t>
      </w:r>
    </w:p>
    <w:p w:rsidR="00743EF5" w:rsidRPr="00DD25D7" w:rsidRDefault="004D513F" w:rsidP="004D513F">
      <w:r w:rsidRPr="00DD25D7">
        <w:t xml:space="preserve">Neuroinflammatory conditions were reported by 2 (0.05%) subjects (1 subject with multiple sclerosis, 1 subject with </w:t>
      </w:r>
      <w:proofErr w:type="spellStart"/>
      <w:r w:rsidRPr="00DD25D7">
        <w:t>VIIth</w:t>
      </w:r>
      <w:proofErr w:type="spellEnd"/>
      <w:r w:rsidRPr="00DD25D7">
        <w:t xml:space="preserve"> nerve paralysis) in the rLP2086 group and 3 (0.16%) subjects in the control group (2 subjects with multiple sclerosis, 1 subject with </w:t>
      </w:r>
      <w:proofErr w:type="spellStart"/>
      <w:r w:rsidRPr="00DD25D7">
        <w:t>VIIth</w:t>
      </w:r>
      <w:proofErr w:type="spellEnd"/>
      <w:r w:rsidRPr="00DD25D7">
        <w:t xml:space="preserve"> nerve paralysis) throughout the study. No notable differences in the proportions of subjects reporting newly diagnosed chronic medical conditions, autoimmune conditions, or neuroinflammatory conditions were observed between the rLP2086 group and the control group</w:t>
      </w:r>
      <w:r w:rsidR="00743EF5" w:rsidRPr="00DD25D7">
        <w:t>.</w:t>
      </w:r>
    </w:p>
    <w:p w:rsidR="004D513F" w:rsidRPr="00DD25D7" w:rsidRDefault="004D513F" w:rsidP="00CB35C8">
      <w:pPr>
        <w:pStyle w:val="Heading5"/>
      </w:pPr>
      <w:r w:rsidRPr="00DD25D7">
        <w:t xml:space="preserve">Pivotal and/or main </w:t>
      </w:r>
      <w:r w:rsidR="00472E22" w:rsidRPr="00DD25D7">
        <w:t>studies assessing safety and tolerability</w:t>
      </w:r>
    </w:p>
    <w:p w:rsidR="004D513F" w:rsidRPr="00DD25D7" w:rsidRDefault="00295486" w:rsidP="00CB35C8">
      <w:pPr>
        <w:pStyle w:val="Heading6"/>
      </w:pPr>
      <w:r w:rsidRPr="00DD25D7">
        <w:t>Study B1971009</w:t>
      </w:r>
    </w:p>
    <w:p w:rsidR="00743EF5" w:rsidRPr="00DD25D7" w:rsidRDefault="004D513F" w:rsidP="004D513F">
      <w:r w:rsidRPr="00DD25D7">
        <w:t>A total of 3</w:t>
      </w:r>
      <w:r w:rsidR="00295486" w:rsidRPr="00DD25D7">
        <w:t>,</w:t>
      </w:r>
      <w:r w:rsidRPr="00DD25D7">
        <w:t>590 subjects received at least 1 dose of study vaccine and were included in the safety population. During the vaccination phase, unsolicited AEs were reported at similar frequency in the bivalent rLP2086 group (40.74%) and the control group (43.70%). Most of the events were mild or moderate in severity. AEs during the vaccination phase assessed as related to investigational product were reported for 1.93% of subjects receiving bivalent rLP2086 and for 1.78% of subjects receiving control vaccine. Immediate AEs reported within 30 minutes after any dose were reported for ≤</w:t>
      </w:r>
      <w:r w:rsidR="00295486" w:rsidRPr="00DD25D7">
        <w:t xml:space="preserve"> </w:t>
      </w:r>
      <w:r w:rsidRPr="00DD25D7">
        <w:t>0.4% of subjects in either group. The proportion of subjects reporting MAEs at any time during the study was similar in the bivalent rLP2086 group (32.38%) and the control group (35.56%)</w:t>
      </w:r>
      <w:r w:rsidR="00743EF5" w:rsidRPr="00DD25D7">
        <w:t>.</w:t>
      </w:r>
    </w:p>
    <w:p w:rsidR="00743EF5" w:rsidRPr="00DD25D7" w:rsidRDefault="004D513F" w:rsidP="004D513F">
      <w:r w:rsidRPr="00DD25D7">
        <w:lastRenderedPageBreak/>
        <w:t xml:space="preserve">NDCMCs throughout the study were reported for 0.56% of subjects receiving bivalent rLP2086 and for 1.11% of subjects receiving control vaccine. The most frequently observed NDCMCs were in the SOC of psychiatric disorders (0.15%) for the combined bivalent rLP2086 group and in respiratory, thoracic and mediastinal disorders (0.33%) for the HAV/saline group. The overall occurrence of NDCMCs was infrequent across the groups and similar between the two groups. Autoimmune conditions were reported for 1 subject (0.04%) in the bivalent rLP2086 group and 2 subjects (0.22%) in the control group, while neuroinflammatory conditions were reported for 4 subjects (0.15%) receiving bivalent rLP2086 and 1 subject (0.11%) receiving control vaccine. Detailed history revealed evidence of </w:t>
      </w:r>
      <w:r w:rsidR="00295486" w:rsidRPr="00DD25D7">
        <w:t>pre-existing</w:t>
      </w:r>
      <w:r w:rsidRPr="00DD25D7">
        <w:t xml:space="preserve"> symptoms or a known autoimmune condition for 2 of the 3 autoimmune condition cases in the combined bivalent rLP2086 group) and evidence of </w:t>
      </w:r>
      <w:r w:rsidR="00295486" w:rsidRPr="00DD25D7">
        <w:t>pre-existing</w:t>
      </w:r>
      <w:r w:rsidRPr="00DD25D7">
        <w:t xml:space="preserve"> symptoms was reported in 1 of the 5 subjects who reported a neuroinflammatory condition</w:t>
      </w:r>
      <w:r w:rsidR="00743EF5" w:rsidRPr="00DD25D7">
        <w:t>.</w:t>
      </w:r>
    </w:p>
    <w:p w:rsidR="004D513F" w:rsidRPr="00DD25D7" w:rsidRDefault="004D513F" w:rsidP="00CB35C8">
      <w:pPr>
        <w:pStyle w:val="Heading6"/>
      </w:pPr>
      <w:r w:rsidRPr="00DD25D7">
        <w:t>Study B1971016</w:t>
      </w:r>
    </w:p>
    <w:p w:rsidR="00743EF5" w:rsidRPr="00DD25D7" w:rsidRDefault="004D513F" w:rsidP="004D513F">
      <w:r w:rsidRPr="00DD25D7">
        <w:t>A total of 3</w:t>
      </w:r>
      <w:r w:rsidR="00295486" w:rsidRPr="00DD25D7">
        <w:t>,</w:t>
      </w:r>
      <w:r w:rsidRPr="00DD25D7">
        <w:t>293 subjects received at least 1 dose of study vaccine and were included in the safety population: 2</w:t>
      </w:r>
      <w:r w:rsidR="00295486" w:rsidRPr="00DD25D7">
        <w:t>,</w:t>
      </w:r>
      <w:r w:rsidRPr="00DD25D7">
        <w:t>471 received bivalent rLP2086 and 822 received control vaccine.</w:t>
      </w:r>
      <w:r w:rsidR="00743EF5" w:rsidRPr="00DD25D7">
        <w:t xml:space="preserve"> </w:t>
      </w:r>
      <w:r w:rsidRPr="00DD25D7">
        <w:t>During the vaccination phase, the proportions of subjects reporting at least</w:t>
      </w:r>
      <w:r w:rsidR="00295486" w:rsidRPr="00DD25D7">
        <w:t xml:space="preserve"> 1 AE was similar between the 2 </w:t>
      </w:r>
      <w:r w:rsidRPr="00DD25D7">
        <w:t>vaccine groups. Most of the events were mild or moderate in severity; and the frequencies of severe AEs were similar in the 2 vaccine groups. The most frequently observed AEs were in the SOC infections and infestations</w:t>
      </w:r>
      <w:r w:rsidR="00743EF5" w:rsidRPr="00DD25D7">
        <w:t>.</w:t>
      </w:r>
    </w:p>
    <w:p w:rsidR="00743EF5" w:rsidRPr="00DD25D7" w:rsidRDefault="004D513F" w:rsidP="004D513F">
      <w:r w:rsidRPr="00DD25D7">
        <w:t>Throughout the study, there were no notable differences between the vaccine groups in the proportions of subjects reporting NDCMCs or autoimmune diseases or neuroinflammatory conditions. NDCMCs were reported in a total of 10 (0.40%) subjects in the rLP2086 group and 2 (0.24%) subjects in the saline group. The overall occurrence of NDCMCs was infrequent across both vaccine groups. Throughout the study, autoimmun</w:t>
      </w:r>
      <w:r w:rsidR="00295486" w:rsidRPr="00DD25D7">
        <w:t>e conditions were reported by 2 </w:t>
      </w:r>
      <w:r w:rsidRPr="00DD25D7">
        <w:t>(0.08%) subjects in the rLP2086 group and 1 (0.12%) subject in the saline group. Of the 2 autoimmune conditions reported in Group 1 (celiac disease and psoriasis), they were not considered related to the investigational product by the investigator</w:t>
      </w:r>
      <w:r w:rsidR="00743EF5" w:rsidRPr="00DD25D7">
        <w:t>.</w:t>
      </w:r>
    </w:p>
    <w:p w:rsidR="00743EF5" w:rsidRPr="00DD25D7" w:rsidRDefault="004D513F" w:rsidP="004D513F">
      <w:r w:rsidRPr="00DD25D7">
        <w:t xml:space="preserve">A </w:t>
      </w:r>
      <w:proofErr w:type="spellStart"/>
      <w:r w:rsidRPr="00DD25D7">
        <w:t>neuroinflammatory</w:t>
      </w:r>
      <w:proofErr w:type="spellEnd"/>
      <w:r w:rsidRPr="00DD25D7">
        <w:t xml:space="preserve"> condition (</w:t>
      </w:r>
      <w:proofErr w:type="spellStart"/>
      <w:r w:rsidRPr="00DD25D7">
        <w:t>VIIth</w:t>
      </w:r>
      <w:proofErr w:type="spellEnd"/>
      <w:r w:rsidRPr="00DD25D7">
        <w:t xml:space="preserve"> nerve paralysis) was reported by 1 subject (0.04%) in the rLP2086 group, while none of the subjects in the saline group reported neuroinflammatory conditions throughout the study. The subject in Group 1 was diagnosed with moderate </w:t>
      </w:r>
      <w:proofErr w:type="spellStart"/>
      <w:r w:rsidRPr="00DD25D7">
        <w:t>VIIth</w:t>
      </w:r>
      <w:proofErr w:type="spellEnd"/>
      <w:r w:rsidRPr="00DD25D7">
        <w:t xml:space="preserve"> nerve paralysis on Day 76 after </w:t>
      </w:r>
      <w:r w:rsidR="008B4D82" w:rsidRPr="00DD25D7">
        <w:t>Vaccination</w:t>
      </w:r>
      <w:r w:rsidRPr="00DD25D7">
        <w:t xml:space="preserve"> 2. This subject did not report </w:t>
      </w:r>
      <w:proofErr w:type="spellStart"/>
      <w:r w:rsidRPr="00DD25D7">
        <w:t>VIIth</w:t>
      </w:r>
      <w:proofErr w:type="spellEnd"/>
      <w:r w:rsidRPr="00DD25D7">
        <w:t xml:space="preserve"> nerve paralysis following </w:t>
      </w:r>
      <w:r w:rsidR="008B4D82" w:rsidRPr="00DD25D7">
        <w:t>Vaccination</w:t>
      </w:r>
      <w:r w:rsidRPr="00DD25D7">
        <w:t xml:space="preserve"> 1. The subject had no reported medical history. The </w:t>
      </w:r>
      <w:proofErr w:type="spellStart"/>
      <w:r w:rsidRPr="00DD25D7">
        <w:t>VIIth</w:t>
      </w:r>
      <w:proofErr w:type="spellEnd"/>
      <w:r w:rsidRPr="00DD25D7">
        <w:t xml:space="preserve"> nerve paralysis was judged as related to the bivalent rLP2086 by the investigator, and resolved after treatment. The subject was withdrawn from the study due to this event</w:t>
      </w:r>
      <w:r w:rsidR="00743EF5" w:rsidRPr="00DD25D7">
        <w:t>.</w:t>
      </w:r>
    </w:p>
    <w:p w:rsidR="004D513F" w:rsidRPr="00DD25D7" w:rsidRDefault="004D513F" w:rsidP="00CB35C8">
      <w:pPr>
        <w:pStyle w:val="Heading5"/>
      </w:pPr>
      <w:r w:rsidRPr="00DD25D7">
        <w:t>Other studies</w:t>
      </w:r>
      <w:r w:rsidR="00752EE0" w:rsidRPr="00DD25D7">
        <w:t xml:space="preserve"> assessing safety and tolerability</w:t>
      </w:r>
    </w:p>
    <w:p w:rsidR="004D513F" w:rsidRPr="00DD25D7" w:rsidRDefault="00295486" w:rsidP="00CB35C8">
      <w:pPr>
        <w:pStyle w:val="Heading6"/>
      </w:pPr>
      <w:r w:rsidRPr="00DD25D7">
        <w:t>Study B1971004</w:t>
      </w:r>
    </w:p>
    <w:p w:rsidR="00743EF5" w:rsidRPr="00DD25D7" w:rsidRDefault="004D513F" w:rsidP="004D513F">
      <w:r w:rsidRPr="00DD25D7">
        <w:t>For unsolicited AEs, the nature and frequency of events reported were generally consistent with illnesses typically expected in a healthy population of this age. There was no difference in the proportion of subjects reporting unsolicited AEs. Unsolicited AEs were reported by 11 of 12 (91.7%) subjects in each of the bivalent rLP2086 groups (the 60 µg group, the 120 µg group, and the 200 µg group), and by 11 of 12 subjects (91.7</w:t>
      </w:r>
      <w:r w:rsidR="00295486" w:rsidRPr="00DD25D7">
        <w:t>%) in the control group. One</w:t>
      </w:r>
      <w:r w:rsidRPr="00DD25D7">
        <w:t xml:space="preserve"> subject withdrew from the study because of mild gastritis (reported 173 days after Dose 2 of rLP2086 120 µg). No SAEs or deaths occurred during the course of this study</w:t>
      </w:r>
      <w:r w:rsidR="00743EF5" w:rsidRPr="00DD25D7">
        <w:t>.</w:t>
      </w:r>
    </w:p>
    <w:p w:rsidR="00743EF5" w:rsidRPr="00DD25D7" w:rsidRDefault="004D513F" w:rsidP="004D513F">
      <w:r w:rsidRPr="00DD25D7">
        <w:t xml:space="preserve">For this study, laboratory abnormalities were reported as AEs. However, none were considered related to the rLP2086 vaccine, and there were no sequelae to any reported AEs. There were numerous laboratory abnormalities across all groups, including the control group. However, there was no pattern of laboratory abnormalities associated with increasing rLP2086 vaccine dose level or upon repeat vaccinations. Most laboratory abnormalities that occurred during the study were mild, were intermittent, and resolved by the end of the study. During the conduct of </w:t>
      </w:r>
      <w:r w:rsidRPr="00DD25D7">
        <w:lastRenderedPageBreak/>
        <w:t>this study, no subjects reported NDCMCs or AEs considered autoimmune or neuroinflammatory in nature</w:t>
      </w:r>
      <w:r w:rsidR="00743EF5" w:rsidRPr="00DD25D7">
        <w:t>.</w:t>
      </w:r>
    </w:p>
    <w:p w:rsidR="004D513F" w:rsidRPr="00DD25D7" w:rsidRDefault="00295486" w:rsidP="00CB35C8">
      <w:pPr>
        <w:pStyle w:val="Heading6"/>
      </w:pPr>
      <w:r w:rsidRPr="00DD25D7">
        <w:t>Study B1971005</w:t>
      </w:r>
    </w:p>
    <w:p w:rsidR="00743EF5" w:rsidRPr="00DD25D7" w:rsidRDefault="004D513F" w:rsidP="004D513F">
      <w:r w:rsidRPr="00DD25D7">
        <w:t>Unsolicited AEs were reported by 18 (81.8%) subjects in the 60 µg bivalent rLP2086 group, 77 (38.9%) subjects in the 120 µg bivalent rLP2086 group, 92 (47.2%) in the 200 µg bivalent rLP2086 group, and 54 (44.6%) in the placebo group. Across all groups, the nature and frequency of AEs reported were consistent with illnesses typically expected in a healthy adolescent population. Few subjects reported AEs considered related to the study vaccine. No subject died during the study. No neuroinflammatory or autoimmune conditions were reported in this study</w:t>
      </w:r>
      <w:r w:rsidR="00743EF5" w:rsidRPr="00DD25D7">
        <w:t>.</w:t>
      </w:r>
    </w:p>
    <w:p w:rsidR="004D513F" w:rsidRPr="00DD25D7" w:rsidRDefault="00295486" w:rsidP="00CB35C8">
      <w:pPr>
        <w:pStyle w:val="Heading7"/>
        <w:rPr>
          <w:sz w:val="20"/>
        </w:rPr>
      </w:pPr>
      <w:r w:rsidRPr="00DD25D7">
        <w:rPr>
          <w:sz w:val="20"/>
        </w:rPr>
        <w:t>Stage 2</w:t>
      </w:r>
    </w:p>
    <w:p w:rsidR="00743EF5" w:rsidRPr="00DD25D7" w:rsidRDefault="004D513F" w:rsidP="004D513F">
      <w:r w:rsidRPr="00DD25D7">
        <w:t>Of the 401 subjects who were enrolled in Stage 2, 170 subjects were in the 120 µg group, 151 subjects were in the 200 µg group, and 80 subjects were in the control group. During Stage 2, when only SAEs, newly diagnosed chronic medical conditions (NDCMCs), and neuroinflammatory and autoimmune conditions were reported, relatively few subjects reported AEs that met these criteria, and none of the AEs reported during Stage 2 were considered related to the investigational product by the investigator</w:t>
      </w:r>
      <w:r w:rsidR="00743EF5" w:rsidRPr="00DD25D7">
        <w:t>.</w:t>
      </w:r>
    </w:p>
    <w:p w:rsidR="004D513F" w:rsidRPr="00DD25D7" w:rsidRDefault="00295486" w:rsidP="00CB35C8">
      <w:pPr>
        <w:pStyle w:val="Heading6"/>
      </w:pPr>
      <w:r w:rsidRPr="00DD25D7">
        <w:t>Study B1971010</w:t>
      </w:r>
    </w:p>
    <w:p w:rsidR="00743EF5" w:rsidRPr="00DD25D7" w:rsidRDefault="004D513F" w:rsidP="00CB35C8">
      <w:r w:rsidRPr="00DD25D7">
        <w:t xml:space="preserve">For unsolicited AEs, the proportion of subjects reporting AEs was generally similar between Group 1 (bivalent rLP2086 </w:t>
      </w:r>
      <w:r w:rsidR="00032B77" w:rsidRPr="00290B25">
        <w:rPr>
          <w:lang w:eastAsia="ja-JP"/>
        </w:rPr>
        <w:t xml:space="preserve">+ </w:t>
      </w:r>
      <w:r w:rsidRPr="00DD25D7">
        <w:t xml:space="preserve">Repevax) and Group 2 (Repevax </w:t>
      </w:r>
      <w:r w:rsidR="00032B77" w:rsidRPr="00290B25">
        <w:rPr>
          <w:lang w:eastAsia="ja-JP"/>
        </w:rPr>
        <w:t xml:space="preserve">+ </w:t>
      </w:r>
      <w:r w:rsidRPr="00DD25D7">
        <w:t>Saline). The nature and frequency of events reported were consistent with illnesses typically expected in an adolescent population, with the majority of reported related AEs reflecting reactogenicity. No subjects were diagnosed with neuroinflammatory conditions in this study</w:t>
      </w:r>
      <w:r w:rsidR="00743EF5" w:rsidRPr="00DD25D7">
        <w:t>.</w:t>
      </w:r>
    </w:p>
    <w:p w:rsidR="004D513F" w:rsidRPr="00DD25D7" w:rsidRDefault="004D513F" w:rsidP="00CB35C8">
      <w:pPr>
        <w:pStyle w:val="Heading6"/>
      </w:pPr>
      <w:r w:rsidRPr="00DD25D7">
        <w:t>Study B1971011</w:t>
      </w:r>
    </w:p>
    <w:p w:rsidR="004D513F" w:rsidRPr="00DD25D7" w:rsidRDefault="004D513F" w:rsidP="00CB35C8">
      <w:r w:rsidRPr="00DD25D7">
        <w:t xml:space="preserve">No significant difference was noted in the incidence of AEs by SOC between groups. Overall, the proportion of subjects reporting an AE, SAEs, and AEs that led to study withdrawal was generally similar between Group 1 (bivalent rLP2086 </w:t>
      </w:r>
      <w:r w:rsidR="00032B77" w:rsidRPr="00290B25">
        <w:rPr>
          <w:lang w:eastAsia="ja-JP"/>
        </w:rPr>
        <w:t xml:space="preserve">+ </w:t>
      </w:r>
      <w:r w:rsidRPr="00DD25D7">
        <w:t xml:space="preserve">Gardasil), Group 2 (bivalent rLP2086 </w:t>
      </w:r>
      <w:r w:rsidR="00032B77" w:rsidRPr="00290B25">
        <w:rPr>
          <w:lang w:eastAsia="ja-JP"/>
        </w:rPr>
        <w:t xml:space="preserve">+ </w:t>
      </w:r>
      <w:r w:rsidRPr="00DD25D7">
        <w:t xml:space="preserve">saline), and Group 3 (saline </w:t>
      </w:r>
      <w:r w:rsidR="00032B77" w:rsidRPr="00290B25">
        <w:rPr>
          <w:lang w:eastAsia="ja-JP"/>
        </w:rPr>
        <w:t xml:space="preserve">+ </w:t>
      </w:r>
      <w:r w:rsidRPr="00DD25D7">
        <w:t>Gardasil).</w:t>
      </w:r>
      <w:r w:rsidR="00743EF5" w:rsidRPr="00DD25D7">
        <w:t xml:space="preserve"> </w:t>
      </w:r>
      <w:r w:rsidR="00295486" w:rsidRPr="00DD25D7">
        <w:t>One</w:t>
      </w:r>
      <w:r w:rsidRPr="00DD25D7">
        <w:t xml:space="preserve"> subject was diagnosed with a neuroinflammatory condition. This subject, who received rLP2086 </w:t>
      </w:r>
      <w:r w:rsidR="00032B77" w:rsidRPr="00290B25">
        <w:rPr>
          <w:lang w:eastAsia="ja-JP"/>
        </w:rPr>
        <w:t xml:space="preserve">+ </w:t>
      </w:r>
      <w:r w:rsidRPr="00DD25D7">
        <w:t>saline (Group 2), experienced IgA nephropathy 1 day following initial vaccination. Given this timing, the nature of the disease pathophysiology, and the time required for autoantibody development, it was thought to be unrelated to study drug.</w:t>
      </w:r>
    </w:p>
    <w:p w:rsidR="004D513F" w:rsidRPr="00DD25D7" w:rsidRDefault="00295486" w:rsidP="00CB35C8">
      <w:pPr>
        <w:pStyle w:val="Heading6"/>
      </w:pPr>
      <w:r w:rsidRPr="00DD25D7">
        <w:t>Study B1971012</w:t>
      </w:r>
    </w:p>
    <w:p w:rsidR="00743EF5" w:rsidRPr="00DD25D7" w:rsidRDefault="004D513F" w:rsidP="00CB35C8">
      <w:r w:rsidRPr="00DD25D7">
        <w:t>For unsolicited AEs overall, AEs were reported in similar proportions across all groups. The nature and frequency of events reported were consistent with illnesses typically expected in an adolescent population. The percentage of subjects reporting AEs or SAEs within 30 days after injection of bivalent rLP2086 or saline was similar. A limited number of AEs were assessed as related to bivalent rLP2086, ranging from 3.8% to 6.1% across the 5 groups with the majority of related AEs reported being of reactogenicity nature. NDCMCs were reported in 8 subjects but were assessed as unrelated. No subjects were diagnosed with neuroinflammatory conditions</w:t>
      </w:r>
      <w:r w:rsidR="00743EF5" w:rsidRPr="00DD25D7">
        <w:t>.</w:t>
      </w:r>
    </w:p>
    <w:p w:rsidR="004D513F" w:rsidRPr="00DD25D7" w:rsidRDefault="00295486" w:rsidP="00CB35C8">
      <w:pPr>
        <w:pStyle w:val="Heading6"/>
      </w:pPr>
      <w:r w:rsidRPr="00DD25D7">
        <w:t>Study B1971015</w:t>
      </w:r>
    </w:p>
    <w:p w:rsidR="00743EF5" w:rsidRPr="00DD25D7" w:rsidRDefault="004D513F" w:rsidP="00CB35C8">
      <w:r w:rsidRPr="00DD25D7">
        <w:t>No clinically meaningful difference was noted in the incidence of AEs by system organ class (SOC) between groups.</w:t>
      </w:r>
      <w:r w:rsidR="00295486" w:rsidRPr="00DD25D7">
        <w:t xml:space="preserve"> Thirteen</w:t>
      </w:r>
      <w:r w:rsidRPr="00DD25D7">
        <w:t xml:space="preserve"> subjects reported NDCMCs during the study. No NDCMC was assessed as related to study vaccine, except for Raynaud’s syndrome (assessed as a possible precursor to an autoimmune condition). The condition was considered an AE and was assessed by the investigator as related to the study vaccination given the proximity of the start of symptoms to study vaccination. This report of Raynaud’s disease did not change the overall safety profile for bivalent rLP2086, given the prevalence of Raynaud’s phenomenon (18%) in </w:t>
      </w:r>
      <w:r w:rsidRPr="00DD25D7">
        <w:lastRenderedPageBreak/>
        <w:t>females in the second decade of life. No subjects were diagnosed with neuroinflammatory conditions</w:t>
      </w:r>
      <w:r w:rsidR="00743EF5" w:rsidRPr="00DD25D7">
        <w:t>.</w:t>
      </w:r>
    </w:p>
    <w:p w:rsidR="004D513F" w:rsidRPr="00DD25D7" w:rsidRDefault="004D513F" w:rsidP="00CB35C8">
      <w:pPr>
        <w:pStyle w:val="Heading4"/>
      </w:pPr>
      <w:r w:rsidRPr="00DD25D7">
        <w:t>Treatment related adverse events</w:t>
      </w:r>
    </w:p>
    <w:p w:rsidR="004D513F" w:rsidRPr="00DD25D7" w:rsidRDefault="004D513F" w:rsidP="00CB35C8">
      <w:pPr>
        <w:pStyle w:val="Heading5"/>
      </w:pPr>
      <w:r w:rsidRPr="00DD25D7">
        <w:t>Integrated safety analyses</w:t>
      </w:r>
    </w:p>
    <w:p w:rsidR="00743EF5" w:rsidRPr="00DD25D7" w:rsidRDefault="00F23482" w:rsidP="00CB35C8">
      <w:r w:rsidRPr="00DD25D7">
        <w:t>Adverse events that were assessed as r</w:t>
      </w:r>
      <w:r w:rsidR="004D513F" w:rsidRPr="00DD25D7">
        <w:t>elated</w:t>
      </w:r>
      <w:r w:rsidRPr="00DD25D7">
        <w:t xml:space="preserve"> to rLP2086 by the investigator</w:t>
      </w:r>
      <w:r w:rsidR="004D513F" w:rsidRPr="00DD25D7">
        <w:t xml:space="preserve"> were reported by a higher percentage of subjects in the 120 µg bivalent rLP2086 group compared with the control group (11.37% </w:t>
      </w:r>
      <w:r w:rsidR="000869B9" w:rsidRPr="00DD25D7">
        <w:t>versus</w:t>
      </w:r>
      <w:r w:rsidR="00295486" w:rsidRPr="00DD25D7">
        <w:t xml:space="preserve"> 6.10%</w:t>
      </w:r>
      <w:r w:rsidR="004D513F" w:rsidRPr="00DD25D7">
        <w:t>) as summar</w:t>
      </w:r>
      <w:r w:rsidR="00292798" w:rsidRPr="00DD25D7">
        <w:t>ise</w:t>
      </w:r>
      <w:r w:rsidR="004D513F" w:rsidRPr="00DD25D7">
        <w:t>d in</w:t>
      </w:r>
      <w:r w:rsidR="002310F7" w:rsidRPr="00DD25D7">
        <w:t xml:space="preserve"> Table 11</w:t>
      </w:r>
      <w:r w:rsidR="004D513F" w:rsidRPr="00DD25D7">
        <w:t>. Related AEs were most frequently observed in the SOC of general disorders and administration site conditions, which were reported by 9.58% of subjects in the 120 µg bivalent rLP2086 group and 4.50% of subjects in the control group. The most frequently reported related AE in this SOC, injection site pain, was reported by a higher proportion of subjects in the 120 µg bivalent rLP2086 group (6.59%) than in the control group (3.30%). Other related AEs in this SOC corresponded to local reaction terms (</w:t>
      </w:r>
      <w:r w:rsidR="00295486" w:rsidRPr="00DD25D7">
        <w:t>for example</w:t>
      </w:r>
      <w:r w:rsidR="004D513F" w:rsidRPr="00DD25D7">
        <w:t>, injection site erythema, injection site swelling) or systemic event terms (</w:t>
      </w:r>
      <w:r w:rsidR="00295486" w:rsidRPr="00DD25D7">
        <w:t>for example,</w:t>
      </w:r>
      <w:r w:rsidR="004D513F" w:rsidRPr="00DD25D7">
        <w:t xml:space="preserve"> pyrexia, fatigue, chills) and were, in general, reported by a higher percentage of subjects in the 120 µg bivalent rLP2086 group than in the control group. In the nervous system SOC, the related AE of headache was reported by a higher proportion of subjects in the 120 µg bivalent rLP2086 group compared with the control group (1.63% </w:t>
      </w:r>
      <w:r w:rsidR="000869B9" w:rsidRPr="00DD25D7">
        <w:t>versus</w:t>
      </w:r>
      <w:r w:rsidR="004D513F" w:rsidRPr="00DD25D7">
        <w:t xml:space="preserve"> 0.78%). When reactogenicity events were excluded, the frequency of related AEs was 3.37% in the 120 µg bivalent rLP2086 group and 1.87% in the control group. Thus, the majority of events considered related to study vaccine were reactogenicity events</w:t>
      </w:r>
      <w:r w:rsidR="00743EF5" w:rsidRPr="00DD25D7">
        <w:t>.</w:t>
      </w:r>
    </w:p>
    <w:p w:rsidR="004D513F" w:rsidRPr="00DD25D7" w:rsidRDefault="00295486" w:rsidP="00CB35C8">
      <w:pPr>
        <w:pStyle w:val="Heading6"/>
      </w:pPr>
      <w:r w:rsidRPr="00DD25D7">
        <w:t>Solicited local events</w:t>
      </w:r>
      <w:r w:rsidR="00E158F5" w:rsidRPr="00DD25D7">
        <w:t xml:space="preserve"> (adverse drug reactions)</w:t>
      </w:r>
    </w:p>
    <w:p w:rsidR="00743EF5" w:rsidRPr="00DD25D7" w:rsidRDefault="004D513F" w:rsidP="00CB35C8">
      <w:r w:rsidRPr="00DD25D7">
        <w:t>Pain at the injection site (Excludi</w:t>
      </w:r>
      <w:r w:rsidR="00295486" w:rsidRPr="00DD25D7">
        <w:t>ng Study B1971014;</w:t>
      </w:r>
      <w:r w:rsidRPr="00DD25D7">
        <w:t xml:space="preserve"> data not collected in diaries): The proportion of subjects reporting pain at the injection site within 7 days after any dose was greater among subjects receiving 120 µg bivalent rLP2086 (89.6% to 98.1%, across studies) than among those receiving control vaccine (18.2% to 64.8%). Within each vaccine group, the proportions of subjects reporting pain at the injection site were similar across the 3 doses, and there were no trends toward increasing or decreasing frequency with successive doses. In both vaccine groups, pain at the injection site was most often reported as mild or moderate in intensity. Across studies, for the 120 µg bivalent rLP2086 groups versus the control groups, respectively, mild pain after any dose was reported for 22.3% to 43.4% versus 16.2% to 46.1% of subjects; and moderate pain was reported for 45.5% to 63.0% versus 1.7% to 17.5% of subjects. Across studies, severe pain was reported for 3.0% to 15.1% of subjects receiving 120 µg bivalent rLP2086 and for 0.0% to 2.4% of subjects who received control vaccine. No differences among age groups in rates of pain were observed</w:t>
      </w:r>
      <w:r w:rsidR="00743EF5" w:rsidRPr="00DD25D7">
        <w:t>.</w:t>
      </w:r>
    </w:p>
    <w:p w:rsidR="00743EF5" w:rsidRPr="00DD25D7" w:rsidRDefault="004D513F" w:rsidP="00CB35C8">
      <w:r w:rsidRPr="00DD25D7">
        <w:t>Redness (Excluding Study B1971014): In the 6 controlled studies discussed the frequency of redness occurring within 7 days after any dose was higher among subjects receiving 120 µg bivalent rLP2086 (22.0% to 40.0% across studies) than among those receiving control vaccine (0.0% to 8.1%). Similar results were observed for the frequency of redness after either Dose 1 or Dose 2 (17.8% to 34.2% for 120 µg bivalent rLP2086 and 0.0% to 6.4% for control vaccine). In each vaccine group, there were no trends toward increasing or decreasing frequency of redness with successive doses. Redness reported after any dose of 120 µg bivalent rLP2086 was most often mild (7.2% to 17.7% of subjects, across studies) or moderate (10.1% to 16.8%) in severity; and after any dose of control vaccine, redness was most often mild (0.0% to 5.9%), with moderate redness reported for 0.0% to 2.6% of subjects across studies. Severe redness was reported for 2.5% to 5.6% of subjects after 120 µg bivalent rLP2086 and for 0.0% to 0.2% of subjects receiving control vaccine. Across studies, the median duration of redness was generally 2.0 days for subjects receiving 120 µg bivalent rLP2086 and 1.0 to 2.0 days for control vaccine</w:t>
      </w:r>
      <w:r w:rsidR="00743EF5" w:rsidRPr="00DD25D7">
        <w:t>.</w:t>
      </w:r>
    </w:p>
    <w:p w:rsidR="00743EF5" w:rsidRPr="00DD25D7" w:rsidRDefault="004D513F" w:rsidP="00CB35C8">
      <w:r w:rsidRPr="00DD25D7">
        <w:t xml:space="preserve">Swelling (Excluding </w:t>
      </w:r>
      <w:r w:rsidR="00554B61" w:rsidRPr="00DD25D7">
        <w:t>Study</w:t>
      </w:r>
      <w:r w:rsidRPr="00DD25D7">
        <w:t xml:space="preserve"> B1971014): The frequency of swelling after any dose was higher after 120 µg bivalent rLP2086 (25.1% to 40.7%, across studies) than after control vaccine (0.0% </w:t>
      </w:r>
      <w:r w:rsidRPr="00DD25D7">
        <w:lastRenderedPageBreak/>
        <w:t xml:space="preserve">to 12.2%). Results for the frequency of swelling after Dose 1 or Dose 2 were similar (21.0% to 35.8% after 120 µg bivalent rLP2086 and 0.0% to 10.5% after control vaccine). Within each vaccine group, the proportion of subjects reporting swelling was similar across each of the 3 doses, with no trends toward increasing or decreasing frequency with successive doses. Swelling after any dose was mostly mild or moderate in severity, both among subjects receiving 120 µg bivalent rLP2086 (5.1% to 20.4% mild, 11.3% to 27.8% moderate) and among those receiving control vaccine (0.0% to 8.6% mild, 0.0% to 4.8% moderate). Severe swelling after any dose was reported for 0.5% to 2.2% of subjects after 120 µg bivalent rLP2086 and for </w:t>
      </w:r>
      <w:r w:rsidR="00DF08D5" w:rsidRPr="00DD25D7">
        <w:t xml:space="preserve">≤ </w:t>
      </w:r>
      <w:r w:rsidRPr="00DD25D7">
        <w:t>0.1% after control vaccine. Across studies, the median duration of swelling was between 1.0 and 3.0 days (most often 2 days) for subjects receiving 120 μg bivalent rLP2086 and 1 to 2 days for control vaccine</w:t>
      </w:r>
      <w:r w:rsidR="00743EF5" w:rsidRPr="00DD25D7">
        <w:t>.</w:t>
      </w:r>
    </w:p>
    <w:p w:rsidR="00743EF5" w:rsidRPr="00DD25D7" w:rsidRDefault="004D513F" w:rsidP="00CB35C8">
      <w:r w:rsidRPr="00DD25D7">
        <w:t>Large Local Reactions: Studies B1971016 and B1971009 specifically measured large local reactions to better character</w:t>
      </w:r>
      <w:r w:rsidR="00292798" w:rsidRPr="00DD25D7">
        <w:t>ise</w:t>
      </w:r>
      <w:r w:rsidRPr="00DD25D7">
        <w:t xml:space="preserve"> the s</w:t>
      </w:r>
      <w:r w:rsidR="00292798" w:rsidRPr="00DD25D7">
        <w:t>ize</w:t>
      </w:r>
      <w:r w:rsidRPr="00DD25D7">
        <w:t>, duration, and clinical course of redness and swelling. Large local reactions of redness and/or swelling occurred in less than 2% of subjects who received bivalent rLP2086 and appeared to have a slightly longer duration than smaller local reactions. Large local reactions occurred more frequently after administration of bivalent rLP2086 than after control vaccine</w:t>
      </w:r>
      <w:r w:rsidR="00743EF5" w:rsidRPr="00DD25D7">
        <w:t>.</w:t>
      </w:r>
    </w:p>
    <w:p w:rsidR="00E158F5" w:rsidRPr="00DD25D7" w:rsidRDefault="00E158F5" w:rsidP="00CB35C8">
      <w:r w:rsidRPr="00DD25D7">
        <w:t xml:space="preserve">Local reactogenicity events (injection site pain, </w:t>
      </w:r>
      <w:r w:rsidR="00F23482" w:rsidRPr="00DD25D7">
        <w:t xml:space="preserve">injection site redness </w:t>
      </w:r>
      <w:r w:rsidR="00DD25D7" w:rsidRPr="00DD25D7">
        <w:t>(</w:t>
      </w:r>
      <w:r w:rsidR="00F23482" w:rsidRPr="00DD25D7">
        <w:t>erythema</w:t>
      </w:r>
      <w:r w:rsidR="00DD25D7" w:rsidRPr="00DD25D7">
        <w:t>)</w:t>
      </w:r>
      <w:r w:rsidR="00F23482" w:rsidRPr="00DD25D7">
        <w:t xml:space="preserve"> and injection site swelling </w:t>
      </w:r>
      <w:r w:rsidR="00DD25D7" w:rsidRPr="00DD25D7">
        <w:t>(</w:t>
      </w:r>
      <w:r w:rsidR="00F23482" w:rsidRPr="00DD25D7">
        <w:t>induration</w:t>
      </w:r>
      <w:r w:rsidR="00DD25D7" w:rsidRPr="00DD25D7">
        <w:t>)</w:t>
      </w:r>
      <w:r w:rsidR="00F23482" w:rsidRPr="00DD25D7">
        <w:t>) have been determined to be adverse reactions (</w:t>
      </w:r>
      <w:r w:rsidR="004A1C7D" w:rsidRPr="00DD25D7">
        <w:t xml:space="preserve">that </w:t>
      </w:r>
      <w:r w:rsidR="00290B25">
        <w:t>i</w:t>
      </w:r>
      <w:r w:rsidR="004A1C7D" w:rsidRPr="00DD25D7">
        <w:t xml:space="preserve">s </w:t>
      </w:r>
      <w:r w:rsidR="00F23482" w:rsidRPr="00DD25D7">
        <w:t>causally associated) of rLP2086.</w:t>
      </w:r>
    </w:p>
    <w:p w:rsidR="004D513F" w:rsidRPr="00DD25D7" w:rsidRDefault="00DF08D5" w:rsidP="00CB35C8">
      <w:pPr>
        <w:pStyle w:val="Heading6"/>
      </w:pPr>
      <w:r w:rsidRPr="00DD25D7">
        <w:t xml:space="preserve">Solicited </w:t>
      </w:r>
      <w:r w:rsidR="00292798" w:rsidRPr="00DD25D7">
        <w:t>systemic e</w:t>
      </w:r>
      <w:r w:rsidRPr="00DD25D7">
        <w:t>vents</w:t>
      </w:r>
      <w:r w:rsidR="00E158F5" w:rsidRPr="00DD25D7">
        <w:t xml:space="preserve"> (adverse drug reactions)</w:t>
      </w:r>
    </w:p>
    <w:p w:rsidR="00743EF5" w:rsidRPr="00DD25D7" w:rsidRDefault="004D513F" w:rsidP="00CB35C8">
      <w:r w:rsidRPr="00DD25D7">
        <w:t>In all core studies (excludi</w:t>
      </w:r>
      <w:r w:rsidR="00DF08D5" w:rsidRPr="00DD25D7">
        <w:t>ng Studies</w:t>
      </w:r>
      <w:r w:rsidRPr="00DD25D7">
        <w:t xml:space="preserve"> B1971004 and B1971014), after any dose of 120 µg bivalent rLP2086, the most frequently reported systemic events were fatigue and headache. Both of these systemic events were reported more frequently after 120 µg bivalent rLP2086 than after control vaccine. In the rLP2086 groups versus the control groups, respectively, the proportion of subjects reporting fatigue after any dose ranged from 60.6% to 85.0% versus 41.7% to 79.6%; and the proportion reporting headache ranged from 59.1% to 83.9% versus 48.3 to 74.3%. For both fatigue and headache, in both the rLP2086 and control groups, reporting rates were highest after Dose 1, with lower r</w:t>
      </w:r>
      <w:r w:rsidR="00DF08D5" w:rsidRPr="00DD25D7">
        <w:t>ates observed after Dose 2 and D</w:t>
      </w:r>
      <w:r w:rsidRPr="00DD25D7">
        <w:t>ose 3. Most reports of fatigue and headache were mild or moderate. After any dose, severe fatigue was reported for 1.5% to 6.6% of subjects after rLP2086 versus 0.0% to 4.0% of subjects after control vaccine; and rates for severe headache were 1.3% to 5.6% versus 0.0% to 2.9%, respectively. Administration of concomitant vaccines with rLP2086 did not substantially increase reporting rates for fatigue and headache</w:t>
      </w:r>
      <w:r w:rsidR="00743EF5" w:rsidRPr="00DD25D7">
        <w:t>.</w:t>
      </w:r>
    </w:p>
    <w:p w:rsidR="00743EF5" w:rsidRPr="00DD25D7" w:rsidRDefault="004D513F" w:rsidP="00CB35C8">
      <w:r w:rsidRPr="00DD25D7">
        <w:t>The next most frequently reported systemic event after any dose was muscle pain. As was observed for fatigue and headache, muscle pain was reported more frequently after 120 μg bivalent rLP2086 (34.3% to 61.8%) than after control vaccine (18.3% to 52.4%), was observed more frequently after Dose 1 than after Dose 2 or Dose 3, and was most often reported as mild or moderate, with severe muscle pain reported for 5.2% of subjects after any dose of 120 µg bivalent rLP2086. Administration of concomitant vaccines in Studies B1971011 and B1971015 did not substantially increase the frequency of muscle pain observed after 120 µg bivalent rLP2086</w:t>
      </w:r>
      <w:r w:rsidR="00743EF5" w:rsidRPr="00DD25D7">
        <w:t>.</w:t>
      </w:r>
    </w:p>
    <w:p w:rsidR="00743EF5" w:rsidRPr="00DD25D7" w:rsidRDefault="004D513F" w:rsidP="00CB35C8">
      <w:r w:rsidRPr="00DD25D7">
        <w:t>Fever (</w:t>
      </w:r>
      <w:r w:rsidR="00743EF5" w:rsidRPr="00DD25D7">
        <w:t xml:space="preserve">≥ </w:t>
      </w:r>
      <w:r w:rsidRPr="00DD25D7">
        <w:t>38</w:t>
      </w:r>
      <w:r w:rsidR="00DF08D5" w:rsidRPr="00DD25D7">
        <w:t xml:space="preserve"> </w:t>
      </w:r>
      <w:r w:rsidRPr="00DD25D7">
        <w:t>°C) was also reported more frequently among subjects receiving 120 µg bivalent rLP2086 (4.4% to 17.4%) than among those receiving control vaccine (1.7% to 9.0%). In the 120 µg bivalent rLP2086 group, the frequency of fever was consistently higher after Dose 1 than after Dose 2 or Dose 3. In both the bivalent rLP2086 and control vaccine groups, fever was most often mild (38</w:t>
      </w:r>
      <w:r w:rsidR="00DF08D5" w:rsidRPr="00DD25D7">
        <w:t xml:space="preserve"> </w:t>
      </w:r>
      <w:r w:rsidRPr="00DD25D7">
        <w:t xml:space="preserve">°C to </w:t>
      </w:r>
      <w:r w:rsidR="00032B77" w:rsidRPr="00DD25D7">
        <w:t xml:space="preserve">&lt; </w:t>
      </w:r>
      <w:r w:rsidRPr="00DD25D7">
        <w:t>38.5</w:t>
      </w:r>
      <w:r w:rsidR="00DF08D5" w:rsidRPr="00DD25D7">
        <w:t xml:space="preserve"> </w:t>
      </w:r>
      <w:r w:rsidRPr="00DD25D7">
        <w:t>°C) or moderate (38.5</w:t>
      </w:r>
      <w:r w:rsidR="00DF08D5" w:rsidRPr="00DD25D7">
        <w:t xml:space="preserve"> </w:t>
      </w:r>
      <w:r w:rsidRPr="00DD25D7">
        <w:t xml:space="preserve">°C to </w:t>
      </w:r>
      <w:r w:rsidR="00032B77" w:rsidRPr="00DD25D7">
        <w:t xml:space="preserve">&lt; </w:t>
      </w:r>
      <w:r w:rsidRPr="00DD25D7">
        <w:t>39</w:t>
      </w:r>
      <w:r w:rsidR="00DF08D5" w:rsidRPr="00DD25D7">
        <w:t xml:space="preserve"> </w:t>
      </w:r>
      <w:r w:rsidRPr="00DD25D7">
        <w:t>°C); severe fever (39.0</w:t>
      </w:r>
      <w:r w:rsidR="00DF08D5" w:rsidRPr="00DD25D7">
        <w:t xml:space="preserve"> </w:t>
      </w:r>
      <w:r w:rsidRPr="00DD25D7">
        <w:t>°C to 40.0</w:t>
      </w:r>
      <w:r w:rsidR="00DF08D5" w:rsidRPr="00DD25D7">
        <w:t xml:space="preserve"> </w:t>
      </w:r>
      <w:r w:rsidRPr="00DD25D7">
        <w:t>°C) was reported for 0.2% to 2.7% of subjects after any dose of 120 µg bivalent rLP2086 and for 0.4% to 1.7% of subjects after control vaccine. Fever &gt;40.0</w:t>
      </w:r>
      <w:r w:rsidR="00DF08D5" w:rsidRPr="00DD25D7">
        <w:t xml:space="preserve"> </w:t>
      </w:r>
      <w:r w:rsidRPr="00DD25D7">
        <w:t>°C was reported for 1 subject (0.1%) in Study B1971015 after Dose 1 of 120 µg bivalent rLP2086</w:t>
      </w:r>
      <w:r w:rsidR="00032B77" w:rsidRPr="00290B25">
        <w:rPr>
          <w:lang w:eastAsia="ja-JP"/>
        </w:rPr>
        <w:t xml:space="preserve">+ </w:t>
      </w:r>
      <w:r w:rsidRPr="00DD25D7">
        <w:t>MCV4</w:t>
      </w:r>
      <w:r w:rsidR="00032B77" w:rsidRPr="00290B25">
        <w:rPr>
          <w:lang w:eastAsia="ja-JP"/>
        </w:rPr>
        <w:t xml:space="preserve">+ </w:t>
      </w:r>
      <w:proofErr w:type="spellStart"/>
      <w:r w:rsidRPr="00DD25D7">
        <w:t>Tdap</w:t>
      </w:r>
      <w:proofErr w:type="spellEnd"/>
      <w:r w:rsidRPr="00DD25D7">
        <w:t xml:space="preserve"> (subject was </w:t>
      </w:r>
      <w:r w:rsidRPr="00DD25D7">
        <w:lastRenderedPageBreak/>
        <w:t>withdrawn from the study as a result), for 1 subject (0.1%) in Study B1971016 after Dose 3 of 120 µg bivalent rLP2086, and for 1 subject (0.1%) in Study B1971009 after Dose 3 of control vaccine (HAV). Each of these 3 cases resolved after one day. Increases in the severity of fever with potentiation were reported for 3/2</w:t>
      </w:r>
      <w:r w:rsidR="00DF08D5" w:rsidRPr="00DD25D7">
        <w:t>,</w:t>
      </w:r>
      <w:r w:rsidRPr="00DD25D7">
        <w:t xml:space="preserve">388 subjects (0.13%) who received 120 µg bivalent rLP2086 in Study B1971009; no subjects who received control vaccine experienced increases in the severity of fever with potentiation. Results from </w:t>
      </w:r>
      <w:r w:rsidR="00032B77" w:rsidRPr="00DD25D7">
        <w:t>Stud</w:t>
      </w:r>
      <w:r w:rsidRPr="00DD25D7">
        <w:t>ies B1971011 and B1971015 suggest that the frequency of fever (</w:t>
      </w:r>
      <w:r w:rsidR="00743EF5" w:rsidRPr="00DD25D7">
        <w:t xml:space="preserve">≥ </w:t>
      </w:r>
      <w:r w:rsidRPr="00DD25D7">
        <w:t>38</w:t>
      </w:r>
      <w:r w:rsidR="00DF08D5" w:rsidRPr="00DD25D7">
        <w:t xml:space="preserve"> </w:t>
      </w:r>
      <w:r w:rsidRPr="00DD25D7">
        <w:t>°C) was not substantially affected by the administration of concomitant vaccines with rLP2086 relative to rates observ</w:t>
      </w:r>
      <w:r w:rsidR="00DF08D5" w:rsidRPr="00DD25D7">
        <w:t>ed with rLP2086 alone. In Study </w:t>
      </w:r>
      <w:r w:rsidRPr="00DD25D7">
        <w:t>B1971011, the frequency of fever reported after any dose of rLP2086</w:t>
      </w:r>
      <w:r w:rsidR="00032B77" w:rsidRPr="00290B25">
        <w:rPr>
          <w:lang w:eastAsia="ja-JP"/>
        </w:rPr>
        <w:t xml:space="preserve">+ </w:t>
      </w:r>
      <w:r w:rsidRPr="00DD25D7">
        <w:t>Gardasil (11.5%) was similar to the frequency after any dose of rLP2086 alone (8.1%); and in Study B1971015, the frequency of fever was similar after Dose 1 of rLP2086</w:t>
      </w:r>
      <w:r w:rsidR="00032B77" w:rsidRPr="00290B25">
        <w:rPr>
          <w:lang w:eastAsia="ja-JP"/>
        </w:rPr>
        <w:t xml:space="preserve">+ </w:t>
      </w:r>
      <w:r w:rsidRPr="00DD25D7">
        <w:t>MCV4</w:t>
      </w:r>
      <w:r w:rsidR="00032B77" w:rsidRPr="00290B25">
        <w:rPr>
          <w:lang w:eastAsia="ja-JP"/>
        </w:rPr>
        <w:t xml:space="preserve">+ </w:t>
      </w:r>
      <w:proofErr w:type="spellStart"/>
      <w:r w:rsidRPr="00DD25D7">
        <w:t>Tdap</w:t>
      </w:r>
      <w:proofErr w:type="spellEnd"/>
      <w:r w:rsidRPr="00DD25D7">
        <w:t xml:space="preserve"> (13.2%) and after rLP2086 alone (11.6%). In Study B1971010, the frequency of fever was higher after Dose 1 of bivalent rLP2086</w:t>
      </w:r>
      <w:r w:rsidR="00032B77" w:rsidRPr="00290B25">
        <w:rPr>
          <w:lang w:eastAsia="ja-JP"/>
        </w:rPr>
        <w:t xml:space="preserve">+ </w:t>
      </w:r>
      <w:r w:rsidRPr="00DD25D7">
        <w:t>Repevax (12.1%) than after Dose 1 of Repevax alone (5.3%) alone</w:t>
      </w:r>
      <w:r w:rsidR="00743EF5" w:rsidRPr="00DD25D7">
        <w:t>.</w:t>
      </w:r>
    </w:p>
    <w:p w:rsidR="00743EF5" w:rsidRPr="00DD25D7" w:rsidRDefault="004D513F" w:rsidP="00CB35C8">
      <w:r w:rsidRPr="00DD25D7">
        <w:t>Chills and joint pain were reported more frequently after any dose of 120 µg bivalent rLP2086 than after control vaccine: chills, 20.7% to 55.8% versus 13.3% to 44.4% of subjects, respectively; and joint pain, 22.7% to 37.7% versus 14.2% to 30.7% of subjects, respectively. The systemic events reported least often were diarrhoea and vomiting with similar frequencies in the 120 µg bivalent rLP2086. Diarrhoea was reported for up to 25.7% of subjects receiving 120 µg bivalent rLP2086 and up to 25.2% receiving control vaccine, while vomiting was reported for up to 15.0% of subjects after 120 µg bivalent rLP2086 and 11.1% after control vaccine. Overall, for most types of systemic events, the median duration in both the bivalent rLP2086 groups and the control groups generally was 1.0 to 2.0 days</w:t>
      </w:r>
      <w:r w:rsidR="00743EF5" w:rsidRPr="00DD25D7">
        <w:t>.</w:t>
      </w:r>
    </w:p>
    <w:p w:rsidR="00F23482" w:rsidRPr="00DD25D7" w:rsidRDefault="00F23482" w:rsidP="00CB35C8">
      <w:r w:rsidRPr="00DD25D7">
        <w:t xml:space="preserve">Systemic reactogenicity events (headache, vomiting, diarrhoea, nausea, muscle pain </w:t>
      </w:r>
      <w:r w:rsidR="00DD25D7" w:rsidRPr="00DD25D7">
        <w:t>(</w:t>
      </w:r>
      <w:r w:rsidRPr="00DD25D7">
        <w:t>myalgia</w:t>
      </w:r>
      <w:r w:rsidR="00DD25D7" w:rsidRPr="00DD25D7">
        <w:t>)</w:t>
      </w:r>
      <w:r w:rsidRPr="00DD25D7">
        <w:t xml:space="preserve">, joint pain </w:t>
      </w:r>
      <w:r w:rsidR="00DD25D7" w:rsidRPr="00DD25D7">
        <w:t>(</w:t>
      </w:r>
      <w:r w:rsidRPr="00DD25D7">
        <w:t>arthralgia</w:t>
      </w:r>
      <w:r w:rsidR="00DD25D7" w:rsidRPr="00DD25D7">
        <w:t>)</w:t>
      </w:r>
      <w:r w:rsidRPr="00DD25D7">
        <w:t xml:space="preserve">, fever ≥38° C </w:t>
      </w:r>
      <w:r w:rsidR="00DD25D7" w:rsidRPr="00DD25D7">
        <w:t>(</w:t>
      </w:r>
      <w:r w:rsidRPr="00DD25D7">
        <w:t>pyrexia</w:t>
      </w:r>
      <w:r w:rsidR="00DD25D7" w:rsidRPr="00DD25D7">
        <w:t>)</w:t>
      </w:r>
      <w:r w:rsidRPr="00DD25D7">
        <w:t>, chills, fatigue) have been determined to be adverse reactions (</w:t>
      </w:r>
      <w:r w:rsidR="001A0C86" w:rsidRPr="00DD25D7">
        <w:t>that is,</w:t>
      </w:r>
      <w:r w:rsidRPr="00DD25D7">
        <w:t xml:space="preserve"> causally associated) of rLP2086.</w:t>
      </w:r>
    </w:p>
    <w:p w:rsidR="004D513F" w:rsidRPr="00DD25D7" w:rsidRDefault="004D513F" w:rsidP="00CB35C8">
      <w:pPr>
        <w:pStyle w:val="Heading5"/>
      </w:pPr>
      <w:r w:rsidRPr="00DD25D7">
        <w:t>Main/pivotal studies that assessed safety as the sole primary outcome</w:t>
      </w:r>
    </w:p>
    <w:p w:rsidR="004D513F" w:rsidRPr="00DD25D7" w:rsidRDefault="004D513F" w:rsidP="00CB35C8">
      <w:pPr>
        <w:pStyle w:val="Heading6"/>
      </w:pPr>
      <w:r w:rsidRPr="00DD25D7">
        <w:t>Study B1971014</w:t>
      </w:r>
    </w:p>
    <w:p w:rsidR="004D513F" w:rsidRPr="00DD25D7" w:rsidRDefault="004D513F" w:rsidP="004D513F">
      <w:r w:rsidRPr="00DD25D7">
        <w:t>Overall, the percentage of AEs reported during the vaccination phase was higher in Group 1 compared to Group 2. Subjects in Group 1 reported more reactogenicity AEs than subjects in Group 2 during the vaccination phase. Reactogenicity AEs were defined as any AE with an onset within 7 days after vaccination and matched a predefined preferred term list. A higher proportion of subjects in Group 1 than in Group 2 reported immediate AEs within 30 minutes after Vaccination 1 or Vaccination 2 (1.55% and 0.89%, respectively). This difference is likely because subjects in Group 2 received a saline injection at Vaccination 2. Most reactions in both groups were mild. When the predefined reactogenicity terms were excluded, AEs assessed as related to investigational product remained higher in Group 1 than Group 2. This difference was associated with a higher proportion of subjects in Group 1 than Group 2 who reported nausea (1.16% and 0.42%, respectively), pain in extremity (1.21% and 0.52%, respectively), injection site warmth (0.32% and 0%, respectively), and pain (0.26% and 0%, respectively) during the vaccination phase.</w:t>
      </w:r>
    </w:p>
    <w:p w:rsidR="004D513F" w:rsidRPr="00DD25D7" w:rsidRDefault="004D513F" w:rsidP="00CB35C8">
      <w:pPr>
        <w:pStyle w:val="Heading5"/>
      </w:pPr>
      <w:r w:rsidRPr="00DD25D7">
        <w:t>Pivotal and/or main studies</w:t>
      </w:r>
      <w:r w:rsidR="00E158F5" w:rsidRPr="00DD25D7">
        <w:t xml:space="preserve"> assessing safety and tolerability</w:t>
      </w:r>
    </w:p>
    <w:p w:rsidR="004D513F" w:rsidRPr="00DD25D7" w:rsidRDefault="00DF08D5" w:rsidP="00CB35C8">
      <w:pPr>
        <w:pStyle w:val="Heading6"/>
      </w:pPr>
      <w:r w:rsidRPr="00DD25D7">
        <w:t>Study B1971009</w:t>
      </w:r>
    </w:p>
    <w:p w:rsidR="00743EF5" w:rsidRPr="00DD25D7" w:rsidRDefault="004D513F" w:rsidP="00CB35C8">
      <w:r w:rsidRPr="00DD25D7">
        <w:t xml:space="preserve">The proportion of subjects who reported local reactions after any dose was higher in the combined bivalent rLP2086 group than in the control group for pain at the injection site (92.6% </w:t>
      </w:r>
      <w:r w:rsidR="000869B9" w:rsidRPr="00DD25D7">
        <w:t>versus</w:t>
      </w:r>
      <w:r w:rsidRPr="00DD25D7">
        <w:t xml:space="preserve"> 58.8%), redness (24.1% </w:t>
      </w:r>
      <w:r w:rsidR="000869B9" w:rsidRPr="00DD25D7">
        <w:t>versus</w:t>
      </w:r>
      <w:r w:rsidRPr="00DD25D7">
        <w:t xml:space="preserve"> 2.4%), and swelling (27.4% </w:t>
      </w:r>
      <w:r w:rsidR="000869B9" w:rsidRPr="00DD25D7">
        <w:t>versus</w:t>
      </w:r>
      <w:r w:rsidRPr="00DD25D7">
        <w:t xml:space="preserve"> 2.9%). Most local reactions reported were mild or moderate in severity. The frequency of local reactions did not increase with each subsequent dose, and the majority of the subjects who reported severe local reactions returned for subsequent vaccinations. Overall, few subjects reported large reactions (&gt;</w:t>
      </w:r>
      <w:r w:rsidR="00DF08D5" w:rsidRPr="00DD25D7">
        <w:t xml:space="preserve"> </w:t>
      </w:r>
      <w:r w:rsidRPr="00DD25D7">
        <w:t xml:space="preserve">21 </w:t>
      </w:r>
      <w:r w:rsidR="00DF08D5" w:rsidRPr="00DD25D7">
        <w:t>calliper</w:t>
      </w:r>
      <w:r w:rsidRPr="00DD25D7">
        <w:t xml:space="preserve"> units) of redness or swelling and the median duration of these reactions was 2.0 to 3.5 days. Five subjects in the combined bivalent rLP2086 group withdrew from the study </w:t>
      </w:r>
      <w:r w:rsidRPr="00DD25D7">
        <w:lastRenderedPageBreak/>
        <w:t xml:space="preserve">because of local reactions following </w:t>
      </w:r>
      <w:r w:rsidR="008B4D82" w:rsidRPr="00DD25D7">
        <w:t>Vaccination</w:t>
      </w:r>
      <w:r w:rsidRPr="00DD25D7">
        <w:t xml:space="preserve"> 1; 1 subject in the combined bivalent rLP2086 group withdrew from the study because of injection site pruritus following </w:t>
      </w:r>
      <w:r w:rsidR="008B4D82" w:rsidRPr="00DD25D7">
        <w:t>Vaccination</w:t>
      </w:r>
      <w:r w:rsidRPr="00DD25D7">
        <w:t xml:space="preserve"> 2</w:t>
      </w:r>
      <w:r w:rsidR="00743EF5" w:rsidRPr="00DD25D7">
        <w:t>.</w:t>
      </w:r>
    </w:p>
    <w:p w:rsidR="00743EF5" w:rsidRPr="00DD25D7" w:rsidRDefault="004D513F" w:rsidP="00CB35C8">
      <w:r w:rsidRPr="00DD25D7">
        <w:t>The proportion of subjects reporting systemic events was higher in the combined bivalent rLP2086 group compared to the proportion in the HAV/saline group; the events were generally mild or moderate in severity. Headache and fatigue were the most commonly reported systemi</w:t>
      </w:r>
      <w:r w:rsidR="00DF08D5" w:rsidRPr="00DD25D7">
        <w:t>c events in both groups. One</w:t>
      </w:r>
      <w:r w:rsidRPr="00DD25D7">
        <w:t xml:space="preserve"> subject in the combined bivalent rLP2086 group withdrew from the study because of chills following </w:t>
      </w:r>
      <w:r w:rsidR="008B4D82" w:rsidRPr="00DD25D7">
        <w:t>Vaccination</w:t>
      </w:r>
      <w:r w:rsidRPr="00DD25D7">
        <w:t xml:space="preserve"> 2. The frequency of systemic events did not increase with subsequent doses for either vaccine group</w:t>
      </w:r>
      <w:r w:rsidR="00743EF5" w:rsidRPr="00DD25D7">
        <w:t>.</w:t>
      </w:r>
    </w:p>
    <w:p w:rsidR="004D513F" w:rsidRPr="00DD25D7" w:rsidRDefault="004D513F" w:rsidP="00CB35C8">
      <w:pPr>
        <w:pStyle w:val="Heading6"/>
      </w:pPr>
      <w:r w:rsidRPr="00DD25D7">
        <w:t>Study B1971016</w:t>
      </w:r>
    </w:p>
    <w:p w:rsidR="00743EF5" w:rsidRPr="00DD25D7" w:rsidRDefault="004D513F" w:rsidP="004D513F">
      <w:r w:rsidRPr="00DD25D7">
        <w:t>Related AEs were reported more frequently among subjects receiving bivalent rLP2086 than among those receiving control vaccine</w:t>
      </w:r>
      <w:r w:rsidR="00554B61" w:rsidRPr="00DD25D7">
        <w:t xml:space="preserve"> (control vaccine was saline)</w:t>
      </w:r>
      <w:r w:rsidRPr="00DD25D7">
        <w:t xml:space="preserve">. This difference between the 2 groups was due to a higher frequency of </w:t>
      </w:r>
      <w:r w:rsidR="00DF08D5" w:rsidRPr="00DD25D7">
        <w:t>reactogenicity</w:t>
      </w:r>
      <w:r w:rsidRPr="00DD25D7">
        <w:t xml:space="preserve"> events (</w:t>
      </w:r>
      <w:r w:rsidR="00012937" w:rsidRPr="00DD25D7">
        <w:t>that is,</w:t>
      </w:r>
      <w:r w:rsidRPr="00DD25D7">
        <w:t xml:space="preserve"> AEs corresponding to local reaction or systemic event terms) considered related to study vaccine in the bivalent rLP2086 group. Immediate AEs were reported at similar frequencies in the 2 vaccine groups</w:t>
      </w:r>
      <w:r w:rsidR="00743EF5" w:rsidRPr="00DD25D7">
        <w:t>.</w:t>
      </w:r>
    </w:p>
    <w:p w:rsidR="00743EF5" w:rsidRPr="00DD25D7" w:rsidRDefault="004D513F" w:rsidP="004D513F">
      <w:r w:rsidRPr="00DD25D7">
        <w:t>The frequency of local reactions was higher after bivalent rLP2086 than after control vaccine. Pain at the injection site was the most commonly reported local reaction. Most local reactions reported were mild or moderate in severity. The frequency of local reactions did not increase with subsequent dosing and the majority of the subjects who reported severe local reactions returned for subsequent vaccinations. Overall, few subjects with redness or swelling reported large reactions (&gt;</w:t>
      </w:r>
      <w:r w:rsidR="00DF08D5" w:rsidRPr="00DD25D7">
        <w:t xml:space="preserve"> </w:t>
      </w:r>
      <w:r w:rsidRPr="00DD25D7">
        <w:t xml:space="preserve">21 </w:t>
      </w:r>
      <w:r w:rsidR="00DF08D5" w:rsidRPr="00DD25D7">
        <w:t>calliper</w:t>
      </w:r>
      <w:r w:rsidRPr="00DD25D7">
        <w:t xml:space="preserve"> units) of redness (51 of 537 subj</w:t>
      </w:r>
      <w:r w:rsidR="00DF08D5" w:rsidRPr="00DD25D7">
        <w:t xml:space="preserve">ects </w:t>
      </w:r>
      <w:r w:rsidR="00DD25D7" w:rsidRPr="00DD25D7">
        <w:t>(</w:t>
      </w:r>
      <w:r w:rsidR="00DF08D5" w:rsidRPr="00DD25D7">
        <w:t>9.50%</w:t>
      </w:r>
      <w:r w:rsidR="00DD25D7" w:rsidRPr="00DD25D7">
        <w:t>)</w:t>
      </w:r>
      <w:r w:rsidR="00DF08D5" w:rsidRPr="00DD25D7">
        <w:t xml:space="preserve"> in Group 1, 1 of 8 </w:t>
      </w:r>
      <w:r w:rsidRPr="00DD25D7">
        <w:t xml:space="preserve">subjects </w:t>
      </w:r>
      <w:r w:rsidR="00DD25D7" w:rsidRPr="00DD25D7">
        <w:t>(</w:t>
      </w:r>
      <w:r w:rsidRPr="00DD25D7">
        <w:t>12.50%</w:t>
      </w:r>
      <w:r w:rsidR="00DD25D7" w:rsidRPr="00DD25D7">
        <w:t>)</w:t>
      </w:r>
      <w:r w:rsidRPr="00DD25D7">
        <w:t xml:space="preserve"> in Group 2) or swelling (16 of 612 subjects </w:t>
      </w:r>
      <w:r w:rsidR="00DD25D7" w:rsidRPr="00DD25D7">
        <w:t>(</w:t>
      </w:r>
      <w:r w:rsidRPr="00DD25D7">
        <w:t>2.61%</w:t>
      </w:r>
      <w:r w:rsidR="00DD25D7" w:rsidRPr="00DD25D7">
        <w:t>)</w:t>
      </w:r>
      <w:r w:rsidRPr="00DD25D7">
        <w:t xml:space="preserve"> in Group 1, 1 of 8 subjects </w:t>
      </w:r>
      <w:r w:rsidR="00DD25D7" w:rsidRPr="00DD25D7">
        <w:t>(</w:t>
      </w:r>
      <w:r w:rsidRPr="00DD25D7">
        <w:t>12.50%</w:t>
      </w:r>
      <w:r w:rsidR="00DD25D7" w:rsidRPr="00DD25D7">
        <w:t>)</w:t>
      </w:r>
      <w:r w:rsidRPr="00DD25D7">
        <w:t xml:space="preserve"> in Group 2). The median duration of these large reactions was 2 to 4 days. A low number of subjects (2 subjects in Group 1 and 1 subject in Group 2) withdrew from the study because of local reactions</w:t>
      </w:r>
      <w:r w:rsidR="00743EF5" w:rsidRPr="00DD25D7">
        <w:t>.</w:t>
      </w:r>
    </w:p>
    <w:p w:rsidR="00743EF5" w:rsidRPr="00DD25D7" w:rsidRDefault="004D513F" w:rsidP="004D513F">
      <w:r w:rsidRPr="00DD25D7">
        <w:t xml:space="preserve">The proportions of subjects reporting systemic events were higher among subjects receiving bivalent rLP2086 than among </w:t>
      </w:r>
      <w:proofErr w:type="gramStart"/>
      <w:r w:rsidRPr="00DD25D7">
        <w:t>those receiving control vaccine</w:t>
      </w:r>
      <w:proofErr w:type="gramEnd"/>
      <w:r w:rsidRPr="00DD25D7">
        <w:t>. The incidence of systemic events did not increase with subsequent dosing for either of the groups. Systemic events were generally mild or moderate in severity, and severe systemic events were relatively infrequent. Headache and fatigue were the most frequently reported systemic events in both groups. Few subjects withdrew from the study because of systemic events (3 subjects in the bivalent rLP2086 group and 1 subject in the control group)</w:t>
      </w:r>
      <w:r w:rsidR="00743EF5" w:rsidRPr="00DD25D7">
        <w:t>.</w:t>
      </w:r>
    </w:p>
    <w:p w:rsidR="004D513F" w:rsidRPr="00DD25D7" w:rsidRDefault="004D513F" w:rsidP="00CB35C8">
      <w:pPr>
        <w:pStyle w:val="Heading5"/>
      </w:pPr>
      <w:r w:rsidRPr="00DD25D7">
        <w:t>Other studies</w:t>
      </w:r>
      <w:r w:rsidR="00E158F5" w:rsidRPr="00DD25D7">
        <w:t xml:space="preserve"> assessing safety and tolerability</w:t>
      </w:r>
    </w:p>
    <w:p w:rsidR="004D513F" w:rsidRPr="00DD25D7" w:rsidRDefault="00DF08D5" w:rsidP="00CB35C8">
      <w:pPr>
        <w:pStyle w:val="Heading6"/>
      </w:pPr>
      <w:r w:rsidRPr="00DD25D7">
        <w:t>Study B1971004</w:t>
      </w:r>
    </w:p>
    <w:p w:rsidR="00743EF5" w:rsidRPr="00DD25D7" w:rsidRDefault="004D513F" w:rsidP="004D513F">
      <w:r w:rsidRPr="00DD25D7">
        <w:t>A higher proportion of subjects receiving rLP2086 reported local reactions at the injection site compared to subjects receiving Adacel injection at Dose 1 and to subjects receiving saline at Doses 2 and 3. Pain at injection site was the most frequently reported local reaction. Most subjects in each group reported either mild or moderate local reactions, with median durations of 1.0 to 2.5 days for subjects in the 60 µg bivalent rLP2086 group, 1.5 to 3.5 days for subjects in the 120 µg bivalent rLP2086 group, and 1 to 4.5 days for subjects in the 200 µg bivalent rLP2086 group. No subjects withdrew from the study because of local reactions</w:t>
      </w:r>
      <w:r w:rsidR="00743EF5" w:rsidRPr="00DD25D7">
        <w:t>.</w:t>
      </w:r>
    </w:p>
    <w:p w:rsidR="00743EF5" w:rsidRPr="00DD25D7" w:rsidRDefault="004D513F" w:rsidP="004D513F">
      <w:r w:rsidRPr="00DD25D7">
        <w:t>The frequency of systemic events was generally higher in the rLP2086 groups compared to the control group. Fatigue, headache, and muscle pain were the most commonly reported systemic events. Most systemic events were mild or moderate in severity, with median durations of 1.0 to 11.0 days for subjects in the 60 µg bivalent rLP2086 group, 1 to 4.5 days for subjects in the 120 µg bivalent rLP2086 group, and 1 to 6 days for subjects in the 200 µg bivalent rLP2086 group. In the bivalent rLP2086 groups, where the vaccine was administered alone at each dose, the incidence of systemic events was generally similar to the initial vaccination at subsequent intervals. No subjects withdrew from the study because of systemic events</w:t>
      </w:r>
      <w:r w:rsidR="00743EF5" w:rsidRPr="00DD25D7">
        <w:t>.</w:t>
      </w:r>
    </w:p>
    <w:p w:rsidR="004D513F" w:rsidRPr="00DD25D7" w:rsidRDefault="00DF08D5" w:rsidP="00CB35C8">
      <w:pPr>
        <w:pStyle w:val="Heading6"/>
      </w:pPr>
      <w:r w:rsidRPr="00DD25D7">
        <w:lastRenderedPageBreak/>
        <w:t>Study B1971005</w:t>
      </w:r>
    </w:p>
    <w:p w:rsidR="00743EF5" w:rsidRPr="00DD25D7" w:rsidRDefault="004D513F" w:rsidP="004D513F">
      <w:r w:rsidRPr="00DD25D7">
        <w:t>Most local reactions in the study were mild or moderate in severity, with median durations of 1.0 to 4.5 days. Pain at the injection site was the most commonly reported local reaction. Neither the frequency nor the severity of events increased with repeated dosing. Local reactions were more commonly reported in the 200 µg bivalent rLP2086 group compared to the 60 µg bivalent rLP2086 group and the 120 µg bivalent rLP2086 group. Three subjects in the 200 µg bivalent rLP2086 group experienced local reactions and withdrew consent</w:t>
      </w:r>
      <w:r w:rsidR="00743EF5" w:rsidRPr="00DD25D7">
        <w:t>.</w:t>
      </w:r>
    </w:p>
    <w:p w:rsidR="00743EF5" w:rsidRPr="00DD25D7" w:rsidRDefault="004D513F" w:rsidP="004D513F">
      <w:r w:rsidRPr="00DD25D7">
        <w:t>The frequencies of fever and systemic events were generally higher in the rLP2086 groups compared to the placebo group. Systemic events were more commonly reported in 200 µg bivalent rLP2086 group compared to the 60 µg bivalent rLP2086 group and the 120 µg bivalent rLP2086 group. The most common systemic events were headache, fatigue, and muscle pain. Most subjects had systemic events that were mild or moderate in severity, with median durations of 1.0 to 6.0 days. No subjects reported fever &gt;</w:t>
      </w:r>
      <w:r w:rsidR="00DE7B24" w:rsidRPr="00DD25D7">
        <w:t xml:space="preserve"> </w:t>
      </w:r>
      <w:r w:rsidRPr="00DD25D7">
        <w:t>40</w:t>
      </w:r>
      <w:r w:rsidR="00DE7B24" w:rsidRPr="00DD25D7">
        <w:t xml:space="preserve"> </w:t>
      </w:r>
      <w:r w:rsidRPr="00DD25D7">
        <w:t xml:space="preserve">°C after each dose, and </w:t>
      </w:r>
      <w:r w:rsidR="00032B77" w:rsidRPr="00DD25D7">
        <w:t xml:space="preserve">&lt; </w:t>
      </w:r>
      <w:r w:rsidRPr="00DD25D7">
        <w:t>1% had reported fever &gt;</w:t>
      </w:r>
      <w:r w:rsidR="00DE7B24" w:rsidRPr="00DD25D7">
        <w:t xml:space="preserve"> </w:t>
      </w:r>
      <w:r w:rsidRPr="00DD25D7">
        <w:t>39</w:t>
      </w:r>
      <w:r w:rsidR="00DE7B24" w:rsidRPr="00DD25D7">
        <w:t xml:space="preserve"> </w:t>
      </w:r>
      <w:r w:rsidRPr="00DD25D7">
        <w:t>°C. There was a trend toward either similar or lower incidences of systemic events with subsequent vaccinations for both the 120 µg bivalent rLP2086 group and t</w:t>
      </w:r>
      <w:r w:rsidR="00DE7B24" w:rsidRPr="00DD25D7">
        <w:t>he saline control group. One</w:t>
      </w:r>
      <w:r w:rsidRPr="00DD25D7">
        <w:t xml:space="preserve"> subject in the 120 µg of bivalent rLP2086 group withdrew due a systemic event (headache)</w:t>
      </w:r>
      <w:r w:rsidR="00743EF5" w:rsidRPr="00DD25D7">
        <w:t>.</w:t>
      </w:r>
    </w:p>
    <w:p w:rsidR="004D513F" w:rsidRPr="00DD25D7" w:rsidRDefault="00B16083" w:rsidP="00CB35C8">
      <w:pPr>
        <w:pStyle w:val="Heading6"/>
      </w:pPr>
      <w:r w:rsidRPr="00DD25D7">
        <w:t>Study B1971010</w:t>
      </w:r>
    </w:p>
    <w:p w:rsidR="00743EF5" w:rsidRPr="00DD25D7" w:rsidRDefault="004D513F" w:rsidP="004D513F">
      <w:r w:rsidRPr="00DD25D7">
        <w:t>A higher proportion of subjects receiving bivalent rLP2086 reported local reactions at the injection site when compared to subjects receiving saline. Most local reactions reported were mild or moderate in severity and with a median duration of 2.0 to 3.0 days. Pain at the injection site was the most commonly reported local reaction and was reported in a higher proportion of subjects in Group 1 compared to Group 2. Only 1 subject receiving rLP2086 withdrew from the study because of local reactions</w:t>
      </w:r>
      <w:r w:rsidR="00743EF5" w:rsidRPr="00DD25D7">
        <w:t>.</w:t>
      </w:r>
    </w:p>
    <w:p w:rsidR="00743EF5" w:rsidRPr="00DD25D7" w:rsidRDefault="004D513F" w:rsidP="004D513F">
      <w:r w:rsidRPr="00DD25D7">
        <w:t xml:space="preserve">At Dose 1, when bivalent rLP2086 was administered concomitantly with Repevax to subjects in Group 1, the proportion of subjects reporting fever in this group was higher than the proportion of subjects experiencing fever after receiving Repevax with saline (Group 2) (12.1% </w:t>
      </w:r>
      <w:r w:rsidR="000869B9" w:rsidRPr="00DD25D7">
        <w:t>versus</w:t>
      </w:r>
      <w:r w:rsidRPr="00DD25D7">
        <w:t xml:space="preserve"> 5.3%). For all other systemic events the incidence was generally similar in Group 1 compared to Group 2. Headache and fatigue were the most commonly reported systemic events after Dose 1. The majority of systemic events were mild or moderate with a median duration of 1.0 to 4.0 days. Fever &gt;</w:t>
      </w:r>
      <w:r w:rsidR="00B16083" w:rsidRPr="00DD25D7">
        <w:t xml:space="preserve"> </w:t>
      </w:r>
      <w:r w:rsidRPr="00DD25D7">
        <w:t>40.0</w:t>
      </w:r>
      <w:r w:rsidR="00B16083" w:rsidRPr="00DD25D7">
        <w:t xml:space="preserve"> °</w:t>
      </w:r>
      <w:r w:rsidRPr="00DD25D7">
        <w:t>C was not reported after Dose 1 for either group. After Dose 1, only 3 subjects from Group 1 withdrew from the study because of systemic events</w:t>
      </w:r>
      <w:r w:rsidR="00743EF5" w:rsidRPr="00DD25D7">
        <w:t>.</w:t>
      </w:r>
    </w:p>
    <w:p w:rsidR="00743EF5" w:rsidRPr="00DD25D7" w:rsidRDefault="004D513F" w:rsidP="004D513F">
      <w:r w:rsidRPr="00DD25D7">
        <w:t xml:space="preserve">At Doses 2 and 3, when bivalent rLP2086 (Group 1) and saline (Group 2) were administered alone, the proportion of subjects reporting fever was slightly higher in Group 1 (bivalent rLP2086) compared to Group 2 (saline) (4.7% </w:t>
      </w:r>
      <w:r w:rsidR="000869B9" w:rsidRPr="00DD25D7">
        <w:t>versus</w:t>
      </w:r>
      <w:r w:rsidRPr="00DD25D7">
        <w:t xml:space="preserve"> 1.7% after Dose 2 and 4.3% </w:t>
      </w:r>
      <w:r w:rsidR="000869B9" w:rsidRPr="00DD25D7">
        <w:t>versus</w:t>
      </w:r>
      <w:r w:rsidRPr="00DD25D7">
        <w:t xml:space="preserve"> 2.6% after Dose 3). For other systemic events the incidence was generally higher in Group 1 compared to Group 2. Headache and fatigue were the most commonly reported systemic events after Doses 2 and 3. The majority of systemic events were mild or moderate with a median duration </w:t>
      </w:r>
      <w:r w:rsidR="00B16083" w:rsidRPr="00DD25D7">
        <w:t>of 1.0 to 4.0 days. Fever &gt; 40.0 °</w:t>
      </w:r>
      <w:r w:rsidRPr="00DD25D7">
        <w:t>C was not reported after Doses 2 and 3 for either group. Rates of other severe systemic events were low (</w:t>
      </w:r>
      <w:r w:rsidR="00032B77" w:rsidRPr="00DD25D7">
        <w:t xml:space="preserve">&lt; </w:t>
      </w:r>
      <w:r w:rsidRPr="00DD25D7">
        <w:t>2% of subjects) and comparable between the 120 µg bivalent rLP2086 group and the saline control group. After Doses 2 and 3, no subjects withdrew from the study because of systemic events</w:t>
      </w:r>
      <w:r w:rsidR="00743EF5" w:rsidRPr="00DD25D7">
        <w:t>.</w:t>
      </w:r>
    </w:p>
    <w:p w:rsidR="004D513F" w:rsidRPr="00DD25D7" w:rsidRDefault="00B16083" w:rsidP="00CB35C8">
      <w:pPr>
        <w:pStyle w:val="Heading6"/>
      </w:pPr>
      <w:r w:rsidRPr="00DD25D7">
        <w:t>Study B1971011</w:t>
      </w:r>
    </w:p>
    <w:p w:rsidR="00743EF5" w:rsidRPr="00DD25D7" w:rsidRDefault="004D513F" w:rsidP="004D513F">
      <w:r w:rsidRPr="00DD25D7">
        <w:t>Local reactions at the injection site were reported more frequently following administration of bivalent rLP2086 (97.6% and 96.9% of subjects, respectively, in Group 1 and Group 2) than following administration of saline (56.7% subjects in Group 3 at the saline injection site). Pain at the injection site was the most commonly reported local reaction. Local reactogenicity did not increase with subsequent dosing. Most local reactions reported were mild or moderate in severity and transient. A low number of subjects (5 in Group 1, 5 in Group 2, and 1 in Group 3) withdrew from the study because of local reactions following Dose 1 or 2</w:t>
      </w:r>
      <w:r w:rsidR="00743EF5" w:rsidRPr="00DD25D7">
        <w:t>.</w:t>
      </w:r>
    </w:p>
    <w:p w:rsidR="00743EF5" w:rsidRPr="00DD25D7" w:rsidRDefault="004D513F" w:rsidP="004D513F">
      <w:r w:rsidRPr="00DD25D7">
        <w:lastRenderedPageBreak/>
        <w:t>The groups receiving bivalent rLP2086 had more mild to moderate systemic reactogenicity and a slightly higher rate of severe systemic events than the group that received Gardasil and saline. The systemic event profile for subjects who received co</w:t>
      </w:r>
      <w:r w:rsidR="00B16083" w:rsidRPr="00DD25D7">
        <w:t xml:space="preserve"> </w:t>
      </w:r>
      <w:r w:rsidRPr="00DD25D7">
        <w:t xml:space="preserve">administration of bivalent rLP2086 </w:t>
      </w:r>
      <w:r w:rsidR="00032B77" w:rsidRPr="00290B25">
        <w:rPr>
          <w:lang w:eastAsia="ja-JP"/>
        </w:rPr>
        <w:t xml:space="preserve">+ </w:t>
      </w:r>
      <w:r w:rsidRPr="00DD25D7">
        <w:t xml:space="preserve">Gardasil was similar to subjects who received bivalent rLP2086 </w:t>
      </w:r>
      <w:r w:rsidR="00032B77" w:rsidRPr="00290B25">
        <w:rPr>
          <w:lang w:eastAsia="ja-JP"/>
        </w:rPr>
        <w:t xml:space="preserve">+ </w:t>
      </w:r>
      <w:r w:rsidRPr="00DD25D7">
        <w:t>saline. Fatigue and headache were the most commonly reported systemic events across all vaccinations and across all groups. Systemic events in all 3 groups were generally mild and moderate in severity. The mean duration, 1.0 to 3.8 days, and onset of systemic events were similar across the groups</w:t>
      </w:r>
      <w:r w:rsidR="00743EF5" w:rsidRPr="00DD25D7">
        <w:t>.</w:t>
      </w:r>
    </w:p>
    <w:p w:rsidR="004D513F" w:rsidRPr="00DD25D7" w:rsidRDefault="00B16083" w:rsidP="00CB35C8">
      <w:pPr>
        <w:pStyle w:val="Heading6"/>
      </w:pPr>
      <w:r w:rsidRPr="00DD25D7">
        <w:t>Study B1971012</w:t>
      </w:r>
    </w:p>
    <w:p w:rsidR="00743EF5" w:rsidRPr="00DD25D7" w:rsidRDefault="004D513F" w:rsidP="004D513F">
      <w:r w:rsidRPr="00DD25D7">
        <w:t xml:space="preserve">For local reactions, a higher proportion of subjects reported any local reaction after any vaccination at the bivalent rLP2086 injection site when compared to subjects receiving saline. The majority of local reactions following bivalent rLP2086 were mild or moderate in severity with median durations of 2.0 to 3.0 days. Pain was the most common local reaction reported. Four (4) subjects withdrew due to pain at the injection site: 1 of 426 subjects (0.2%) in Group 1, 1 of 414 subjects (0.2%) in Group 3, and 2 of 277 subjects (0.7%) in Group 4. There were no clinically meaningful differences between the 0, </w:t>
      </w:r>
      <w:r w:rsidR="00743EF5" w:rsidRPr="00DD25D7">
        <w:t>6 month</w:t>
      </w:r>
      <w:r w:rsidRPr="00DD25D7">
        <w:t xml:space="preserve"> regimen and any of the other 2 or </w:t>
      </w:r>
      <w:r w:rsidR="00743EF5" w:rsidRPr="00DD25D7">
        <w:t xml:space="preserve">3 dose </w:t>
      </w:r>
      <w:r w:rsidRPr="00DD25D7">
        <w:t>regimens</w:t>
      </w:r>
      <w:r w:rsidR="00743EF5" w:rsidRPr="00DD25D7">
        <w:t>.</w:t>
      </w:r>
    </w:p>
    <w:p w:rsidR="00743EF5" w:rsidRPr="00DD25D7" w:rsidRDefault="004D513F" w:rsidP="004D513F">
      <w:r w:rsidRPr="00DD25D7">
        <w:t>The proportion of subjects reporting systemic events was generally similar following bivalent rLP2086 and saline injections, with some exceptions. Headache, fatigue, muscle pain, joint pain, and chills following an injection showed higher rates at 2 or more injections in the subjects receiving bivalent rLP2086 compared to saline, however the relative difference in the rates was small, suggesting that the rates were not clinically meaningful. Headache and fatigue were the most commonly reported systemic events reported by subjects after receiving bivalent rLP2086 or saline. Most systemic events were mild or moderate in severity, with median durations of 1.0 to 3.5 days. There was 1 report of a temperature &gt;</w:t>
      </w:r>
      <w:r w:rsidR="00B16083" w:rsidRPr="00DD25D7">
        <w:t xml:space="preserve"> </w:t>
      </w:r>
      <w:r w:rsidRPr="00DD25D7">
        <w:t>40.0</w:t>
      </w:r>
      <w:r w:rsidR="00B16083" w:rsidRPr="00DD25D7">
        <w:t xml:space="preserve"> °</w:t>
      </w:r>
      <w:r w:rsidRPr="00DD25D7">
        <w:t>C, which occurred after Injection 4</w:t>
      </w:r>
      <w:r w:rsidR="00743EF5" w:rsidRPr="00DD25D7">
        <w:t>.</w:t>
      </w:r>
    </w:p>
    <w:p w:rsidR="004D513F" w:rsidRPr="00DD25D7" w:rsidRDefault="00B16083" w:rsidP="00CB35C8">
      <w:pPr>
        <w:pStyle w:val="Heading6"/>
      </w:pPr>
      <w:r w:rsidRPr="00DD25D7">
        <w:t>Study B1971042</w:t>
      </w:r>
    </w:p>
    <w:p w:rsidR="00743EF5" w:rsidRPr="00DD25D7" w:rsidRDefault="004D513F" w:rsidP="004D513F">
      <w:r w:rsidRPr="00DD25D7">
        <w:t>The most common local reaction reported was pain at the injection site, reported by 100% of subjects after each dose. Most cases of local reactions after each dose were mild or moderate in severity with median durations of 1.0 to 3.0 days. There were no cases of potentiation (</w:t>
      </w:r>
      <w:r w:rsidR="00012937" w:rsidRPr="00DD25D7">
        <w:t>that is,</w:t>
      </w:r>
      <w:r w:rsidRPr="00DD25D7">
        <w:t xml:space="preserve"> worsening of reactions with increasing doses) for any local reaction, and no subjects withdrew due to a local reaction</w:t>
      </w:r>
      <w:r w:rsidR="00743EF5" w:rsidRPr="00DD25D7">
        <w:t>.</w:t>
      </w:r>
    </w:p>
    <w:p w:rsidR="00743EF5" w:rsidRPr="00DD25D7" w:rsidRDefault="004D513F" w:rsidP="004D513F">
      <w:r w:rsidRPr="00DD25D7">
        <w:t xml:space="preserve">Systemic events were reported by 7 of 13 subjects (53.8%) across any vaccination. The most common systemic events reported were fatigue and muscle pain. Systemic events were generally mild or moderate in severity. The median duration of </w:t>
      </w:r>
      <w:r w:rsidR="00913503" w:rsidRPr="00DD25D7">
        <w:t>systemic events ranged from 1.0</w:t>
      </w:r>
      <w:r w:rsidRPr="00DD25D7">
        <w:t>to 4.0 days after each vaccination. There were no cases of potentiation for any systemic event and no subjects withdrew due to a systemic event</w:t>
      </w:r>
      <w:r w:rsidR="00743EF5" w:rsidRPr="00DD25D7">
        <w:t>.</w:t>
      </w:r>
    </w:p>
    <w:p w:rsidR="004D513F" w:rsidRPr="00DD25D7" w:rsidRDefault="00913503" w:rsidP="00CB35C8">
      <w:pPr>
        <w:pStyle w:val="Heading6"/>
      </w:pPr>
      <w:r w:rsidRPr="00DD25D7">
        <w:t>Study B1971015</w:t>
      </w:r>
    </w:p>
    <w:p w:rsidR="00743EF5" w:rsidRPr="00DD25D7" w:rsidRDefault="004D513F" w:rsidP="004D513F">
      <w:r w:rsidRPr="00DD25D7">
        <w:t xml:space="preserve">In the 2 groups receiving bivalent rLP2086, local reactions were evaluated for the bivalent rLP2086 injection site only and were compared with local reactions at the saline injection site for the control group. Subjects who received bivalent rLP2086 had more local reactogenicity than subjects who received saline. Pain at the injection site was the most commonly reported local reaction. Local reactogenicity did not increase with subsequent dosing. Most local reactions reported were mild or moderate in severity and transient. A low number of subjects (6 in Group 1, 0 in Group 2, and 2 in Group 3) withdrew from the study because of local reactions following </w:t>
      </w:r>
      <w:r w:rsidR="008B4D82" w:rsidRPr="00DD25D7">
        <w:t>Vaccination</w:t>
      </w:r>
      <w:r w:rsidRPr="00DD25D7">
        <w:t xml:space="preserve"> 1 or 2</w:t>
      </w:r>
      <w:r w:rsidR="00743EF5" w:rsidRPr="00DD25D7">
        <w:t>.</w:t>
      </w:r>
    </w:p>
    <w:p w:rsidR="00743EF5" w:rsidRPr="00DD25D7" w:rsidRDefault="004D513F" w:rsidP="004D513F">
      <w:r w:rsidRPr="00DD25D7">
        <w:t>Systemic events in all 3 groups were generally mild and moderate in severity. The groups receiving bivalent rLP2086 had more mild to moderate systemic events and a slightly higher rate of severe systemic events than the group that received MCV4</w:t>
      </w:r>
      <w:r w:rsidR="00032B77" w:rsidRPr="00290B25">
        <w:rPr>
          <w:lang w:eastAsia="ja-JP"/>
        </w:rPr>
        <w:t xml:space="preserve">+ </w:t>
      </w:r>
      <w:proofErr w:type="spellStart"/>
      <w:r w:rsidRPr="00DD25D7">
        <w:t>Tdap</w:t>
      </w:r>
      <w:proofErr w:type="spellEnd"/>
      <w:r w:rsidRPr="00DD25D7">
        <w:t xml:space="preserve"> and saline. The systemic event profile was similar between the 2 groups receiving bivalent rLP2086, but subjects receiving MCV4</w:t>
      </w:r>
      <w:r w:rsidR="00032B77" w:rsidRPr="00290B25">
        <w:rPr>
          <w:lang w:eastAsia="ja-JP"/>
        </w:rPr>
        <w:t xml:space="preserve">+ </w:t>
      </w:r>
      <w:proofErr w:type="spellStart"/>
      <w:r w:rsidRPr="00DD25D7">
        <w:t>Tdap</w:t>
      </w:r>
      <w:proofErr w:type="spellEnd"/>
      <w:r w:rsidR="00032B77" w:rsidRPr="00290B25">
        <w:rPr>
          <w:lang w:eastAsia="ja-JP"/>
        </w:rPr>
        <w:t xml:space="preserve">+ </w:t>
      </w:r>
      <w:r w:rsidRPr="00DD25D7">
        <w:t xml:space="preserve">bivalent rLP2086 demonstrated a slightly higher incidence of </w:t>
      </w:r>
      <w:r w:rsidRPr="00DD25D7">
        <w:lastRenderedPageBreak/>
        <w:t>systemic events, compared to subjects who received saline</w:t>
      </w:r>
      <w:r w:rsidR="00032B77" w:rsidRPr="00290B25">
        <w:rPr>
          <w:lang w:eastAsia="ja-JP"/>
        </w:rPr>
        <w:t xml:space="preserve">+ </w:t>
      </w:r>
      <w:r w:rsidRPr="00DD25D7">
        <w:t>saline</w:t>
      </w:r>
      <w:r w:rsidR="00032B77" w:rsidRPr="00290B25">
        <w:rPr>
          <w:lang w:eastAsia="ja-JP"/>
        </w:rPr>
        <w:t xml:space="preserve">+ </w:t>
      </w:r>
      <w:r w:rsidRPr="00DD25D7">
        <w:t>bivalent rLP2086. The incidence of systemic events did not increase with subsequent dosing for any of the groups. Fatigue and headache were the most commonly reported systemic events across all vaccinations and across all groups. The mean durations and onset day of systemic events were similar across the groups</w:t>
      </w:r>
      <w:r w:rsidR="00743EF5" w:rsidRPr="00DD25D7">
        <w:t>.</w:t>
      </w:r>
    </w:p>
    <w:p w:rsidR="004D513F" w:rsidRPr="00DD25D7" w:rsidRDefault="004D513F" w:rsidP="00CB35C8">
      <w:pPr>
        <w:pStyle w:val="Heading4"/>
      </w:pPr>
      <w:bookmarkStart w:id="165" w:name="_Toc241374320"/>
      <w:bookmarkStart w:id="166" w:name="_Ref272333507"/>
      <w:bookmarkStart w:id="167" w:name="_Toc272414666"/>
      <w:bookmarkStart w:id="168" w:name="_Toc290888530"/>
      <w:bookmarkStart w:id="169" w:name="_Toc416353746"/>
      <w:bookmarkStart w:id="170" w:name="_Toc421005289"/>
      <w:bookmarkStart w:id="171" w:name="_Toc432079166"/>
      <w:bookmarkStart w:id="172" w:name="_Toc432080739"/>
      <w:r w:rsidRPr="00DD25D7">
        <w:t>Deaths and other serious adverse events</w:t>
      </w:r>
      <w:bookmarkEnd w:id="165"/>
      <w:bookmarkEnd w:id="166"/>
      <w:bookmarkEnd w:id="167"/>
      <w:bookmarkEnd w:id="168"/>
      <w:bookmarkEnd w:id="169"/>
      <w:bookmarkEnd w:id="170"/>
      <w:bookmarkEnd w:id="171"/>
      <w:bookmarkEnd w:id="172"/>
    </w:p>
    <w:p w:rsidR="004D513F" w:rsidRPr="00DD25D7" w:rsidRDefault="004D513F" w:rsidP="00CB35C8">
      <w:pPr>
        <w:pStyle w:val="Heading5"/>
      </w:pPr>
      <w:r w:rsidRPr="00DD25D7">
        <w:t>Integrated safety analyses</w:t>
      </w:r>
    </w:p>
    <w:p w:rsidR="00743EF5" w:rsidRPr="00DD25D7" w:rsidRDefault="004D513F" w:rsidP="004D513F">
      <w:r w:rsidRPr="00DD25D7">
        <w:t>In the 8 controlled studies, the percentages of subjects experienc</w:t>
      </w:r>
      <w:r w:rsidR="00DC029A" w:rsidRPr="00DD25D7">
        <w:t>ing SAEs was similar in the 120 </w:t>
      </w:r>
      <w:r w:rsidRPr="00DD25D7">
        <w:t xml:space="preserve">µg bivalent rLP2086 group and the control group during the vaccination phase (1.15% </w:t>
      </w:r>
      <w:r w:rsidR="000869B9" w:rsidRPr="00DD25D7">
        <w:t>versus</w:t>
      </w:r>
      <w:r w:rsidRPr="00DD25D7">
        <w:t xml:space="preserve"> 1.34%, respectively) and throughout the studies (1.60% </w:t>
      </w:r>
      <w:r w:rsidR="000869B9" w:rsidRPr="00DD25D7">
        <w:t>versus</w:t>
      </w:r>
      <w:r w:rsidRPr="00DD25D7">
        <w:t xml:space="preserve"> 1.92%), as well as during the period before Dose 3 (0.98% </w:t>
      </w:r>
      <w:r w:rsidR="000869B9" w:rsidRPr="00DD25D7">
        <w:t>versus</w:t>
      </w:r>
      <w:r w:rsidRPr="00DD25D7">
        <w:t xml:space="preserve"> 1.25%) and after Dose 3 (0.74% </w:t>
      </w:r>
      <w:r w:rsidR="000869B9" w:rsidRPr="00DD25D7">
        <w:t>versus</w:t>
      </w:r>
      <w:r w:rsidRPr="00DD25D7">
        <w:t xml:space="preserve"> 0.86%</w:t>
      </w:r>
      <w:r w:rsidR="002310F7" w:rsidRPr="00DD25D7">
        <w:t>)</w:t>
      </w:r>
      <w:r w:rsidRPr="00DD25D7">
        <w:t>,</w:t>
      </w:r>
      <w:r w:rsidR="002310F7" w:rsidRPr="00DD25D7">
        <w:t xml:space="preserve"> (Table 12</w:t>
      </w:r>
      <w:r w:rsidRPr="00DD25D7">
        <w:t>). SAEs considered related to study vaccine were reported for 5 subjects (0.04%) who received 120 µg bivalent rLP2086 and for 2 subjects (0.04%) who received control vaccine</w:t>
      </w:r>
      <w:r w:rsidR="00743EF5" w:rsidRPr="00DD25D7">
        <w:t>.</w:t>
      </w:r>
    </w:p>
    <w:p w:rsidR="00743EF5" w:rsidRPr="00DD25D7" w:rsidRDefault="004D513F" w:rsidP="004D513F">
      <w:r w:rsidRPr="00DD25D7">
        <w:t>Among the 13,284 subjects who received 120 µg bivalent rLP2086, 5 subjects (0.04%) died, while there were no deaths among the 5</w:t>
      </w:r>
      <w:r w:rsidR="00DC029A" w:rsidRPr="00DD25D7">
        <w:t>,</w:t>
      </w:r>
      <w:r w:rsidRPr="00DD25D7">
        <w:t>509 subjects who received control vaccine. Among the subjects who died, 3 died as a result of road traffic accidents (2 were passengers, 1 was the driver), 1 subject died d</w:t>
      </w:r>
      <w:r w:rsidR="00DC029A" w:rsidRPr="00DD25D7">
        <w:t>ue to a gunshot wound (not self-inflicted</w:t>
      </w:r>
      <w:r w:rsidRPr="00DD25D7">
        <w:t>), and 1 subject committed suicide. None of the deaths were considered related to study vaccine</w:t>
      </w:r>
      <w:r w:rsidR="00743EF5" w:rsidRPr="00DD25D7">
        <w:t>.</w:t>
      </w:r>
    </w:p>
    <w:p w:rsidR="00140840" w:rsidRPr="00290B25" w:rsidRDefault="00140840" w:rsidP="00140840">
      <w:pPr>
        <w:pStyle w:val="Tabletitle"/>
      </w:pPr>
      <w:bookmarkStart w:id="173" w:name="_Ref461614021"/>
      <w:bookmarkStart w:id="174" w:name="_Toc462406120"/>
      <w:bookmarkStart w:id="175" w:name="_Toc464821199"/>
      <w:r w:rsidRPr="00DD25D7">
        <w:lastRenderedPageBreak/>
        <w:t>Table</w:t>
      </w:r>
      <w:bookmarkEnd w:id="173"/>
      <w:r w:rsidR="002310F7" w:rsidRPr="00DD25D7">
        <w:t>12:</w:t>
      </w:r>
      <w:r w:rsidRPr="00DD25D7">
        <w:t xml:space="preserve"> </w:t>
      </w:r>
      <w:bookmarkEnd w:id="174"/>
      <w:r w:rsidR="002310F7" w:rsidRPr="00290B25">
        <w:t>Summary of AEs and SAEs;</w:t>
      </w:r>
      <w:r w:rsidRPr="00290B25">
        <w:t xml:space="preserve"> </w:t>
      </w:r>
      <w:r w:rsidR="002310F7" w:rsidRPr="00290B25">
        <w:t>subjects who received at least 1 dose of bivalen</w:t>
      </w:r>
      <w:r w:rsidRPr="00290B25">
        <w:t xml:space="preserve">t rLP2086 </w:t>
      </w:r>
      <w:r w:rsidR="002310F7" w:rsidRPr="00290B25">
        <w:t>final formulation (120 μg dose level) on a 0, 2, and 6 month schedule; core studies pooled</w:t>
      </w:r>
      <w:bookmarkEnd w:id="175"/>
    </w:p>
    <w:p w:rsidR="00140840" w:rsidRPr="00290B25" w:rsidRDefault="00990EEB" w:rsidP="004D513F">
      <w:r w:rsidRPr="00DD25D7">
        <w:rPr>
          <w:noProof/>
          <w:lang w:eastAsia="en-AU"/>
        </w:rPr>
        <w:drawing>
          <wp:inline distT="0" distB="0" distL="0" distR="0" wp14:anchorId="54FF548D" wp14:editId="625B8ECB">
            <wp:extent cx="5731510" cy="5406969"/>
            <wp:effectExtent l="0" t="0" r="2540" b="3810"/>
            <wp:docPr id="26" name="Picture 26" descr="Table12: Summary of AEs and SAEs; subjects who received at least 1 dose of bivalent rLP2086 final formulation (120 μg dose level) on a 0, 2, and 6 month schedule; core studies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5406969"/>
                    </a:xfrm>
                    <a:prstGeom prst="rect">
                      <a:avLst/>
                    </a:prstGeom>
                  </pic:spPr>
                </pic:pic>
              </a:graphicData>
            </a:graphic>
          </wp:inline>
        </w:drawing>
      </w:r>
    </w:p>
    <w:p w:rsidR="00140840" w:rsidRPr="00DD25D7" w:rsidRDefault="00140840" w:rsidP="00140840">
      <w:pPr>
        <w:pStyle w:val="TableDescription"/>
      </w:pPr>
      <w:r w:rsidRPr="00DD25D7">
        <w:t xml:space="preserve">MCV4 = meningococcal </w:t>
      </w:r>
      <w:r w:rsidR="00DD25D7" w:rsidRPr="00DD25D7">
        <w:t>(</w:t>
      </w:r>
      <w:r w:rsidRPr="00DD25D7">
        <w:t>Groups A, C, Y and W-135</w:t>
      </w:r>
      <w:r w:rsidR="00DD25D7" w:rsidRPr="00DD25D7">
        <w:t>)</w:t>
      </w:r>
      <w:r w:rsidRPr="00DD25D7">
        <w:t xml:space="preserve"> polysaccharide diphtheria toxoid conjugate vaccine; </w:t>
      </w:r>
      <w:proofErr w:type="spellStart"/>
      <w:r w:rsidRPr="00DD25D7">
        <w:t>Repevax</w:t>
      </w:r>
      <w:proofErr w:type="spellEnd"/>
      <w:r w:rsidRPr="00DD25D7">
        <w:t xml:space="preserve"> is </w:t>
      </w:r>
      <w:proofErr w:type="spellStart"/>
      <w:r w:rsidRPr="00DD25D7">
        <w:t>dTaP</w:t>
      </w:r>
      <w:proofErr w:type="spellEnd"/>
      <w:r w:rsidRPr="00DD25D7">
        <w:t xml:space="preserve">/IPV (diphtheria, tetanus, acellular pertussis/inactivated poliomyelitis virus vaccine); SAE = serious adverse event; </w:t>
      </w:r>
      <w:proofErr w:type="spellStart"/>
      <w:r w:rsidRPr="00DD25D7">
        <w:t>Tdap</w:t>
      </w:r>
      <w:proofErr w:type="spellEnd"/>
      <w:r w:rsidRPr="00DD25D7">
        <w:t xml:space="preserve"> = tetanus, low-dose diphtheria, and low-dose acellular pertussis vaccine; HAV = hepatitis A virus vaccine. Note: Studies B1971004, B1971005, B1971009, B1971010, B1971011, B1971014, B1971015, and B1971016 are summar</w:t>
      </w:r>
      <w:r w:rsidR="00292798" w:rsidRPr="00DD25D7">
        <w:t>ise</w:t>
      </w:r>
      <w:r w:rsidRPr="00DD25D7">
        <w:t>d in this table. Note: Autoimmune and neuroinflammatory conditions were identified from a potential list of autoimmune/neuroinflammatory conditions. Confirmation was determined by the sponsor's global medical monitor after review of diagnostic testing and medical history.</w:t>
      </w:r>
    </w:p>
    <w:p w:rsidR="004D513F" w:rsidRPr="00DD25D7" w:rsidRDefault="004D513F" w:rsidP="00CB35C8">
      <w:pPr>
        <w:pStyle w:val="Heading5"/>
      </w:pPr>
      <w:r w:rsidRPr="00DD25D7">
        <w:t>Main/pivotal studies that assessed safety as the sole primary outcome</w:t>
      </w:r>
    </w:p>
    <w:p w:rsidR="004D513F" w:rsidRPr="00DD25D7" w:rsidRDefault="00DC029A" w:rsidP="00CB35C8">
      <w:pPr>
        <w:pStyle w:val="Heading6"/>
      </w:pPr>
      <w:r w:rsidRPr="00DD25D7">
        <w:t>Study B1971014</w:t>
      </w:r>
    </w:p>
    <w:p w:rsidR="00743EF5" w:rsidRPr="00DD25D7" w:rsidRDefault="004D513F" w:rsidP="004D513F">
      <w:r w:rsidRPr="00DD25D7">
        <w:t xml:space="preserve">The proportion of subjects reporting SAEs throughout the study was lower among subjects receiving bivalent rLP2086 (1.55%) than among those receiving HAV/saline control (2.52%). A sensitivity analysis revealed that the proportion of subjects reporting at least 1 SAE remained higher in the control group compared the bivalent rLP2086 group when an outcome was imputed for </w:t>
      </w:r>
      <w:r w:rsidR="00DC029A" w:rsidRPr="00DD25D7">
        <w:t>subjects with incomplete follow-up</w:t>
      </w:r>
      <w:r w:rsidRPr="00DD25D7">
        <w:t xml:space="preserve"> AE data. The most common SAEs reported by both groups throughout the study were in the SOC of infections and infestations. Related SAEs </w:t>
      </w:r>
      <w:r w:rsidRPr="00DD25D7">
        <w:lastRenderedPageBreak/>
        <w:t>were reported by 2 subjects (0.05%) in the bivalent rLP2086 group and by 2 subjects (0.10%) in the control group throughout the study. One subject died during the study (unrelated)</w:t>
      </w:r>
      <w:r w:rsidR="00743EF5" w:rsidRPr="00DD25D7">
        <w:t>.</w:t>
      </w:r>
    </w:p>
    <w:p w:rsidR="004D513F" w:rsidRPr="00DD25D7" w:rsidRDefault="004D513F" w:rsidP="00D73165">
      <w:pPr>
        <w:pStyle w:val="Heading5"/>
      </w:pPr>
      <w:r w:rsidRPr="00DD25D7">
        <w:t>Pivotal and/or main studies</w:t>
      </w:r>
      <w:r w:rsidR="005A0FE6" w:rsidRPr="00DD25D7">
        <w:t xml:space="preserve"> assessing safety and tolerability</w:t>
      </w:r>
    </w:p>
    <w:p w:rsidR="004D513F" w:rsidRPr="00DD25D7" w:rsidRDefault="004D513F" w:rsidP="00D73165">
      <w:pPr>
        <w:pStyle w:val="Heading6"/>
      </w:pPr>
      <w:r w:rsidRPr="00DD25D7">
        <w:t>Study B1971</w:t>
      </w:r>
      <w:r w:rsidR="00DC029A" w:rsidRPr="00DD25D7">
        <w:t>009</w:t>
      </w:r>
    </w:p>
    <w:p w:rsidR="00743EF5" w:rsidRPr="00DD25D7" w:rsidRDefault="004D513F" w:rsidP="004D513F">
      <w:r w:rsidRPr="00DD25D7">
        <w:t>No subjects died in the study. SAEs were reported for 51 subjects (1.89%) receiving bivalent rLP2086 and for 22 subjects (2.45%) receiving control vaccine. Few subjects were withdrawn from the study due to adverse events: 22 (0.82%) in the bivalent rLP2086 group and 3 (0.33%) in the control group. Among subjects receiving bivalent rLP2086, the AEs most often leading to withdrawal from the study were injection site pain (4 subjects) and asthma (2 subjects)</w:t>
      </w:r>
      <w:r w:rsidR="00743EF5" w:rsidRPr="00DD25D7">
        <w:t>.</w:t>
      </w:r>
    </w:p>
    <w:p w:rsidR="004D513F" w:rsidRPr="00DD25D7" w:rsidRDefault="004D513F" w:rsidP="00D73165">
      <w:pPr>
        <w:pStyle w:val="Heading6"/>
      </w:pPr>
      <w:r w:rsidRPr="00DD25D7">
        <w:t>Study B1971016</w:t>
      </w:r>
    </w:p>
    <w:p w:rsidR="00743EF5" w:rsidRPr="00DD25D7" w:rsidRDefault="004D513F" w:rsidP="004D513F">
      <w:r w:rsidRPr="00DD25D7">
        <w:t>SAEs occurring at any time during the study were reported for 1.34% of subjects in each vaccine group. SAEs considered related to study vaccine were reported for 3 subjects (0.12%) in the bivalent rLP2086 group and for no subjects in the control group. Three (3) subjects in Group 1 died during the study. None of the deaths were considered related to the study vaccine by the investigator</w:t>
      </w:r>
      <w:r w:rsidR="00743EF5" w:rsidRPr="00DD25D7">
        <w:t>.</w:t>
      </w:r>
    </w:p>
    <w:p w:rsidR="004D513F" w:rsidRPr="00DD25D7" w:rsidRDefault="004D513F" w:rsidP="00D73165">
      <w:pPr>
        <w:pStyle w:val="Heading5"/>
      </w:pPr>
      <w:r w:rsidRPr="00DD25D7">
        <w:t>Other studies</w:t>
      </w:r>
      <w:r w:rsidR="005A0FE6" w:rsidRPr="00DD25D7">
        <w:t xml:space="preserve"> assessing safety and tolerability</w:t>
      </w:r>
    </w:p>
    <w:p w:rsidR="00DC029A" w:rsidRPr="00DD25D7" w:rsidRDefault="00DC029A" w:rsidP="00DC029A">
      <w:pPr>
        <w:pStyle w:val="Heading6"/>
      </w:pPr>
      <w:r w:rsidRPr="00DD25D7">
        <w:t>Study B1971010</w:t>
      </w:r>
    </w:p>
    <w:p w:rsidR="00743EF5" w:rsidRPr="00DD25D7" w:rsidRDefault="00DC029A" w:rsidP="00D73165">
      <w:r w:rsidRPr="00DD25D7">
        <w:t xml:space="preserve">In </w:t>
      </w:r>
      <w:r w:rsidR="004D513F" w:rsidRPr="00DD25D7">
        <w:t>Study B1971010 1 subject in Group 1 died in a road traffic</w:t>
      </w:r>
      <w:r w:rsidRPr="00DD25D7">
        <w:t xml:space="preserve"> accident</w:t>
      </w:r>
      <w:r w:rsidR="004D513F" w:rsidRPr="00DD25D7">
        <w:t xml:space="preserve"> and the death was considered not related to vaccination. A total of 21 subjects (3.2% in Group 1 </w:t>
      </w:r>
      <w:r w:rsidR="000869B9" w:rsidRPr="00DD25D7">
        <w:t>versus</w:t>
      </w:r>
      <w:r w:rsidR="004D513F" w:rsidRPr="00DD25D7">
        <w:t xml:space="preserve"> 2.4% in Group 2) reported SAEs throughout the study. None of the SAEs were considered to be related to the vaccination</w:t>
      </w:r>
      <w:r w:rsidR="00743EF5" w:rsidRPr="00DD25D7">
        <w:t>.</w:t>
      </w:r>
    </w:p>
    <w:p w:rsidR="00DC029A" w:rsidRPr="00DD25D7" w:rsidRDefault="00DC029A" w:rsidP="00DC029A">
      <w:pPr>
        <w:pStyle w:val="Heading6"/>
      </w:pPr>
      <w:r w:rsidRPr="00DD25D7">
        <w:t>Study B1971011</w:t>
      </w:r>
    </w:p>
    <w:p w:rsidR="00743EF5" w:rsidRPr="00DD25D7" w:rsidRDefault="004D513F" w:rsidP="00D73165">
      <w:r w:rsidRPr="00DD25D7">
        <w:t>In Study B1971011 the proportion of subjects reporting SAEs was 1.2%, 1.6%, and 0.8% in Groups 1, 2, and 3, respectively. No subjects died during the course of this study. None of the SAEs was considered to be related to the vaccination and none led to discontinuation of the study drug</w:t>
      </w:r>
      <w:r w:rsidR="00743EF5" w:rsidRPr="00DD25D7">
        <w:t>.</w:t>
      </w:r>
    </w:p>
    <w:p w:rsidR="004D513F" w:rsidRPr="00DD25D7" w:rsidRDefault="00DC029A" w:rsidP="00D73165">
      <w:pPr>
        <w:pStyle w:val="Heading6"/>
      </w:pPr>
      <w:r w:rsidRPr="00DD25D7">
        <w:t>Study B1971012</w:t>
      </w:r>
    </w:p>
    <w:p w:rsidR="00743EF5" w:rsidRPr="00DD25D7" w:rsidRDefault="00DC029A" w:rsidP="004D513F">
      <w:r w:rsidRPr="00DD25D7">
        <w:t>Two</w:t>
      </w:r>
      <w:r w:rsidR="004D513F" w:rsidRPr="00DD25D7">
        <w:t xml:space="preserve"> subjects (in Group 2) reported SAEs considered to be related to bivalent rLP2086 administration. One (1) subject reported vertigo, chills, and headache after receiving Dose 3 of bivalent rLP2086 on the same day; 1 subject reported pyrexia and vomiting the day after receiving Dose 1 of bivalent rLP2086. Nine</w:t>
      </w:r>
      <w:r w:rsidRPr="00DD25D7">
        <w:t>teen</w:t>
      </w:r>
      <w:r w:rsidR="004D513F" w:rsidRPr="00DD25D7">
        <w:t xml:space="preserve"> subjects were withdrawn from the study because of AEs; 9 of the events were considered by the investigator to be related to study vaccination. No subject died during the study</w:t>
      </w:r>
      <w:r w:rsidR="00743EF5" w:rsidRPr="00DD25D7">
        <w:t>.</w:t>
      </w:r>
    </w:p>
    <w:p w:rsidR="004D513F" w:rsidRPr="00DD25D7" w:rsidRDefault="004D513F" w:rsidP="00D73165">
      <w:pPr>
        <w:pStyle w:val="Heading6"/>
      </w:pPr>
      <w:r w:rsidRPr="00DD25D7">
        <w:t>Study B1971015</w:t>
      </w:r>
    </w:p>
    <w:p w:rsidR="00743EF5" w:rsidRPr="00DD25D7" w:rsidRDefault="004D513F" w:rsidP="004D513F">
      <w:r w:rsidRPr="00DD25D7">
        <w:t>Severe systemic events were relatively infrequent. Two subjec</w:t>
      </w:r>
      <w:r w:rsidR="00DC029A" w:rsidRPr="00DD25D7">
        <w:t>ts (1 each in Group 1 and Group </w:t>
      </w:r>
      <w:r w:rsidRPr="00DD25D7">
        <w:t>3) withdrew from the study because of headache; 2 subjects (2 in Group 1) withdrew from the study because of pyrexia; 1 subject in Group 3 withdrew from the study because of arthralgia; 1 subject in Group 1 withdrew from the study because of fatigue</w:t>
      </w:r>
      <w:r w:rsidR="00743EF5" w:rsidRPr="00DD25D7">
        <w:t>.</w:t>
      </w:r>
    </w:p>
    <w:p w:rsidR="00743EF5" w:rsidRPr="00DD25D7" w:rsidRDefault="004D513F" w:rsidP="004D513F">
      <w:r w:rsidRPr="00DD25D7">
        <w:t xml:space="preserve">Overall, the proportions of subjects reporting AEs, SAEs, and AEs that led to study withdrawal were generally similar between Group 1 (42.9%, 1.7%, and 1.4%, respectively), Group 2 (42.6%, 1.7%, and 0.6%), and Group 3 (46.2%, 1.3%, and 0.7%). A higher proportion of subjects reported related AEs in the groups that received rLP2086 compared to the control group. The most common related AEs were local reactions. No subjects died during the course of this study. A total of 15 (1.7%) subjects in Group 1, 9 (1%) subjects in Group 2, and 11 (1.3%) subjects in Group 3 reported SAEs. None of the SAEs were considered to be related to the vaccination. </w:t>
      </w:r>
      <w:r w:rsidRPr="00DD25D7">
        <w:lastRenderedPageBreak/>
        <w:t>Similar proportions of subjects were withdrawn from the study because of AEs in Group 1 (12 subjects, 1.4%), Group 2 (5 subjects, 0.6%), and Group 3 (6 subjects, 0.7%)</w:t>
      </w:r>
      <w:r w:rsidR="00743EF5" w:rsidRPr="00DD25D7">
        <w:t>.</w:t>
      </w:r>
    </w:p>
    <w:p w:rsidR="004D513F" w:rsidRPr="00DD25D7" w:rsidRDefault="004D513F" w:rsidP="00D73165">
      <w:pPr>
        <w:pStyle w:val="Heading4"/>
      </w:pPr>
      <w:bookmarkStart w:id="176" w:name="_Toc241374325"/>
      <w:bookmarkStart w:id="177" w:name="_Ref272333477"/>
      <w:bookmarkStart w:id="178" w:name="_Toc272414667"/>
      <w:bookmarkStart w:id="179" w:name="_Toc290888531"/>
      <w:bookmarkStart w:id="180" w:name="_Toc416353747"/>
      <w:bookmarkStart w:id="181" w:name="_Toc421005290"/>
      <w:bookmarkStart w:id="182" w:name="_Toc432079167"/>
      <w:bookmarkStart w:id="183" w:name="_Toc432080740"/>
      <w:r w:rsidRPr="00DD25D7">
        <w:t>Discontinuations due to adverse events</w:t>
      </w:r>
      <w:bookmarkEnd w:id="176"/>
      <w:bookmarkEnd w:id="177"/>
      <w:bookmarkEnd w:id="178"/>
      <w:bookmarkEnd w:id="179"/>
      <w:bookmarkEnd w:id="180"/>
      <w:bookmarkEnd w:id="181"/>
      <w:bookmarkEnd w:id="182"/>
      <w:bookmarkEnd w:id="183"/>
    </w:p>
    <w:p w:rsidR="00DC029A" w:rsidRPr="00DD25D7" w:rsidRDefault="004D513F" w:rsidP="00DC029A">
      <w:pPr>
        <w:pStyle w:val="Heading5"/>
      </w:pPr>
      <w:bookmarkStart w:id="184" w:name="_Toc241374321"/>
      <w:bookmarkStart w:id="185" w:name="_Ref271044780"/>
      <w:bookmarkStart w:id="186" w:name="_Ref271196640"/>
      <w:bookmarkStart w:id="187" w:name="_Ref272333085"/>
      <w:bookmarkStart w:id="188" w:name="_Toc272414668"/>
      <w:bookmarkStart w:id="189" w:name="_Toc290888532"/>
      <w:bookmarkStart w:id="190" w:name="_Toc416353748"/>
      <w:bookmarkStart w:id="191" w:name="_Toc421005291"/>
      <w:bookmarkStart w:id="192" w:name="_Toc432079168"/>
      <w:bookmarkStart w:id="193" w:name="_Toc432080741"/>
      <w:r w:rsidRPr="00DD25D7">
        <w:t>Wit</w:t>
      </w:r>
      <w:r w:rsidR="00DC029A" w:rsidRPr="00DD25D7">
        <w:t>hdrawal due to local reactions</w:t>
      </w:r>
    </w:p>
    <w:p w:rsidR="00743EF5" w:rsidRPr="00DD25D7" w:rsidRDefault="004D513F" w:rsidP="004D513F">
      <w:r w:rsidRPr="00DD25D7">
        <w:t>Among the 13,284 subjects who received 120 µg bivalent rLP2086 in the 8 controlled studies, 46 subjects (0.35%) were withdrawn from the studies due to local reactions; and among the 5509 subjects who received control vaccine in these studies, 2 subjects (0.04%) were withdrawn due to local reactions. Some of these subjects were withdrawn because of more than 1 local reaction type and some were withdrawn because of both local reactions and systemic events</w:t>
      </w:r>
      <w:r w:rsidR="00743EF5" w:rsidRPr="00DD25D7">
        <w:t>.</w:t>
      </w:r>
    </w:p>
    <w:p w:rsidR="00DC029A" w:rsidRPr="00DD25D7" w:rsidRDefault="004D513F" w:rsidP="00DC029A">
      <w:pPr>
        <w:pStyle w:val="Heading5"/>
      </w:pPr>
      <w:r w:rsidRPr="00DD25D7">
        <w:t>Wi</w:t>
      </w:r>
      <w:r w:rsidR="00DC029A" w:rsidRPr="00DD25D7">
        <w:t>thdrawal due to systemic events</w:t>
      </w:r>
    </w:p>
    <w:p w:rsidR="00743EF5" w:rsidRPr="00DD25D7" w:rsidRDefault="004D513F" w:rsidP="004D513F">
      <w:r w:rsidRPr="00DD25D7">
        <w:t>Overall, in the core safety dataset, systemic events resulted in withdrawal of 31 subjects (0.23%) who received 120 µg bivalent rLP2086 and 2 subjects (0.04%) who received control vaccine. Among subjects receiving 120 µg bivalent rLP2086, the systemic events most frequently leading to withdrawal from study participation were headache (17 subjects, 0.13%) and pyrexia (11 subjects, 0.08%). Among subjects who received control vaccine, 1 subject was withdrawn from the study due to chills and 1 subject was withdrawn due to headache, fatigue, pyrexia, chills, myalgia, and arthralgia</w:t>
      </w:r>
      <w:r w:rsidR="00743EF5" w:rsidRPr="00DD25D7">
        <w:t>.</w:t>
      </w:r>
    </w:p>
    <w:p w:rsidR="004D513F" w:rsidRPr="00DD25D7" w:rsidRDefault="004D513F" w:rsidP="00D73165">
      <w:pPr>
        <w:pStyle w:val="Heading3"/>
      </w:pPr>
      <w:bookmarkStart w:id="194" w:name="_Toc464739505"/>
      <w:bookmarkStart w:id="195" w:name="_Toc524443909"/>
      <w:r w:rsidRPr="00DD25D7">
        <w:t xml:space="preserve">Evaluation of issues </w:t>
      </w:r>
      <w:bookmarkEnd w:id="184"/>
      <w:bookmarkEnd w:id="185"/>
      <w:bookmarkEnd w:id="186"/>
      <w:bookmarkEnd w:id="187"/>
      <w:bookmarkEnd w:id="188"/>
      <w:bookmarkEnd w:id="189"/>
      <w:bookmarkEnd w:id="190"/>
      <w:bookmarkEnd w:id="191"/>
      <w:r w:rsidRPr="00DD25D7">
        <w:t>with possible regulatory impact</w:t>
      </w:r>
      <w:bookmarkEnd w:id="192"/>
      <w:bookmarkEnd w:id="193"/>
      <w:bookmarkEnd w:id="194"/>
      <w:bookmarkEnd w:id="195"/>
    </w:p>
    <w:p w:rsidR="00DC029A" w:rsidRPr="00DD25D7" w:rsidRDefault="00DC029A" w:rsidP="004D513F">
      <w:bookmarkStart w:id="196" w:name="_Toc272414669"/>
      <w:bookmarkStart w:id="197" w:name="_Toc290888533"/>
      <w:bookmarkStart w:id="198" w:name="_Toc416353749"/>
      <w:bookmarkStart w:id="199" w:name="_Toc421005292"/>
      <w:bookmarkStart w:id="200" w:name="_Toc432079169"/>
      <w:bookmarkStart w:id="201" w:name="_Toc432080742"/>
      <w:r w:rsidRPr="00DD25D7">
        <w:t>The following issues were considered not applicable:</w:t>
      </w:r>
    </w:p>
    <w:p w:rsidR="004D513F" w:rsidRPr="00DD25D7" w:rsidRDefault="004D513F" w:rsidP="00DC029A">
      <w:pPr>
        <w:pStyle w:val="ListBullet"/>
      </w:pPr>
      <w:r w:rsidRPr="00DD25D7">
        <w:t>Liver function</w:t>
      </w:r>
      <w:bookmarkEnd w:id="196"/>
      <w:bookmarkEnd w:id="197"/>
      <w:bookmarkEnd w:id="198"/>
      <w:bookmarkEnd w:id="199"/>
      <w:r w:rsidRPr="00DD25D7">
        <w:t xml:space="preserve"> and liver toxicity</w:t>
      </w:r>
      <w:bookmarkEnd w:id="200"/>
      <w:bookmarkEnd w:id="201"/>
    </w:p>
    <w:p w:rsidR="004D513F" w:rsidRPr="00DD25D7" w:rsidRDefault="004D513F" w:rsidP="00DC029A">
      <w:pPr>
        <w:pStyle w:val="ListBullet"/>
      </w:pPr>
      <w:bookmarkStart w:id="202" w:name="_Toc272414670"/>
      <w:bookmarkStart w:id="203" w:name="_Toc290888534"/>
      <w:bookmarkStart w:id="204" w:name="_Toc416353750"/>
      <w:bookmarkStart w:id="205" w:name="_Toc421005293"/>
      <w:bookmarkStart w:id="206" w:name="_Toc432079170"/>
      <w:bookmarkStart w:id="207" w:name="_Toc432080743"/>
      <w:r w:rsidRPr="00DD25D7">
        <w:t>Renal function</w:t>
      </w:r>
      <w:bookmarkEnd w:id="202"/>
      <w:bookmarkEnd w:id="203"/>
      <w:bookmarkEnd w:id="204"/>
      <w:bookmarkEnd w:id="205"/>
      <w:r w:rsidRPr="00DD25D7">
        <w:t xml:space="preserve"> and renal toxicity</w:t>
      </w:r>
      <w:bookmarkEnd w:id="206"/>
      <w:bookmarkEnd w:id="207"/>
    </w:p>
    <w:p w:rsidR="004D513F" w:rsidRPr="00DD25D7" w:rsidRDefault="004D513F" w:rsidP="00DC029A">
      <w:pPr>
        <w:pStyle w:val="ListBullet"/>
      </w:pPr>
      <w:bookmarkStart w:id="208" w:name="_Toc272414671"/>
      <w:bookmarkStart w:id="209" w:name="_Toc290888535"/>
      <w:bookmarkStart w:id="210" w:name="_Toc416353751"/>
      <w:bookmarkStart w:id="211" w:name="_Toc421005294"/>
      <w:bookmarkStart w:id="212" w:name="_Toc432079171"/>
      <w:bookmarkStart w:id="213" w:name="_Toc432080744"/>
      <w:r w:rsidRPr="00DD25D7">
        <w:t>Other clinical chemistry</w:t>
      </w:r>
      <w:bookmarkEnd w:id="208"/>
      <w:bookmarkEnd w:id="209"/>
      <w:bookmarkEnd w:id="210"/>
      <w:bookmarkEnd w:id="211"/>
      <w:bookmarkEnd w:id="212"/>
      <w:bookmarkEnd w:id="213"/>
    </w:p>
    <w:p w:rsidR="004D513F" w:rsidRPr="00DD25D7" w:rsidRDefault="004D513F" w:rsidP="00DC029A">
      <w:pPr>
        <w:pStyle w:val="ListBullet"/>
      </w:pPr>
      <w:bookmarkStart w:id="214" w:name="_Toc272414672"/>
      <w:bookmarkStart w:id="215" w:name="_Toc290888536"/>
      <w:bookmarkStart w:id="216" w:name="_Toc416353752"/>
      <w:bookmarkStart w:id="217" w:name="_Toc421005295"/>
      <w:bookmarkStart w:id="218" w:name="_Toc432079172"/>
      <w:bookmarkStart w:id="219" w:name="_Toc432080745"/>
      <w:r w:rsidRPr="00DD25D7">
        <w:t>Haematology</w:t>
      </w:r>
      <w:bookmarkEnd w:id="214"/>
      <w:bookmarkEnd w:id="215"/>
      <w:bookmarkEnd w:id="216"/>
      <w:bookmarkEnd w:id="217"/>
      <w:r w:rsidRPr="00DD25D7">
        <w:t xml:space="preserve"> and haematological toxicity</w:t>
      </w:r>
      <w:bookmarkEnd w:id="218"/>
      <w:bookmarkEnd w:id="219"/>
    </w:p>
    <w:p w:rsidR="004D513F" w:rsidRPr="00DD25D7" w:rsidRDefault="004D513F" w:rsidP="00DC029A">
      <w:pPr>
        <w:pStyle w:val="ListBullet"/>
      </w:pPr>
      <w:bookmarkStart w:id="220" w:name="_Toc272414674"/>
      <w:bookmarkStart w:id="221" w:name="_Toc290888538"/>
      <w:bookmarkStart w:id="222" w:name="_Toc416353753"/>
      <w:bookmarkStart w:id="223" w:name="_Toc421005296"/>
      <w:bookmarkStart w:id="224" w:name="_Toc432079173"/>
      <w:bookmarkStart w:id="225" w:name="_Toc432080746"/>
      <w:r w:rsidRPr="00DD25D7">
        <w:t>Other laboratory test</w:t>
      </w:r>
      <w:bookmarkEnd w:id="220"/>
      <w:bookmarkEnd w:id="221"/>
      <w:bookmarkEnd w:id="222"/>
      <w:bookmarkEnd w:id="223"/>
      <w:bookmarkEnd w:id="224"/>
      <w:bookmarkEnd w:id="225"/>
      <w:r w:rsidRPr="00DD25D7">
        <w:t>s</w:t>
      </w:r>
    </w:p>
    <w:p w:rsidR="004D513F" w:rsidRPr="00DD25D7" w:rsidRDefault="004D513F" w:rsidP="00DC029A">
      <w:pPr>
        <w:pStyle w:val="ListBullet"/>
      </w:pPr>
      <w:bookmarkStart w:id="226" w:name="_Toc272414675"/>
      <w:bookmarkStart w:id="227" w:name="_Toc290888539"/>
      <w:bookmarkStart w:id="228" w:name="_Toc416353754"/>
      <w:bookmarkStart w:id="229" w:name="_Toc421005297"/>
      <w:bookmarkStart w:id="230" w:name="_Toc432079174"/>
      <w:bookmarkStart w:id="231" w:name="_Toc432080747"/>
      <w:r w:rsidRPr="00DD25D7">
        <w:t>Electrocardiograph</w:t>
      </w:r>
      <w:bookmarkEnd w:id="226"/>
      <w:bookmarkEnd w:id="227"/>
      <w:bookmarkEnd w:id="228"/>
      <w:bookmarkEnd w:id="229"/>
      <w:r w:rsidRPr="00DD25D7">
        <w:t xml:space="preserve"> findings and cardiovascular safety</w:t>
      </w:r>
      <w:bookmarkEnd w:id="230"/>
      <w:bookmarkEnd w:id="231"/>
    </w:p>
    <w:p w:rsidR="004D513F" w:rsidRPr="00DD25D7" w:rsidRDefault="004D513F" w:rsidP="00DC029A">
      <w:pPr>
        <w:pStyle w:val="ListBullet"/>
      </w:pPr>
      <w:bookmarkStart w:id="232" w:name="_Toc272414676"/>
      <w:bookmarkStart w:id="233" w:name="_Toc290888540"/>
      <w:bookmarkStart w:id="234" w:name="_Toc416353755"/>
      <w:bookmarkStart w:id="235" w:name="_Toc421005298"/>
      <w:bookmarkStart w:id="236" w:name="_Toc432079175"/>
      <w:bookmarkStart w:id="237" w:name="_Toc432080748"/>
      <w:r w:rsidRPr="00DD25D7">
        <w:t>Vital signs</w:t>
      </w:r>
      <w:bookmarkEnd w:id="232"/>
      <w:bookmarkEnd w:id="233"/>
      <w:bookmarkEnd w:id="234"/>
      <w:bookmarkEnd w:id="235"/>
      <w:r w:rsidRPr="00DD25D7">
        <w:t xml:space="preserve"> and clinical examination findings</w:t>
      </w:r>
      <w:bookmarkEnd w:id="236"/>
      <w:bookmarkEnd w:id="237"/>
      <w:r w:rsidR="001A0C86" w:rsidRPr="00DD25D7">
        <w:t>.</w:t>
      </w:r>
    </w:p>
    <w:p w:rsidR="004D513F" w:rsidRPr="00DD25D7" w:rsidRDefault="004D513F" w:rsidP="00D73165">
      <w:pPr>
        <w:pStyle w:val="Heading4"/>
      </w:pPr>
      <w:bookmarkStart w:id="238" w:name="_Toc432079176"/>
      <w:bookmarkStart w:id="239" w:name="_Toc432080749"/>
      <w:r w:rsidRPr="00DD25D7">
        <w:t>Immunogenicity and immunological events</w:t>
      </w:r>
      <w:bookmarkEnd w:id="238"/>
      <w:bookmarkEnd w:id="239"/>
    </w:p>
    <w:p w:rsidR="004D513F" w:rsidRPr="00DD25D7" w:rsidRDefault="004D513F" w:rsidP="00D73165">
      <w:r w:rsidRPr="00DD25D7">
        <w:t xml:space="preserve">Among the 8 controlled studies, potential autoimmune conditions among subjects who received 120 μg bivalent rLP2086 on a 0, 2, </w:t>
      </w:r>
      <w:r w:rsidR="00743EF5" w:rsidRPr="00DD25D7">
        <w:t>6 month</w:t>
      </w:r>
      <w:r w:rsidRPr="00DD25D7">
        <w:t xml:space="preserve"> schedule were observed in 0.36% (48 of 13</w:t>
      </w:r>
      <w:r w:rsidR="00DC029A" w:rsidRPr="00DD25D7">
        <w:t>,</w:t>
      </w:r>
      <w:r w:rsidRPr="00DD25D7">
        <w:t>284 vaccinated subjects) compared to 0.34% in controls (19 of the 5</w:t>
      </w:r>
      <w:r w:rsidR="00DC029A" w:rsidRPr="00DD25D7">
        <w:t>,</w:t>
      </w:r>
      <w:r w:rsidRPr="00DD25D7">
        <w:t>509 subjects). Similarly, the proportion of subjects who reported potential neuroinflammatory conditions was 0.10% (13 of 13</w:t>
      </w:r>
      <w:r w:rsidR="00DC029A" w:rsidRPr="00DD25D7">
        <w:t>,</w:t>
      </w:r>
      <w:r w:rsidRPr="00DD25D7">
        <w:t xml:space="preserve">284 subjects) for subjects who were vaccinated with 120 μg bivalent rLP2086 on a 0, 2, </w:t>
      </w:r>
      <w:r w:rsidR="00743EF5" w:rsidRPr="00DD25D7">
        <w:t>6 month</w:t>
      </w:r>
      <w:r w:rsidRPr="00DD25D7">
        <w:t xml:space="preserve"> sch</w:t>
      </w:r>
      <w:r w:rsidR="00DC029A" w:rsidRPr="00DD25D7">
        <w:t>edule compared to 0.11% (6 of 5,</w:t>
      </w:r>
      <w:r w:rsidR="001A57A1" w:rsidRPr="00DD25D7">
        <w:t>509</w:t>
      </w:r>
      <w:r w:rsidRPr="00DD25D7">
        <w:t xml:space="preserve"> subjects) among controls.</w:t>
      </w:r>
    </w:p>
    <w:p w:rsidR="004D513F" w:rsidRPr="00DD25D7" w:rsidRDefault="004D513F" w:rsidP="00D73165">
      <w:r w:rsidRPr="00DD25D7">
        <w:t>Confirmed autoimmune conditions were reported in 0.14% (18 of 13,284 subjects, 95% CI: 0.08%, 0.21%) of subjects receiving 120 μg bivalent rLP2086 on a 0, 2, 6 month schedule compared with 0.11% (6 of 5509 subjects, 95% CI: 0.04%, 0.24%) of subjects receiving control vaccine. The difference in proportions between the vaccine groups was 0.03% (95% CI: -0.11%, 0.13%, p</w:t>
      </w:r>
      <w:r w:rsidR="00DC029A" w:rsidRPr="00DD25D7">
        <w:t xml:space="preserve"> </w:t>
      </w:r>
      <w:r w:rsidRPr="00DD25D7">
        <w:t>=</w:t>
      </w:r>
      <w:r w:rsidR="00DC029A" w:rsidRPr="00DD25D7">
        <w:t xml:space="preserve"> </w:t>
      </w:r>
      <w:r w:rsidRPr="00DD25D7">
        <w:t>0.642), supporting the conclusion that there was no significant difference between the 120 µg bivalent rLP2086 group and the control group in</w:t>
      </w:r>
      <w:r w:rsidR="00DC029A" w:rsidRPr="00DD25D7">
        <w:t xml:space="preserve"> the rate of autoimmune disease.</w:t>
      </w:r>
    </w:p>
    <w:p w:rsidR="004D513F" w:rsidRPr="00DD25D7" w:rsidRDefault="004D513F" w:rsidP="00D73165">
      <w:pPr>
        <w:pStyle w:val="Heading4"/>
      </w:pPr>
      <w:bookmarkStart w:id="240" w:name="_Toc432079177"/>
      <w:bookmarkStart w:id="241" w:name="_Toc432080750"/>
      <w:r w:rsidRPr="00DD25D7">
        <w:t>Serious skin reaction</w:t>
      </w:r>
      <w:bookmarkStart w:id="242" w:name="_Toc272414678"/>
      <w:bookmarkStart w:id="243" w:name="_Toc290888542"/>
      <w:bookmarkStart w:id="244" w:name="_Toc416353757"/>
      <w:bookmarkStart w:id="245" w:name="_Toc421005300"/>
      <w:bookmarkStart w:id="246" w:name="_Toc432079178"/>
      <w:bookmarkStart w:id="247" w:name="_Toc432080751"/>
      <w:bookmarkEnd w:id="240"/>
      <w:bookmarkEnd w:id="241"/>
      <w:r w:rsidRPr="00DD25D7">
        <w:t>s</w:t>
      </w:r>
    </w:p>
    <w:p w:rsidR="004D513F" w:rsidRPr="00DD25D7" w:rsidRDefault="00DC029A" w:rsidP="004D513F">
      <w:r w:rsidRPr="00DD25D7">
        <w:t>Not applicable.</w:t>
      </w:r>
    </w:p>
    <w:p w:rsidR="004D513F" w:rsidRPr="00DD25D7" w:rsidRDefault="004D513F" w:rsidP="00D73165">
      <w:pPr>
        <w:pStyle w:val="Heading4"/>
      </w:pPr>
      <w:r w:rsidRPr="00DD25D7">
        <w:lastRenderedPageBreak/>
        <w:t>Other safety parameter</w:t>
      </w:r>
      <w:bookmarkEnd w:id="242"/>
      <w:bookmarkEnd w:id="243"/>
      <w:bookmarkEnd w:id="244"/>
      <w:bookmarkEnd w:id="245"/>
      <w:bookmarkEnd w:id="246"/>
      <w:bookmarkEnd w:id="247"/>
      <w:r w:rsidRPr="00DD25D7">
        <w:t>s</w:t>
      </w:r>
    </w:p>
    <w:p w:rsidR="004D513F" w:rsidRPr="00DD25D7" w:rsidRDefault="004D513F" w:rsidP="00D73165">
      <w:pPr>
        <w:pStyle w:val="Heading5"/>
      </w:pPr>
      <w:r w:rsidRPr="00DD25D7">
        <w:t>Integrated safety analyses</w:t>
      </w:r>
    </w:p>
    <w:p w:rsidR="004D513F" w:rsidRPr="00DD25D7" w:rsidRDefault="004D513F" w:rsidP="004D513F">
      <w:r w:rsidRPr="00B21E1F">
        <w:t xml:space="preserve">In the core safety dataset, </w:t>
      </w:r>
      <w:r w:rsidR="001759D2" w:rsidRPr="00B21E1F">
        <w:t xml:space="preserve">confirmed </w:t>
      </w:r>
      <w:r w:rsidRPr="00B21E1F">
        <w:t>neuroinflammatory conditions were reported in 0.06% (8 of 13,284 subjects, 95% CI: 0.03%, 0.12%) of subjects receiving 120 μg bivalent rLP2086 compared with 0.07% (4 of 5</w:t>
      </w:r>
      <w:r w:rsidR="00DC029A" w:rsidRPr="00B21E1F">
        <w:t>,</w:t>
      </w:r>
      <w:r w:rsidRPr="00B21E1F">
        <w:t>509 subjects, 95% CI: 0.02%, 0.19%) of subjects receiving control vaccine</w:t>
      </w:r>
      <w:r w:rsidR="00D30A64" w:rsidRPr="00DD25D7">
        <w:t>.</w:t>
      </w:r>
      <w:r w:rsidRPr="00DD25D7">
        <w:t xml:space="preserve"> The difference in proporti</w:t>
      </w:r>
      <w:r w:rsidR="009E069E" w:rsidRPr="00DD25D7">
        <w:t xml:space="preserve">ons between vaccine groups was </w:t>
      </w:r>
      <w:r w:rsidR="009E069E" w:rsidRPr="00DD25D7">
        <w:noBreakHyphen/>
        <w:t xml:space="preserve">0.01% (95% CI: </w:t>
      </w:r>
      <w:r w:rsidR="009E069E" w:rsidRPr="00DD25D7">
        <w:noBreakHyphen/>
      </w:r>
      <w:r w:rsidRPr="00DD25D7">
        <w:t>0.13, 0.06, p</w:t>
      </w:r>
      <w:r w:rsidR="00DC029A" w:rsidRPr="00DD25D7">
        <w:t xml:space="preserve"> </w:t>
      </w:r>
      <w:r w:rsidRPr="00DD25D7">
        <w:t>=</w:t>
      </w:r>
      <w:r w:rsidR="00DC029A" w:rsidRPr="00DD25D7">
        <w:t xml:space="preserve"> </w:t>
      </w:r>
      <w:r w:rsidRPr="00DD25D7">
        <w:t xml:space="preserve">0.760), supporting the conclusion that there was no significant difference between the 120 µg bivalent rLP2086 group and the control group in the rate of neuroinflammatory conditions. The most commonly reported neuroinflammatory condition in this dataset was </w:t>
      </w:r>
      <w:proofErr w:type="spellStart"/>
      <w:r w:rsidRPr="00DD25D7">
        <w:t>VIIth</w:t>
      </w:r>
      <w:proofErr w:type="spellEnd"/>
      <w:r w:rsidRPr="00DD25D7">
        <w:t xml:space="preserve"> nerve paralysis (8 of 12 subjects with neuroi</w:t>
      </w:r>
      <w:r w:rsidR="009E069E" w:rsidRPr="00DD25D7">
        <w:t>nflammatory conditions). Six</w:t>
      </w:r>
      <w:r w:rsidRPr="00DD25D7">
        <w:t xml:space="preserve"> of the cases w</w:t>
      </w:r>
      <w:r w:rsidR="009E069E" w:rsidRPr="00DD25D7">
        <w:t>ere reported as Bell’s palsy, 1 </w:t>
      </w:r>
      <w:r w:rsidRPr="00DD25D7">
        <w:t xml:space="preserve">event was reported as right peripheral facial paralysis, and 1 event was reported as </w:t>
      </w:r>
      <w:proofErr w:type="spellStart"/>
      <w:r w:rsidRPr="00DD25D7">
        <w:t>infranuclear</w:t>
      </w:r>
      <w:proofErr w:type="spellEnd"/>
      <w:r w:rsidRPr="00DD25D7">
        <w:t xml:space="preserve"> facial nerve paralysis. Six of these occurred in patients who received rLP2086 and 3 of these were assessed by the investigator as likely to be related to vaccine.</w:t>
      </w:r>
    </w:p>
    <w:p w:rsidR="004D513F" w:rsidRPr="00DD25D7" w:rsidRDefault="004D513F" w:rsidP="00D73165">
      <w:pPr>
        <w:pStyle w:val="Heading3"/>
      </w:pPr>
      <w:bookmarkStart w:id="248" w:name="_Toc272414686"/>
      <w:bookmarkStart w:id="249" w:name="_Ref273005527"/>
      <w:bookmarkStart w:id="250" w:name="_Toc290888550"/>
      <w:bookmarkStart w:id="251" w:name="_Toc416353765"/>
      <w:bookmarkStart w:id="252" w:name="_Toc421005308"/>
      <w:bookmarkStart w:id="253" w:name="_Toc432079179"/>
      <w:bookmarkStart w:id="254" w:name="_Toc432080752"/>
      <w:bookmarkStart w:id="255" w:name="_Toc464739506"/>
      <w:bookmarkStart w:id="256" w:name="_Toc524443910"/>
      <w:r w:rsidRPr="00DD25D7">
        <w:t>Other safety issues</w:t>
      </w:r>
      <w:bookmarkEnd w:id="248"/>
      <w:bookmarkEnd w:id="249"/>
      <w:bookmarkEnd w:id="250"/>
      <w:bookmarkEnd w:id="251"/>
      <w:bookmarkEnd w:id="252"/>
      <w:bookmarkEnd w:id="253"/>
      <w:bookmarkEnd w:id="254"/>
      <w:bookmarkEnd w:id="255"/>
      <w:bookmarkEnd w:id="256"/>
    </w:p>
    <w:p w:rsidR="004D513F" w:rsidRPr="00DD25D7" w:rsidRDefault="004D513F" w:rsidP="004D513F">
      <w:pPr>
        <w:pStyle w:val="Heading4"/>
      </w:pPr>
      <w:bookmarkStart w:id="257" w:name="_Toc241374322"/>
      <w:bookmarkStart w:id="258" w:name="_Ref272331212"/>
      <w:bookmarkStart w:id="259" w:name="_Toc272414687"/>
      <w:bookmarkStart w:id="260" w:name="_Toc290888551"/>
      <w:bookmarkStart w:id="261" w:name="_Toc416353766"/>
      <w:bookmarkStart w:id="262" w:name="_Toc421005309"/>
      <w:bookmarkStart w:id="263" w:name="_Toc432079180"/>
      <w:bookmarkStart w:id="264" w:name="_Toc432080753"/>
      <w:r w:rsidRPr="00DD25D7">
        <w:t>Safety in special populations</w:t>
      </w:r>
      <w:bookmarkStart w:id="265" w:name="_Toc241374324"/>
      <w:bookmarkStart w:id="266" w:name="_Ref272331214"/>
      <w:bookmarkStart w:id="267" w:name="_Toc272414688"/>
      <w:bookmarkStart w:id="268" w:name="_Toc290888552"/>
      <w:bookmarkStart w:id="269" w:name="_Toc416353767"/>
      <w:bookmarkStart w:id="270" w:name="_Toc421005310"/>
      <w:bookmarkStart w:id="271" w:name="_Toc432079181"/>
      <w:bookmarkStart w:id="272" w:name="_Toc432080754"/>
      <w:bookmarkEnd w:id="257"/>
      <w:bookmarkEnd w:id="258"/>
      <w:bookmarkEnd w:id="259"/>
      <w:bookmarkEnd w:id="260"/>
      <w:bookmarkEnd w:id="261"/>
      <w:bookmarkEnd w:id="262"/>
      <w:bookmarkEnd w:id="263"/>
      <w:bookmarkEnd w:id="264"/>
    </w:p>
    <w:p w:rsidR="004D513F" w:rsidRPr="00DD25D7" w:rsidRDefault="004D513F" w:rsidP="004D513F">
      <w:r w:rsidRPr="00DD25D7">
        <w:t xml:space="preserve">Although pregnancy was an exclusion </w:t>
      </w:r>
      <w:r w:rsidR="009E069E" w:rsidRPr="00DD25D7">
        <w:t>criterion</w:t>
      </w:r>
      <w:r w:rsidRPr="00DD25D7">
        <w:t xml:space="preserve"> at enrolment, across all 11 studies, a total of 172 subjects became pregnant during the studies or had partners who became pregnant during the studies: among the 15,294 subjects who received bivalent rLP2086, pregnancies were reported for 127 subjects (0.83%) (124 subjects who received 120 µg and 3</w:t>
      </w:r>
      <w:r w:rsidR="009E069E" w:rsidRPr="00DD25D7">
        <w:t xml:space="preserve"> subjects who received 200 </w:t>
      </w:r>
      <w:r w:rsidRPr="00DD25D7">
        <w:t>µg); and among the 5</w:t>
      </w:r>
      <w:r w:rsidR="009E069E" w:rsidRPr="00DD25D7">
        <w:t>,</w:t>
      </w:r>
      <w:r w:rsidRPr="00DD25D7">
        <w:t>509 subjects who received control vaccine, pregnancies were reported for 45 subjects (0.82%). Information regarding pregnancy outcome was available for 121 of the 172 pregnancies (70.3%). Among the 121 pregnancies with known outcomes, live births were documented for 81 subjects (66.9%), most of which were full term. Fetal loss was reported for 40 (33.1%) of the 121 cases with known outcomes; 21 (52.5%) were elective terminations and 17 (42.5%) were spontaneous abortions. The remainder of foetal loss cases were therapeutic abortion (1 subject who received control vaccine) and stillbirth (1 subject who received bivalent rLP2086). Most pregnancies were distal to study vaccination. Among the 94 pregnancies with an estimated conception date, 67 (71.3%) were distal and 27 (28.7%) were proximal to vaccination. In the core safety dataset, outcome information was available for 116/164 pregnancies. Outcome rates were similar between the bivalent rLP2086 and control groups. Among 85 pregnancies reported in the bivalent rLP2086 group, fetal loss occurred in 26 (30.6%) and live births occurred in 59 (69.4%); in the control group, among the 31 pregnancies reported, fetal loss occurred 12 (38.7%) and live births occurred in 19 (61.3%). In the bivalent rLP2086 group, among the 59 births, 51 (86.4%) were full term and 8 (13.6%) were premature births; and in the control group, all 19 births (100.0%) were full term.</w:t>
      </w:r>
    </w:p>
    <w:p w:rsidR="004D513F" w:rsidRPr="00DD25D7" w:rsidRDefault="004D513F" w:rsidP="00D73165">
      <w:pPr>
        <w:pStyle w:val="Heading4"/>
      </w:pPr>
      <w:r w:rsidRPr="00DD25D7">
        <w:t>Safety related to drug-drug interactions and other interactions</w:t>
      </w:r>
      <w:bookmarkStart w:id="273" w:name="_Toc241374326"/>
      <w:bookmarkStart w:id="274" w:name="_Ref272333048"/>
      <w:bookmarkStart w:id="275" w:name="_Toc272414679"/>
      <w:bookmarkStart w:id="276" w:name="_Toc290888543"/>
      <w:bookmarkStart w:id="277" w:name="_Toc416353758"/>
      <w:bookmarkStart w:id="278" w:name="_Toc421005301"/>
      <w:bookmarkStart w:id="279" w:name="_Toc432079182"/>
      <w:bookmarkStart w:id="280" w:name="_Toc432080755"/>
      <w:bookmarkEnd w:id="265"/>
      <w:bookmarkEnd w:id="266"/>
      <w:bookmarkEnd w:id="267"/>
      <w:bookmarkEnd w:id="268"/>
      <w:bookmarkEnd w:id="269"/>
      <w:bookmarkEnd w:id="270"/>
      <w:bookmarkEnd w:id="271"/>
      <w:bookmarkEnd w:id="272"/>
    </w:p>
    <w:p w:rsidR="004D513F" w:rsidRPr="00DD25D7" w:rsidRDefault="004D513F" w:rsidP="004D513F">
      <w:r w:rsidRPr="00DD25D7">
        <w:t xml:space="preserve">Three </w:t>
      </w:r>
      <w:r w:rsidR="00743EF5" w:rsidRPr="00DD25D7">
        <w:t>Phase II</w:t>
      </w:r>
      <w:r w:rsidRPr="00DD25D7">
        <w:t xml:space="preserve"> studies evaluated concomitant vaccination (</w:t>
      </w:r>
      <w:r w:rsidR="009E069E" w:rsidRPr="00DD25D7">
        <w:t xml:space="preserve">Studies B1971010, B1971011 and </w:t>
      </w:r>
      <w:r w:rsidRPr="00DD25D7">
        <w:t xml:space="preserve">B1971015) given with bivalent rLP2086. Study B1971010 provides data on concomitant use with </w:t>
      </w:r>
      <w:proofErr w:type="spellStart"/>
      <w:r w:rsidRPr="00DD25D7">
        <w:t>Repevax</w:t>
      </w:r>
      <w:proofErr w:type="spellEnd"/>
      <w:r w:rsidRPr="00DD25D7">
        <w:t xml:space="preserve"> (</w:t>
      </w:r>
      <w:proofErr w:type="spellStart"/>
      <w:r w:rsidRPr="00DD25D7">
        <w:t>dTaP</w:t>
      </w:r>
      <w:proofErr w:type="spellEnd"/>
      <w:r w:rsidRPr="00DD25D7">
        <w:t xml:space="preserve"> IPV) in adolescents aged 11 to </w:t>
      </w:r>
      <w:r w:rsidR="00032B77" w:rsidRPr="00DD25D7">
        <w:t xml:space="preserve">&lt; </w:t>
      </w:r>
      <w:r w:rsidRPr="00DD25D7">
        <w:t xml:space="preserve">19 years and Study B1971011 presents concomitant use data with Gardasil (HPV vaccine) in subjects aged 11 to </w:t>
      </w:r>
      <w:r w:rsidR="00032B77" w:rsidRPr="00DD25D7">
        <w:t xml:space="preserve">&lt; </w:t>
      </w:r>
      <w:r w:rsidRPr="00DD25D7">
        <w:t xml:space="preserve">18 years. Another </w:t>
      </w:r>
      <w:r w:rsidR="00743EF5" w:rsidRPr="00DD25D7">
        <w:t>Phase II</w:t>
      </w:r>
      <w:r w:rsidRPr="00DD25D7">
        <w:t xml:space="preserve"> </w:t>
      </w:r>
      <w:r w:rsidR="009E069E" w:rsidRPr="00DD25D7">
        <w:t>s</w:t>
      </w:r>
      <w:r w:rsidR="00032B77" w:rsidRPr="00DD25D7">
        <w:t>tud</w:t>
      </w:r>
      <w:r w:rsidRPr="00DD25D7">
        <w:t>y,</w:t>
      </w:r>
      <w:r w:rsidR="009E069E" w:rsidRPr="00DD25D7">
        <w:t xml:space="preserve"> Study</w:t>
      </w:r>
      <w:r w:rsidRPr="00DD25D7">
        <w:t xml:space="preserve"> B1971015, provides </w:t>
      </w:r>
      <w:proofErr w:type="spellStart"/>
      <w:r w:rsidRPr="00DD25D7">
        <w:t>Tdap</w:t>
      </w:r>
      <w:proofErr w:type="spellEnd"/>
      <w:r w:rsidRPr="00DD25D7">
        <w:t xml:space="preserve"> (</w:t>
      </w:r>
      <w:proofErr w:type="spellStart"/>
      <w:r w:rsidRPr="00DD25D7">
        <w:t>Adacel</w:t>
      </w:r>
      <w:proofErr w:type="spellEnd"/>
      <w:r w:rsidRPr="00DD25D7">
        <w:t>) and MCV4 (</w:t>
      </w:r>
      <w:proofErr w:type="spellStart"/>
      <w:r w:rsidRPr="00DD25D7">
        <w:t>Menactra</w:t>
      </w:r>
      <w:proofErr w:type="spellEnd"/>
      <w:r w:rsidRPr="00DD25D7">
        <w:t xml:space="preserve">) concomitant use data with bivalent rLP2086 in the adolescent population (aged 10 to </w:t>
      </w:r>
      <w:r w:rsidR="00032B77" w:rsidRPr="00DD25D7">
        <w:t xml:space="preserve">&lt; </w:t>
      </w:r>
      <w:r w:rsidRPr="00DD25D7">
        <w:t>13 years).</w:t>
      </w:r>
      <w:r w:rsidR="00743EF5" w:rsidRPr="00DD25D7">
        <w:t xml:space="preserve"> </w:t>
      </w:r>
      <w:r w:rsidRPr="00DD25D7">
        <w:t>These are discussed above. There was no increase in AEs, SAEs or ADRs.</w:t>
      </w:r>
    </w:p>
    <w:p w:rsidR="004D513F" w:rsidRPr="00DD25D7" w:rsidRDefault="004D513F" w:rsidP="00D73165">
      <w:pPr>
        <w:pStyle w:val="Heading3"/>
      </w:pPr>
      <w:bookmarkStart w:id="281" w:name="_Toc464739507"/>
      <w:bookmarkStart w:id="282" w:name="_Toc524443911"/>
      <w:r w:rsidRPr="00DD25D7">
        <w:t>Post marketing experience</w:t>
      </w:r>
      <w:bookmarkEnd w:id="273"/>
      <w:bookmarkEnd w:id="274"/>
      <w:bookmarkEnd w:id="275"/>
      <w:bookmarkEnd w:id="276"/>
      <w:bookmarkEnd w:id="277"/>
      <w:bookmarkEnd w:id="278"/>
      <w:bookmarkEnd w:id="279"/>
      <w:bookmarkEnd w:id="280"/>
      <w:bookmarkEnd w:id="281"/>
      <w:bookmarkEnd w:id="282"/>
    </w:p>
    <w:p w:rsidR="00743EF5" w:rsidRPr="00DD25D7" w:rsidRDefault="004D513F" w:rsidP="004D513F">
      <w:bookmarkStart w:id="283" w:name="_Toc241374328"/>
      <w:bookmarkStart w:id="284" w:name="_Toc272414691"/>
      <w:bookmarkStart w:id="285" w:name="_Toc290888555"/>
      <w:bookmarkStart w:id="286" w:name="_Toc416353770"/>
      <w:bookmarkStart w:id="287" w:name="_Toc421005312"/>
      <w:bookmarkStart w:id="288" w:name="_Toc432079183"/>
      <w:bookmarkStart w:id="289" w:name="_Toc432080756"/>
      <w:r w:rsidRPr="00DD25D7">
        <w:t xml:space="preserve">Bivalent rLP2086 (Trumenba) vaccine was approved in the United States on 29 October 2014 and launched on 17 November 2014. The total estimated unit distribution in the United States for bivalent rLP2086 vaccine from launch through 31 October 2015 is approximately 159,320 </w:t>
      </w:r>
      <w:r w:rsidRPr="00DD25D7">
        <w:lastRenderedPageBreak/>
        <w:t>doses.</w:t>
      </w:r>
      <w:r w:rsidR="00743EF5" w:rsidRPr="00DD25D7">
        <w:t xml:space="preserve"> </w:t>
      </w:r>
      <w:r w:rsidRPr="00DD25D7">
        <w:t xml:space="preserve">The safety database contains cases of Adverse Events (AEs) spontaneously reported, cases reported by the health authorities, cases published in the medical literature, cases from marketing programs sponsored by the Applicant, non-interventional studies, and cases of serious adverse events reported from clinical studies, regardless of causality. Cumulatively, a total of 190 cases (597 AEs) were received from spontaneous sources through the </w:t>
      </w:r>
      <w:r w:rsidR="009E069E" w:rsidRPr="00DD25D7">
        <w:t>cut-off</w:t>
      </w:r>
      <w:r w:rsidRPr="00DD25D7">
        <w:t xml:space="preserve"> date of 31 October 2015. Of these, 122 cases were medically confirmed. The most frequently reported AEs (&gt;</w:t>
      </w:r>
      <w:r w:rsidR="009E069E" w:rsidRPr="00DD25D7">
        <w:t xml:space="preserve"> </w:t>
      </w:r>
      <w:r w:rsidRPr="00DD25D7">
        <w:t>4% of reports), regardless of SOC, were as follows</w:t>
      </w:r>
      <w:r w:rsidR="009E069E" w:rsidRPr="00DD25D7">
        <w:t xml:space="preserve">: headache, vaccination site pain, pyrexia, chills, pain, fatigue, pain in extremity, nausea, erythema, dizziness, vomiting, malaise, joint range of motion decreased, myalgia, inappropriate schedule of drug administration, vaccination site rash, vaccination site swelling, incomplete course of vaccination, and vaccination site </w:t>
      </w:r>
      <w:r w:rsidRPr="00DD25D7">
        <w:t>erythema</w:t>
      </w:r>
      <w:r w:rsidR="00743EF5" w:rsidRPr="00DD25D7">
        <w:t>.</w:t>
      </w:r>
    </w:p>
    <w:p w:rsidR="00743EF5" w:rsidRPr="00DD25D7" w:rsidRDefault="004D513F" w:rsidP="004D513F">
      <w:r w:rsidRPr="00DD25D7">
        <w:t>Analysis of the reported events did not show any new significant safety findings and the most frequently reported adverse events are consistent with clinical study observations for reactogenicity</w:t>
      </w:r>
      <w:r w:rsidR="00743EF5" w:rsidRPr="00DD25D7">
        <w:t>.</w:t>
      </w:r>
    </w:p>
    <w:p w:rsidR="004D513F" w:rsidRPr="00DD25D7" w:rsidRDefault="004D513F" w:rsidP="00D73165">
      <w:pPr>
        <w:pStyle w:val="Heading3"/>
      </w:pPr>
      <w:bookmarkStart w:id="290" w:name="_Toc464739508"/>
      <w:bookmarkStart w:id="291" w:name="_Toc524443912"/>
      <w:r w:rsidRPr="00DD25D7">
        <w:t>Evaluator’s overall conclusions on clinical safety</w:t>
      </w:r>
      <w:bookmarkEnd w:id="283"/>
      <w:bookmarkEnd w:id="284"/>
      <w:bookmarkEnd w:id="285"/>
      <w:bookmarkEnd w:id="286"/>
      <w:bookmarkEnd w:id="287"/>
      <w:bookmarkEnd w:id="288"/>
      <w:bookmarkEnd w:id="289"/>
      <w:bookmarkEnd w:id="290"/>
      <w:bookmarkEnd w:id="291"/>
    </w:p>
    <w:p w:rsidR="00743EF5" w:rsidRPr="00DD25D7" w:rsidRDefault="004D513F" w:rsidP="004D513F">
      <w:r w:rsidRPr="00DD25D7">
        <w:t>Local reactions (pain at injection site, redness) and acute systemic events (headache, myalgia, fatigue, fever) were common. Most local reactions and systemic events were mild or moderate in severity and resolved within 1 to 3 days after vaccination. Pain at the injection site was the most frequently reported local reaction, but 0.30% of subjects withdrew from the core studies due to injection site pain. Fatigue, headache, and muscle pain were the most frequently reported systemic events in the 120 μg bivalent rLP2086 group and in the control groups. Fever &gt;</w:t>
      </w:r>
      <w:r w:rsidR="009E069E" w:rsidRPr="00DD25D7">
        <w:t xml:space="preserve"> </w:t>
      </w:r>
      <w:r w:rsidRPr="00DD25D7">
        <w:t>40.0</w:t>
      </w:r>
      <w:r w:rsidR="009E069E" w:rsidRPr="00DD25D7">
        <w:t xml:space="preserve"> </w:t>
      </w:r>
      <w:r w:rsidRPr="00DD25D7">
        <w:t xml:space="preserve">°C was reported for only 2 subjects who received 120 μg bivalent rLP2086 and for 1 subject who received control vaccine in the core studies. Potentiation (worsening of reactions with increasing doses) of reactogenicity events was not observed with subsequent bivalent rLP2086 doses. The types of unsolicited AEs reported were generally illnesses and conditions common or expected among healthy individuals of similar age in the general population. Safety data in the overall safety dataset (the core safety dataset plus from the 3 uncontrolled </w:t>
      </w:r>
      <w:r w:rsidR="009E069E" w:rsidRPr="00DD25D7">
        <w:t>s</w:t>
      </w:r>
      <w:r w:rsidR="00032B77" w:rsidRPr="00DD25D7">
        <w:t>tud</w:t>
      </w:r>
      <w:r w:rsidRPr="00DD25D7">
        <w:t xml:space="preserve">ies: </w:t>
      </w:r>
      <w:r w:rsidR="001A57A1" w:rsidRPr="00DD25D7">
        <w:t>Studies B1971003, B</w:t>
      </w:r>
      <w:r w:rsidR="009E069E" w:rsidRPr="00DD25D7">
        <w:t xml:space="preserve">1971012 and </w:t>
      </w:r>
      <w:r w:rsidR="001A57A1" w:rsidRPr="00DD25D7">
        <w:t>B</w:t>
      </w:r>
      <w:r w:rsidRPr="00DD25D7">
        <w:t>1971042) were consistent with results observed in the core studies</w:t>
      </w:r>
      <w:r w:rsidR="00743EF5" w:rsidRPr="00DD25D7">
        <w:t>.</w:t>
      </w:r>
    </w:p>
    <w:p w:rsidR="00743EF5" w:rsidRPr="00DD25D7" w:rsidRDefault="004D513F" w:rsidP="004D513F">
      <w:r w:rsidRPr="00DD25D7">
        <w:t>In addition, the observed frequencies of AEs were gene</w:t>
      </w:r>
      <w:r w:rsidR="009E069E" w:rsidRPr="00DD25D7">
        <w:t>rally similar in the group receivi</w:t>
      </w:r>
      <w:r w:rsidRPr="00DD25D7">
        <w:t>ng rLP2086 with a concomitant vaccine compared with those in the groups receiving rLP2086 alone or the other vaccine(s) alone</w:t>
      </w:r>
      <w:r w:rsidR="00743EF5" w:rsidRPr="00DD25D7">
        <w:t>.</w:t>
      </w:r>
    </w:p>
    <w:p w:rsidR="00743EF5" w:rsidRPr="00DD25D7" w:rsidRDefault="004D513F" w:rsidP="004D513F">
      <w:r w:rsidRPr="00DD25D7">
        <w:t>Analysis of the rates of autoimmune diseases and neuroinflammatory conditions reported among all clinical trials demonstrated a low incidence of autoimmune and neuroinflammatory conditions overall. In addition, among the 8 studies where a control group was available, no significant differences were observed in the proportions of subjects with autoimmune diseases or neuroinflammatory conditions between subjects receiving 120 μg bivalent rLP2086 compared to control. Safety was also evaluated 4 years after vaccination with 3 doses of bivalent rLP2086, and no additional safety signal was detected</w:t>
      </w:r>
      <w:r w:rsidR="00743EF5" w:rsidRPr="00DD25D7">
        <w:t>.</w:t>
      </w:r>
    </w:p>
    <w:p w:rsidR="004D513F" w:rsidRPr="00DD25D7" w:rsidRDefault="004D513F" w:rsidP="004D513F">
      <w:r w:rsidRPr="00DD25D7">
        <w:t>Based on the safety data summar</w:t>
      </w:r>
      <w:r w:rsidR="00292798" w:rsidRPr="00DD25D7">
        <w:t>ise</w:t>
      </w:r>
      <w:r w:rsidRPr="00DD25D7">
        <w:t>d in this application, bivalent rLP2086 vaccine appears to be safe and well tolerated in the requested population and the ADRs fairly predictable.</w:t>
      </w:r>
    </w:p>
    <w:p w:rsidR="00C22678" w:rsidRPr="00DD25D7" w:rsidRDefault="00C22678" w:rsidP="00C22678">
      <w:pPr>
        <w:pStyle w:val="Heading2"/>
      </w:pPr>
      <w:bookmarkStart w:id="292" w:name="_Toc524443913"/>
      <w:r w:rsidRPr="00DD25D7">
        <w:lastRenderedPageBreak/>
        <w:t>First round benefit-risk assessment</w:t>
      </w:r>
      <w:bookmarkEnd w:id="292"/>
    </w:p>
    <w:p w:rsidR="00857B9D" w:rsidRPr="00DD25D7" w:rsidRDefault="00857B9D" w:rsidP="00857B9D">
      <w:pPr>
        <w:pStyle w:val="Heading3"/>
      </w:pPr>
      <w:bookmarkStart w:id="293" w:name="_Toc236802592"/>
      <w:bookmarkStart w:id="294" w:name="_Toc241374331"/>
      <w:bookmarkStart w:id="295" w:name="_Ref272160836"/>
      <w:bookmarkStart w:id="296" w:name="_Toc272414693"/>
      <w:bookmarkStart w:id="297" w:name="_Toc290888557"/>
      <w:bookmarkStart w:id="298" w:name="_Toc416353772"/>
      <w:bookmarkStart w:id="299" w:name="_Toc421005314"/>
      <w:bookmarkStart w:id="300" w:name="_Toc432079185"/>
      <w:bookmarkStart w:id="301" w:name="_Toc432080758"/>
      <w:bookmarkStart w:id="302" w:name="_Toc464739510"/>
      <w:bookmarkStart w:id="303" w:name="_Toc524443914"/>
      <w:r w:rsidRPr="00DD25D7">
        <w:t>First round assessment of benefits</w:t>
      </w:r>
      <w:bookmarkEnd w:id="293"/>
      <w:bookmarkEnd w:id="294"/>
      <w:bookmarkEnd w:id="295"/>
      <w:bookmarkEnd w:id="296"/>
      <w:bookmarkEnd w:id="297"/>
      <w:bookmarkEnd w:id="298"/>
      <w:bookmarkEnd w:id="299"/>
      <w:bookmarkEnd w:id="300"/>
      <w:bookmarkEnd w:id="301"/>
      <w:bookmarkEnd w:id="302"/>
      <w:bookmarkEnd w:id="303"/>
    </w:p>
    <w:p w:rsidR="009E069E" w:rsidRPr="00DD25D7" w:rsidRDefault="002310F7" w:rsidP="009E069E">
      <w:pPr>
        <w:pStyle w:val="Tabletitle"/>
      </w:pPr>
      <w:r w:rsidRPr="00DD25D7">
        <w:t>Table 13</w:t>
      </w:r>
      <w:r w:rsidR="009E069E" w:rsidRPr="00DD25D7">
        <w:t>: First round assessment of benefits</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353"/>
        <w:gridCol w:w="3889"/>
      </w:tblGrid>
      <w:tr w:rsidR="00857B9D" w:rsidRPr="00DD25D7" w:rsidTr="00743EF5">
        <w:trPr>
          <w:tblHeader/>
        </w:trPr>
        <w:tc>
          <w:tcPr>
            <w:tcW w:w="9242" w:type="dxa"/>
            <w:gridSpan w:val="2"/>
            <w:shd w:val="clear" w:color="auto" w:fill="006DA7" w:themeFill="accent3"/>
          </w:tcPr>
          <w:p w:rsidR="00857B9D" w:rsidRPr="00DD25D7" w:rsidRDefault="00857B9D" w:rsidP="00743EF5">
            <w:pPr>
              <w:rPr>
                <w:rFonts w:asciiTheme="minorHAnsi" w:hAnsiTheme="minorHAnsi"/>
                <w:b/>
                <w:color w:val="FFFFFF" w:themeColor="background1"/>
                <w:sz w:val="22"/>
                <w:szCs w:val="22"/>
              </w:rPr>
            </w:pPr>
            <w:r w:rsidRPr="00DD25D7">
              <w:rPr>
                <w:rFonts w:asciiTheme="minorHAnsi" w:hAnsiTheme="minorHAnsi"/>
                <w:b/>
                <w:color w:val="FFFFFF" w:themeColor="background1"/>
              </w:rPr>
              <w:t>Indication</w:t>
            </w:r>
          </w:p>
        </w:tc>
      </w:tr>
      <w:tr w:rsidR="00857B9D" w:rsidRPr="00DD25D7" w:rsidTr="009D786E">
        <w:trPr>
          <w:tblHeader/>
        </w:trPr>
        <w:tc>
          <w:tcPr>
            <w:tcW w:w="5353" w:type="dxa"/>
            <w:shd w:val="clear" w:color="auto" w:fill="00517D" w:themeFill="accent3" w:themeFillShade="BF"/>
          </w:tcPr>
          <w:p w:rsidR="00857B9D" w:rsidRPr="00DD25D7" w:rsidRDefault="00857B9D" w:rsidP="00743EF5">
            <w:pPr>
              <w:rPr>
                <w:rFonts w:asciiTheme="minorHAnsi" w:hAnsiTheme="minorHAnsi"/>
                <w:b/>
                <w:color w:val="FFFFFF" w:themeColor="background1"/>
                <w:sz w:val="22"/>
                <w:szCs w:val="22"/>
              </w:rPr>
            </w:pPr>
            <w:r w:rsidRPr="00DD25D7">
              <w:rPr>
                <w:rFonts w:asciiTheme="minorHAnsi" w:hAnsiTheme="minorHAnsi"/>
                <w:b/>
                <w:color w:val="FFFFFF" w:themeColor="background1"/>
              </w:rPr>
              <w:t>Benefits</w:t>
            </w:r>
          </w:p>
        </w:tc>
        <w:tc>
          <w:tcPr>
            <w:tcW w:w="3889" w:type="dxa"/>
            <w:shd w:val="clear" w:color="auto" w:fill="00517D" w:themeFill="accent3" w:themeFillShade="BF"/>
          </w:tcPr>
          <w:p w:rsidR="00857B9D" w:rsidRPr="00DD25D7" w:rsidRDefault="00857B9D" w:rsidP="00743EF5">
            <w:pPr>
              <w:rPr>
                <w:rFonts w:asciiTheme="minorHAnsi" w:hAnsiTheme="minorHAnsi"/>
                <w:b/>
                <w:color w:val="FFFFFF" w:themeColor="background1"/>
                <w:sz w:val="22"/>
                <w:szCs w:val="22"/>
              </w:rPr>
            </w:pPr>
            <w:r w:rsidRPr="00DD25D7">
              <w:rPr>
                <w:rFonts w:asciiTheme="minorHAnsi" w:hAnsiTheme="minorHAnsi"/>
                <w:b/>
                <w:color w:val="FFFFFF" w:themeColor="background1"/>
              </w:rPr>
              <w:t>Strengths and Uncertainties</w:t>
            </w:r>
          </w:p>
        </w:tc>
      </w:tr>
      <w:tr w:rsidR="00857B9D" w:rsidRPr="00DD25D7" w:rsidTr="009D786E">
        <w:tc>
          <w:tcPr>
            <w:tcW w:w="5353" w:type="dxa"/>
          </w:tcPr>
          <w:p w:rsidR="00857B9D" w:rsidRPr="00B21E1F" w:rsidRDefault="00857B9D" w:rsidP="00743EF5">
            <w:pPr>
              <w:rPr>
                <w:lang w:eastAsia="ja-JP"/>
              </w:rPr>
            </w:pPr>
            <w:r w:rsidRPr="00B21E1F">
              <w:rPr>
                <w:lang w:eastAsia="ja-JP"/>
              </w:rPr>
              <w:t xml:space="preserve">Vaccination with bivalent rLP2086 is being proposed for the prevention of invasive disease caused by </w:t>
            </w:r>
            <w:r w:rsidRPr="00B21E1F">
              <w:rPr>
                <w:i/>
                <w:lang w:eastAsia="ja-JP"/>
              </w:rPr>
              <w:t>N meningitidis</w:t>
            </w:r>
            <w:r w:rsidR="00743EF5" w:rsidRPr="00B21E1F">
              <w:rPr>
                <w:i/>
                <w:lang w:eastAsia="ja-JP"/>
              </w:rPr>
              <w:t xml:space="preserve"> </w:t>
            </w:r>
            <w:r w:rsidRPr="00B21E1F">
              <w:rPr>
                <w:lang w:eastAsia="ja-JP"/>
              </w:rPr>
              <w:t xml:space="preserve">serogroup B in individuals aged 10 years and older based on immunogenicity and safety results from </w:t>
            </w:r>
            <w:r w:rsidR="009E069E" w:rsidRPr="00B21E1F">
              <w:rPr>
                <w:lang w:eastAsia="ja-JP"/>
              </w:rPr>
              <w:t>Phase </w:t>
            </w:r>
            <w:r w:rsidR="00743EF5" w:rsidRPr="00B21E1F">
              <w:rPr>
                <w:lang w:eastAsia="ja-JP"/>
              </w:rPr>
              <w:t>II</w:t>
            </w:r>
            <w:r w:rsidRPr="00B21E1F">
              <w:rPr>
                <w:lang w:eastAsia="ja-JP"/>
              </w:rPr>
              <w:t xml:space="preserve"> and </w:t>
            </w:r>
            <w:r w:rsidR="00743EF5" w:rsidRPr="00B21E1F">
              <w:rPr>
                <w:lang w:eastAsia="ja-JP"/>
              </w:rPr>
              <w:t>Phase III</w:t>
            </w:r>
            <w:r w:rsidRPr="00B21E1F">
              <w:rPr>
                <w:lang w:eastAsia="ja-JP"/>
              </w:rPr>
              <w:t xml:space="preserve"> studie</w:t>
            </w:r>
            <w:r w:rsidR="001A57A1" w:rsidRPr="00B21E1F">
              <w:rPr>
                <w:lang w:eastAsia="ja-JP"/>
              </w:rPr>
              <w:t>s conducted in this population.</w:t>
            </w:r>
          </w:p>
          <w:p w:rsidR="00743EF5" w:rsidRPr="00B21E1F" w:rsidRDefault="00857B9D" w:rsidP="00743EF5">
            <w:pPr>
              <w:rPr>
                <w:lang w:eastAsia="ja-JP"/>
              </w:rPr>
            </w:pPr>
            <w:r w:rsidRPr="00B21E1F">
              <w:rPr>
                <w:lang w:eastAsia="ja-JP"/>
              </w:rPr>
              <w:t xml:space="preserve">The evaluation of immune response to bivalent rLP2086 in these studies </w:t>
            </w:r>
            <w:r w:rsidR="009E069E" w:rsidRPr="00B21E1F">
              <w:rPr>
                <w:lang w:eastAsia="ja-JP"/>
              </w:rPr>
              <w:t xml:space="preserve">includes measurement of vaccine </w:t>
            </w:r>
            <w:r w:rsidRPr="00B21E1F">
              <w:rPr>
                <w:lang w:eastAsia="ja-JP"/>
              </w:rPr>
              <w:t xml:space="preserve">elicited </w:t>
            </w:r>
            <w:proofErr w:type="spellStart"/>
            <w:r w:rsidRPr="00B21E1F">
              <w:rPr>
                <w:lang w:eastAsia="ja-JP"/>
              </w:rPr>
              <w:t>hSBA</w:t>
            </w:r>
            <w:proofErr w:type="spellEnd"/>
            <w:r w:rsidRPr="00B21E1F">
              <w:rPr>
                <w:lang w:eastAsia="ja-JP"/>
              </w:rPr>
              <w:t xml:space="preserve"> responses, the recogn</w:t>
            </w:r>
            <w:r w:rsidR="00292798" w:rsidRPr="00B21E1F">
              <w:rPr>
                <w:lang w:eastAsia="ja-JP"/>
              </w:rPr>
              <w:t>ise</w:t>
            </w:r>
            <w:r w:rsidRPr="00B21E1F">
              <w:rPr>
                <w:lang w:eastAsia="ja-JP"/>
              </w:rPr>
              <w:t>d surrogate of meningococcal vaccine efficacy</w:t>
            </w:r>
            <w:r w:rsidR="00743EF5" w:rsidRPr="00B21E1F">
              <w:rPr>
                <w:lang w:eastAsia="ja-JP"/>
              </w:rPr>
              <w:t>.</w:t>
            </w:r>
          </w:p>
          <w:p w:rsidR="00743EF5" w:rsidRPr="00B21E1F" w:rsidRDefault="00857B9D" w:rsidP="00743EF5">
            <w:pPr>
              <w:rPr>
                <w:lang w:eastAsia="ja-JP"/>
              </w:rPr>
            </w:pPr>
            <w:r w:rsidRPr="00B21E1F">
              <w:rPr>
                <w:lang w:eastAsia="ja-JP"/>
              </w:rPr>
              <w:t xml:space="preserve">The </w:t>
            </w:r>
            <w:proofErr w:type="spellStart"/>
            <w:r w:rsidRPr="00B21E1F">
              <w:rPr>
                <w:lang w:eastAsia="ja-JP"/>
              </w:rPr>
              <w:t>hSBA</w:t>
            </w:r>
            <w:proofErr w:type="spellEnd"/>
            <w:r w:rsidRPr="00B21E1F">
              <w:rPr>
                <w:lang w:eastAsia="ja-JP"/>
              </w:rPr>
              <w:t xml:space="preserve"> responses to the 10 secondary strains fully support the immunogenicity conclusion from the </w:t>
            </w:r>
            <w:proofErr w:type="spellStart"/>
            <w:r w:rsidRPr="00B21E1F">
              <w:rPr>
                <w:lang w:eastAsia="ja-JP"/>
              </w:rPr>
              <w:t>hSBA</w:t>
            </w:r>
            <w:proofErr w:type="spellEnd"/>
            <w:r w:rsidRPr="00B21E1F">
              <w:rPr>
                <w:lang w:eastAsia="ja-JP"/>
              </w:rPr>
              <w:t xml:space="preserve"> responses seen with the 4 primary </w:t>
            </w:r>
            <w:proofErr w:type="spellStart"/>
            <w:r w:rsidRPr="00B21E1F">
              <w:rPr>
                <w:lang w:eastAsia="ja-JP"/>
              </w:rPr>
              <w:t>MnB</w:t>
            </w:r>
            <w:proofErr w:type="spellEnd"/>
            <w:r w:rsidRPr="00B21E1F">
              <w:rPr>
                <w:lang w:eastAsia="ja-JP"/>
              </w:rPr>
              <w:t xml:space="preserve"> test strains. Overall, robust response rates were observed for the 14 </w:t>
            </w:r>
            <w:proofErr w:type="spellStart"/>
            <w:r w:rsidRPr="00B21E1F">
              <w:rPr>
                <w:lang w:eastAsia="ja-JP"/>
              </w:rPr>
              <w:t>MnB</w:t>
            </w:r>
            <w:proofErr w:type="spellEnd"/>
            <w:r w:rsidRPr="00B21E1F">
              <w:rPr>
                <w:lang w:eastAsia="ja-JP"/>
              </w:rPr>
              <w:t xml:space="preserve"> test strains, based on the proportion of subjects achieving </w:t>
            </w:r>
            <w:proofErr w:type="spellStart"/>
            <w:r w:rsidRPr="00B21E1F">
              <w:rPr>
                <w:lang w:eastAsia="ja-JP"/>
              </w:rPr>
              <w:t>hSBA</w:t>
            </w:r>
            <w:proofErr w:type="spellEnd"/>
            <w:r w:rsidRPr="00B21E1F">
              <w:rPr>
                <w:lang w:eastAsia="ja-JP"/>
              </w:rPr>
              <w:t xml:space="preserve"> </w:t>
            </w:r>
            <w:r w:rsidR="00EA5CCB" w:rsidRPr="00B21E1F">
              <w:rPr>
                <w:lang w:eastAsia="ja-JP"/>
              </w:rPr>
              <w:t>titre</w:t>
            </w:r>
            <w:r w:rsidRPr="00B21E1F">
              <w:rPr>
                <w:lang w:eastAsia="ja-JP"/>
              </w:rPr>
              <w:t>s</w:t>
            </w:r>
            <w:r w:rsidR="00743EF5" w:rsidRPr="00B21E1F">
              <w:rPr>
                <w:lang w:eastAsia="ja-JP"/>
              </w:rPr>
              <w:t xml:space="preserve"> </w:t>
            </w:r>
            <w:r w:rsidR="00743EF5" w:rsidRPr="00DD25D7">
              <w:t xml:space="preserve">≥ </w:t>
            </w:r>
            <w:r w:rsidRPr="00B21E1F">
              <w:rPr>
                <w:lang w:eastAsia="ja-JP"/>
              </w:rPr>
              <w:t xml:space="preserve">LLOQ 1 month after </w:t>
            </w:r>
            <w:r w:rsidR="008B4D82" w:rsidRPr="00B21E1F">
              <w:rPr>
                <w:lang w:eastAsia="ja-JP"/>
              </w:rPr>
              <w:t>Vaccination</w:t>
            </w:r>
            <w:r w:rsidRPr="00B21E1F">
              <w:rPr>
                <w:lang w:eastAsia="ja-JP"/>
              </w:rPr>
              <w:t xml:space="preserve">s 2 and 3. In each case, the assay LLOQs were </w:t>
            </w:r>
            <w:proofErr w:type="spellStart"/>
            <w:r w:rsidRPr="00B21E1F">
              <w:rPr>
                <w:lang w:eastAsia="ja-JP"/>
              </w:rPr>
              <w:t>hSBA</w:t>
            </w:r>
            <w:proofErr w:type="spellEnd"/>
            <w:r w:rsidRPr="00B21E1F">
              <w:rPr>
                <w:lang w:eastAsia="ja-JP"/>
              </w:rPr>
              <w:t xml:space="preserve"> </w:t>
            </w:r>
            <w:r w:rsidR="00EA5CCB" w:rsidRPr="00B21E1F">
              <w:rPr>
                <w:lang w:eastAsia="ja-JP"/>
              </w:rPr>
              <w:t>titre</w:t>
            </w:r>
            <w:r w:rsidRPr="00B21E1F">
              <w:rPr>
                <w:lang w:eastAsia="ja-JP"/>
              </w:rPr>
              <w:t>s equal to either 1:8 or 1:16, which is more stringent than the recogn</w:t>
            </w:r>
            <w:r w:rsidR="00292798" w:rsidRPr="00B21E1F">
              <w:rPr>
                <w:lang w:eastAsia="ja-JP"/>
              </w:rPr>
              <w:t>ise</w:t>
            </w:r>
            <w:r w:rsidRPr="00B21E1F">
              <w:rPr>
                <w:lang w:eastAsia="ja-JP"/>
              </w:rPr>
              <w:t>d correlate of protection (</w:t>
            </w:r>
            <w:proofErr w:type="spellStart"/>
            <w:r w:rsidRPr="00B21E1F">
              <w:rPr>
                <w:lang w:eastAsia="ja-JP"/>
              </w:rPr>
              <w:t>hSBA</w:t>
            </w:r>
            <w:proofErr w:type="spellEnd"/>
            <w:r w:rsidRPr="00B21E1F">
              <w:rPr>
                <w:lang w:eastAsia="ja-JP"/>
              </w:rPr>
              <w:t xml:space="preserve"> </w:t>
            </w:r>
            <w:r w:rsidR="00EA5CCB" w:rsidRPr="00B21E1F">
              <w:rPr>
                <w:lang w:eastAsia="ja-JP"/>
              </w:rPr>
              <w:t>titre</w:t>
            </w:r>
            <w:r w:rsidRPr="00B21E1F">
              <w:rPr>
                <w:lang w:eastAsia="ja-JP"/>
              </w:rPr>
              <w:t xml:space="preserve"> </w:t>
            </w:r>
            <w:r w:rsidR="009E069E" w:rsidRPr="00DD25D7">
              <w:t>≥ </w:t>
            </w:r>
            <w:r w:rsidRPr="00B21E1F">
              <w:rPr>
                <w:lang w:eastAsia="ja-JP"/>
              </w:rPr>
              <w:t>1:4)</w:t>
            </w:r>
            <w:r w:rsidR="00743EF5" w:rsidRPr="00B21E1F">
              <w:rPr>
                <w:lang w:eastAsia="ja-JP"/>
              </w:rPr>
              <w:t>.</w:t>
            </w:r>
          </w:p>
          <w:p w:rsidR="00743EF5" w:rsidRPr="00B21E1F" w:rsidRDefault="00857B9D" w:rsidP="00743EF5">
            <w:pPr>
              <w:rPr>
                <w:lang w:eastAsia="ja-JP"/>
              </w:rPr>
            </w:pPr>
            <w:r w:rsidRPr="00B21E1F">
              <w:rPr>
                <w:lang w:eastAsia="ja-JP"/>
              </w:rPr>
              <w:t xml:space="preserve">In addition to direct coverage measured in the clinical development program using representative disease causing strains, bivalent rLP2086 can provide protection against </w:t>
            </w:r>
            <w:proofErr w:type="spellStart"/>
            <w:r w:rsidRPr="00B21E1F">
              <w:rPr>
                <w:lang w:eastAsia="ja-JP"/>
              </w:rPr>
              <w:t>MnB</w:t>
            </w:r>
            <w:proofErr w:type="spellEnd"/>
            <w:r w:rsidRPr="00B21E1F">
              <w:rPr>
                <w:lang w:eastAsia="ja-JP"/>
              </w:rPr>
              <w:t xml:space="preserve"> strains expressing new </w:t>
            </w:r>
            <w:proofErr w:type="spellStart"/>
            <w:r w:rsidRPr="00B21E1F">
              <w:rPr>
                <w:lang w:eastAsia="ja-JP"/>
              </w:rPr>
              <w:t>fHBP</w:t>
            </w:r>
            <w:proofErr w:type="spellEnd"/>
            <w:r w:rsidRPr="00B21E1F">
              <w:rPr>
                <w:lang w:eastAsia="ja-JP"/>
              </w:rPr>
              <w:t xml:space="preserve"> variants that have caused recent outbreaks</w:t>
            </w:r>
            <w:r w:rsidR="00743EF5" w:rsidRPr="00B21E1F">
              <w:rPr>
                <w:lang w:eastAsia="ja-JP"/>
              </w:rPr>
              <w:t>.</w:t>
            </w:r>
          </w:p>
          <w:p w:rsidR="00857B9D" w:rsidRPr="00B21E1F" w:rsidRDefault="00857B9D" w:rsidP="00743EF5">
            <w:pPr>
              <w:rPr>
                <w:lang w:eastAsia="ja-JP"/>
              </w:rPr>
            </w:pPr>
            <w:r w:rsidRPr="00B21E1F">
              <w:rPr>
                <w:lang w:eastAsia="ja-JP"/>
              </w:rPr>
              <w:t xml:space="preserve">The evaluation of broad protection also can be assessed by additional statistical analyses of responses to primary and secondary test strains. A post-hoc analysis was conducted to assess whether an immune response to one of the 4 primary </w:t>
            </w:r>
            <w:proofErr w:type="spellStart"/>
            <w:r w:rsidRPr="00B21E1F">
              <w:rPr>
                <w:lang w:eastAsia="ja-JP"/>
              </w:rPr>
              <w:t>MnB</w:t>
            </w:r>
            <w:proofErr w:type="spellEnd"/>
            <w:r w:rsidRPr="00B21E1F">
              <w:rPr>
                <w:lang w:eastAsia="ja-JP"/>
              </w:rPr>
              <w:t xml:space="preserve"> test strains predicts an immune response to any one of the 10 secondary test strains. This was expressed as the positive predictive value (PPV). The PPV was defined as proportion of subjects who respond to the secondary strain (</w:t>
            </w:r>
            <w:proofErr w:type="spellStart"/>
            <w:r w:rsidRPr="00B21E1F">
              <w:rPr>
                <w:lang w:eastAsia="ja-JP"/>
              </w:rPr>
              <w:t>hSBA</w:t>
            </w:r>
            <w:proofErr w:type="spellEnd"/>
            <w:r w:rsidRPr="00B21E1F">
              <w:rPr>
                <w:lang w:eastAsia="ja-JP"/>
              </w:rPr>
              <w:t xml:space="preserve"> </w:t>
            </w:r>
            <w:r w:rsidR="00EA5CCB" w:rsidRPr="00B21E1F">
              <w:rPr>
                <w:lang w:eastAsia="ja-JP"/>
              </w:rPr>
              <w:t>titre</w:t>
            </w:r>
            <w:r w:rsidRPr="00B21E1F">
              <w:rPr>
                <w:lang w:eastAsia="ja-JP"/>
              </w:rPr>
              <w:t xml:space="preserve"> </w:t>
            </w:r>
            <w:r w:rsidR="009E069E" w:rsidRPr="00DD25D7">
              <w:t>≥ </w:t>
            </w:r>
            <w:r w:rsidRPr="00B21E1F">
              <w:rPr>
                <w:lang w:eastAsia="ja-JP"/>
              </w:rPr>
              <w:t>LLOQ for secondary strain) among the total number of primary strain responders (</w:t>
            </w:r>
            <w:proofErr w:type="spellStart"/>
            <w:r w:rsidRPr="00B21E1F">
              <w:rPr>
                <w:lang w:eastAsia="ja-JP"/>
              </w:rPr>
              <w:t>hSBA</w:t>
            </w:r>
            <w:proofErr w:type="spellEnd"/>
            <w:r w:rsidRPr="00B21E1F">
              <w:rPr>
                <w:lang w:eastAsia="ja-JP"/>
              </w:rPr>
              <w:t xml:space="preserve"> </w:t>
            </w:r>
            <w:r w:rsidR="00EA5CCB" w:rsidRPr="00B21E1F">
              <w:rPr>
                <w:lang w:eastAsia="ja-JP"/>
              </w:rPr>
              <w:t>titre</w:t>
            </w:r>
            <w:r w:rsidRPr="00B21E1F">
              <w:rPr>
                <w:lang w:eastAsia="ja-JP"/>
              </w:rPr>
              <w:t xml:space="preserve"> </w:t>
            </w:r>
            <w:r w:rsidR="00743EF5" w:rsidRPr="00DD25D7">
              <w:t xml:space="preserve">≥ </w:t>
            </w:r>
            <w:r w:rsidRPr="00B21E1F">
              <w:rPr>
                <w:lang w:eastAsia="ja-JP"/>
              </w:rPr>
              <w:t xml:space="preserve">LLOQ for </w:t>
            </w:r>
            <w:r w:rsidR="00737EC2" w:rsidRPr="00B21E1F">
              <w:rPr>
                <w:lang w:eastAsia="ja-JP"/>
              </w:rPr>
              <w:t xml:space="preserve">the </w:t>
            </w:r>
            <w:r w:rsidRPr="00B21E1F">
              <w:rPr>
                <w:lang w:eastAsia="ja-JP"/>
              </w:rPr>
              <w:t xml:space="preserve">primary </w:t>
            </w:r>
            <w:r w:rsidR="00D30A64" w:rsidRPr="00B21E1F">
              <w:rPr>
                <w:lang w:eastAsia="ja-JP"/>
              </w:rPr>
              <w:t>strain that</w:t>
            </w:r>
            <w:r w:rsidR="00737EC2" w:rsidRPr="00B21E1F">
              <w:rPr>
                <w:lang w:eastAsia="ja-JP"/>
              </w:rPr>
              <w:t xml:space="preserve"> expresses an </w:t>
            </w:r>
            <w:proofErr w:type="spellStart"/>
            <w:r w:rsidR="00737EC2" w:rsidRPr="00B21E1F">
              <w:rPr>
                <w:lang w:eastAsia="ja-JP"/>
              </w:rPr>
              <w:t>fHBP</w:t>
            </w:r>
            <w:proofErr w:type="spellEnd"/>
            <w:r w:rsidR="00737EC2" w:rsidRPr="00B21E1F">
              <w:rPr>
                <w:lang w:eastAsia="ja-JP"/>
              </w:rPr>
              <w:t xml:space="preserve"> variant from the same subfamily</w:t>
            </w:r>
            <w:r w:rsidR="004A1C7D" w:rsidRPr="00B21E1F">
              <w:rPr>
                <w:lang w:eastAsia="ja-JP"/>
              </w:rPr>
              <w:t>)</w:t>
            </w:r>
            <w:r w:rsidR="00D30A64" w:rsidRPr="00B21E1F">
              <w:rPr>
                <w:rStyle w:val="FootnoteReference"/>
                <w:b/>
                <w:bCs/>
                <w:sz w:val="20"/>
                <w:szCs w:val="20"/>
                <w:lang w:eastAsia="ja-JP"/>
              </w:rPr>
              <w:footnoteReference w:id="5"/>
            </w:r>
            <w:r w:rsidRPr="00B21E1F">
              <w:rPr>
                <w:lang w:eastAsia="ja-JP"/>
              </w:rPr>
              <w:t xml:space="preserve">. These analyses showed that if a subject </w:t>
            </w:r>
            <w:r w:rsidRPr="00B21E1F">
              <w:rPr>
                <w:lang w:eastAsia="ja-JP"/>
              </w:rPr>
              <w:lastRenderedPageBreak/>
              <w:t xml:space="preserve">responded to a primary subfamily A strain, there was a high probability that the subject also responded to a secondary </w:t>
            </w:r>
            <w:proofErr w:type="spellStart"/>
            <w:r w:rsidRPr="00B21E1F">
              <w:rPr>
                <w:lang w:eastAsia="ja-JP"/>
              </w:rPr>
              <w:t>MnB</w:t>
            </w:r>
            <w:proofErr w:type="spellEnd"/>
            <w:r w:rsidRPr="00B21E1F">
              <w:rPr>
                <w:lang w:eastAsia="ja-JP"/>
              </w:rPr>
              <w:t xml:space="preserve"> test strain expressing a subfamily </w:t>
            </w:r>
            <w:proofErr w:type="gramStart"/>
            <w:r w:rsidRPr="00B21E1F">
              <w:rPr>
                <w:lang w:eastAsia="ja-JP"/>
              </w:rPr>
              <w:t>A</w:t>
            </w:r>
            <w:proofErr w:type="gramEnd"/>
            <w:r w:rsidRPr="00B21E1F">
              <w:rPr>
                <w:lang w:eastAsia="ja-JP"/>
              </w:rPr>
              <w:t xml:space="preserve"> </w:t>
            </w:r>
            <w:proofErr w:type="spellStart"/>
            <w:r w:rsidRPr="00B21E1F">
              <w:rPr>
                <w:lang w:eastAsia="ja-JP"/>
              </w:rPr>
              <w:t>fHBP</w:t>
            </w:r>
            <w:proofErr w:type="spellEnd"/>
            <w:r w:rsidRPr="00B21E1F">
              <w:rPr>
                <w:lang w:eastAsia="ja-JP"/>
              </w:rPr>
              <w:t xml:space="preserve"> after the second and third doses of vaccine (range 64.4% to 100% and 75.6% to 99.6%, respectively). The same held true for subfamily B. Importantly, the positive predictive values were similar whether a subject received 2 or 3 doses of bivalent rLP20786.</w:t>
            </w:r>
          </w:p>
          <w:p w:rsidR="00857B9D" w:rsidRPr="00B21E1F" w:rsidRDefault="00857B9D" w:rsidP="00743EF5">
            <w:pPr>
              <w:rPr>
                <w:lang w:eastAsia="ja-JP"/>
              </w:rPr>
            </w:pPr>
            <w:r w:rsidRPr="00B21E1F">
              <w:rPr>
                <w:lang w:eastAsia="ja-JP"/>
              </w:rPr>
              <w:t xml:space="preserve">Data from 3 of the </w:t>
            </w:r>
            <w:r w:rsidR="00743EF5" w:rsidRPr="00B21E1F">
              <w:rPr>
                <w:lang w:eastAsia="ja-JP"/>
              </w:rPr>
              <w:t>Phase II</w:t>
            </w:r>
            <w:r w:rsidRPr="00B21E1F">
              <w:rPr>
                <w:lang w:eastAsia="ja-JP"/>
              </w:rPr>
              <w:t xml:space="preserve"> studies have shown that the robust immunogenicity of bivalent rLP2086 is not impacted by concomitant administration with other vaccines. In Studies, B1971010, B1971011, and B1971015, the immune responses to bivalent rLP2086 remained unchanged by concomitant administration of </w:t>
            </w:r>
            <w:proofErr w:type="spellStart"/>
            <w:r w:rsidRPr="00B21E1F">
              <w:rPr>
                <w:lang w:eastAsia="ja-JP"/>
              </w:rPr>
              <w:t>Repevax</w:t>
            </w:r>
            <w:proofErr w:type="spellEnd"/>
            <w:r w:rsidRPr="00B21E1F">
              <w:rPr>
                <w:lang w:eastAsia="ja-JP"/>
              </w:rPr>
              <w:t xml:space="preserve">, Gardasil, or </w:t>
            </w:r>
            <w:proofErr w:type="spellStart"/>
            <w:r w:rsidRPr="00B21E1F">
              <w:rPr>
                <w:lang w:eastAsia="ja-JP"/>
              </w:rPr>
              <w:t>Tdap</w:t>
            </w:r>
            <w:proofErr w:type="spellEnd"/>
            <w:r w:rsidRPr="00B21E1F">
              <w:rPr>
                <w:lang w:eastAsia="ja-JP"/>
              </w:rPr>
              <w:t xml:space="preserve"> and MCV4, respectively; similarly, the concomitant vaccines were unaffected in a clinically meaningful way when administered with bivalent rLP2086. In all 3 studies, the </w:t>
            </w:r>
            <w:r w:rsidR="005F0DEA" w:rsidRPr="00B21E1F">
              <w:rPr>
                <w:lang w:eastAsia="ja-JP"/>
              </w:rPr>
              <w:t>non </w:t>
            </w:r>
            <w:r w:rsidRPr="00B21E1F">
              <w:rPr>
                <w:lang w:eastAsia="ja-JP"/>
              </w:rPr>
              <w:t xml:space="preserve">inferiority criteria were met, and primary objectives achieved, for each </w:t>
            </w:r>
            <w:proofErr w:type="spellStart"/>
            <w:r w:rsidRPr="00B21E1F">
              <w:rPr>
                <w:lang w:eastAsia="ja-JP"/>
              </w:rPr>
              <w:t>MnB</w:t>
            </w:r>
            <w:proofErr w:type="spellEnd"/>
            <w:r w:rsidRPr="00B21E1F">
              <w:rPr>
                <w:lang w:eastAsia="ja-JP"/>
              </w:rPr>
              <w:t xml:space="preserve"> test strain and each concomitant vaccine antigen, except for HPV-18 (non-inferiority missed by a small margin).</w:t>
            </w:r>
          </w:p>
          <w:p w:rsidR="00857B9D" w:rsidRPr="00B21E1F" w:rsidRDefault="00857B9D" w:rsidP="00743EF5">
            <w:pPr>
              <w:rPr>
                <w:lang w:eastAsia="ja-JP"/>
              </w:rPr>
            </w:pPr>
            <w:r w:rsidRPr="00B21E1F">
              <w:rPr>
                <w:lang w:eastAsia="ja-JP"/>
              </w:rPr>
              <w:t xml:space="preserve">Immune responses elicited by bivalent rLP2086 were generally consistent across age groups and reached protective </w:t>
            </w:r>
            <w:proofErr w:type="spellStart"/>
            <w:r w:rsidRPr="00B21E1F">
              <w:rPr>
                <w:lang w:eastAsia="ja-JP"/>
              </w:rPr>
              <w:t>hSBA</w:t>
            </w:r>
            <w:proofErr w:type="spellEnd"/>
            <w:r w:rsidRPr="00B21E1F">
              <w:rPr>
                <w:lang w:eastAsia="ja-JP"/>
              </w:rPr>
              <w:t xml:space="preserve"> levels in </w:t>
            </w:r>
            <w:r w:rsidR="005F0DEA" w:rsidRPr="00B21E1F">
              <w:rPr>
                <w:lang w:eastAsia="ja-JP"/>
              </w:rPr>
              <w:t>adults, as well as adolescents.</w:t>
            </w:r>
          </w:p>
        </w:tc>
        <w:tc>
          <w:tcPr>
            <w:tcW w:w="3889" w:type="dxa"/>
          </w:tcPr>
          <w:p w:rsidR="00857B9D" w:rsidRPr="00B21E1F" w:rsidRDefault="00857B9D" w:rsidP="00743EF5">
            <w:pPr>
              <w:rPr>
                <w:lang w:eastAsia="ja-JP"/>
              </w:rPr>
            </w:pPr>
            <w:r w:rsidRPr="00B21E1F">
              <w:rPr>
                <w:lang w:eastAsia="ja-JP"/>
              </w:rPr>
              <w:lastRenderedPageBreak/>
              <w:t xml:space="preserve">As approximately 200 </w:t>
            </w:r>
            <w:proofErr w:type="spellStart"/>
            <w:r w:rsidRPr="00B21E1F">
              <w:rPr>
                <w:lang w:eastAsia="ja-JP"/>
              </w:rPr>
              <w:t>fHBP</w:t>
            </w:r>
            <w:proofErr w:type="spellEnd"/>
            <w:r w:rsidRPr="00B21E1F">
              <w:rPr>
                <w:lang w:eastAsia="ja-JP"/>
              </w:rPr>
              <w:t xml:space="preserve"> sequences have been identified, it was necessary to design an approach to measure breadth of coverage across these sequences using the accepted correlate for efficacy.</w:t>
            </w:r>
          </w:p>
          <w:p w:rsidR="00743EF5" w:rsidRPr="00B21E1F" w:rsidRDefault="00857B9D" w:rsidP="00743EF5">
            <w:pPr>
              <w:rPr>
                <w:lang w:eastAsia="ja-JP"/>
              </w:rPr>
            </w:pPr>
            <w:r w:rsidRPr="00B21E1F">
              <w:rPr>
                <w:lang w:eastAsia="ja-JP"/>
              </w:rPr>
              <w:t xml:space="preserve">Bacterial test strains for </w:t>
            </w:r>
            <w:proofErr w:type="spellStart"/>
            <w:r w:rsidRPr="00B21E1F">
              <w:rPr>
                <w:lang w:eastAsia="ja-JP"/>
              </w:rPr>
              <w:t>hSBAs</w:t>
            </w:r>
            <w:proofErr w:type="spellEnd"/>
            <w:r w:rsidRPr="00B21E1F">
              <w:rPr>
                <w:lang w:eastAsia="ja-JP"/>
              </w:rPr>
              <w:t xml:space="preserve"> that expressed </w:t>
            </w:r>
            <w:proofErr w:type="spellStart"/>
            <w:r w:rsidRPr="00B21E1F">
              <w:rPr>
                <w:lang w:eastAsia="ja-JP"/>
              </w:rPr>
              <w:t>fHBP</w:t>
            </w:r>
            <w:proofErr w:type="spellEnd"/>
            <w:r w:rsidRPr="00B21E1F">
              <w:rPr>
                <w:lang w:eastAsia="ja-JP"/>
              </w:rPr>
              <w:t xml:space="preserve"> sequences that were heterologous to the vaccine sequences and represented </w:t>
            </w:r>
            <w:proofErr w:type="spellStart"/>
            <w:r w:rsidRPr="00B21E1F">
              <w:rPr>
                <w:lang w:eastAsia="ja-JP"/>
              </w:rPr>
              <w:t>fHBP</w:t>
            </w:r>
            <w:proofErr w:type="spellEnd"/>
            <w:r w:rsidRPr="00B21E1F">
              <w:rPr>
                <w:lang w:eastAsia="ja-JP"/>
              </w:rPr>
              <w:t xml:space="preserve"> diversity were selected to test immunogenicity, providing a reflection of the ability of bivalent rLP2086 to induce a protective response against meningococcal strains expressing </w:t>
            </w:r>
            <w:proofErr w:type="spellStart"/>
            <w:r w:rsidRPr="00B21E1F">
              <w:rPr>
                <w:lang w:eastAsia="ja-JP"/>
              </w:rPr>
              <w:t>fHBP</w:t>
            </w:r>
            <w:proofErr w:type="spellEnd"/>
            <w:r w:rsidRPr="00B21E1F">
              <w:rPr>
                <w:lang w:eastAsia="ja-JP"/>
              </w:rPr>
              <w:t xml:space="preserve">. Thus, the </w:t>
            </w:r>
            <w:r w:rsidR="00743EF5" w:rsidRPr="00B21E1F">
              <w:rPr>
                <w:lang w:eastAsia="ja-JP"/>
              </w:rPr>
              <w:t>Phase III</w:t>
            </w:r>
            <w:r w:rsidRPr="00B21E1F">
              <w:rPr>
                <w:lang w:eastAsia="ja-JP"/>
              </w:rPr>
              <w:t xml:space="preserve"> endpoints were designed to be biologically relevant and capable </w:t>
            </w:r>
            <w:r w:rsidR="009E069E" w:rsidRPr="00B21E1F">
              <w:rPr>
                <w:lang w:eastAsia="ja-JP"/>
              </w:rPr>
              <w:t xml:space="preserve">of establishing whether vaccine </w:t>
            </w:r>
            <w:r w:rsidRPr="00B21E1F">
              <w:rPr>
                <w:lang w:eastAsia="ja-JP"/>
              </w:rPr>
              <w:t xml:space="preserve">elicited responses could confer broad protection against </w:t>
            </w:r>
            <w:proofErr w:type="spellStart"/>
            <w:r w:rsidRPr="00B21E1F">
              <w:rPr>
                <w:lang w:eastAsia="ja-JP"/>
              </w:rPr>
              <w:t>MnB</w:t>
            </w:r>
            <w:proofErr w:type="spellEnd"/>
            <w:r w:rsidRPr="00B21E1F">
              <w:rPr>
                <w:lang w:eastAsia="ja-JP"/>
              </w:rPr>
              <w:t xml:space="preserve"> strains</w:t>
            </w:r>
            <w:r w:rsidR="00743EF5" w:rsidRPr="00B21E1F">
              <w:rPr>
                <w:lang w:eastAsia="ja-JP"/>
              </w:rPr>
              <w:t>.</w:t>
            </w:r>
          </w:p>
          <w:p w:rsidR="00743EF5" w:rsidRPr="00B21E1F" w:rsidRDefault="009E069E" w:rsidP="00743EF5">
            <w:pPr>
              <w:rPr>
                <w:lang w:eastAsia="ja-JP"/>
              </w:rPr>
            </w:pPr>
            <w:r w:rsidRPr="00B21E1F">
              <w:rPr>
                <w:lang w:eastAsia="ja-JP"/>
              </w:rPr>
              <w:t>Four</w:t>
            </w:r>
            <w:r w:rsidR="00857B9D" w:rsidRPr="00B21E1F">
              <w:rPr>
                <w:lang w:eastAsia="ja-JP"/>
              </w:rPr>
              <w:t xml:space="preserve"> en</w:t>
            </w:r>
            <w:r w:rsidRPr="00B21E1F">
              <w:rPr>
                <w:lang w:eastAsia="ja-JP"/>
              </w:rPr>
              <w:t xml:space="preserve">dpoints demonstrate the vaccine </w:t>
            </w:r>
            <w:r w:rsidR="00857B9D" w:rsidRPr="00B21E1F">
              <w:rPr>
                <w:lang w:eastAsia="ja-JP"/>
              </w:rPr>
              <w:t xml:space="preserve">elicited </w:t>
            </w:r>
            <w:r w:rsidRPr="00B21E1F">
              <w:rPr>
                <w:lang w:eastAsia="ja-JP"/>
              </w:rPr>
              <w:t>4 </w:t>
            </w:r>
            <w:r w:rsidR="00743EF5" w:rsidRPr="00B21E1F">
              <w:rPr>
                <w:lang w:eastAsia="ja-JP"/>
              </w:rPr>
              <w:t>fold</w:t>
            </w:r>
            <w:r w:rsidR="00857B9D" w:rsidRPr="00B21E1F">
              <w:rPr>
                <w:lang w:eastAsia="ja-JP"/>
              </w:rPr>
              <w:t xml:space="preserve"> </w:t>
            </w:r>
            <w:proofErr w:type="spellStart"/>
            <w:r w:rsidR="00857B9D" w:rsidRPr="00B21E1F">
              <w:rPr>
                <w:lang w:eastAsia="ja-JP"/>
              </w:rPr>
              <w:t>hSBA</w:t>
            </w:r>
            <w:proofErr w:type="spellEnd"/>
            <w:r w:rsidR="00857B9D" w:rsidRPr="00B21E1F">
              <w:rPr>
                <w:lang w:eastAsia="ja-JP"/>
              </w:rPr>
              <w:t xml:space="preserve"> </w:t>
            </w:r>
            <w:proofErr w:type="gramStart"/>
            <w:r w:rsidR="00857B9D" w:rsidRPr="00B21E1F">
              <w:rPr>
                <w:lang w:eastAsia="ja-JP"/>
              </w:rPr>
              <w:t>response</w:t>
            </w:r>
            <w:proofErr w:type="gramEnd"/>
            <w:r w:rsidR="00857B9D" w:rsidRPr="00B21E1F">
              <w:rPr>
                <w:lang w:eastAsia="ja-JP"/>
              </w:rPr>
              <w:t xml:space="preserve"> to each of the 4 primary </w:t>
            </w:r>
            <w:proofErr w:type="spellStart"/>
            <w:r w:rsidR="00857B9D" w:rsidRPr="00B21E1F">
              <w:rPr>
                <w:lang w:eastAsia="ja-JP"/>
              </w:rPr>
              <w:t>MnB</w:t>
            </w:r>
            <w:proofErr w:type="spellEnd"/>
            <w:r w:rsidR="00857B9D" w:rsidRPr="00B21E1F">
              <w:rPr>
                <w:lang w:eastAsia="ja-JP"/>
              </w:rPr>
              <w:t xml:space="preserve"> test strains, and the fifth is a </w:t>
            </w:r>
            <w:r w:rsidR="00743EF5" w:rsidRPr="00B21E1F">
              <w:rPr>
                <w:lang w:eastAsia="ja-JP"/>
              </w:rPr>
              <w:t>‘</w:t>
            </w:r>
            <w:r w:rsidR="00857B9D" w:rsidRPr="00B21E1F">
              <w:rPr>
                <w:lang w:eastAsia="ja-JP"/>
              </w:rPr>
              <w:t>composite</w:t>
            </w:r>
            <w:r w:rsidR="00743EF5" w:rsidRPr="00B21E1F">
              <w:rPr>
                <w:lang w:eastAsia="ja-JP"/>
              </w:rPr>
              <w:t>’</w:t>
            </w:r>
            <w:r w:rsidR="00857B9D" w:rsidRPr="00B21E1F">
              <w:rPr>
                <w:lang w:eastAsia="ja-JP"/>
              </w:rPr>
              <w:t xml:space="preserve"> endpoint to assess the proportion of study subjects with </w:t>
            </w:r>
            <w:proofErr w:type="spellStart"/>
            <w:r w:rsidR="00857B9D" w:rsidRPr="00B21E1F">
              <w:rPr>
                <w:lang w:eastAsia="ja-JP"/>
              </w:rPr>
              <w:t>hSBA</w:t>
            </w:r>
            <w:proofErr w:type="spellEnd"/>
            <w:r w:rsidR="00857B9D" w:rsidRPr="00B21E1F">
              <w:rPr>
                <w:lang w:eastAsia="ja-JP"/>
              </w:rPr>
              <w:t xml:space="preserve"> responses to all 4 primary </w:t>
            </w:r>
            <w:proofErr w:type="spellStart"/>
            <w:r w:rsidR="00857B9D" w:rsidRPr="00B21E1F">
              <w:rPr>
                <w:lang w:eastAsia="ja-JP"/>
              </w:rPr>
              <w:t>MnB</w:t>
            </w:r>
            <w:proofErr w:type="spellEnd"/>
            <w:r w:rsidR="00857B9D" w:rsidRPr="00B21E1F">
              <w:rPr>
                <w:lang w:eastAsia="ja-JP"/>
              </w:rPr>
              <w:t xml:space="preserve"> test strains combined</w:t>
            </w:r>
            <w:r w:rsidR="00743EF5" w:rsidRPr="00B21E1F">
              <w:rPr>
                <w:lang w:eastAsia="ja-JP"/>
              </w:rPr>
              <w:t>.</w:t>
            </w:r>
          </w:p>
          <w:p w:rsidR="00857B9D" w:rsidRPr="00B21E1F" w:rsidRDefault="00857B9D" w:rsidP="00743EF5">
            <w:pPr>
              <w:rPr>
                <w:lang w:eastAsia="ja-JP"/>
              </w:rPr>
            </w:pPr>
            <w:r w:rsidRPr="00B21E1F">
              <w:rPr>
                <w:lang w:eastAsia="ja-JP"/>
              </w:rPr>
              <w:t xml:space="preserve">The </w:t>
            </w:r>
            <w:proofErr w:type="spellStart"/>
            <w:r w:rsidRPr="00B21E1F">
              <w:rPr>
                <w:lang w:eastAsia="ja-JP"/>
              </w:rPr>
              <w:t>fHBP</w:t>
            </w:r>
            <w:proofErr w:type="spellEnd"/>
            <w:r w:rsidRPr="00B21E1F">
              <w:rPr>
                <w:lang w:eastAsia="ja-JP"/>
              </w:rPr>
              <w:t xml:space="preserve"> variants expressed by the 4 primary and 10 secondary </w:t>
            </w:r>
            <w:proofErr w:type="spellStart"/>
            <w:r w:rsidRPr="00B21E1F">
              <w:rPr>
                <w:lang w:eastAsia="ja-JP"/>
              </w:rPr>
              <w:t>MnB</w:t>
            </w:r>
            <w:proofErr w:type="spellEnd"/>
            <w:r w:rsidRPr="00B21E1F">
              <w:rPr>
                <w:lang w:eastAsia="ja-JP"/>
              </w:rPr>
              <w:t xml:space="preserve"> test strains represent all 6 major </w:t>
            </w:r>
            <w:proofErr w:type="spellStart"/>
            <w:r w:rsidRPr="00B21E1F">
              <w:rPr>
                <w:lang w:eastAsia="ja-JP"/>
              </w:rPr>
              <w:t>fHBP</w:t>
            </w:r>
            <w:proofErr w:type="spellEnd"/>
            <w:r w:rsidRPr="00B21E1F">
              <w:rPr>
                <w:lang w:eastAsia="ja-JP"/>
              </w:rPr>
              <w:t xml:space="preserve"> phylogenetic subgroups, and approximately 77% and 83% of disease-causing </w:t>
            </w:r>
            <w:proofErr w:type="spellStart"/>
            <w:r w:rsidRPr="00B21E1F">
              <w:rPr>
                <w:lang w:eastAsia="ja-JP"/>
              </w:rPr>
              <w:t>MnB</w:t>
            </w:r>
            <w:proofErr w:type="spellEnd"/>
            <w:r w:rsidRPr="00B21E1F">
              <w:rPr>
                <w:lang w:eastAsia="ja-JP"/>
              </w:rPr>
              <w:t xml:space="preserve"> isolates in Europe and the US, respectively.</w:t>
            </w:r>
          </w:p>
          <w:p w:rsidR="00743EF5" w:rsidRPr="00B21E1F" w:rsidRDefault="00857B9D" w:rsidP="00743EF5">
            <w:pPr>
              <w:rPr>
                <w:lang w:eastAsia="ja-JP"/>
              </w:rPr>
            </w:pPr>
            <w:r w:rsidRPr="00B21E1F">
              <w:rPr>
                <w:lang w:eastAsia="ja-JP"/>
              </w:rPr>
              <w:t xml:space="preserve">To supplement the immunogenicity data obtained with use of the 4 primary </w:t>
            </w:r>
            <w:proofErr w:type="spellStart"/>
            <w:r w:rsidRPr="00B21E1F">
              <w:rPr>
                <w:lang w:eastAsia="ja-JP"/>
              </w:rPr>
              <w:t>MnB</w:t>
            </w:r>
            <w:proofErr w:type="spellEnd"/>
            <w:r w:rsidRPr="00B21E1F">
              <w:rPr>
                <w:lang w:eastAsia="ja-JP"/>
              </w:rPr>
              <w:t xml:space="preserve"> test strains, and to confirm the broad coverage of </w:t>
            </w:r>
            <w:proofErr w:type="spellStart"/>
            <w:r w:rsidRPr="00B21E1F">
              <w:rPr>
                <w:lang w:eastAsia="ja-JP"/>
              </w:rPr>
              <w:t>MnB</w:t>
            </w:r>
            <w:proofErr w:type="spellEnd"/>
            <w:r w:rsidRPr="00B21E1F">
              <w:rPr>
                <w:lang w:eastAsia="ja-JP"/>
              </w:rPr>
              <w:t xml:space="preserve"> isolates elicited by </w:t>
            </w:r>
            <w:r w:rsidRPr="00B21E1F">
              <w:rPr>
                <w:lang w:eastAsia="ja-JP"/>
              </w:rPr>
              <w:lastRenderedPageBreak/>
              <w:t xml:space="preserve">bivalent rLP2086, 10 secondary </w:t>
            </w:r>
            <w:proofErr w:type="spellStart"/>
            <w:r w:rsidRPr="00B21E1F">
              <w:rPr>
                <w:lang w:eastAsia="ja-JP"/>
              </w:rPr>
              <w:t>MnB</w:t>
            </w:r>
            <w:proofErr w:type="spellEnd"/>
            <w:r w:rsidRPr="00B21E1F">
              <w:rPr>
                <w:lang w:eastAsia="ja-JP"/>
              </w:rPr>
              <w:t xml:space="preserve"> SBA test strains were selected and developed in qualified </w:t>
            </w:r>
            <w:proofErr w:type="spellStart"/>
            <w:r w:rsidRPr="00B21E1F">
              <w:rPr>
                <w:lang w:eastAsia="ja-JP"/>
              </w:rPr>
              <w:t>hSBAs</w:t>
            </w:r>
            <w:proofErr w:type="spellEnd"/>
            <w:r w:rsidRPr="00B21E1F">
              <w:rPr>
                <w:lang w:eastAsia="ja-JP"/>
              </w:rPr>
              <w:t xml:space="preserve"> to evaluate immune responses in serum from subsets of adolescent or young adult subjects vaccinated with bivalent rLP2086 (Study B1971009 and B1971016, respectively). The group of 10 secondary test strains express </w:t>
            </w:r>
            <w:proofErr w:type="spellStart"/>
            <w:r w:rsidRPr="00B21E1F">
              <w:rPr>
                <w:lang w:eastAsia="ja-JP"/>
              </w:rPr>
              <w:t>fHBP</w:t>
            </w:r>
            <w:proofErr w:type="spellEnd"/>
            <w:r w:rsidRPr="00B21E1F">
              <w:rPr>
                <w:lang w:eastAsia="ja-JP"/>
              </w:rPr>
              <w:t xml:space="preserve"> variants that are representative of prevalent </w:t>
            </w:r>
            <w:proofErr w:type="spellStart"/>
            <w:r w:rsidRPr="00B21E1F">
              <w:rPr>
                <w:lang w:eastAsia="ja-JP"/>
              </w:rPr>
              <w:t>fHBP</w:t>
            </w:r>
            <w:proofErr w:type="spellEnd"/>
            <w:r w:rsidRPr="00B21E1F">
              <w:rPr>
                <w:lang w:eastAsia="ja-JP"/>
              </w:rPr>
              <w:t xml:space="preserve"> variants expressed in disease-causing isolates in Europe, and are different from the variants expressed by the primary test strains and heterologous to the vaccine antigens</w:t>
            </w:r>
            <w:r w:rsidR="00743EF5" w:rsidRPr="00B21E1F">
              <w:rPr>
                <w:lang w:eastAsia="ja-JP"/>
              </w:rPr>
              <w:t>.</w:t>
            </w:r>
          </w:p>
          <w:p w:rsidR="00857B9D" w:rsidRPr="00B21E1F" w:rsidRDefault="00857B9D" w:rsidP="00743EF5">
            <w:pPr>
              <w:rPr>
                <w:lang w:eastAsia="ja-JP"/>
              </w:rPr>
            </w:pPr>
          </w:p>
        </w:tc>
      </w:tr>
    </w:tbl>
    <w:p w:rsidR="00857B9D" w:rsidRPr="00DD25D7" w:rsidRDefault="00857B9D" w:rsidP="00857B9D">
      <w:pPr>
        <w:pStyle w:val="Heading3"/>
      </w:pPr>
      <w:bookmarkStart w:id="304" w:name="_Toc236802596"/>
      <w:bookmarkStart w:id="305" w:name="_Toc241374334"/>
      <w:bookmarkStart w:id="306" w:name="_Ref272160964"/>
      <w:bookmarkStart w:id="307" w:name="_Toc272414694"/>
      <w:bookmarkStart w:id="308" w:name="_Toc290888558"/>
      <w:bookmarkStart w:id="309" w:name="_Toc416353773"/>
      <w:bookmarkStart w:id="310" w:name="_Toc421005315"/>
      <w:bookmarkStart w:id="311" w:name="_Toc432079186"/>
      <w:bookmarkStart w:id="312" w:name="_Toc432080759"/>
      <w:bookmarkStart w:id="313" w:name="_Toc464739511"/>
      <w:bookmarkStart w:id="314" w:name="_Toc524443915"/>
      <w:r w:rsidRPr="00DD25D7">
        <w:lastRenderedPageBreak/>
        <w:t>First round assessment of risks</w:t>
      </w:r>
      <w:bookmarkEnd w:id="304"/>
      <w:bookmarkEnd w:id="305"/>
      <w:bookmarkEnd w:id="306"/>
      <w:bookmarkEnd w:id="307"/>
      <w:bookmarkEnd w:id="308"/>
      <w:bookmarkEnd w:id="309"/>
      <w:bookmarkEnd w:id="310"/>
      <w:bookmarkEnd w:id="311"/>
      <w:bookmarkEnd w:id="312"/>
      <w:bookmarkEnd w:id="313"/>
      <w:bookmarkEnd w:id="314"/>
    </w:p>
    <w:p w:rsidR="005F0DEA" w:rsidRPr="00DD25D7" w:rsidRDefault="005F0DEA" w:rsidP="005F0DEA">
      <w:pPr>
        <w:pStyle w:val="Tabletitle"/>
        <w:rPr>
          <w:lang w:eastAsia="ja-JP"/>
        </w:rPr>
      </w:pPr>
      <w:r w:rsidRPr="00DD25D7">
        <w:rPr>
          <w:lang w:eastAsia="ja-JP"/>
        </w:rPr>
        <w:t xml:space="preserve">Table </w:t>
      </w:r>
      <w:r w:rsidR="002310F7" w:rsidRPr="00DD25D7">
        <w:rPr>
          <w:lang w:eastAsia="ja-JP"/>
        </w:rPr>
        <w:t>14</w:t>
      </w:r>
      <w:r w:rsidRPr="00DD25D7">
        <w:rPr>
          <w:lang w:eastAsia="ja-JP"/>
        </w:rPr>
        <w:t>: First round assessment of risks</w:t>
      </w:r>
    </w:p>
    <w:tbl>
      <w:tblPr>
        <w:tblStyle w:val="TableGrid"/>
        <w:tblpPr w:leftFromText="180" w:rightFromText="180" w:vertAnchor="text" w:tblpY="1"/>
        <w:tblOverlap w:val="never"/>
        <w:tblW w:w="0" w:type="auto"/>
        <w:tblLook w:val="04A0" w:firstRow="1" w:lastRow="0" w:firstColumn="1" w:lastColumn="0" w:noHBand="0" w:noVBand="1"/>
      </w:tblPr>
      <w:tblGrid>
        <w:gridCol w:w="5495"/>
        <w:gridCol w:w="3294"/>
      </w:tblGrid>
      <w:tr w:rsidR="00857B9D" w:rsidRPr="00DD25D7" w:rsidTr="00217652">
        <w:trPr>
          <w:tblHeader/>
        </w:trPr>
        <w:tc>
          <w:tcPr>
            <w:tcW w:w="5495" w:type="dxa"/>
            <w:shd w:val="clear" w:color="auto" w:fill="006DA7" w:themeFill="accent3"/>
          </w:tcPr>
          <w:p w:rsidR="00857B9D" w:rsidRPr="00DD25D7" w:rsidRDefault="00857B9D" w:rsidP="005F0DEA">
            <w:pPr>
              <w:pStyle w:val="Tabletitle"/>
              <w:rPr>
                <w:rFonts w:asciiTheme="minorHAnsi" w:hAnsiTheme="minorHAnsi"/>
                <w:color w:val="FFFFFF" w:themeColor="background1"/>
              </w:rPr>
            </w:pPr>
            <w:r w:rsidRPr="00DD25D7">
              <w:rPr>
                <w:rFonts w:asciiTheme="minorHAnsi" w:hAnsiTheme="minorHAnsi"/>
                <w:color w:val="FFFFFF" w:themeColor="background1"/>
              </w:rPr>
              <w:t>Risks</w:t>
            </w:r>
          </w:p>
        </w:tc>
        <w:tc>
          <w:tcPr>
            <w:tcW w:w="3294" w:type="dxa"/>
            <w:shd w:val="clear" w:color="auto" w:fill="006DA7" w:themeFill="accent3"/>
          </w:tcPr>
          <w:p w:rsidR="00857B9D" w:rsidRPr="00DD25D7" w:rsidRDefault="00857B9D" w:rsidP="005F0DEA">
            <w:pPr>
              <w:pStyle w:val="Tabletitle"/>
              <w:rPr>
                <w:rFonts w:asciiTheme="minorHAnsi" w:hAnsiTheme="minorHAnsi"/>
                <w:color w:val="FFFFFF" w:themeColor="background1"/>
              </w:rPr>
            </w:pPr>
            <w:r w:rsidRPr="00DD25D7">
              <w:rPr>
                <w:rFonts w:asciiTheme="minorHAnsi" w:hAnsiTheme="minorHAnsi"/>
                <w:color w:val="FFFFFF" w:themeColor="background1"/>
              </w:rPr>
              <w:t>Strengths and Uncertainties</w:t>
            </w:r>
          </w:p>
        </w:tc>
      </w:tr>
      <w:tr w:rsidR="00857B9D" w:rsidRPr="00DD25D7" w:rsidTr="00217652">
        <w:tc>
          <w:tcPr>
            <w:tcW w:w="5495" w:type="dxa"/>
          </w:tcPr>
          <w:p w:rsidR="00857B9D" w:rsidRPr="00B21E1F" w:rsidRDefault="00857B9D" w:rsidP="00743EF5">
            <w:pPr>
              <w:rPr>
                <w:lang w:eastAsia="ja-JP"/>
              </w:rPr>
            </w:pPr>
            <w:r w:rsidRPr="00B21E1F">
              <w:rPr>
                <w:lang w:eastAsia="ja-JP"/>
              </w:rPr>
              <w:t>The major risks of vaccination are AEs, ADRs, SADRs related to the vaccine.</w:t>
            </w:r>
          </w:p>
          <w:p w:rsidR="00743EF5" w:rsidRPr="00B21E1F" w:rsidRDefault="00857B9D" w:rsidP="00743EF5">
            <w:pPr>
              <w:rPr>
                <w:lang w:eastAsia="ja-JP"/>
              </w:rPr>
            </w:pPr>
            <w:r w:rsidRPr="00B21E1F">
              <w:rPr>
                <w:lang w:eastAsia="ja-JP"/>
              </w:rPr>
              <w:t>The overall safety dataset, which includes a total of 15,294 subjects who received at least 1 vaccination of bivalent rLP2086 at any dose level and using any dosing schedule; among these, 15,053 received bivalent rLP2086 at the 120 µg dose level using any schedule</w:t>
            </w:r>
            <w:r w:rsidR="00743EF5" w:rsidRPr="00B21E1F">
              <w:rPr>
                <w:lang w:eastAsia="ja-JP"/>
              </w:rPr>
              <w:t>.</w:t>
            </w:r>
          </w:p>
          <w:p w:rsidR="00857B9D" w:rsidRPr="00B21E1F" w:rsidRDefault="00857B9D" w:rsidP="005F0DEA">
            <w:pPr>
              <w:rPr>
                <w:lang w:eastAsia="ja-JP"/>
              </w:rPr>
            </w:pPr>
            <w:r w:rsidRPr="00B21E1F">
              <w:rPr>
                <w:lang w:eastAsia="ja-JP"/>
              </w:rPr>
              <w:t>Most local reactions and systemic events were mild or moderate in severity and resolved within 1 to 3 days after vaccination. Pain at the injection site was the most frequently reported local reaction, but 0.30% of subjects withdrew from the core studies due to injection site pain in the core studies. Fatigue, headache, and muscle pain were the most frequently reported systemic events in the 120 µg bivalent rLP2086 group and in the control groups. Fever &gt;</w:t>
            </w:r>
            <w:r w:rsidR="005F0DEA" w:rsidRPr="00B21E1F">
              <w:rPr>
                <w:lang w:eastAsia="ja-JP"/>
              </w:rPr>
              <w:t xml:space="preserve"> </w:t>
            </w:r>
            <w:r w:rsidRPr="00B21E1F">
              <w:rPr>
                <w:lang w:eastAsia="ja-JP"/>
              </w:rPr>
              <w:t>40.0</w:t>
            </w:r>
            <w:r w:rsidR="005F0DEA" w:rsidRPr="00B21E1F">
              <w:rPr>
                <w:lang w:eastAsia="ja-JP"/>
              </w:rPr>
              <w:t xml:space="preserve"> °</w:t>
            </w:r>
            <w:r w:rsidRPr="00B21E1F">
              <w:rPr>
                <w:lang w:eastAsia="ja-JP"/>
              </w:rPr>
              <w:t xml:space="preserve">C was reported for only 2 subjects who received 120 µg bivalent rLP2086 and for 1 subject who received control vaccine in the core studies. Potentiation (worsening of reactions with increasing doses) of reactogenicity events was not observed with subsequent </w:t>
            </w:r>
            <w:r w:rsidRPr="00B21E1F">
              <w:rPr>
                <w:lang w:eastAsia="ja-JP"/>
              </w:rPr>
              <w:lastRenderedPageBreak/>
              <w:t xml:space="preserve">bivalent rLP2086 doses. The types of unsolicited AEs reported were generally illnesses and conditions common or expected among healthy individuals of similar </w:t>
            </w:r>
            <w:r w:rsidR="005F0DEA" w:rsidRPr="00B21E1F">
              <w:rPr>
                <w:lang w:eastAsia="ja-JP"/>
              </w:rPr>
              <w:t>age in the general population.</w:t>
            </w:r>
          </w:p>
        </w:tc>
        <w:tc>
          <w:tcPr>
            <w:tcW w:w="3294" w:type="dxa"/>
          </w:tcPr>
          <w:p w:rsidR="00743EF5" w:rsidRPr="00B21E1F" w:rsidRDefault="00857B9D" w:rsidP="00743EF5">
            <w:pPr>
              <w:rPr>
                <w:lang w:eastAsia="ja-JP"/>
              </w:rPr>
            </w:pPr>
            <w:r w:rsidRPr="00B21E1F">
              <w:rPr>
                <w:lang w:eastAsia="ja-JP"/>
              </w:rPr>
              <w:lastRenderedPageBreak/>
              <w:t>Review and analysis of the rates of autoimmune diseases and neuroinflammatory conditions reported among 11 clinical trials included in this submission demonstrated a low incidence of autoimmune and neuroinflammatory conditions overall. In addition, among the 8 studies where a control group was available, no significant differences were observed in the proportions of subjects with autoimmune diseases or neuroinflammatory conditions between subjects receiving 120 µg bivalent rLP2086 compared to control</w:t>
            </w:r>
            <w:r w:rsidR="00743EF5" w:rsidRPr="00B21E1F">
              <w:rPr>
                <w:lang w:eastAsia="ja-JP"/>
              </w:rPr>
              <w:t>.</w:t>
            </w:r>
          </w:p>
          <w:p w:rsidR="00857B9D" w:rsidRPr="00B21E1F" w:rsidRDefault="00857B9D" w:rsidP="00743EF5">
            <w:pPr>
              <w:rPr>
                <w:lang w:eastAsia="ja-JP"/>
              </w:rPr>
            </w:pPr>
            <w:r w:rsidRPr="00B21E1F">
              <w:rPr>
                <w:lang w:eastAsia="ja-JP"/>
              </w:rPr>
              <w:t xml:space="preserve">Safety was also evaluated up to 4 years after vaccination with 3 doses of bivalent rLP2086, and no </w:t>
            </w:r>
            <w:r w:rsidRPr="00B21E1F">
              <w:rPr>
                <w:lang w:eastAsia="ja-JP"/>
              </w:rPr>
              <w:lastRenderedPageBreak/>
              <w:t>additional safety signal was detected</w:t>
            </w:r>
            <w:r w:rsidR="005F0DEA" w:rsidRPr="00B21E1F">
              <w:rPr>
                <w:lang w:eastAsia="ja-JP"/>
              </w:rPr>
              <w:t>.</w:t>
            </w:r>
          </w:p>
        </w:tc>
      </w:tr>
    </w:tbl>
    <w:p w:rsidR="00857B9D" w:rsidRPr="00DD25D7" w:rsidRDefault="00857B9D" w:rsidP="00857B9D">
      <w:pPr>
        <w:pStyle w:val="Heading3"/>
      </w:pPr>
      <w:bookmarkStart w:id="315" w:name="_Toc464739512"/>
      <w:bookmarkStart w:id="316" w:name="_Toc236802597"/>
      <w:bookmarkStart w:id="317" w:name="_Toc241374335"/>
      <w:bookmarkStart w:id="318" w:name="_Toc272414695"/>
      <w:bookmarkStart w:id="319" w:name="_Toc290888559"/>
      <w:bookmarkStart w:id="320" w:name="_Toc416353775"/>
      <w:bookmarkStart w:id="321" w:name="_Toc421005316"/>
      <w:bookmarkStart w:id="322" w:name="_Toc432079187"/>
      <w:bookmarkStart w:id="323" w:name="_Toc432080760"/>
      <w:bookmarkStart w:id="324" w:name="_Toc524443916"/>
      <w:r w:rsidRPr="00DD25D7">
        <w:lastRenderedPageBreak/>
        <w:t>First round assessment of benefit-risk balance</w:t>
      </w:r>
      <w:bookmarkEnd w:id="315"/>
      <w:bookmarkEnd w:id="316"/>
      <w:bookmarkEnd w:id="317"/>
      <w:bookmarkEnd w:id="318"/>
      <w:bookmarkEnd w:id="319"/>
      <w:bookmarkEnd w:id="320"/>
      <w:bookmarkEnd w:id="321"/>
      <w:bookmarkEnd w:id="322"/>
      <w:bookmarkEnd w:id="323"/>
      <w:bookmarkEnd w:id="324"/>
    </w:p>
    <w:p w:rsidR="00857B9D" w:rsidRPr="00B21E1F" w:rsidRDefault="005F0DEA" w:rsidP="00857B9D">
      <w:pPr>
        <w:rPr>
          <w:lang w:eastAsia="ja-JP"/>
        </w:rPr>
      </w:pPr>
      <w:r w:rsidRPr="00B21E1F">
        <w:rPr>
          <w:lang w:eastAsia="ja-JP"/>
        </w:rPr>
        <w:t>The benefit-</w:t>
      </w:r>
      <w:r w:rsidR="00857B9D" w:rsidRPr="00B21E1F">
        <w:rPr>
          <w:lang w:eastAsia="ja-JP"/>
        </w:rPr>
        <w:t xml:space="preserve">risk balance of bivalent rLP2086 is </w:t>
      </w:r>
      <w:proofErr w:type="spellStart"/>
      <w:r w:rsidR="00857B9D" w:rsidRPr="00B21E1F">
        <w:rPr>
          <w:lang w:eastAsia="ja-JP"/>
        </w:rPr>
        <w:t>favorable</w:t>
      </w:r>
      <w:proofErr w:type="spellEnd"/>
      <w:r w:rsidR="00857B9D" w:rsidRPr="00B21E1F">
        <w:rPr>
          <w:lang w:eastAsia="ja-JP"/>
        </w:rPr>
        <w:t xml:space="preserve"> for individuals recei</w:t>
      </w:r>
      <w:r w:rsidRPr="00B21E1F">
        <w:rPr>
          <w:lang w:eastAsia="ja-JP"/>
        </w:rPr>
        <w:t xml:space="preserve">ving the vaccine on a routine 2 </w:t>
      </w:r>
      <w:r w:rsidR="00857B9D" w:rsidRPr="00B21E1F">
        <w:rPr>
          <w:lang w:eastAsia="ja-JP"/>
        </w:rPr>
        <w:t xml:space="preserve">dose schedule (0, 6 months), or on a </w:t>
      </w:r>
      <w:r w:rsidR="00743EF5" w:rsidRPr="00B21E1F">
        <w:rPr>
          <w:lang w:eastAsia="ja-JP"/>
        </w:rPr>
        <w:t xml:space="preserve">3 dose </w:t>
      </w:r>
      <w:r w:rsidR="00857B9D" w:rsidRPr="00B21E1F">
        <w:rPr>
          <w:lang w:eastAsia="ja-JP"/>
        </w:rPr>
        <w:t>schedule (2 doses given at least 1 month apart, followed by a third dose at least 4 months after the second dose) for individuals at increased risk of meningococcal disease</w:t>
      </w:r>
      <w:r w:rsidRPr="00B21E1F">
        <w:rPr>
          <w:lang w:eastAsia="ja-JP"/>
        </w:rPr>
        <w:t>.</w:t>
      </w:r>
    </w:p>
    <w:p w:rsidR="00C22678" w:rsidRPr="00DD25D7" w:rsidRDefault="00C22678" w:rsidP="00C22678">
      <w:pPr>
        <w:pStyle w:val="Heading2"/>
      </w:pPr>
      <w:bookmarkStart w:id="325" w:name="_Toc524443917"/>
      <w:r w:rsidRPr="00DD25D7">
        <w:t>First round recommendation regarding authorisation</w:t>
      </w:r>
      <w:bookmarkEnd w:id="325"/>
    </w:p>
    <w:p w:rsidR="00C22678" w:rsidRPr="00B21E1F" w:rsidRDefault="005F0DEA" w:rsidP="00C22678">
      <w:pPr>
        <w:rPr>
          <w:lang w:eastAsia="ja-JP"/>
        </w:rPr>
      </w:pPr>
      <w:r w:rsidRPr="00B21E1F">
        <w:rPr>
          <w:lang w:eastAsia="ja-JP"/>
        </w:rPr>
        <w:t xml:space="preserve">The evaluator </w:t>
      </w:r>
      <w:r w:rsidR="00857B9D" w:rsidRPr="00B21E1F">
        <w:rPr>
          <w:lang w:eastAsia="ja-JP"/>
        </w:rPr>
        <w:t>recommend</w:t>
      </w:r>
      <w:r w:rsidRPr="00B21E1F">
        <w:rPr>
          <w:lang w:eastAsia="ja-JP"/>
        </w:rPr>
        <w:t>ed</w:t>
      </w:r>
      <w:r w:rsidR="00857B9D" w:rsidRPr="00B21E1F">
        <w:rPr>
          <w:lang w:eastAsia="ja-JP"/>
        </w:rPr>
        <w:t xml:space="preserve"> registration for the</w:t>
      </w:r>
      <w:r w:rsidR="00857B9D" w:rsidRPr="00B21E1F">
        <w:rPr>
          <w:iCs/>
          <w:lang w:eastAsia="ja-JP"/>
        </w:rPr>
        <w:t xml:space="preserve"> </w:t>
      </w:r>
      <w:proofErr w:type="spellStart"/>
      <w:r w:rsidR="00857B9D" w:rsidRPr="00B21E1F">
        <w:rPr>
          <w:iCs/>
          <w:lang w:eastAsia="ja-JP"/>
        </w:rPr>
        <w:t>the</w:t>
      </w:r>
      <w:proofErr w:type="spellEnd"/>
      <w:r w:rsidR="00857B9D" w:rsidRPr="00B21E1F">
        <w:rPr>
          <w:iCs/>
          <w:lang w:eastAsia="ja-JP"/>
        </w:rPr>
        <w:t xml:space="preserve"> active </w:t>
      </w:r>
      <w:r w:rsidRPr="00B21E1F">
        <w:rPr>
          <w:iCs/>
          <w:lang w:eastAsia="ja-JP"/>
        </w:rPr>
        <w:t>immuni</w:t>
      </w:r>
      <w:r w:rsidR="00DD25D7">
        <w:rPr>
          <w:iCs/>
          <w:lang w:eastAsia="ja-JP"/>
        </w:rPr>
        <w:t>sation</w:t>
      </w:r>
      <w:r w:rsidR="00857B9D" w:rsidRPr="00B21E1F">
        <w:rPr>
          <w:iCs/>
          <w:lang w:eastAsia="ja-JP"/>
        </w:rPr>
        <w:t xml:space="preserve"> of i</w:t>
      </w:r>
      <w:r w:rsidRPr="00B21E1F">
        <w:rPr>
          <w:iCs/>
          <w:lang w:eastAsia="ja-JP"/>
        </w:rPr>
        <w:t>ndividuals 10 </w:t>
      </w:r>
      <w:r w:rsidR="00857B9D" w:rsidRPr="00B21E1F">
        <w:rPr>
          <w:iCs/>
          <w:lang w:eastAsia="ja-JP"/>
        </w:rPr>
        <w:t xml:space="preserve">years and older, to prevent invasive meningococcal disease caused by </w:t>
      </w:r>
      <w:r w:rsidR="00857B9D" w:rsidRPr="00B21E1F">
        <w:rPr>
          <w:i/>
          <w:iCs/>
          <w:lang w:eastAsia="ja-JP"/>
        </w:rPr>
        <w:t>Neisseria meningitidis</w:t>
      </w:r>
      <w:r w:rsidR="00857B9D" w:rsidRPr="00B21E1F">
        <w:rPr>
          <w:iCs/>
          <w:lang w:eastAsia="ja-JP"/>
        </w:rPr>
        <w:t xml:space="preserve"> serogroup B.</w:t>
      </w:r>
    </w:p>
    <w:p w:rsidR="00C22678" w:rsidRPr="00DD25D7" w:rsidRDefault="00C22678" w:rsidP="00C22678">
      <w:pPr>
        <w:pStyle w:val="Heading2"/>
      </w:pPr>
      <w:bookmarkStart w:id="326" w:name="_Toc524443918"/>
      <w:r w:rsidRPr="00DD25D7">
        <w:t>Clinical questions</w:t>
      </w:r>
      <w:bookmarkEnd w:id="326"/>
    </w:p>
    <w:p w:rsidR="00C22678" w:rsidRPr="00DD25D7" w:rsidRDefault="00857B9D" w:rsidP="00C22678">
      <w:pPr>
        <w:rPr>
          <w:lang w:eastAsia="ja-JP"/>
        </w:rPr>
      </w:pPr>
      <w:r w:rsidRPr="00DD25D7">
        <w:rPr>
          <w:lang w:eastAsia="ja-JP"/>
        </w:rPr>
        <w:t>There were no clinical questions with regard to clinical information. Questions raised in regard to the PI are beyond the scope of the AusPAR.</w:t>
      </w:r>
    </w:p>
    <w:p w:rsidR="00C618F7" w:rsidRPr="00DD25D7" w:rsidRDefault="00C618F7" w:rsidP="00C618F7">
      <w:pPr>
        <w:pStyle w:val="Heading2"/>
      </w:pPr>
      <w:bookmarkStart w:id="327" w:name="_Toc524443919"/>
      <w:r w:rsidRPr="00DD25D7">
        <w:t>References</w:t>
      </w:r>
      <w:bookmarkEnd w:id="327"/>
    </w:p>
    <w:p w:rsidR="00857B9D" w:rsidRPr="00DD25D7" w:rsidRDefault="00857B9D" w:rsidP="00902168">
      <w:pPr>
        <w:pStyle w:val="Numberbullet0"/>
        <w:spacing w:before="0" w:after="0" w:line="240" w:lineRule="auto"/>
      </w:pPr>
      <w:r w:rsidRPr="00DD25D7">
        <w:t>http://www.ich.org/products/guidelines/efficacy/article/efficacy-guidelines.html</w:t>
      </w:r>
    </w:p>
    <w:p w:rsidR="00857B9D" w:rsidRPr="00DD25D7" w:rsidRDefault="00857B9D" w:rsidP="00902168">
      <w:pPr>
        <w:pStyle w:val="Numberbullet0"/>
        <w:spacing w:before="0" w:after="0" w:line="240" w:lineRule="auto"/>
      </w:pPr>
      <w:r w:rsidRPr="00DD25D7">
        <w:t>http://www.fda.gov/ScienceResearch/SpecialTopics/RunningClinicalTrials/</w:t>
      </w:r>
    </w:p>
    <w:p w:rsidR="00857B9D" w:rsidRPr="00DD25D7" w:rsidRDefault="00857B9D" w:rsidP="00902168">
      <w:pPr>
        <w:pStyle w:val="Numberbullet0"/>
        <w:spacing w:before="0" w:after="0" w:line="240" w:lineRule="auto"/>
      </w:pPr>
      <w:r w:rsidRPr="00DD25D7">
        <w:t>http://ec.europa.eu/health/human-use/clinical-trials/directive/index_en.htm</w:t>
      </w:r>
    </w:p>
    <w:p w:rsidR="008D770F" w:rsidRPr="00DD25D7" w:rsidRDefault="00857B9D" w:rsidP="00902168">
      <w:pPr>
        <w:pStyle w:val="Numberbullet0"/>
        <w:spacing w:before="0" w:after="0" w:line="240" w:lineRule="auto"/>
      </w:pPr>
      <w:r w:rsidRPr="00DD25D7">
        <w:t>https://www.tga.gov.au/sites/default/files/ich13595an.pdf</w:t>
      </w:r>
      <w:bookmarkEnd w:id="1"/>
      <w:bookmarkEnd w:id="0"/>
      <w:bookmarkEnd w:id="3"/>
    </w:p>
    <w:p w:rsidR="003D1E62" w:rsidRPr="00DD25D7" w:rsidRDefault="008E7846" w:rsidP="002666AC">
      <w:pPr>
        <w:sectPr w:rsidR="003D1E62" w:rsidRPr="00DD25D7" w:rsidSect="008D770F">
          <w:headerReference w:type="even" r:id="rId35"/>
          <w:headerReference w:type="default" r:id="rId36"/>
          <w:headerReference w:type="first" r:id="rId37"/>
          <w:footerReference w:type="first" r:id="rId38"/>
          <w:pgSz w:w="11906" w:h="16838" w:code="9"/>
          <w:pgMar w:top="1440" w:right="1440" w:bottom="1440" w:left="1440" w:header="907" w:footer="216" w:gutter="0"/>
          <w:cols w:space="708"/>
          <w:docGrid w:linePitch="360"/>
        </w:sectPr>
      </w:pPr>
      <w:r w:rsidRPr="00DD25D7">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DD25D7" w:rsidTr="005B5C84">
        <w:trPr>
          <w:trHeight w:hRule="exact" w:val="564"/>
        </w:trPr>
        <w:tc>
          <w:tcPr>
            <w:tcW w:w="9175" w:type="dxa"/>
          </w:tcPr>
          <w:p w:rsidR="00B3567E" w:rsidRPr="00DD25D7" w:rsidRDefault="00B3567E" w:rsidP="005B5C84">
            <w:pPr>
              <w:pStyle w:val="TGASignoff"/>
            </w:pPr>
            <w:r w:rsidRPr="00DD25D7">
              <w:lastRenderedPageBreak/>
              <w:t>Therapeutic Goods Administration</w:t>
            </w:r>
          </w:p>
        </w:tc>
      </w:tr>
      <w:tr w:rsidR="00B3567E" w:rsidRPr="00DD25D7" w:rsidTr="005B5C84">
        <w:trPr>
          <w:trHeight w:val="1221"/>
        </w:trPr>
        <w:tc>
          <w:tcPr>
            <w:tcW w:w="9175" w:type="dxa"/>
            <w:tcMar>
              <w:top w:w="28" w:type="dxa"/>
            </w:tcMar>
          </w:tcPr>
          <w:p w:rsidR="00B3567E" w:rsidRPr="00DD25D7" w:rsidRDefault="00B3567E" w:rsidP="005B5C84">
            <w:pPr>
              <w:pStyle w:val="Address"/>
            </w:pPr>
            <w:r w:rsidRPr="00DD25D7">
              <w:t>PO Box 100 Woden ACT 2606 Australia</w:t>
            </w:r>
          </w:p>
          <w:p w:rsidR="00B21E1F" w:rsidRPr="00487162" w:rsidRDefault="00B21E1F" w:rsidP="00B21E1F">
            <w:pPr>
              <w:pStyle w:val="Address"/>
            </w:pPr>
            <w:r w:rsidRPr="00487162">
              <w:t xml:space="preserve">Email: </w:t>
            </w:r>
            <w:hyperlink r:id="rId39" w:history="1">
              <w:r w:rsidRPr="008D770F">
                <w:rPr>
                  <w:rStyle w:val="Hyperlink"/>
                </w:rPr>
                <w:t>info@tga.gov.au</w:t>
              </w:r>
            </w:hyperlink>
            <w:r>
              <w:t xml:space="preserve"> </w:t>
            </w:r>
            <w:r w:rsidRPr="00487162">
              <w:t>Phone: 1800 020 653</w:t>
            </w:r>
            <w:r>
              <w:t xml:space="preserve"> </w:t>
            </w:r>
            <w:r w:rsidRPr="00487162">
              <w:t>Fax: 02 6232 8605</w:t>
            </w:r>
          </w:p>
          <w:p w:rsidR="00B3567E" w:rsidRPr="00DD25D7" w:rsidRDefault="009D786E" w:rsidP="005B5C84">
            <w:pPr>
              <w:pStyle w:val="Address"/>
              <w:spacing w:line="260" w:lineRule="atLeast"/>
              <w:rPr>
                <w:b/>
                <w:color w:val="0000FF"/>
                <w:u w:val="single"/>
              </w:rPr>
            </w:pPr>
            <w:hyperlink r:id="rId40" w:history="1">
              <w:r w:rsidR="00B21E1F" w:rsidRPr="00FE02B1">
                <w:rPr>
                  <w:rStyle w:val="Hyperlink"/>
                  <w:b/>
                </w:rPr>
                <w:t>https://www.tga.gov.au</w:t>
              </w:r>
            </w:hyperlink>
          </w:p>
        </w:tc>
      </w:tr>
    </w:tbl>
    <w:p w:rsidR="00774E1D" w:rsidRPr="00DD25D7" w:rsidRDefault="00774E1D" w:rsidP="008A5E0B"/>
    <w:sectPr w:rsidR="00774E1D" w:rsidRPr="00DD25D7" w:rsidSect="00B3567E">
      <w:headerReference w:type="even" r:id="rId41"/>
      <w:headerReference w:type="default" r:id="rId42"/>
      <w:footerReference w:type="default" r:id="rId43"/>
      <w:headerReference w:type="first" r:id="rId44"/>
      <w:footerReference w:type="first" r:id="rId4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86E" w:rsidRDefault="009D786E" w:rsidP="00C40A36">
      <w:pPr>
        <w:spacing w:after="0"/>
      </w:pPr>
      <w:r>
        <w:separator/>
      </w:r>
    </w:p>
  </w:endnote>
  <w:endnote w:type="continuationSeparator" w:id="0">
    <w:p w:rsidR="009D786E" w:rsidRDefault="009D786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1276"/>
    </w:tblGrid>
    <w:tr w:rsidR="009D786E" w:rsidRPr="00487162" w:rsidTr="007427C5">
      <w:trPr>
        <w:trHeight w:val="269"/>
      </w:trPr>
      <w:tc>
        <w:tcPr>
          <w:tcW w:w="7938" w:type="dxa"/>
          <w:tcMar>
            <w:top w:w="142" w:type="dxa"/>
            <w:bottom w:w="0" w:type="dxa"/>
          </w:tcMar>
        </w:tcPr>
        <w:p w:rsidR="009D786E" w:rsidRPr="00487162" w:rsidRDefault="009D786E" w:rsidP="005D2D24">
          <w:pPr>
            <w:pStyle w:val="Footer"/>
          </w:pPr>
          <w:r>
            <w:t>Attachment 2 – AusPAR - Trumenba</w:t>
          </w:r>
          <w:r w:rsidRPr="00541580">
            <w:t xml:space="preserve"> - Meningococcal group B vaccine - Pfizer Australia Pty Ltd - PM-2016-02079-1-2 - </w:t>
          </w:r>
          <w:r>
            <w:t>Extract from the Clinical Evaluation Report FINAL 27 August 2018</w:t>
          </w:r>
        </w:p>
      </w:tc>
      <w:tc>
        <w:tcPr>
          <w:tcW w:w="1276" w:type="dxa"/>
          <w:tcMar>
            <w:top w:w="142" w:type="dxa"/>
            <w:bottom w:w="0" w:type="dxa"/>
          </w:tcMar>
        </w:tcPr>
        <w:p w:rsidR="009D786E" w:rsidRPr="00981D66" w:rsidRDefault="009D786E"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217652">
            <w:rPr>
              <w:noProof/>
            </w:rPr>
            <w:t>2</w:t>
          </w:r>
          <w:r w:rsidRPr="00981D66">
            <w:fldChar w:fldCharType="end"/>
          </w:r>
          <w:r w:rsidRPr="00981D66">
            <w:t xml:space="preserve"> of </w:t>
          </w:r>
          <w:r>
            <w:t xml:space="preserve"> </w:t>
          </w:r>
          <w:fldSimple w:instr=" NUMPAGES  \* Arabic  \* MERGEFORMAT ">
            <w:r w:rsidR="00217652">
              <w:rPr>
                <w:noProof/>
              </w:rPr>
              <w:t>72</w:t>
            </w:r>
          </w:fldSimple>
        </w:p>
      </w:tc>
    </w:tr>
  </w:tbl>
  <w:p w:rsidR="009D786E" w:rsidRDefault="009D786E" w:rsidP="007427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D786E" w:rsidRPr="00487162" w:rsidTr="00E45619">
      <w:trPr>
        <w:trHeight w:val="269"/>
      </w:trPr>
      <w:tc>
        <w:tcPr>
          <w:tcW w:w="4519" w:type="dxa"/>
          <w:tcBorders>
            <w:top w:val="single" w:sz="4" w:space="0" w:color="auto"/>
          </w:tcBorders>
          <w:tcMar>
            <w:top w:w="142" w:type="dxa"/>
            <w:bottom w:w="0" w:type="dxa"/>
          </w:tcMar>
        </w:tcPr>
        <w:p w:rsidR="009D786E" w:rsidRPr="00487162" w:rsidRDefault="009D786E" w:rsidP="00FE1DEE">
          <w:pPr>
            <w:pStyle w:val="Footer"/>
          </w:pPr>
          <w:r w:rsidRPr="00487162">
            <w:t>Document title, Part #, Section # - Section title</w:t>
          </w:r>
        </w:p>
        <w:p w:rsidR="009D786E" w:rsidRPr="00487162" w:rsidRDefault="009D786E" w:rsidP="00FE1DEE">
          <w:pPr>
            <w:pStyle w:val="Footer"/>
          </w:pPr>
          <w:r w:rsidRPr="00487162">
            <w:t>V1.0 October 2010</w:t>
          </w:r>
        </w:p>
      </w:tc>
      <w:tc>
        <w:tcPr>
          <w:tcW w:w="4342" w:type="dxa"/>
          <w:tcBorders>
            <w:top w:val="single" w:sz="4" w:space="0" w:color="auto"/>
          </w:tcBorders>
          <w:tcMar>
            <w:top w:w="142" w:type="dxa"/>
            <w:bottom w:w="0" w:type="dxa"/>
          </w:tcMar>
        </w:tcPr>
        <w:p w:rsidR="009D786E" w:rsidRPr="00487162" w:rsidRDefault="009D786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end"/>
          </w:r>
        </w:p>
      </w:tc>
    </w:tr>
  </w:tbl>
  <w:p w:rsidR="009D786E" w:rsidRDefault="009D78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6E" w:rsidRDefault="009D786E"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D786E" w:rsidTr="0010601F">
      <w:trPr>
        <w:trHeight w:val="108"/>
      </w:trPr>
      <w:tc>
        <w:tcPr>
          <w:tcW w:w="8875" w:type="dxa"/>
          <w:gridSpan w:val="2"/>
          <w:tcBorders>
            <w:bottom w:val="single" w:sz="4" w:space="0" w:color="auto"/>
          </w:tcBorders>
          <w:tcMar>
            <w:right w:w="284" w:type="dxa"/>
          </w:tcMar>
        </w:tcPr>
        <w:p w:rsidR="009D786E" w:rsidRDefault="009D786E" w:rsidP="006E08B3">
          <w:pPr>
            <w:pStyle w:val="Heading3"/>
          </w:pPr>
          <w:r>
            <w:t>Copyright</w:t>
          </w:r>
        </w:p>
        <w:p w:rsidR="009D786E" w:rsidRDefault="009D786E" w:rsidP="006E08B3">
          <w:r>
            <w:rPr>
              <w:rFonts w:cs="Arial"/>
            </w:rPr>
            <w:t>©</w:t>
          </w:r>
          <w:r>
            <w:t xml:space="preserve"> Commonwealth of Australia (add year)</w:t>
          </w:r>
        </w:p>
        <w:p w:rsidR="009D786E" w:rsidRDefault="009D786E" w:rsidP="006E08B3"/>
        <w:p w:rsidR="009D786E" w:rsidRDefault="009D786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D786E" w:rsidRDefault="009D786E" w:rsidP="006E08B3"/>
        <w:p w:rsidR="009D786E" w:rsidRDefault="009D786E" w:rsidP="006E08B3">
          <w:pPr>
            <w:pStyle w:val="Heading3"/>
          </w:pPr>
          <w:r>
            <w:t>Confidentiality</w:t>
          </w:r>
        </w:p>
        <w:p w:rsidR="009D786E" w:rsidRDefault="009D786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D786E" w:rsidRDefault="009D786E" w:rsidP="006E08B3"/>
        <w:p w:rsidR="009D786E" w:rsidRDefault="009D786E" w:rsidP="006E08B3">
          <w:r>
            <w:t>For submission made by individuals, all personal details, other than your name, will be removed from your submission before it is published on the TGA’s Internet site.</w:t>
          </w:r>
        </w:p>
        <w:p w:rsidR="009D786E" w:rsidRDefault="009D786E" w:rsidP="006E08B3"/>
        <w:p w:rsidR="009D786E" w:rsidRDefault="009D786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D786E" w:rsidTr="0010601F">
      <w:trPr>
        <w:trHeight w:val="417"/>
      </w:trPr>
      <w:tc>
        <w:tcPr>
          <w:tcW w:w="4519" w:type="dxa"/>
          <w:tcBorders>
            <w:top w:val="single" w:sz="4" w:space="0" w:color="auto"/>
          </w:tcBorders>
          <w:tcMar>
            <w:top w:w="142" w:type="dxa"/>
            <w:bottom w:w="0" w:type="dxa"/>
          </w:tcMar>
        </w:tcPr>
        <w:p w:rsidR="009D786E" w:rsidRDefault="009D786E" w:rsidP="006E08B3">
          <w:r>
            <w:t>Document title, Part #, Section # - Section title</w:t>
          </w:r>
        </w:p>
        <w:p w:rsidR="009D786E" w:rsidRDefault="009D786E" w:rsidP="006E08B3">
          <w:r>
            <w:t>V1.0 October 2010</w:t>
          </w:r>
        </w:p>
      </w:tc>
      <w:tc>
        <w:tcPr>
          <w:tcW w:w="4356" w:type="dxa"/>
          <w:tcBorders>
            <w:top w:val="single" w:sz="4" w:space="0" w:color="auto"/>
          </w:tcBorders>
          <w:tcMar>
            <w:top w:w="142" w:type="dxa"/>
            <w:bottom w:w="0" w:type="dxa"/>
          </w:tcMar>
        </w:tcPr>
        <w:p w:rsidR="009D786E" w:rsidRDefault="009D786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73</w:t>
          </w:r>
          <w:r>
            <w:rPr>
              <w:noProof/>
            </w:rPr>
            <w:fldChar w:fldCharType="end"/>
          </w:r>
          <w:r>
            <w:t xml:space="preserve"> </w:t>
          </w:r>
        </w:p>
      </w:tc>
    </w:tr>
  </w:tbl>
  <w:p w:rsidR="009D786E" w:rsidRDefault="009D78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86E" w:rsidRDefault="009D786E" w:rsidP="00C40A36">
      <w:pPr>
        <w:spacing w:after="0"/>
      </w:pPr>
      <w:r>
        <w:separator/>
      </w:r>
    </w:p>
  </w:footnote>
  <w:footnote w:type="continuationSeparator" w:id="0">
    <w:p w:rsidR="009D786E" w:rsidRDefault="009D786E" w:rsidP="00C40A36">
      <w:pPr>
        <w:spacing w:after="0"/>
      </w:pPr>
      <w:r>
        <w:continuationSeparator/>
      </w:r>
    </w:p>
  </w:footnote>
  <w:footnote w:id="1">
    <w:p w:rsidR="009D786E" w:rsidRPr="00A315FB" w:rsidRDefault="009D786E" w:rsidP="00A315FB">
      <w:pPr>
        <w:pStyle w:val="FootnoteText"/>
        <w:rPr>
          <w:lang w:val="en-US"/>
        </w:rPr>
      </w:pPr>
      <w:r>
        <w:rPr>
          <w:rStyle w:val="FootnoteReference"/>
        </w:rPr>
        <w:footnoteRef/>
      </w:r>
      <w:r>
        <w:t xml:space="preserve"> Clarification; </w:t>
      </w:r>
      <w:r>
        <w:rPr>
          <w:lang w:val="en-US"/>
        </w:rPr>
        <w:t>In Study 1015 the subjects were only 10 to 13 years of age.</w:t>
      </w:r>
    </w:p>
  </w:footnote>
  <w:footnote w:id="2">
    <w:p w:rsidR="009D786E" w:rsidRPr="006C2D7E" w:rsidRDefault="009D786E" w:rsidP="00FA5420">
      <w:pPr>
        <w:autoSpaceDE w:val="0"/>
        <w:autoSpaceDN w:val="0"/>
        <w:adjustRightInd w:val="0"/>
        <w:spacing w:before="0" w:after="0" w:line="240" w:lineRule="auto"/>
        <w:rPr>
          <w:rStyle w:val="FooterChar"/>
          <w:sz w:val="18"/>
          <w:szCs w:val="18"/>
        </w:rPr>
      </w:pPr>
      <w:r>
        <w:rPr>
          <w:rStyle w:val="FootnoteReference"/>
        </w:rPr>
        <w:footnoteRef/>
      </w:r>
      <w:r>
        <w:t xml:space="preserve"> </w:t>
      </w:r>
      <w:r>
        <w:rPr>
          <w:rStyle w:val="FooterChar"/>
          <w:sz w:val="18"/>
          <w:szCs w:val="18"/>
        </w:rPr>
        <w:t>C</w:t>
      </w:r>
      <w:r w:rsidRPr="006C2D7E">
        <w:rPr>
          <w:rStyle w:val="FooterChar"/>
          <w:sz w:val="18"/>
          <w:szCs w:val="18"/>
        </w:rPr>
        <w:t xml:space="preserve">omposite endpoint defined as the proportion of subjects achieving an </w:t>
      </w:r>
      <w:proofErr w:type="spellStart"/>
      <w:r w:rsidRPr="006C2D7E">
        <w:rPr>
          <w:rStyle w:val="FooterChar"/>
          <w:sz w:val="18"/>
          <w:szCs w:val="18"/>
        </w:rPr>
        <w:t>hSBA</w:t>
      </w:r>
      <w:proofErr w:type="spellEnd"/>
      <w:r w:rsidRPr="006C2D7E">
        <w:rPr>
          <w:rStyle w:val="FooterChar"/>
          <w:sz w:val="18"/>
          <w:szCs w:val="18"/>
        </w:rPr>
        <w:t xml:space="preserve"> </w:t>
      </w:r>
      <w:r>
        <w:rPr>
          <w:rStyle w:val="FooterChar"/>
          <w:sz w:val="18"/>
          <w:szCs w:val="18"/>
        </w:rPr>
        <w:t>titre</w:t>
      </w:r>
      <w:r w:rsidRPr="006C2D7E">
        <w:rPr>
          <w:rStyle w:val="FooterChar"/>
          <w:sz w:val="18"/>
          <w:szCs w:val="18"/>
        </w:rPr>
        <w:t xml:space="preserve"> </w:t>
      </w:r>
      <w:r>
        <w:rPr>
          <w:rStyle w:val="FooterChar"/>
          <w:sz w:val="18"/>
          <w:szCs w:val="18"/>
        </w:rPr>
        <w:t>≥</w:t>
      </w:r>
      <w:r w:rsidRPr="006C2D7E">
        <w:rPr>
          <w:rStyle w:val="FooterChar"/>
          <w:sz w:val="18"/>
          <w:szCs w:val="18"/>
        </w:rPr>
        <w:t xml:space="preserve"> lower limit of quantitation (LLOQ) for all 4 primary </w:t>
      </w:r>
      <w:proofErr w:type="spellStart"/>
      <w:r w:rsidRPr="006C2D7E">
        <w:rPr>
          <w:rStyle w:val="FooterChar"/>
          <w:sz w:val="18"/>
          <w:szCs w:val="18"/>
        </w:rPr>
        <w:t>MnB</w:t>
      </w:r>
      <w:proofErr w:type="spellEnd"/>
      <w:r w:rsidRPr="006C2D7E">
        <w:rPr>
          <w:rStyle w:val="FooterChar"/>
          <w:sz w:val="18"/>
          <w:szCs w:val="18"/>
        </w:rPr>
        <w:t xml:space="preserve"> test strains combined, 1 month after the third vaccination with bivalent rLP2086.</w:t>
      </w:r>
    </w:p>
  </w:footnote>
  <w:footnote w:id="3">
    <w:p w:rsidR="009D786E" w:rsidRPr="00E36E42" w:rsidRDefault="009D786E">
      <w:pPr>
        <w:pStyle w:val="FootnoteText"/>
        <w:rPr>
          <w:lang w:val="en-US"/>
        </w:rPr>
      </w:pPr>
      <w:r>
        <w:rPr>
          <w:rStyle w:val="FootnoteReference"/>
        </w:rPr>
        <w:footnoteRef/>
      </w:r>
      <w:r>
        <w:t xml:space="preserve"> </w:t>
      </w:r>
      <w:r>
        <w:rPr>
          <w:lang w:val="en-US"/>
        </w:rPr>
        <w:t>T</w:t>
      </w:r>
      <w:r w:rsidRPr="000E6962">
        <w:rPr>
          <w:lang w:val="en-US"/>
        </w:rPr>
        <w:t xml:space="preserve">he composite endpoint </w:t>
      </w:r>
      <w:r>
        <w:rPr>
          <w:lang w:val="en-US"/>
        </w:rPr>
        <w:t xml:space="preserve">was </w:t>
      </w:r>
      <w:r w:rsidRPr="000E6962">
        <w:rPr>
          <w:lang w:val="en-US"/>
        </w:rPr>
        <w:t xml:space="preserve">defined as the proportion of subjects with an </w:t>
      </w:r>
      <w:proofErr w:type="spellStart"/>
      <w:r w:rsidRPr="000E6962">
        <w:rPr>
          <w:lang w:val="en-US"/>
        </w:rPr>
        <w:t>hSBA</w:t>
      </w:r>
      <w:proofErr w:type="spellEnd"/>
      <w:r w:rsidRPr="000E6962">
        <w:rPr>
          <w:lang w:val="en-US"/>
        </w:rPr>
        <w:t xml:space="preserve"> </w:t>
      </w:r>
      <w:proofErr w:type="spellStart"/>
      <w:r>
        <w:rPr>
          <w:lang w:val="en-US"/>
        </w:rPr>
        <w:t>titre</w:t>
      </w:r>
      <w:proofErr w:type="spellEnd"/>
      <w:r w:rsidRPr="000E6962">
        <w:rPr>
          <w:lang w:val="en-US"/>
        </w:rPr>
        <w:t xml:space="preserve"> </w:t>
      </w:r>
      <w:r>
        <w:t xml:space="preserve">≥ </w:t>
      </w:r>
      <w:r>
        <w:rPr>
          <w:lang w:val="en-US"/>
        </w:rPr>
        <w:t>LLOQ</w:t>
      </w:r>
      <w:r w:rsidRPr="000E6962">
        <w:rPr>
          <w:lang w:val="en-US"/>
        </w:rPr>
        <w:t xml:space="preserve"> for all primary </w:t>
      </w:r>
      <w:proofErr w:type="spellStart"/>
      <w:r w:rsidRPr="000E6962">
        <w:rPr>
          <w:lang w:val="en-US"/>
        </w:rPr>
        <w:t>MnB</w:t>
      </w:r>
      <w:proofErr w:type="spellEnd"/>
      <w:r w:rsidRPr="000E6962">
        <w:rPr>
          <w:lang w:val="en-US"/>
        </w:rPr>
        <w:t xml:space="preserve"> test strains combined, 1 month after the third vaccination with bivalent rLP2086</w:t>
      </w:r>
      <w:r>
        <w:rPr>
          <w:lang w:val="en-US"/>
        </w:rPr>
        <w:t>.</w:t>
      </w:r>
    </w:p>
  </w:footnote>
  <w:footnote w:id="4">
    <w:p w:rsidR="009D786E" w:rsidRPr="00E36E42" w:rsidRDefault="009D786E">
      <w:pPr>
        <w:pStyle w:val="FootnoteText"/>
        <w:rPr>
          <w:lang w:val="en-US"/>
        </w:rPr>
      </w:pPr>
      <w:r>
        <w:rPr>
          <w:rStyle w:val="FootnoteReference"/>
        </w:rPr>
        <w:footnoteRef/>
      </w:r>
      <w:r>
        <w:t xml:space="preserve"> </w:t>
      </w:r>
      <w:r w:rsidRPr="00E36E42">
        <w:rPr>
          <w:lang w:val="en-US" w:eastAsia="ja-JP"/>
        </w:rPr>
        <w:t>The PPV was defined as proportion of subjects who respond to the secondary strain (</w:t>
      </w:r>
      <w:proofErr w:type="spellStart"/>
      <w:r w:rsidRPr="00E36E42">
        <w:rPr>
          <w:lang w:val="en-US" w:eastAsia="ja-JP"/>
        </w:rPr>
        <w:t>hSBA</w:t>
      </w:r>
      <w:proofErr w:type="spellEnd"/>
      <w:r w:rsidRPr="00E36E42">
        <w:rPr>
          <w:lang w:val="en-US" w:eastAsia="ja-JP"/>
        </w:rPr>
        <w:t xml:space="preserve"> </w:t>
      </w:r>
      <w:proofErr w:type="spellStart"/>
      <w:r w:rsidRPr="00E36E42">
        <w:rPr>
          <w:lang w:val="en-US" w:eastAsia="ja-JP"/>
        </w:rPr>
        <w:t>titre</w:t>
      </w:r>
      <w:proofErr w:type="spellEnd"/>
      <w:r w:rsidRPr="00E36E42">
        <w:rPr>
          <w:lang w:val="en-US" w:eastAsia="ja-JP"/>
        </w:rPr>
        <w:t xml:space="preserve"> </w:t>
      </w:r>
      <w:r w:rsidRPr="00E36E42">
        <w:t>≥ </w:t>
      </w:r>
      <w:r w:rsidRPr="00E36E42">
        <w:rPr>
          <w:lang w:val="en-US" w:eastAsia="ja-JP"/>
        </w:rPr>
        <w:t>LLOQ for secondary strain) among the total number of primary strain responders (</w:t>
      </w:r>
      <w:proofErr w:type="spellStart"/>
      <w:r w:rsidRPr="00E36E42">
        <w:rPr>
          <w:lang w:val="en-US" w:eastAsia="ja-JP"/>
        </w:rPr>
        <w:t>hSBA</w:t>
      </w:r>
      <w:proofErr w:type="spellEnd"/>
      <w:r w:rsidRPr="00E36E42">
        <w:rPr>
          <w:lang w:val="en-US" w:eastAsia="ja-JP"/>
        </w:rPr>
        <w:t xml:space="preserve"> </w:t>
      </w:r>
      <w:proofErr w:type="spellStart"/>
      <w:r w:rsidRPr="00E36E42">
        <w:rPr>
          <w:lang w:val="en-US" w:eastAsia="ja-JP"/>
        </w:rPr>
        <w:t>titre</w:t>
      </w:r>
      <w:proofErr w:type="spellEnd"/>
      <w:r w:rsidRPr="00E36E42">
        <w:rPr>
          <w:lang w:val="en-US" w:eastAsia="ja-JP"/>
        </w:rPr>
        <w:t xml:space="preserve"> </w:t>
      </w:r>
      <w:r w:rsidRPr="00E36E42">
        <w:t xml:space="preserve">≥ </w:t>
      </w:r>
      <w:r>
        <w:rPr>
          <w:lang w:val="en-US" w:eastAsia="ja-JP"/>
        </w:rPr>
        <w:t xml:space="preserve">LLOQ for the primary strain </w:t>
      </w:r>
      <w:r w:rsidRPr="00E36E42">
        <w:rPr>
          <w:lang w:val="en-US" w:eastAsia="ja-JP"/>
        </w:rPr>
        <w:t xml:space="preserve">that expresses an </w:t>
      </w:r>
      <w:proofErr w:type="spellStart"/>
      <w:r w:rsidRPr="00E36E42">
        <w:rPr>
          <w:lang w:val="en-US" w:eastAsia="ja-JP"/>
        </w:rPr>
        <w:t>fHBP</w:t>
      </w:r>
      <w:proofErr w:type="spellEnd"/>
      <w:r w:rsidRPr="00E36E42">
        <w:rPr>
          <w:lang w:val="en-US" w:eastAsia="ja-JP"/>
        </w:rPr>
        <w:t xml:space="preserve"> variant from the same subfamily).</w:t>
      </w:r>
    </w:p>
  </w:footnote>
  <w:footnote w:id="5">
    <w:p w:rsidR="009D786E" w:rsidRPr="00E36E42" w:rsidRDefault="009D786E">
      <w:pPr>
        <w:pStyle w:val="FootnoteText"/>
        <w:rPr>
          <w:lang w:val="en-US"/>
        </w:rPr>
      </w:pPr>
      <w:r>
        <w:rPr>
          <w:rStyle w:val="FootnoteReference"/>
        </w:rPr>
        <w:footnoteRef/>
      </w:r>
      <w:r>
        <w:t xml:space="preserve"> The PPV analyses were performed to predict the likelihood of responding to a secondary strain in the same subfamily as the primary strain for which a response was elicited. For example for all subjects who responded to a subfamily B primary strain, the PPV analyses assessed the % of individuals that also responded to a specific subfamily B secondary strain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6E" w:rsidRDefault="009D786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6E" w:rsidRDefault="009D786E">
    <w:pPr>
      <w:rPr>
        <w:noProof/>
        <w:lang w:eastAsia="en-AU"/>
      </w:rPr>
    </w:pPr>
    <w:r w:rsidRPr="002D545C">
      <w:rPr>
        <w:noProof/>
        <w:lang w:eastAsia="en-AU"/>
      </w:rPr>
      <w:drawing>
        <wp:anchor distT="0" distB="0" distL="114300" distR="114300" simplePos="0" relativeHeight="251659264" behindDoc="1" locked="0" layoutInCell="1" allowOverlap="1" wp14:anchorId="675A2D50" wp14:editId="0989560B">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D786E" w:rsidRDefault="009D786E" w:rsidP="00593AD1">
    <w:pPr>
      <w:pStyle w:val="HeaderNoLine"/>
    </w:pPr>
    <w:r>
      <w:rPr>
        <w:noProof/>
        <w:lang w:eastAsia="en-AU"/>
      </w:rPr>
      <w:drawing>
        <wp:inline distT="0" distB="0" distL="0" distR="0" wp14:anchorId="74B6A0C3" wp14:editId="1D423E98">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6E" w:rsidRDefault="009D78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6E" w:rsidRDefault="009D786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6E" w:rsidRDefault="009D786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6E" w:rsidRDefault="009D786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6E" w:rsidRDefault="009D786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6E" w:rsidRDefault="009D786E" w:rsidP="006E08B3">
    <w:r>
      <w:t>Therapeutic Goods Administration</w:t>
    </w:r>
  </w:p>
  <w:p w:rsidR="009D786E" w:rsidRDefault="009D786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001"/>
    <w:multiLevelType w:val="hybridMultilevel"/>
    <w:tmpl w:val="05FAAAE2"/>
    <w:lvl w:ilvl="0" w:tplc="00000001">
      <w:start w:val="1"/>
      <w:numFmt w:val="bullet"/>
      <w:lvlText w:val="•"/>
      <w:lvlJc w:val="left"/>
      <w:pPr>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D181177"/>
    <w:multiLevelType w:val="hybridMultilevel"/>
    <w:tmpl w:val="7F2AD00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2F3A7C5A"/>
    <w:multiLevelType w:val="hybridMultilevel"/>
    <w:tmpl w:val="B2C8171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B5675A0"/>
    <w:multiLevelType w:val="hybridMultilevel"/>
    <w:tmpl w:val="B4802652"/>
    <w:lvl w:ilvl="0" w:tplc="04090003">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CFD505D"/>
    <w:multiLevelType w:val="hybridMultilevel"/>
    <w:tmpl w:val="070E26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01C67A2"/>
    <w:multiLevelType w:val="hybridMultilevel"/>
    <w:tmpl w:val="F318A934"/>
    <w:lvl w:ilvl="0" w:tplc="04090003">
      <w:start w:val="1"/>
      <w:numFmt w:val="bullet"/>
      <w:lvlText w:val="o"/>
      <w:lvlJc w:val="left"/>
      <w:pPr>
        <w:ind w:left="644" w:hanging="360"/>
      </w:pPr>
      <w:rPr>
        <w:rFonts w:ascii="Courier New" w:hAnsi="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7B01F96"/>
    <w:multiLevelType w:val="hybridMultilevel"/>
    <w:tmpl w:val="C9DC89A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nsid w:val="6D0B1B75"/>
    <w:multiLevelType w:val="multilevel"/>
    <w:tmpl w:val="D3FAAFB8"/>
    <w:lvl w:ilvl="0">
      <w:start w:val="1"/>
      <w:numFmt w:val="decimal"/>
      <w:pStyle w:val="Heading2"/>
      <w:lvlText w:val="%1."/>
      <w:lvlJc w:val="left"/>
      <w:pPr>
        <w:tabs>
          <w:tab w:val="num" w:pos="993"/>
        </w:tabs>
        <w:ind w:left="993"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8"/>
  </w:num>
  <w:num w:numId="9">
    <w:abstractNumId w:val="8"/>
  </w:num>
  <w:num w:numId="10">
    <w:abstractNumId w:val="8"/>
  </w:num>
  <w:num w:numId="11">
    <w:abstractNumId w:val="8"/>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8"/>
  </w:num>
  <w:num w:numId="17">
    <w:abstractNumId w:val="8"/>
  </w:num>
  <w:num w:numId="18">
    <w:abstractNumId w:val="8"/>
  </w:num>
  <w:num w:numId="19">
    <w:abstractNumId w:val="9"/>
  </w:num>
  <w:num w:numId="20">
    <w:abstractNumId w:val="9"/>
  </w:num>
  <w:num w:numId="21">
    <w:abstractNumId w:val="9"/>
  </w:num>
  <w:num w:numId="22">
    <w:abstractNumId w:val="8"/>
  </w:num>
  <w:num w:numId="23">
    <w:abstractNumId w:val="8"/>
  </w:num>
  <w:num w:numId="2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1"/>
  </w:num>
  <w:num w:numId="26">
    <w:abstractNumId w:val="14"/>
  </w:num>
  <w:num w:numId="27">
    <w:abstractNumId w:val="15"/>
  </w:num>
  <w:num w:numId="28">
    <w:abstractNumId w:val="17"/>
  </w:num>
  <w:num w:numId="29">
    <w:abstractNumId w:val="19"/>
  </w:num>
  <w:num w:numId="30">
    <w:abstractNumId w:val="19"/>
  </w:num>
  <w:num w:numId="31">
    <w:abstractNumId w:val="19"/>
  </w:num>
  <w:num w:numId="32">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18"/>
  </w:num>
  <w:num w:numId="36">
    <w:abstractNumId w:val="16"/>
  </w:num>
  <w:num w:numId="37">
    <w:abstractNumId w:val="10"/>
  </w:num>
  <w:num w:numId="38">
    <w:abstractNumId w:val="12"/>
  </w:num>
  <w:num w:numId="39">
    <w:abstractNumId w:val="5"/>
  </w:num>
  <w:num w:numId="40">
    <w:abstractNumId w:val="6"/>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022"/>
    <w:rsid w:val="00002031"/>
    <w:rsid w:val="00002D4F"/>
    <w:rsid w:val="00004734"/>
    <w:rsid w:val="00006B22"/>
    <w:rsid w:val="0001276A"/>
    <w:rsid w:val="00012937"/>
    <w:rsid w:val="000130AE"/>
    <w:rsid w:val="000246AE"/>
    <w:rsid w:val="00025BCE"/>
    <w:rsid w:val="00025C67"/>
    <w:rsid w:val="00032B77"/>
    <w:rsid w:val="0003705D"/>
    <w:rsid w:val="00040ACB"/>
    <w:rsid w:val="00046AEE"/>
    <w:rsid w:val="0005559E"/>
    <w:rsid w:val="00072EE9"/>
    <w:rsid w:val="00077775"/>
    <w:rsid w:val="000869B9"/>
    <w:rsid w:val="00090471"/>
    <w:rsid w:val="00097B5E"/>
    <w:rsid w:val="000A3AED"/>
    <w:rsid w:val="000A63AF"/>
    <w:rsid w:val="000B3532"/>
    <w:rsid w:val="000B3A75"/>
    <w:rsid w:val="000C690F"/>
    <w:rsid w:val="000D1295"/>
    <w:rsid w:val="000D2618"/>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1434F"/>
    <w:rsid w:val="00125318"/>
    <w:rsid w:val="001305A2"/>
    <w:rsid w:val="00133238"/>
    <w:rsid w:val="00140840"/>
    <w:rsid w:val="0014197B"/>
    <w:rsid w:val="001447CD"/>
    <w:rsid w:val="001516B1"/>
    <w:rsid w:val="00153D26"/>
    <w:rsid w:val="00154EBB"/>
    <w:rsid w:val="00156316"/>
    <w:rsid w:val="00165389"/>
    <w:rsid w:val="0017078F"/>
    <w:rsid w:val="001708EC"/>
    <w:rsid w:val="001759D2"/>
    <w:rsid w:val="0017693F"/>
    <w:rsid w:val="0018110E"/>
    <w:rsid w:val="00181684"/>
    <w:rsid w:val="001843C6"/>
    <w:rsid w:val="001850E0"/>
    <w:rsid w:val="001A0C86"/>
    <w:rsid w:val="001A2158"/>
    <w:rsid w:val="001A525F"/>
    <w:rsid w:val="001A57A1"/>
    <w:rsid w:val="001B027A"/>
    <w:rsid w:val="001B09F9"/>
    <w:rsid w:val="001B1D36"/>
    <w:rsid w:val="001B5D98"/>
    <w:rsid w:val="001B6448"/>
    <w:rsid w:val="001C657B"/>
    <w:rsid w:val="001D631A"/>
    <w:rsid w:val="001D75C6"/>
    <w:rsid w:val="001E07CF"/>
    <w:rsid w:val="001E59F1"/>
    <w:rsid w:val="001F497A"/>
    <w:rsid w:val="001F49EB"/>
    <w:rsid w:val="001F6CBA"/>
    <w:rsid w:val="00201D4E"/>
    <w:rsid w:val="002076C9"/>
    <w:rsid w:val="00217652"/>
    <w:rsid w:val="00220B8A"/>
    <w:rsid w:val="002257F3"/>
    <w:rsid w:val="002310F7"/>
    <w:rsid w:val="00233456"/>
    <w:rsid w:val="002339A5"/>
    <w:rsid w:val="00257848"/>
    <w:rsid w:val="002666AC"/>
    <w:rsid w:val="0027084A"/>
    <w:rsid w:val="002808F3"/>
    <w:rsid w:val="00286434"/>
    <w:rsid w:val="00286C59"/>
    <w:rsid w:val="00290B25"/>
    <w:rsid w:val="00292113"/>
    <w:rsid w:val="00292798"/>
    <w:rsid w:val="002942D1"/>
    <w:rsid w:val="0029501A"/>
    <w:rsid w:val="00295486"/>
    <w:rsid w:val="002A7055"/>
    <w:rsid w:val="002B1516"/>
    <w:rsid w:val="002B1638"/>
    <w:rsid w:val="002C63ED"/>
    <w:rsid w:val="002D545C"/>
    <w:rsid w:val="002D6161"/>
    <w:rsid w:val="002E4C9A"/>
    <w:rsid w:val="002F11F8"/>
    <w:rsid w:val="002F3F56"/>
    <w:rsid w:val="002F40B8"/>
    <w:rsid w:val="002F44B5"/>
    <w:rsid w:val="00311AC0"/>
    <w:rsid w:val="0032583B"/>
    <w:rsid w:val="00327883"/>
    <w:rsid w:val="00335504"/>
    <w:rsid w:val="00347DA0"/>
    <w:rsid w:val="003521E8"/>
    <w:rsid w:val="00363523"/>
    <w:rsid w:val="003728F3"/>
    <w:rsid w:val="0037496E"/>
    <w:rsid w:val="0037623D"/>
    <w:rsid w:val="00386150"/>
    <w:rsid w:val="003874CE"/>
    <w:rsid w:val="00390900"/>
    <w:rsid w:val="00396C92"/>
    <w:rsid w:val="003A7F6C"/>
    <w:rsid w:val="003B1113"/>
    <w:rsid w:val="003B4D60"/>
    <w:rsid w:val="003B634F"/>
    <w:rsid w:val="003B7E39"/>
    <w:rsid w:val="003C2371"/>
    <w:rsid w:val="003C58DC"/>
    <w:rsid w:val="003D0A3B"/>
    <w:rsid w:val="003D1E62"/>
    <w:rsid w:val="003D5E26"/>
    <w:rsid w:val="003E2486"/>
    <w:rsid w:val="003E3208"/>
    <w:rsid w:val="003F0B04"/>
    <w:rsid w:val="0040134E"/>
    <w:rsid w:val="0040689C"/>
    <w:rsid w:val="00415D59"/>
    <w:rsid w:val="0043797D"/>
    <w:rsid w:val="00440A2D"/>
    <w:rsid w:val="004564A7"/>
    <w:rsid w:val="004617BF"/>
    <w:rsid w:val="00463658"/>
    <w:rsid w:val="004722CC"/>
    <w:rsid w:val="00472E22"/>
    <w:rsid w:val="004936E4"/>
    <w:rsid w:val="00494E60"/>
    <w:rsid w:val="00497487"/>
    <w:rsid w:val="004A1C7D"/>
    <w:rsid w:val="004A7E13"/>
    <w:rsid w:val="004B7B76"/>
    <w:rsid w:val="004C2DCA"/>
    <w:rsid w:val="004C3790"/>
    <w:rsid w:val="004C4BD0"/>
    <w:rsid w:val="004D2C4D"/>
    <w:rsid w:val="004D513F"/>
    <w:rsid w:val="004F0F38"/>
    <w:rsid w:val="004F4AF5"/>
    <w:rsid w:val="00501921"/>
    <w:rsid w:val="00520007"/>
    <w:rsid w:val="00530354"/>
    <w:rsid w:val="0053625B"/>
    <w:rsid w:val="00541580"/>
    <w:rsid w:val="005434C6"/>
    <w:rsid w:val="00543B39"/>
    <w:rsid w:val="00550096"/>
    <w:rsid w:val="00554B61"/>
    <w:rsid w:val="00557FF9"/>
    <w:rsid w:val="00575E67"/>
    <w:rsid w:val="00576378"/>
    <w:rsid w:val="00577945"/>
    <w:rsid w:val="00577E38"/>
    <w:rsid w:val="00585322"/>
    <w:rsid w:val="005857C6"/>
    <w:rsid w:val="00586F98"/>
    <w:rsid w:val="00592F6E"/>
    <w:rsid w:val="00593AD1"/>
    <w:rsid w:val="005A0FE6"/>
    <w:rsid w:val="005A68B6"/>
    <w:rsid w:val="005B5C84"/>
    <w:rsid w:val="005C5570"/>
    <w:rsid w:val="005C79A4"/>
    <w:rsid w:val="005D2D24"/>
    <w:rsid w:val="005D5442"/>
    <w:rsid w:val="005F0DEA"/>
    <w:rsid w:val="00603F32"/>
    <w:rsid w:val="006170F0"/>
    <w:rsid w:val="00620406"/>
    <w:rsid w:val="00632398"/>
    <w:rsid w:val="00640FC3"/>
    <w:rsid w:val="0064126A"/>
    <w:rsid w:val="00642020"/>
    <w:rsid w:val="00646206"/>
    <w:rsid w:val="0065337B"/>
    <w:rsid w:val="0065419D"/>
    <w:rsid w:val="006604D8"/>
    <w:rsid w:val="00664A5B"/>
    <w:rsid w:val="006763D2"/>
    <w:rsid w:val="006801FD"/>
    <w:rsid w:val="00680C08"/>
    <w:rsid w:val="006931B1"/>
    <w:rsid w:val="006A15C0"/>
    <w:rsid w:val="006B4C50"/>
    <w:rsid w:val="006C130C"/>
    <w:rsid w:val="006C2D7E"/>
    <w:rsid w:val="006C3E2A"/>
    <w:rsid w:val="006C642F"/>
    <w:rsid w:val="006D03E5"/>
    <w:rsid w:val="006D5D3E"/>
    <w:rsid w:val="006E08B3"/>
    <w:rsid w:val="006F17AC"/>
    <w:rsid w:val="006F1D37"/>
    <w:rsid w:val="006F26D0"/>
    <w:rsid w:val="006F2796"/>
    <w:rsid w:val="006F572E"/>
    <w:rsid w:val="007046D6"/>
    <w:rsid w:val="00705DB0"/>
    <w:rsid w:val="00722B57"/>
    <w:rsid w:val="0073394C"/>
    <w:rsid w:val="00737EC2"/>
    <w:rsid w:val="0074253D"/>
    <w:rsid w:val="007427C5"/>
    <w:rsid w:val="00743EF5"/>
    <w:rsid w:val="0074429B"/>
    <w:rsid w:val="007456B6"/>
    <w:rsid w:val="007465B8"/>
    <w:rsid w:val="007513B4"/>
    <w:rsid w:val="00752493"/>
    <w:rsid w:val="00752EE0"/>
    <w:rsid w:val="007615BC"/>
    <w:rsid w:val="00762F05"/>
    <w:rsid w:val="007652FF"/>
    <w:rsid w:val="00770EF1"/>
    <w:rsid w:val="00773EF7"/>
    <w:rsid w:val="00774E1D"/>
    <w:rsid w:val="0077675A"/>
    <w:rsid w:val="00780355"/>
    <w:rsid w:val="00785721"/>
    <w:rsid w:val="00793A59"/>
    <w:rsid w:val="007B6E9F"/>
    <w:rsid w:val="007C1216"/>
    <w:rsid w:val="007C1AF7"/>
    <w:rsid w:val="007C47A5"/>
    <w:rsid w:val="007E6E27"/>
    <w:rsid w:val="007F3E00"/>
    <w:rsid w:val="00805D27"/>
    <w:rsid w:val="00813512"/>
    <w:rsid w:val="00821776"/>
    <w:rsid w:val="008321F5"/>
    <w:rsid w:val="00832369"/>
    <w:rsid w:val="00834660"/>
    <w:rsid w:val="00836BC2"/>
    <w:rsid w:val="008414A0"/>
    <w:rsid w:val="0085641B"/>
    <w:rsid w:val="00857136"/>
    <w:rsid w:val="00857436"/>
    <w:rsid w:val="00857B9D"/>
    <w:rsid w:val="00886D15"/>
    <w:rsid w:val="00887DD8"/>
    <w:rsid w:val="00896018"/>
    <w:rsid w:val="008960DD"/>
    <w:rsid w:val="0089635C"/>
    <w:rsid w:val="008A2B9D"/>
    <w:rsid w:val="008A5E0B"/>
    <w:rsid w:val="008A6D59"/>
    <w:rsid w:val="008B4B03"/>
    <w:rsid w:val="008B4D82"/>
    <w:rsid w:val="008B596F"/>
    <w:rsid w:val="008B5A3E"/>
    <w:rsid w:val="008C159F"/>
    <w:rsid w:val="008C1623"/>
    <w:rsid w:val="008C1850"/>
    <w:rsid w:val="008C51A9"/>
    <w:rsid w:val="008D770F"/>
    <w:rsid w:val="008D7F95"/>
    <w:rsid w:val="008E7846"/>
    <w:rsid w:val="008F1CCC"/>
    <w:rsid w:val="008F2967"/>
    <w:rsid w:val="008F6943"/>
    <w:rsid w:val="008F69AF"/>
    <w:rsid w:val="00902168"/>
    <w:rsid w:val="00902A21"/>
    <w:rsid w:val="00906445"/>
    <w:rsid w:val="00913503"/>
    <w:rsid w:val="00920330"/>
    <w:rsid w:val="009219D7"/>
    <w:rsid w:val="00922D53"/>
    <w:rsid w:val="00923B70"/>
    <w:rsid w:val="00924482"/>
    <w:rsid w:val="00930237"/>
    <w:rsid w:val="00935DF1"/>
    <w:rsid w:val="009438E8"/>
    <w:rsid w:val="00943D71"/>
    <w:rsid w:val="0094614A"/>
    <w:rsid w:val="00946EA5"/>
    <w:rsid w:val="0095160F"/>
    <w:rsid w:val="00963C08"/>
    <w:rsid w:val="009801A2"/>
    <w:rsid w:val="00981D66"/>
    <w:rsid w:val="0098585A"/>
    <w:rsid w:val="0098669D"/>
    <w:rsid w:val="00990EEB"/>
    <w:rsid w:val="00994C95"/>
    <w:rsid w:val="009A4CED"/>
    <w:rsid w:val="009A690D"/>
    <w:rsid w:val="009B1D12"/>
    <w:rsid w:val="009B416B"/>
    <w:rsid w:val="009C4BD5"/>
    <w:rsid w:val="009D4022"/>
    <w:rsid w:val="009D5591"/>
    <w:rsid w:val="009D786E"/>
    <w:rsid w:val="009D7B77"/>
    <w:rsid w:val="009E069E"/>
    <w:rsid w:val="009E0BB0"/>
    <w:rsid w:val="009E3FBB"/>
    <w:rsid w:val="009E75AA"/>
    <w:rsid w:val="009E7E60"/>
    <w:rsid w:val="009F7CB3"/>
    <w:rsid w:val="00A102E4"/>
    <w:rsid w:val="00A12C42"/>
    <w:rsid w:val="00A14DF7"/>
    <w:rsid w:val="00A235D9"/>
    <w:rsid w:val="00A315FB"/>
    <w:rsid w:val="00A3246D"/>
    <w:rsid w:val="00A36FA7"/>
    <w:rsid w:val="00A40358"/>
    <w:rsid w:val="00A475B7"/>
    <w:rsid w:val="00A47AF7"/>
    <w:rsid w:val="00A47C3E"/>
    <w:rsid w:val="00A50226"/>
    <w:rsid w:val="00A60BAD"/>
    <w:rsid w:val="00A964D1"/>
    <w:rsid w:val="00AA0ED0"/>
    <w:rsid w:val="00AA3499"/>
    <w:rsid w:val="00AC2B40"/>
    <w:rsid w:val="00AC2BB2"/>
    <w:rsid w:val="00AC2C3C"/>
    <w:rsid w:val="00AC512D"/>
    <w:rsid w:val="00AC5449"/>
    <w:rsid w:val="00AE01C2"/>
    <w:rsid w:val="00AE65EB"/>
    <w:rsid w:val="00AE67A7"/>
    <w:rsid w:val="00AF1D94"/>
    <w:rsid w:val="00AF60C5"/>
    <w:rsid w:val="00AF72DF"/>
    <w:rsid w:val="00B009C6"/>
    <w:rsid w:val="00B01548"/>
    <w:rsid w:val="00B02208"/>
    <w:rsid w:val="00B11F3E"/>
    <w:rsid w:val="00B1425E"/>
    <w:rsid w:val="00B14C1B"/>
    <w:rsid w:val="00B15E1A"/>
    <w:rsid w:val="00B16083"/>
    <w:rsid w:val="00B16230"/>
    <w:rsid w:val="00B21D29"/>
    <w:rsid w:val="00B21E1F"/>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C08C7"/>
    <w:rsid w:val="00BC622A"/>
    <w:rsid w:val="00BD45E3"/>
    <w:rsid w:val="00BE0A78"/>
    <w:rsid w:val="00BE32A6"/>
    <w:rsid w:val="00BE6252"/>
    <w:rsid w:val="00BE79F0"/>
    <w:rsid w:val="00BF046D"/>
    <w:rsid w:val="00BF1190"/>
    <w:rsid w:val="00BF5D04"/>
    <w:rsid w:val="00C1164D"/>
    <w:rsid w:val="00C137CE"/>
    <w:rsid w:val="00C16635"/>
    <w:rsid w:val="00C16861"/>
    <w:rsid w:val="00C22678"/>
    <w:rsid w:val="00C404A6"/>
    <w:rsid w:val="00C40A36"/>
    <w:rsid w:val="00C44419"/>
    <w:rsid w:val="00C45E7B"/>
    <w:rsid w:val="00C4625F"/>
    <w:rsid w:val="00C471B1"/>
    <w:rsid w:val="00C50F9D"/>
    <w:rsid w:val="00C618F7"/>
    <w:rsid w:val="00C6316B"/>
    <w:rsid w:val="00C634A9"/>
    <w:rsid w:val="00C64586"/>
    <w:rsid w:val="00C70D53"/>
    <w:rsid w:val="00C73D0B"/>
    <w:rsid w:val="00C772FF"/>
    <w:rsid w:val="00C801AF"/>
    <w:rsid w:val="00C80256"/>
    <w:rsid w:val="00C811C0"/>
    <w:rsid w:val="00CB35C8"/>
    <w:rsid w:val="00CB6BC0"/>
    <w:rsid w:val="00CC146D"/>
    <w:rsid w:val="00CC1B7C"/>
    <w:rsid w:val="00CC727F"/>
    <w:rsid w:val="00CD44AB"/>
    <w:rsid w:val="00CF15C3"/>
    <w:rsid w:val="00CF2B6F"/>
    <w:rsid w:val="00CF58B6"/>
    <w:rsid w:val="00D017ED"/>
    <w:rsid w:val="00D040D3"/>
    <w:rsid w:val="00D04C65"/>
    <w:rsid w:val="00D224FE"/>
    <w:rsid w:val="00D30A64"/>
    <w:rsid w:val="00D32C18"/>
    <w:rsid w:val="00D344B8"/>
    <w:rsid w:val="00D362CD"/>
    <w:rsid w:val="00D44CEC"/>
    <w:rsid w:val="00D47824"/>
    <w:rsid w:val="00D53A31"/>
    <w:rsid w:val="00D6493E"/>
    <w:rsid w:val="00D67DE1"/>
    <w:rsid w:val="00D72802"/>
    <w:rsid w:val="00D7301E"/>
    <w:rsid w:val="00D73165"/>
    <w:rsid w:val="00D83AE1"/>
    <w:rsid w:val="00D855D4"/>
    <w:rsid w:val="00D87961"/>
    <w:rsid w:val="00D93466"/>
    <w:rsid w:val="00D962FB"/>
    <w:rsid w:val="00DA1124"/>
    <w:rsid w:val="00DB75B7"/>
    <w:rsid w:val="00DC029A"/>
    <w:rsid w:val="00DC156B"/>
    <w:rsid w:val="00DC6E02"/>
    <w:rsid w:val="00DD25D7"/>
    <w:rsid w:val="00DE02AE"/>
    <w:rsid w:val="00DE7B24"/>
    <w:rsid w:val="00DF08D5"/>
    <w:rsid w:val="00DF1D7F"/>
    <w:rsid w:val="00DF4BE4"/>
    <w:rsid w:val="00E02FB4"/>
    <w:rsid w:val="00E07F15"/>
    <w:rsid w:val="00E158F5"/>
    <w:rsid w:val="00E167C2"/>
    <w:rsid w:val="00E20571"/>
    <w:rsid w:val="00E22630"/>
    <w:rsid w:val="00E235F7"/>
    <w:rsid w:val="00E23659"/>
    <w:rsid w:val="00E239D4"/>
    <w:rsid w:val="00E26130"/>
    <w:rsid w:val="00E2741C"/>
    <w:rsid w:val="00E36E42"/>
    <w:rsid w:val="00E40B22"/>
    <w:rsid w:val="00E45619"/>
    <w:rsid w:val="00E4588F"/>
    <w:rsid w:val="00E46DA3"/>
    <w:rsid w:val="00E51BB1"/>
    <w:rsid w:val="00E624A5"/>
    <w:rsid w:val="00E6373B"/>
    <w:rsid w:val="00E65C1B"/>
    <w:rsid w:val="00E7344E"/>
    <w:rsid w:val="00E77B22"/>
    <w:rsid w:val="00E936E3"/>
    <w:rsid w:val="00E979F4"/>
    <w:rsid w:val="00EA5CCB"/>
    <w:rsid w:val="00EA62FA"/>
    <w:rsid w:val="00EB0798"/>
    <w:rsid w:val="00EB40AD"/>
    <w:rsid w:val="00EB586E"/>
    <w:rsid w:val="00EB5FC8"/>
    <w:rsid w:val="00EC322F"/>
    <w:rsid w:val="00ED3CAD"/>
    <w:rsid w:val="00ED5A41"/>
    <w:rsid w:val="00EE0B5F"/>
    <w:rsid w:val="00EE1DE8"/>
    <w:rsid w:val="00F033EC"/>
    <w:rsid w:val="00F04F68"/>
    <w:rsid w:val="00F12670"/>
    <w:rsid w:val="00F14B27"/>
    <w:rsid w:val="00F23482"/>
    <w:rsid w:val="00F3148D"/>
    <w:rsid w:val="00F325C5"/>
    <w:rsid w:val="00F32FE0"/>
    <w:rsid w:val="00F35298"/>
    <w:rsid w:val="00F47333"/>
    <w:rsid w:val="00F47E37"/>
    <w:rsid w:val="00F53C07"/>
    <w:rsid w:val="00F54B65"/>
    <w:rsid w:val="00F640B6"/>
    <w:rsid w:val="00F7445B"/>
    <w:rsid w:val="00F77174"/>
    <w:rsid w:val="00F80E40"/>
    <w:rsid w:val="00F848D9"/>
    <w:rsid w:val="00FA36DC"/>
    <w:rsid w:val="00FA5420"/>
    <w:rsid w:val="00FA5B82"/>
    <w:rsid w:val="00FA639E"/>
    <w:rsid w:val="00FB3C1B"/>
    <w:rsid w:val="00FC25E4"/>
    <w:rsid w:val="00FC4EF7"/>
    <w:rsid w:val="00FE030A"/>
    <w:rsid w:val="00FE1DEE"/>
    <w:rsid w:val="00FE697C"/>
    <w:rsid w:val="00FF2126"/>
    <w:rsid w:val="00FF2A0E"/>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tabs>
        <w:tab w:val="clear" w:pos="993"/>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rsid w:val="009E75AA"/>
    <w:pPr>
      <w:ind w:left="720"/>
      <w:contextualSpacing/>
    </w:pPr>
  </w:style>
  <w:style w:type="paragraph" w:styleId="FootnoteText">
    <w:name w:val="footnote text"/>
    <w:basedOn w:val="Normal"/>
    <w:link w:val="FootnoteTextChar"/>
    <w:uiPriority w:val="99"/>
    <w:semiHidden/>
    <w:unhideWhenUsed/>
    <w:rsid w:val="00A315F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315FB"/>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A315F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tabs>
        <w:tab w:val="clear" w:pos="993"/>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rsid w:val="009E75AA"/>
    <w:pPr>
      <w:ind w:left="720"/>
      <w:contextualSpacing/>
    </w:pPr>
  </w:style>
  <w:style w:type="paragraph" w:styleId="FootnoteText">
    <w:name w:val="footnote text"/>
    <w:basedOn w:val="Normal"/>
    <w:link w:val="FootnoteTextChar"/>
    <w:uiPriority w:val="99"/>
    <w:semiHidden/>
    <w:unhideWhenUsed/>
    <w:rsid w:val="00A315F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315FB"/>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A315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3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5.xml"/><Relationship Id="rId40" Type="http://schemas.openxmlformats.org/officeDocument/2006/relationships/hyperlink" Target="https://www.tga.gov.au"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845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3E9B9-852F-4098-82FA-8D8C5AE25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12</TotalTime>
  <Pages>72</Pages>
  <Words>27894</Words>
  <Characters>149797</Characters>
  <Application>Microsoft Office Word</Application>
  <DocSecurity>0</DocSecurity>
  <Lines>2880</Lines>
  <Paragraphs>1131</Paragraphs>
  <ScaleCrop>false</ScaleCrop>
  <HeadingPairs>
    <vt:vector size="2" baseType="variant">
      <vt:variant>
        <vt:lpstr>Title</vt:lpstr>
      </vt:variant>
      <vt:variant>
        <vt:i4>1</vt:i4>
      </vt:variant>
    </vt:vector>
  </HeadingPairs>
  <TitlesOfParts>
    <vt:vector size="1" baseType="lpstr">
      <vt:lpstr>Attachment: Extract from Clinical Evaluation: Meningococcal group B vaccine</vt:lpstr>
    </vt:vector>
  </TitlesOfParts>
  <Company>Department of Health</Company>
  <LinksUpToDate>false</LinksUpToDate>
  <CharactersWithSpaces>176560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Meningococcal group B vaccine</dc:title>
  <dc:subject>prescription medicines</dc:subject>
  <dc:creator>Therapeutic Goods Administration</dc:creator>
  <cp:keywords>AusPARs</cp:keywords>
  <cp:lastPrinted>2018-06-25T03:14:00Z</cp:lastPrinted>
  <dcterms:created xsi:type="dcterms:W3CDTF">2018-09-11T04:39:00Z</dcterms:created>
  <dcterms:modified xsi:type="dcterms:W3CDTF">2018-09-11T05:42:00Z</dcterms:modified>
</cp:coreProperties>
</file>